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FE" w:rsidRPr="00EA12BB" w:rsidRDefault="00D047FE" w:rsidP="00D047FE">
      <w:pPr>
        <w:jc w:val="center"/>
        <w:rPr>
          <w:b/>
          <w:bCs/>
          <w:caps/>
          <w:spacing w:val="30"/>
          <w:sz w:val="28"/>
          <w:szCs w:val="28"/>
          <w:lang w:val="sk-SK"/>
        </w:rPr>
      </w:pPr>
      <w:bookmarkStart w:id="0" w:name="_GoBack"/>
      <w:bookmarkEnd w:id="0"/>
      <w:r w:rsidRPr="00EA12BB">
        <w:rPr>
          <w:b/>
          <w:bCs/>
          <w:caps/>
          <w:spacing w:val="30"/>
          <w:sz w:val="28"/>
          <w:szCs w:val="28"/>
          <w:lang w:val="sk-SK"/>
        </w:rPr>
        <w:t>Dôvodová správa</w:t>
      </w:r>
    </w:p>
    <w:p w:rsidR="00D047FE" w:rsidRPr="00EA12BB" w:rsidRDefault="00D047FE" w:rsidP="00D047FE">
      <w:pPr>
        <w:jc w:val="both"/>
        <w:rPr>
          <w:lang w:val="sk-SK"/>
        </w:rPr>
      </w:pPr>
    </w:p>
    <w:p w:rsidR="00D047FE" w:rsidRPr="00EA12BB" w:rsidRDefault="00D047FE" w:rsidP="00D047FE">
      <w:pPr>
        <w:jc w:val="both"/>
        <w:rPr>
          <w:lang w:val="sk-SK"/>
        </w:rPr>
      </w:pPr>
    </w:p>
    <w:p w:rsidR="00D047FE" w:rsidRPr="00EA12BB" w:rsidRDefault="00D047FE" w:rsidP="00D047FE">
      <w:pPr>
        <w:jc w:val="both"/>
        <w:rPr>
          <w:b/>
          <w:bCs/>
          <w:sz w:val="28"/>
          <w:szCs w:val="28"/>
          <w:lang w:val="sk-SK"/>
        </w:rPr>
      </w:pPr>
      <w:r w:rsidRPr="00EA12BB">
        <w:rPr>
          <w:b/>
          <w:bCs/>
          <w:sz w:val="28"/>
          <w:szCs w:val="28"/>
          <w:lang w:val="sk-SK"/>
        </w:rPr>
        <w:t>A. Všeobecná časť</w:t>
      </w:r>
    </w:p>
    <w:p w:rsidR="00D047FE" w:rsidRPr="00EA12BB" w:rsidRDefault="00D047FE" w:rsidP="00D047FE">
      <w:pPr>
        <w:jc w:val="both"/>
        <w:rPr>
          <w:lang w:val="sk-SK"/>
        </w:rPr>
      </w:pPr>
    </w:p>
    <w:p w:rsidR="00D047FE" w:rsidRPr="00EA12BB" w:rsidRDefault="00616B71" w:rsidP="00D047FE">
      <w:pPr>
        <w:jc w:val="both"/>
        <w:rPr>
          <w:lang w:val="sk-SK"/>
        </w:rPr>
      </w:pPr>
      <w:r>
        <w:rPr>
          <w:lang w:val="sk-SK"/>
        </w:rPr>
        <w:t xml:space="preserve">Na rokovanie </w:t>
      </w:r>
      <w:r w:rsidR="009B3C3D">
        <w:rPr>
          <w:lang w:val="sk-SK"/>
        </w:rPr>
        <w:t>Národnej rady</w:t>
      </w:r>
      <w:r w:rsidR="00673405">
        <w:rPr>
          <w:lang w:val="sk-SK"/>
        </w:rPr>
        <w:t xml:space="preserve"> </w:t>
      </w:r>
      <w:r>
        <w:rPr>
          <w:lang w:val="sk-SK"/>
        </w:rPr>
        <w:t>Slovenskej republiky</w:t>
      </w:r>
      <w:r w:rsidR="00D047FE" w:rsidRPr="00EA12BB">
        <w:rPr>
          <w:lang w:val="sk-SK"/>
        </w:rPr>
        <w:t xml:space="preserve"> sa predkladá na základe plánu legislatívnych úloh vlády Slovenskej republiky </w:t>
      </w:r>
      <w:r w:rsidR="00D261DB">
        <w:rPr>
          <w:lang w:val="sk-SK"/>
        </w:rPr>
        <w:t xml:space="preserve">na rok 2018 </w:t>
      </w:r>
      <w:r w:rsidR="00D261DB" w:rsidRPr="00D261DB">
        <w:rPr>
          <w:lang w:val="sk-SK"/>
        </w:rPr>
        <w:t>a na základe úlohy B.2. z uznesenia vlády Slovenskej republiky č. 427 z 13. septembra 2017</w:t>
      </w:r>
      <w:r w:rsidR="00D261DB">
        <w:rPr>
          <w:lang w:val="sk-SK"/>
        </w:rPr>
        <w:t xml:space="preserve"> </w:t>
      </w:r>
      <w:r w:rsidR="00D56C96">
        <w:t>a úlohy B</w:t>
      </w:r>
      <w:r w:rsidR="00D56C96" w:rsidRPr="00D56C96">
        <w:rPr>
          <w:lang w:val="sk-SK"/>
        </w:rPr>
        <w:t>.1. z uznesenia vlády Slovenskej republiky č. 599 z</w:t>
      </w:r>
      <w:r w:rsidR="00D56C96">
        <w:rPr>
          <w:lang w:val="sk-SK"/>
        </w:rPr>
        <w:t xml:space="preserve"> </w:t>
      </w:r>
      <w:r w:rsidR="00D56C96" w:rsidRPr="00D56C96">
        <w:rPr>
          <w:lang w:val="sk-SK"/>
        </w:rPr>
        <w:t>19. decembra 2018</w:t>
      </w:r>
      <w:r w:rsidR="00D56C96">
        <w:rPr>
          <w:lang w:val="sk-SK"/>
        </w:rPr>
        <w:t xml:space="preserve"> </w:t>
      </w:r>
      <w:r w:rsidR="00D047FE" w:rsidRPr="00D56C96">
        <w:rPr>
          <w:i/>
          <w:lang w:val="sk-SK"/>
        </w:rPr>
        <w:t>návrh zákona, kt</w:t>
      </w:r>
      <w:r w:rsidR="00D047FE" w:rsidRPr="00D261DB">
        <w:rPr>
          <w:i/>
          <w:lang w:val="sk-SK"/>
        </w:rPr>
        <w:t>orým sa mení a dopĺňa zákon č. 513/1991 Zb. Obchodný zákonník v znení neskorších predpisov</w:t>
      </w:r>
      <w:r>
        <w:rPr>
          <w:i/>
          <w:lang w:val="sk-SK"/>
        </w:rPr>
        <w:t xml:space="preserve"> a </w:t>
      </w:r>
      <w:r w:rsidRPr="00616B71">
        <w:rPr>
          <w:i/>
          <w:lang w:val="sk-SK"/>
        </w:rPr>
        <w:t>ktorým sa menia a dopĺňajú niektoré zákony</w:t>
      </w:r>
      <w:r w:rsidR="00D047FE" w:rsidRPr="00EA12BB">
        <w:rPr>
          <w:lang w:val="sk-SK"/>
        </w:rPr>
        <w:t xml:space="preserve"> (ďalej len „návrh zákona“). </w:t>
      </w:r>
    </w:p>
    <w:p w:rsidR="00D047FE" w:rsidRPr="00EA12BB" w:rsidRDefault="00D047FE" w:rsidP="00D047FE">
      <w:pPr>
        <w:jc w:val="both"/>
        <w:rPr>
          <w:lang w:val="sk-SK"/>
        </w:rPr>
      </w:pPr>
    </w:p>
    <w:p w:rsidR="00D047FE" w:rsidRDefault="00D047FE" w:rsidP="008A7B21">
      <w:pPr>
        <w:jc w:val="both"/>
        <w:rPr>
          <w:lang w:val="sk-SK"/>
        </w:rPr>
      </w:pPr>
      <w:r>
        <w:rPr>
          <w:lang w:val="sk-SK"/>
        </w:rPr>
        <w:t xml:space="preserve">Účelom tohto návrhu zákona </w:t>
      </w:r>
      <w:r w:rsidRPr="00EA12BB">
        <w:rPr>
          <w:lang w:val="sk-SK"/>
        </w:rPr>
        <w:t xml:space="preserve">je </w:t>
      </w:r>
      <w:r w:rsidR="00F52649">
        <w:rPr>
          <w:lang w:val="sk-SK"/>
        </w:rPr>
        <w:t>transpozícia</w:t>
      </w:r>
      <w:r w:rsidR="00F52649" w:rsidRPr="00EA12BB">
        <w:rPr>
          <w:lang w:val="sk-SK"/>
        </w:rPr>
        <w:t xml:space="preserve"> </w:t>
      </w:r>
      <w:r w:rsidRPr="00EA12BB">
        <w:rPr>
          <w:b/>
          <w:bCs/>
          <w:lang w:val="sk-SK"/>
        </w:rPr>
        <w:t xml:space="preserve">smernice </w:t>
      </w:r>
      <w:r w:rsidR="008A7B21" w:rsidRPr="008A7B21">
        <w:rPr>
          <w:lang w:val="sk-SK"/>
        </w:rPr>
        <w:t>E</w:t>
      </w:r>
      <w:r w:rsidR="008A7B21">
        <w:rPr>
          <w:lang w:val="sk-SK"/>
        </w:rPr>
        <w:t>urópskeho parlamentu</w:t>
      </w:r>
      <w:r w:rsidR="008A7B21" w:rsidRPr="008A7B21">
        <w:rPr>
          <w:lang w:val="sk-SK"/>
        </w:rPr>
        <w:t xml:space="preserve"> </w:t>
      </w:r>
      <w:r w:rsidR="008A7B21">
        <w:rPr>
          <w:lang w:val="sk-SK"/>
        </w:rPr>
        <w:t>a</w:t>
      </w:r>
      <w:r w:rsidR="008A7B21" w:rsidRPr="008A7B21">
        <w:rPr>
          <w:lang w:val="sk-SK"/>
        </w:rPr>
        <w:t xml:space="preserve"> R</w:t>
      </w:r>
      <w:r w:rsidR="007D7FE2">
        <w:rPr>
          <w:lang w:val="sk-SK"/>
        </w:rPr>
        <w:t>ad</w:t>
      </w:r>
      <w:r w:rsidR="008A7B21">
        <w:rPr>
          <w:lang w:val="sk-SK"/>
        </w:rPr>
        <w:t>y</w:t>
      </w:r>
      <w:r w:rsidR="008A7B21" w:rsidRPr="008A7B21">
        <w:rPr>
          <w:lang w:val="sk-SK"/>
        </w:rPr>
        <w:t xml:space="preserve"> (EÚ) 2017/828</w:t>
      </w:r>
      <w:r w:rsidR="008A7B21">
        <w:rPr>
          <w:lang w:val="sk-SK"/>
        </w:rPr>
        <w:t xml:space="preserve"> </w:t>
      </w:r>
      <w:r w:rsidR="008A7B21" w:rsidRPr="008A7B21">
        <w:rPr>
          <w:lang w:val="sk-SK"/>
        </w:rPr>
        <w:t>zo 17. mája 2017,</w:t>
      </w:r>
      <w:r w:rsidR="008A7B21">
        <w:rPr>
          <w:lang w:val="sk-SK"/>
        </w:rPr>
        <w:t xml:space="preserve"> </w:t>
      </w:r>
      <w:r w:rsidR="008A7B21" w:rsidRPr="008A7B21">
        <w:rPr>
          <w:lang w:val="sk-SK"/>
        </w:rPr>
        <w:t>ktorou sa mení smernica 2007/36/ES, pokiaľ ide o podnietenie dlhodobého zapojenia akcionárov</w:t>
      </w:r>
      <w:r>
        <w:rPr>
          <w:rStyle w:val="Odkaznapoznmkupodiarou"/>
          <w:lang w:val="sk-SK"/>
        </w:rPr>
        <w:footnoteReference w:id="1"/>
      </w:r>
      <w:r w:rsidRPr="00EA12BB">
        <w:rPr>
          <w:lang w:val="sk-SK"/>
        </w:rPr>
        <w:t xml:space="preserve"> (U. v. EÚ L </w:t>
      </w:r>
      <w:r w:rsidR="008A7B21">
        <w:rPr>
          <w:lang w:val="sk-SK"/>
        </w:rPr>
        <w:t>132</w:t>
      </w:r>
      <w:r w:rsidRPr="00EA12BB">
        <w:rPr>
          <w:color w:val="000000"/>
          <w:lang w:val="sk-SK"/>
        </w:rPr>
        <w:t>/</w:t>
      </w:r>
      <w:r w:rsidR="008A7B21">
        <w:rPr>
          <w:color w:val="000000"/>
          <w:lang w:val="sk-SK"/>
        </w:rPr>
        <w:t>1</w:t>
      </w:r>
      <w:r w:rsidRPr="00EA12BB">
        <w:rPr>
          <w:color w:val="000000"/>
          <w:lang w:val="sk-SK"/>
        </w:rPr>
        <w:t xml:space="preserve">, </w:t>
      </w:r>
      <w:r w:rsidR="008A7B21">
        <w:rPr>
          <w:color w:val="000000"/>
          <w:lang w:val="sk-SK"/>
        </w:rPr>
        <w:t>20</w:t>
      </w:r>
      <w:r w:rsidRPr="00EA12BB">
        <w:rPr>
          <w:color w:val="000000"/>
          <w:lang w:val="sk-SK"/>
        </w:rPr>
        <w:t xml:space="preserve">. </w:t>
      </w:r>
      <w:r>
        <w:rPr>
          <w:color w:val="000000"/>
          <w:lang w:val="sk-SK"/>
        </w:rPr>
        <w:t>0</w:t>
      </w:r>
      <w:r w:rsidR="008A7B21">
        <w:rPr>
          <w:color w:val="000000"/>
          <w:lang w:val="sk-SK"/>
        </w:rPr>
        <w:t>5</w:t>
      </w:r>
      <w:r w:rsidRPr="00EA12BB">
        <w:rPr>
          <w:color w:val="000000"/>
          <w:lang w:val="sk-SK"/>
        </w:rPr>
        <w:t>. 20</w:t>
      </w:r>
      <w:r w:rsidR="008A7B21">
        <w:rPr>
          <w:color w:val="000000"/>
          <w:lang w:val="sk-SK"/>
        </w:rPr>
        <w:t>17</w:t>
      </w:r>
      <w:r w:rsidRPr="00EA12BB">
        <w:rPr>
          <w:color w:val="000000"/>
          <w:lang w:val="sk-SK"/>
        </w:rPr>
        <w:t>)</w:t>
      </w:r>
      <w:r w:rsidRPr="00EA12BB">
        <w:rPr>
          <w:lang w:val="sk-SK"/>
        </w:rPr>
        <w:t xml:space="preserve">; transpozičný termín: do </w:t>
      </w:r>
      <w:r w:rsidR="008A7B21">
        <w:rPr>
          <w:lang w:val="sk-SK"/>
        </w:rPr>
        <w:t>10</w:t>
      </w:r>
      <w:r w:rsidRPr="00EA12BB">
        <w:rPr>
          <w:lang w:val="sk-SK"/>
        </w:rPr>
        <w:t xml:space="preserve">. </w:t>
      </w:r>
      <w:r w:rsidR="008A7B21">
        <w:rPr>
          <w:lang w:val="sk-SK"/>
        </w:rPr>
        <w:t>júna</w:t>
      </w:r>
      <w:r w:rsidRPr="00EA12BB">
        <w:rPr>
          <w:lang w:val="sk-SK"/>
        </w:rPr>
        <w:t xml:space="preserve"> 20</w:t>
      </w:r>
      <w:r w:rsidR="008A7B21">
        <w:rPr>
          <w:lang w:val="sk-SK"/>
        </w:rPr>
        <w:t>1</w:t>
      </w:r>
      <w:r>
        <w:rPr>
          <w:lang w:val="sk-SK"/>
        </w:rPr>
        <w:t>9</w:t>
      </w:r>
      <w:r w:rsidR="004D771F">
        <w:rPr>
          <w:lang w:val="sk-SK"/>
        </w:rPr>
        <w:t>; v rozsahu čl. 3a ods. 8, čl. 3b ods. 6 a čl. 3c ods. 3 je transpozičný termín: do 3. septembra 2020</w:t>
      </w:r>
      <w:r w:rsidRPr="00EA12BB">
        <w:rPr>
          <w:lang w:val="sk-SK"/>
        </w:rPr>
        <w:t xml:space="preserve"> (ďalej len „</w:t>
      </w:r>
      <w:r>
        <w:rPr>
          <w:lang w:val="sk-SK"/>
        </w:rPr>
        <w:t>smernica</w:t>
      </w:r>
      <w:r w:rsidR="00981EA0">
        <w:rPr>
          <w:lang w:val="sk-SK"/>
        </w:rPr>
        <w:t xml:space="preserve"> 2017/828</w:t>
      </w:r>
      <w:r>
        <w:rPr>
          <w:lang w:val="sk-SK"/>
        </w:rPr>
        <w:t>“).</w:t>
      </w:r>
    </w:p>
    <w:p w:rsidR="00D047FE" w:rsidRDefault="00D047FE" w:rsidP="00D047FE">
      <w:pPr>
        <w:ind w:firstLine="708"/>
        <w:jc w:val="both"/>
        <w:rPr>
          <w:lang w:val="sk-SK"/>
        </w:rPr>
      </w:pPr>
    </w:p>
    <w:p w:rsidR="00CA53B5" w:rsidRDefault="00051666" w:rsidP="00D047FE">
      <w:pPr>
        <w:jc w:val="both"/>
        <w:rPr>
          <w:lang w:val="sk-SK"/>
        </w:rPr>
      </w:pPr>
      <w:r>
        <w:rPr>
          <w:lang w:val="sk-SK"/>
        </w:rPr>
        <w:t xml:space="preserve">Pôvodná </w:t>
      </w:r>
      <w:r w:rsidR="000D7545">
        <w:rPr>
          <w:lang w:val="sk-SK"/>
        </w:rPr>
        <w:t xml:space="preserve">novelizovaná </w:t>
      </w:r>
      <w:r>
        <w:rPr>
          <w:lang w:val="sk-SK"/>
        </w:rPr>
        <w:t xml:space="preserve">smernica </w:t>
      </w:r>
      <w:r w:rsidR="00981EA0" w:rsidRPr="00981EA0">
        <w:rPr>
          <w:lang w:val="sk-SK"/>
        </w:rPr>
        <w:t>Európskeho parlamentu a Rady 2007/36/ES z 11. júla 2007 o výkone určitých práv akcionárov spoločností registrovaných na regulovanom trhu</w:t>
      </w:r>
      <w:r w:rsidR="00CA53B5" w:rsidRPr="008670EA">
        <w:rPr>
          <w:rStyle w:val="Odkaznapoznmkupodiarou"/>
          <w:lang w:val="sk-SK"/>
        </w:rPr>
        <w:footnoteReference w:id="2"/>
      </w:r>
      <w:r w:rsidR="00EB327D">
        <w:rPr>
          <w:lang w:val="sk-SK"/>
        </w:rPr>
        <w:t xml:space="preserve"> </w:t>
      </w:r>
      <w:r w:rsidR="00EB327D" w:rsidRPr="00EB327D">
        <w:rPr>
          <w:lang w:val="sk-SK"/>
        </w:rPr>
        <w:t>(Ú. v. EÚ L 184 14.7.2007)</w:t>
      </w:r>
      <w:r w:rsidR="00EB327D">
        <w:rPr>
          <w:lang w:val="sk-SK"/>
        </w:rPr>
        <w:t xml:space="preserve"> v platnom znení</w:t>
      </w:r>
      <w:r w:rsidR="00981EA0">
        <w:rPr>
          <w:lang w:val="sk-SK"/>
        </w:rPr>
        <w:t xml:space="preserve"> (ďalej len „smernica 2007/36/ES</w:t>
      </w:r>
      <w:r w:rsidR="001F0998">
        <w:rPr>
          <w:lang w:val="sk-SK"/>
        </w:rPr>
        <w:t>“</w:t>
      </w:r>
      <w:r w:rsidR="00981EA0">
        <w:rPr>
          <w:lang w:val="sk-SK"/>
        </w:rPr>
        <w:t>)</w:t>
      </w:r>
      <w:r>
        <w:rPr>
          <w:lang w:val="sk-SK"/>
        </w:rPr>
        <w:t xml:space="preserve"> sa zameriavala hlavne na harmonizáciu právnych poriadkov všetkých členských štátov Európskej únie v</w:t>
      </w:r>
      <w:r w:rsidR="00CA53B5">
        <w:rPr>
          <w:lang w:val="sk-SK"/>
        </w:rPr>
        <w:t xml:space="preserve"> </w:t>
      </w:r>
      <w:r>
        <w:rPr>
          <w:lang w:val="sk-SK"/>
        </w:rPr>
        <w:t>oblasti výkonu určitých práv akcionárov spoločností registrovaných na regulovanom trhu</w:t>
      </w:r>
      <w:r w:rsidR="00002E8F">
        <w:rPr>
          <w:lang w:val="sk-SK"/>
        </w:rPr>
        <w:t xml:space="preserve"> </w:t>
      </w:r>
      <w:r w:rsidR="00CA53B5">
        <w:rPr>
          <w:lang w:val="sk-SK"/>
        </w:rPr>
        <w:t>a zvýšenie transparentnosti súvisiacich procesov</w:t>
      </w:r>
      <w:r w:rsidR="000D7545">
        <w:rPr>
          <w:lang w:val="sk-SK"/>
        </w:rPr>
        <w:t xml:space="preserve"> </w:t>
      </w:r>
      <w:r w:rsidR="00CA53B5">
        <w:rPr>
          <w:lang w:val="sk-SK"/>
        </w:rPr>
        <w:t>a </w:t>
      </w:r>
      <w:r w:rsidR="000D7545">
        <w:rPr>
          <w:lang w:val="sk-SK"/>
        </w:rPr>
        <w:t xml:space="preserve"> a</w:t>
      </w:r>
      <w:r w:rsidR="00CA53B5">
        <w:rPr>
          <w:lang w:val="sk-SK"/>
        </w:rPr>
        <w:t xml:space="preserve">ko taká bola do právneho poriadku Slovenskej republiky </w:t>
      </w:r>
      <w:r w:rsidR="00CA53B5" w:rsidRPr="008670EA">
        <w:rPr>
          <w:lang w:val="sk-SK"/>
        </w:rPr>
        <w:t xml:space="preserve">transponovaná </w:t>
      </w:r>
      <w:r w:rsidR="00CA53B5" w:rsidRPr="008670EA">
        <w:rPr>
          <w:i/>
          <w:lang w:val="sk-SK"/>
        </w:rPr>
        <w:t>zákonom č. 487/2009 Z. z., ktorým sa mení a dopĺňa zákon č. 513/1991 Zb. Obchodný zákonník v znení neskorších predpisov a o zmene a doplnení niektorých zákono</w:t>
      </w:r>
      <w:r w:rsidR="00CA53B5">
        <w:rPr>
          <w:i/>
          <w:lang w:val="sk-SK"/>
        </w:rPr>
        <w:t xml:space="preserve">v </w:t>
      </w:r>
      <w:r w:rsidR="00CA53B5">
        <w:rPr>
          <w:lang w:val="sk-SK"/>
        </w:rPr>
        <w:t>(ďalej len „zákon č. 487/2009 Z. z.“)</w:t>
      </w:r>
      <w:r w:rsidR="00CA53B5" w:rsidRPr="008670EA">
        <w:rPr>
          <w:lang w:val="sk-SK"/>
        </w:rPr>
        <w:t xml:space="preserve"> s účinnosťou </w:t>
      </w:r>
      <w:r w:rsidR="00CA53B5">
        <w:rPr>
          <w:lang w:val="sk-SK"/>
        </w:rPr>
        <w:t xml:space="preserve">od </w:t>
      </w:r>
      <w:r w:rsidR="00CA53B5" w:rsidRPr="008670EA">
        <w:rPr>
          <w:lang w:val="sk-SK"/>
        </w:rPr>
        <w:t>1. decembr</w:t>
      </w:r>
      <w:r w:rsidR="00CA53B5">
        <w:rPr>
          <w:lang w:val="sk-SK"/>
        </w:rPr>
        <w:t>a</w:t>
      </w:r>
      <w:r w:rsidR="00CA53B5" w:rsidRPr="008670EA">
        <w:rPr>
          <w:lang w:val="sk-SK"/>
        </w:rPr>
        <w:t xml:space="preserve"> 2009.</w:t>
      </w:r>
      <w:r w:rsidR="00CA53B5">
        <w:rPr>
          <w:lang w:val="sk-SK"/>
        </w:rPr>
        <w:t xml:space="preserve"> </w:t>
      </w:r>
      <w:r w:rsidR="000E49FD">
        <w:rPr>
          <w:lang w:val="sk-SK"/>
        </w:rPr>
        <w:t xml:space="preserve">Zodpovedajúca právna úprava sa </w:t>
      </w:r>
      <w:r w:rsidR="000D7545">
        <w:rPr>
          <w:lang w:val="sk-SK"/>
        </w:rPr>
        <w:t>pretavila</w:t>
      </w:r>
      <w:r w:rsidR="00CA53B5">
        <w:rPr>
          <w:lang w:val="sk-SK"/>
        </w:rPr>
        <w:t xml:space="preserve"> najmä</w:t>
      </w:r>
      <w:r w:rsidR="000D7545">
        <w:rPr>
          <w:lang w:val="sk-SK"/>
        </w:rPr>
        <w:t xml:space="preserve"> do</w:t>
      </w:r>
      <w:r w:rsidR="00CA53B5">
        <w:rPr>
          <w:lang w:val="sk-SK"/>
        </w:rPr>
        <w:t xml:space="preserve"> nasledujúc</w:t>
      </w:r>
      <w:r w:rsidR="000E49FD">
        <w:rPr>
          <w:lang w:val="sk-SK"/>
        </w:rPr>
        <w:t>ich</w:t>
      </w:r>
      <w:r w:rsidR="00CA53B5">
        <w:rPr>
          <w:lang w:val="sk-SK"/>
        </w:rPr>
        <w:t xml:space="preserve"> okruh</w:t>
      </w:r>
      <w:r w:rsidR="000E49FD">
        <w:rPr>
          <w:lang w:val="sk-SK"/>
        </w:rPr>
        <w:t>ov</w:t>
      </w:r>
      <w:r w:rsidR="00CA53B5">
        <w:rPr>
          <w:lang w:val="sk-SK"/>
        </w:rPr>
        <w:t>:</w:t>
      </w:r>
    </w:p>
    <w:p w:rsidR="00CA53B5" w:rsidRPr="00CA53B5" w:rsidRDefault="00CA53B5" w:rsidP="00CA53B5">
      <w:pPr>
        <w:numPr>
          <w:ilvl w:val="0"/>
          <w:numId w:val="2"/>
        </w:numPr>
        <w:jc w:val="both"/>
        <w:rPr>
          <w:lang w:val="sk-SK"/>
        </w:rPr>
      </w:pPr>
      <w:r w:rsidRPr="00CA53B5">
        <w:rPr>
          <w:lang w:val="sk-SK"/>
        </w:rPr>
        <w:t>odstránenie existujúcich prekážok v cezhraničnom investovaní, a to najmä tých, ktoré sa spájajú s cezhraničným uplatňovaním práv akcionárov,</w:t>
      </w:r>
    </w:p>
    <w:p w:rsidR="00CA53B5" w:rsidRPr="00CA53B5" w:rsidRDefault="00CA53B5" w:rsidP="00CA53B5">
      <w:pPr>
        <w:numPr>
          <w:ilvl w:val="0"/>
          <w:numId w:val="2"/>
        </w:numPr>
        <w:jc w:val="both"/>
        <w:rPr>
          <w:lang w:val="sk-SK"/>
        </w:rPr>
      </w:pPr>
      <w:r w:rsidRPr="00CA53B5">
        <w:rPr>
          <w:lang w:val="sk-SK"/>
        </w:rPr>
        <w:t>úprava nového spôsobu uverejňovania oznámenia o konaní valného zhromaždenia</w:t>
      </w:r>
      <w:r>
        <w:rPr>
          <w:lang w:val="sk-SK"/>
        </w:rPr>
        <w:t xml:space="preserve"> (§ 184a Obchodného zákonníka</w:t>
      </w:r>
      <w:r w:rsidR="00002E8F">
        <w:rPr>
          <w:rStyle w:val="Odkaznapoznmkupodiarou"/>
          <w:lang w:val="sk-SK"/>
        </w:rPr>
        <w:footnoteReference w:id="3"/>
      </w:r>
      <w:r w:rsidR="001F5D41">
        <w:rPr>
          <w:lang w:val="sk-SK"/>
        </w:rPr>
        <w:t>; ďalej len „OBZ“</w:t>
      </w:r>
      <w:r>
        <w:rPr>
          <w:lang w:val="sk-SK"/>
        </w:rPr>
        <w:t>)</w:t>
      </w:r>
      <w:r w:rsidRPr="00CA53B5">
        <w:rPr>
          <w:lang w:val="sk-SK"/>
        </w:rPr>
        <w:t>,</w:t>
      </w:r>
    </w:p>
    <w:p w:rsidR="00CA53B5" w:rsidRPr="00CA53B5" w:rsidRDefault="00CA53B5" w:rsidP="00CA53B5">
      <w:pPr>
        <w:numPr>
          <w:ilvl w:val="0"/>
          <w:numId w:val="2"/>
        </w:numPr>
        <w:jc w:val="both"/>
        <w:rPr>
          <w:lang w:val="sk-SK"/>
        </w:rPr>
      </w:pPr>
      <w:r w:rsidRPr="00CA53B5">
        <w:rPr>
          <w:lang w:val="sk-SK"/>
        </w:rPr>
        <w:t>úprava základných požiadaviek na umožnenie účasti a hlasovania akcionárov na valnom zhromaždení prostredníctvom elektronických prostriedkov</w:t>
      </w:r>
      <w:r>
        <w:rPr>
          <w:lang w:val="sk-SK"/>
        </w:rPr>
        <w:t xml:space="preserve"> (§ 190d </w:t>
      </w:r>
      <w:r w:rsidR="001F5D41">
        <w:rPr>
          <w:lang w:val="sk-SK"/>
        </w:rPr>
        <w:t>OBZ</w:t>
      </w:r>
      <w:r>
        <w:rPr>
          <w:lang w:val="sk-SK"/>
        </w:rPr>
        <w:t>)</w:t>
      </w:r>
      <w:r w:rsidRPr="00CA53B5">
        <w:rPr>
          <w:lang w:val="sk-SK"/>
        </w:rPr>
        <w:t>,</w:t>
      </w:r>
    </w:p>
    <w:p w:rsidR="00CA53B5" w:rsidRPr="00CA53B5" w:rsidRDefault="00CA53B5" w:rsidP="00CA53B5">
      <w:pPr>
        <w:numPr>
          <w:ilvl w:val="0"/>
          <w:numId w:val="2"/>
        </w:numPr>
        <w:jc w:val="both"/>
        <w:rPr>
          <w:lang w:val="sk-SK"/>
        </w:rPr>
      </w:pPr>
      <w:r w:rsidRPr="00CA53B5">
        <w:rPr>
          <w:lang w:val="sk-SK"/>
        </w:rPr>
        <w:t>zavedenie novej možnosti hlasovania akcionárov, a to ešte pred konaním valného zhromaždenia prostredníctvom zasielania hlasovacích lístkov poštovými službami (tzv. korenšpodenčné hlasovanie)</w:t>
      </w:r>
      <w:r>
        <w:rPr>
          <w:lang w:val="sk-SK"/>
        </w:rPr>
        <w:t xml:space="preserve"> (§ 190a a nasl. O</w:t>
      </w:r>
      <w:r w:rsidR="001F5D41">
        <w:rPr>
          <w:lang w:val="sk-SK"/>
        </w:rPr>
        <w:t>BZ</w:t>
      </w:r>
      <w:r>
        <w:rPr>
          <w:lang w:val="sk-SK"/>
        </w:rPr>
        <w:t>)</w:t>
      </w:r>
      <w:r w:rsidRPr="00CA53B5">
        <w:rPr>
          <w:lang w:val="sk-SK"/>
        </w:rPr>
        <w:t>,</w:t>
      </w:r>
    </w:p>
    <w:p w:rsidR="00CA53B5" w:rsidRPr="00CA53B5" w:rsidRDefault="00CA53B5" w:rsidP="00CA53B5">
      <w:pPr>
        <w:numPr>
          <w:ilvl w:val="0"/>
          <w:numId w:val="2"/>
        </w:numPr>
        <w:jc w:val="both"/>
        <w:rPr>
          <w:lang w:val="sk-SK"/>
        </w:rPr>
      </w:pPr>
      <w:r w:rsidRPr="00CA53B5">
        <w:rPr>
          <w:lang w:val="sk-SK"/>
        </w:rPr>
        <w:t xml:space="preserve">zavedenie niekoľko odchýlok od pôvodnej všeobecnej úpravy účasti na valnom zhromaždení v zastúpení na základe písomného splnomocnenia pre verejné akciové spoločnosti (§ 190e a 190f </w:t>
      </w:r>
      <w:r w:rsidR="001F5D41">
        <w:rPr>
          <w:lang w:val="sk-SK"/>
        </w:rPr>
        <w:t>OBZ</w:t>
      </w:r>
      <w:r w:rsidRPr="00CA53B5">
        <w:rPr>
          <w:lang w:val="sk-SK"/>
        </w:rPr>
        <w:t>).</w:t>
      </w:r>
    </w:p>
    <w:p w:rsidR="00051666" w:rsidRDefault="00051666" w:rsidP="00D047FE">
      <w:pPr>
        <w:jc w:val="both"/>
        <w:rPr>
          <w:lang w:val="sk-SK"/>
        </w:rPr>
      </w:pPr>
      <w:r>
        <w:rPr>
          <w:lang w:val="sk-SK"/>
        </w:rPr>
        <w:t>V súvislosti s príčinami a dôsledkami globálnej finančnej krízy Komisia Európskej únie  vyhodnotila, že právna úprava v tejto oblasti je nepostačujúca a v zmysle oznámenia  z</w:t>
      </w:r>
      <w:r w:rsidR="009D55CE">
        <w:rPr>
          <w:lang w:val="sk-SK"/>
        </w:rPr>
        <w:t xml:space="preserve"> </w:t>
      </w:r>
      <w:r>
        <w:rPr>
          <w:lang w:val="sk-SK"/>
        </w:rPr>
        <w:t>12.</w:t>
      </w:r>
      <w:r w:rsidR="000D7545">
        <w:rPr>
          <w:lang w:val="sk-SK"/>
        </w:rPr>
        <w:t xml:space="preserve"> d</w:t>
      </w:r>
      <w:r>
        <w:rPr>
          <w:lang w:val="sk-SK"/>
        </w:rPr>
        <w:t>ecembra 2012 s</w:t>
      </w:r>
      <w:r w:rsidR="000D7545">
        <w:rPr>
          <w:lang w:val="sk-SK"/>
        </w:rPr>
        <w:t xml:space="preserve"> </w:t>
      </w:r>
      <w:r>
        <w:rPr>
          <w:lang w:val="sk-SK"/>
        </w:rPr>
        <w:t xml:space="preserve">názvom </w:t>
      </w:r>
      <w:r w:rsidRPr="000D7545">
        <w:rPr>
          <w:i/>
          <w:lang w:val="sk-SK"/>
        </w:rPr>
        <w:t>Akčný plán: Európske právo obchodných spoločností a správa a riadenie spoločností – moderný rámec pre väčšiu angažovanosť akcionárov a udržateľné spoločnosti</w:t>
      </w:r>
      <w:r w:rsidR="000D7545">
        <w:rPr>
          <w:rStyle w:val="Odkaznapoznmkupodiarou"/>
          <w:i/>
          <w:lang w:val="sk-SK"/>
        </w:rPr>
        <w:footnoteReference w:id="4"/>
      </w:r>
      <w:r>
        <w:rPr>
          <w:lang w:val="sk-SK"/>
        </w:rPr>
        <w:t xml:space="preserve"> identifikovala nové oblasti budúcej regulácie</w:t>
      </w:r>
      <w:r w:rsidR="000D7545">
        <w:rPr>
          <w:lang w:val="sk-SK"/>
        </w:rPr>
        <w:t xml:space="preserve"> najmä v otázkach správy a riadenia </w:t>
      </w:r>
      <w:r w:rsidR="000D7545">
        <w:rPr>
          <w:lang w:val="sk-SK"/>
        </w:rPr>
        <w:lastRenderedPageBreak/>
        <w:t>spoločností so zameraním na podnietenie dlhodobého zapojenia akcionárov, inštitucionálnych investorov a</w:t>
      </w:r>
      <w:r w:rsidR="00FE672C">
        <w:rPr>
          <w:lang w:val="sk-SK"/>
        </w:rPr>
        <w:t xml:space="preserve"> </w:t>
      </w:r>
      <w:r w:rsidR="000D7545">
        <w:rPr>
          <w:lang w:val="sk-SK"/>
        </w:rPr>
        <w:t xml:space="preserve">správcov aktív </w:t>
      </w:r>
      <w:r w:rsidR="00FE672C">
        <w:rPr>
          <w:lang w:val="sk-SK"/>
        </w:rPr>
        <w:t xml:space="preserve">a </w:t>
      </w:r>
      <w:r w:rsidR="000D7545">
        <w:rPr>
          <w:lang w:val="sk-SK"/>
        </w:rPr>
        <w:t>na z</w:t>
      </w:r>
      <w:r w:rsidR="00FE672C">
        <w:rPr>
          <w:lang w:val="sk-SK"/>
        </w:rPr>
        <w:t>výšenie</w:t>
      </w:r>
      <w:r w:rsidR="000D7545">
        <w:rPr>
          <w:lang w:val="sk-SK"/>
        </w:rPr>
        <w:t xml:space="preserve"> transparentnosti vzťahov medzi spoločnosťami a investormi</w:t>
      </w:r>
      <w:r>
        <w:rPr>
          <w:lang w:val="sk-SK"/>
        </w:rPr>
        <w:t>.</w:t>
      </w:r>
    </w:p>
    <w:p w:rsidR="00FE672C" w:rsidRPr="00D261DB" w:rsidRDefault="00FE672C" w:rsidP="00FE672C">
      <w:pPr>
        <w:jc w:val="both"/>
        <w:rPr>
          <w:lang w:val="sk-SK"/>
        </w:rPr>
      </w:pPr>
      <w:r w:rsidRPr="00D261DB">
        <w:rPr>
          <w:lang w:val="sk-SK"/>
        </w:rPr>
        <w:t>V</w:t>
      </w:r>
      <w:r>
        <w:rPr>
          <w:lang w:val="sk-SK"/>
        </w:rPr>
        <w:t> nadväznosti na skôr uvedené sa predkladaný</w:t>
      </w:r>
      <w:r w:rsidRPr="00D261DB">
        <w:rPr>
          <w:lang w:val="sk-SK"/>
        </w:rPr>
        <w:t xml:space="preserve"> návrh zákona</w:t>
      </w:r>
      <w:r>
        <w:rPr>
          <w:lang w:val="sk-SK"/>
        </w:rPr>
        <w:t xml:space="preserve"> zameriava</w:t>
      </w:r>
      <w:r w:rsidRPr="00D261DB">
        <w:rPr>
          <w:lang w:val="sk-SK"/>
        </w:rPr>
        <w:t xml:space="preserve"> predovšetkým</w:t>
      </w:r>
      <w:r>
        <w:rPr>
          <w:lang w:val="sk-SK"/>
        </w:rPr>
        <w:t xml:space="preserve"> na riešenie nasledujúcich okruhov:</w:t>
      </w:r>
    </w:p>
    <w:p w:rsidR="00FE672C" w:rsidRPr="00D261DB" w:rsidRDefault="00FE672C" w:rsidP="00FE672C">
      <w:pPr>
        <w:numPr>
          <w:ilvl w:val="0"/>
          <w:numId w:val="4"/>
        </w:numPr>
        <w:jc w:val="both"/>
        <w:rPr>
          <w:lang w:val="sk-SK"/>
        </w:rPr>
      </w:pPr>
      <w:r w:rsidRPr="00D261DB">
        <w:rPr>
          <w:lang w:val="sk-SK"/>
        </w:rPr>
        <w:t xml:space="preserve">prostredníctvom harmonizácie právnych úprav všetkých členských štátov Európskej únie </w:t>
      </w:r>
      <w:r w:rsidRPr="001F5D41">
        <w:rPr>
          <w:i/>
          <w:u w:val="single"/>
          <w:lang w:val="sk-SK"/>
        </w:rPr>
        <w:t>odstraňuje existujúce prekážky v cezhraničnom investovaní alebo</w:t>
      </w:r>
      <w:r w:rsidRPr="00D261DB">
        <w:rPr>
          <w:lang w:val="sk-SK"/>
        </w:rPr>
        <w:t xml:space="preserve"> </w:t>
      </w:r>
      <w:r w:rsidRPr="001F5D41">
        <w:rPr>
          <w:i/>
          <w:u w:val="single"/>
          <w:lang w:val="sk-SK"/>
        </w:rPr>
        <w:t>pri účasti a hlasovaní akcionárov na valnom zhromaždení prostredníctvom elektronických prostriedkov</w:t>
      </w:r>
      <w:r w:rsidRPr="00D261DB">
        <w:rPr>
          <w:lang w:val="sk-SK"/>
        </w:rPr>
        <w:t>, a to najmä tie, ktoré sa spájajú s včasnou a dostatočne určitou identifikáciou akcionárov verejnej akciovej spoločnosti,</w:t>
      </w:r>
    </w:p>
    <w:p w:rsidR="00FE672C" w:rsidRPr="00D261DB" w:rsidRDefault="00FE672C" w:rsidP="00FE672C">
      <w:pPr>
        <w:numPr>
          <w:ilvl w:val="0"/>
          <w:numId w:val="4"/>
        </w:numPr>
        <w:jc w:val="both"/>
        <w:rPr>
          <w:lang w:val="sk-SK"/>
        </w:rPr>
      </w:pPr>
      <w:r w:rsidRPr="001F5D41">
        <w:rPr>
          <w:i/>
          <w:u w:val="single"/>
          <w:lang w:val="sk-SK"/>
        </w:rPr>
        <w:t>upravuje a zjednodušuje prenos informácií</w:t>
      </w:r>
      <w:r w:rsidRPr="00D261DB">
        <w:rPr>
          <w:lang w:val="sk-SK"/>
        </w:rPr>
        <w:t xml:space="preserve"> o akcionároch </w:t>
      </w:r>
      <w:r w:rsidRPr="001F5D41">
        <w:rPr>
          <w:i/>
          <w:u w:val="single"/>
          <w:lang w:val="sk-SK"/>
        </w:rPr>
        <w:t>v rámci investičnej reťaze</w:t>
      </w:r>
      <w:r w:rsidRPr="00D261DB">
        <w:rPr>
          <w:lang w:val="sk-SK"/>
        </w:rPr>
        <w:t xml:space="preserve"> sprostredkovateľov tak, aby sa zjednodušil výkon práv akcionárov na valnom zhromaždení verejnej akciovej spoločnosti</w:t>
      </w:r>
      <w:r w:rsidRPr="001F5D41">
        <w:rPr>
          <w:lang w:val="sk-SK"/>
        </w:rPr>
        <w:t xml:space="preserve">, </w:t>
      </w:r>
      <w:r w:rsidRPr="001F5D41">
        <w:rPr>
          <w:i/>
          <w:u w:val="single"/>
          <w:lang w:val="sk-SK"/>
        </w:rPr>
        <w:t>a zameriava sa na efektívnejšie dlhodobé zapojenie</w:t>
      </w:r>
      <w:r w:rsidRPr="00D261DB">
        <w:rPr>
          <w:lang w:val="sk-SK"/>
        </w:rPr>
        <w:t xml:space="preserve"> predovšetkým inštitucionálnych investorov a správcov aktív </w:t>
      </w:r>
      <w:r w:rsidRPr="001F5D41">
        <w:rPr>
          <w:i/>
          <w:u w:val="single"/>
          <w:lang w:val="sk-SK"/>
        </w:rPr>
        <w:t>do rozhodovacích procesov</w:t>
      </w:r>
      <w:r w:rsidRPr="00D261DB">
        <w:rPr>
          <w:lang w:val="sk-SK"/>
        </w:rPr>
        <w:t xml:space="preserve"> vo verejnej akciovej spoločnosti, </w:t>
      </w:r>
    </w:p>
    <w:p w:rsidR="00FE672C" w:rsidRPr="00D261DB" w:rsidRDefault="00FE672C" w:rsidP="00FE672C">
      <w:pPr>
        <w:numPr>
          <w:ilvl w:val="0"/>
          <w:numId w:val="4"/>
        </w:numPr>
        <w:jc w:val="both"/>
        <w:rPr>
          <w:lang w:val="sk-SK"/>
        </w:rPr>
      </w:pPr>
      <w:r w:rsidRPr="00D261DB">
        <w:rPr>
          <w:lang w:val="sk-SK"/>
        </w:rPr>
        <w:t>má ambíciu prispieť k zlepšeniu kvality rozhodovania zastupujúcich poradcov,</w:t>
      </w:r>
    </w:p>
    <w:p w:rsidR="00FE672C" w:rsidRPr="00D261DB" w:rsidRDefault="00FE672C" w:rsidP="00FE672C">
      <w:pPr>
        <w:numPr>
          <w:ilvl w:val="0"/>
          <w:numId w:val="4"/>
        </w:numPr>
        <w:jc w:val="both"/>
        <w:rPr>
          <w:lang w:val="sk-SK"/>
        </w:rPr>
      </w:pPr>
      <w:r w:rsidRPr="001F5D41">
        <w:rPr>
          <w:i/>
          <w:u w:val="single"/>
          <w:lang w:val="sk-SK"/>
        </w:rPr>
        <w:t>zavádza novú právnu úpravu odmeňovania členov orgánov verejnej akciovej spoločnosti</w:t>
      </w:r>
      <w:r w:rsidRPr="00D261DB">
        <w:rPr>
          <w:lang w:val="sk-SK"/>
        </w:rPr>
        <w:t xml:space="preserve"> s dôrazom na posilnenie postavenia akcionárov pri jej určovaní (podmienka schválenia pravidiel odmeňovania na valnom zhromaždení) a vykonávaní (prerokovanie správy o odmeňovaní na valnom zhromaždení) a </w:t>
      </w:r>
      <w:r w:rsidRPr="001F5D41">
        <w:rPr>
          <w:i/>
          <w:u w:val="single"/>
          <w:lang w:val="sk-SK"/>
        </w:rPr>
        <w:t>novú právnu úpravu významných obchodných transakcií so spriaznenými osobami</w:t>
      </w:r>
      <w:r w:rsidRPr="00D261DB">
        <w:rPr>
          <w:lang w:val="sk-SK"/>
        </w:rPr>
        <w:t>, ktorá rovnako smeruje k zlepšeniu informovanosti akcionárov o transakciách s významným vplyvom na majetok spoločnosti v širšom slova zmysle,</w:t>
      </w:r>
    </w:p>
    <w:p w:rsidR="00FE672C" w:rsidRPr="00FE672C" w:rsidRDefault="00FE672C" w:rsidP="00FE672C">
      <w:pPr>
        <w:numPr>
          <w:ilvl w:val="0"/>
          <w:numId w:val="4"/>
        </w:numPr>
        <w:jc w:val="both"/>
        <w:rPr>
          <w:lang w:val="sk-SK"/>
        </w:rPr>
      </w:pPr>
      <w:r w:rsidRPr="00FE672C">
        <w:rPr>
          <w:lang w:val="sk-SK"/>
        </w:rPr>
        <w:t>a v neposlednom rade upravuje niektoré aspekty súvisiace s praktickým výkonom práva účasti a hlasovania na valnom zhromaždení verejnej akciovej spoločnosti.</w:t>
      </w:r>
    </w:p>
    <w:p w:rsidR="00CA069D" w:rsidRDefault="00CA069D" w:rsidP="00FE672C">
      <w:pPr>
        <w:jc w:val="both"/>
        <w:rPr>
          <w:lang w:val="sk-SK"/>
        </w:rPr>
      </w:pPr>
    </w:p>
    <w:p w:rsidR="00051666" w:rsidRDefault="00051666" w:rsidP="00FE672C">
      <w:pPr>
        <w:jc w:val="both"/>
        <w:rPr>
          <w:lang w:val="sk-SK"/>
        </w:rPr>
      </w:pPr>
      <w:r w:rsidRPr="008670EA">
        <w:rPr>
          <w:lang w:val="sk-SK"/>
        </w:rPr>
        <w:t>Osobná pôsobnosť</w:t>
      </w:r>
      <w:r w:rsidR="00FE672C">
        <w:rPr>
          <w:lang w:val="sk-SK"/>
        </w:rPr>
        <w:t xml:space="preserve"> </w:t>
      </w:r>
      <w:r w:rsidR="00002E8F">
        <w:rPr>
          <w:lang w:val="sk-SK"/>
        </w:rPr>
        <w:t xml:space="preserve">navrhovanej právnej úpravy je na podklade </w:t>
      </w:r>
      <w:r w:rsidR="00C723F9">
        <w:rPr>
          <w:lang w:val="sk-SK"/>
        </w:rPr>
        <w:t xml:space="preserve">jej </w:t>
      </w:r>
      <w:r w:rsidR="00002E8F">
        <w:rPr>
          <w:lang w:val="sk-SK"/>
        </w:rPr>
        <w:t xml:space="preserve">vymedzenia v </w:t>
      </w:r>
      <w:r w:rsidRPr="008670EA">
        <w:rPr>
          <w:lang w:val="sk-SK"/>
        </w:rPr>
        <w:t>smernic</w:t>
      </w:r>
      <w:r w:rsidR="00002E8F">
        <w:rPr>
          <w:lang w:val="sk-SK"/>
        </w:rPr>
        <w:t>i</w:t>
      </w:r>
      <w:r w:rsidRPr="008670EA">
        <w:rPr>
          <w:lang w:val="sk-SK"/>
        </w:rPr>
        <w:t xml:space="preserve"> 2007/36/ES </w:t>
      </w:r>
      <w:r w:rsidR="00981EA0">
        <w:rPr>
          <w:lang w:val="sk-SK"/>
        </w:rPr>
        <w:t xml:space="preserve">v znení smernice 2017/828 </w:t>
      </w:r>
      <w:r w:rsidR="00002E8F">
        <w:rPr>
          <w:lang w:val="sk-SK"/>
        </w:rPr>
        <w:t>(</w:t>
      </w:r>
      <w:r w:rsidRPr="008670EA">
        <w:rPr>
          <w:lang w:val="sk-SK"/>
        </w:rPr>
        <w:t>čl</w:t>
      </w:r>
      <w:r w:rsidR="00002E8F">
        <w:rPr>
          <w:lang w:val="sk-SK"/>
        </w:rPr>
        <w:t xml:space="preserve">. </w:t>
      </w:r>
      <w:r w:rsidRPr="008670EA">
        <w:rPr>
          <w:lang w:val="sk-SK"/>
        </w:rPr>
        <w:t>1 ods. 1</w:t>
      </w:r>
      <w:r w:rsidR="00002E8F">
        <w:rPr>
          <w:lang w:val="sk-SK"/>
        </w:rPr>
        <w:t>)</w:t>
      </w:r>
      <w:r w:rsidRPr="008670EA">
        <w:rPr>
          <w:lang w:val="sk-SK"/>
        </w:rPr>
        <w:t xml:space="preserve"> </w:t>
      </w:r>
      <w:r>
        <w:rPr>
          <w:lang w:val="sk-SK"/>
        </w:rPr>
        <w:t xml:space="preserve">obmedzená len </w:t>
      </w:r>
      <w:r w:rsidRPr="008670EA">
        <w:rPr>
          <w:lang w:val="sk-SK"/>
        </w:rPr>
        <w:t xml:space="preserve">na </w:t>
      </w:r>
      <w:r w:rsidRPr="008670EA">
        <w:rPr>
          <w:i/>
          <w:iCs/>
          <w:lang w:val="sk-SK"/>
        </w:rPr>
        <w:t>(akciové) spoločnosti, ktorých akcie sú prijaté na obchodovanie na regulovanom trhu nachádzajúcom sa alebo fungujúcom v rámci členského štátu</w:t>
      </w:r>
      <w:r w:rsidR="00002E8F">
        <w:rPr>
          <w:i/>
          <w:iCs/>
          <w:lang w:val="sk-SK"/>
        </w:rPr>
        <w:t>,</w:t>
      </w:r>
      <w:r w:rsidR="00002E8F">
        <w:rPr>
          <w:rStyle w:val="Odkaznapoznmkupodiarou"/>
          <w:lang w:val="sk-SK"/>
        </w:rPr>
        <w:footnoteReference w:id="5"/>
      </w:r>
      <w:r w:rsidR="00002E8F">
        <w:rPr>
          <w:iCs/>
          <w:lang w:val="sk-SK"/>
        </w:rPr>
        <w:t xml:space="preserve"> t.j. na verejné akciové spoločnosti v zmysle §  154 ods. 3 druhá veta O</w:t>
      </w:r>
      <w:r w:rsidR="001F5D41">
        <w:rPr>
          <w:iCs/>
          <w:lang w:val="sk-SK"/>
        </w:rPr>
        <w:t>BZ</w:t>
      </w:r>
      <w:r w:rsidR="00981EA0">
        <w:rPr>
          <w:iCs/>
          <w:lang w:val="sk-SK"/>
        </w:rPr>
        <w:t>, čo značne limituje dopad navrhovanej právnej úpravy</w:t>
      </w:r>
      <w:r w:rsidR="00002E8F">
        <w:rPr>
          <w:iCs/>
          <w:lang w:val="sk-SK"/>
        </w:rPr>
        <w:t>.</w:t>
      </w:r>
    </w:p>
    <w:p w:rsidR="00781D0F" w:rsidRPr="00685FCA" w:rsidRDefault="00781D0F" w:rsidP="00781D0F">
      <w:pPr>
        <w:ind w:left="720"/>
        <w:jc w:val="both"/>
        <w:rPr>
          <w:highlight w:val="yellow"/>
          <w:lang w:val="sk-SK"/>
        </w:rPr>
      </w:pPr>
    </w:p>
    <w:p w:rsidR="00D047FE" w:rsidRDefault="00D047FE" w:rsidP="009D55CE">
      <w:pPr>
        <w:pStyle w:val="Zkladntext3"/>
        <w:spacing w:after="0"/>
        <w:jc w:val="both"/>
      </w:pPr>
      <w:r w:rsidRPr="00FE0406">
        <w:rPr>
          <w:sz w:val="24"/>
          <w:szCs w:val="24"/>
        </w:rPr>
        <w:t xml:space="preserve">Okrem novely </w:t>
      </w:r>
      <w:r w:rsidR="001F5D41">
        <w:rPr>
          <w:sz w:val="24"/>
          <w:szCs w:val="24"/>
        </w:rPr>
        <w:t>OBZ</w:t>
      </w:r>
      <w:r w:rsidRPr="00FE0406">
        <w:rPr>
          <w:sz w:val="24"/>
          <w:szCs w:val="24"/>
        </w:rPr>
        <w:t>, je v súvislosti s transpozíciou smernice potrebná aj novelizácia</w:t>
      </w:r>
      <w:r>
        <w:rPr>
          <w:sz w:val="24"/>
          <w:szCs w:val="24"/>
        </w:rPr>
        <w:t xml:space="preserve"> </w:t>
      </w:r>
      <w:r w:rsidRPr="00FE0406">
        <w:rPr>
          <w:sz w:val="24"/>
          <w:szCs w:val="24"/>
        </w:rPr>
        <w:t xml:space="preserve">zákona </w:t>
      </w:r>
      <w:r w:rsidR="001F5D41">
        <w:rPr>
          <w:sz w:val="24"/>
          <w:szCs w:val="24"/>
        </w:rPr>
        <w:t xml:space="preserve">  </w:t>
      </w:r>
      <w:r w:rsidRPr="00FE0406">
        <w:rPr>
          <w:sz w:val="24"/>
          <w:szCs w:val="24"/>
        </w:rPr>
        <w:t>č. 5</w:t>
      </w:r>
      <w:r>
        <w:rPr>
          <w:sz w:val="24"/>
          <w:szCs w:val="24"/>
        </w:rPr>
        <w:t>66</w:t>
      </w:r>
      <w:r w:rsidRPr="00FE0406">
        <w:rPr>
          <w:sz w:val="24"/>
          <w:szCs w:val="24"/>
        </w:rPr>
        <w:t>/200</w:t>
      </w:r>
      <w:r>
        <w:rPr>
          <w:sz w:val="24"/>
          <w:szCs w:val="24"/>
        </w:rPr>
        <w:t>1</w:t>
      </w:r>
      <w:r w:rsidRPr="00FE0406">
        <w:rPr>
          <w:sz w:val="24"/>
          <w:szCs w:val="24"/>
        </w:rPr>
        <w:t xml:space="preserve"> Z. z. </w:t>
      </w:r>
      <w:r w:rsidRPr="00A254CA">
        <w:rPr>
          <w:sz w:val="24"/>
          <w:szCs w:val="24"/>
        </w:rPr>
        <w:t>o cenných papieroch a investičných službách a o zmene a doplnení niektorých zákonov (zákon o cenných papieroch) v znení neskorších predpisov</w:t>
      </w:r>
      <w:r>
        <w:rPr>
          <w:sz w:val="24"/>
          <w:szCs w:val="24"/>
        </w:rPr>
        <w:t xml:space="preserve"> </w:t>
      </w:r>
      <w:r w:rsidR="001F5D41">
        <w:rPr>
          <w:sz w:val="24"/>
          <w:szCs w:val="24"/>
        </w:rPr>
        <w:t>(</w:t>
      </w:r>
      <w:r>
        <w:rPr>
          <w:sz w:val="24"/>
          <w:szCs w:val="24"/>
        </w:rPr>
        <w:t xml:space="preserve">ďalej </w:t>
      </w:r>
      <w:r w:rsidR="009502A4">
        <w:rPr>
          <w:sz w:val="24"/>
          <w:szCs w:val="24"/>
        </w:rPr>
        <w:t xml:space="preserve">aj ako </w:t>
      </w:r>
      <w:r w:rsidRPr="00FE0406">
        <w:rPr>
          <w:sz w:val="24"/>
          <w:szCs w:val="24"/>
        </w:rPr>
        <w:t>„Z</w:t>
      </w:r>
      <w:r>
        <w:rPr>
          <w:sz w:val="24"/>
          <w:szCs w:val="24"/>
        </w:rPr>
        <w:t>CP</w:t>
      </w:r>
      <w:r w:rsidRPr="00FE0406">
        <w:rPr>
          <w:sz w:val="24"/>
          <w:szCs w:val="24"/>
        </w:rPr>
        <w:t>“</w:t>
      </w:r>
      <w:r w:rsidR="001F5D41">
        <w:rPr>
          <w:sz w:val="24"/>
          <w:szCs w:val="24"/>
        </w:rPr>
        <w:t>)</w:t>
      </w:r>
      <w:r w:rsidR="00712764">
        <w:rPr>
          <w:sz w:val="24"/>
          <w:szCs w:val="24"/>
        </w:rPr>
        <w:t xml:space="preserve"> a ďalších súvisiacich osobitných predpisov</w:t>
      </w:r>
      <w:r w:rsidR="001F5D41">
        <w:rPr>
          <w:sz w:val="24"/>
          <w:szCs w:val="24"/>
        </w:rPr>
        <w:t>, ktorá bola spracovaná v súčinnosti s Ministerstvom financií Slovenskej republiky</w:t>
      </w:r>
      <w:r w:rsidR="00712764">
        <w:rPr>
          <w:sz w:val="24"/>
          <w:szCs w:val="24"/>
        </w:rPr>
        <w:t xml:space="preserve"> a Národnou bankou Slovenska</w:t>
      </w:r>
      <w:r w:rsidR="009D55CE">
        <w:rPr>
          <w:sz w:val="24"/>
          <w:szCs w:val="24"/>
        </w:rPr>
        <w:t>.</w:t>
      </w:r>
      <w:r w:rsidRPr="00FE0406">
        <w:rPr>
          <w:sz w:val="24"/>
          <w:szCs w:val="24"/>
        </w:rPr>
        <w:t xml:space="preserve"> </w:t>
      </w:r>
    </w:p>
    <w:p w:rsidR="00F666A5" w:rsidRDefault="00F666A5" w:rsidP="00D047FE">
      <w:pPr>
        <w:jc w:val="both"/>
        <w:rPr>
          <w:lang w:val="sk-SK"/>
        </w:rPr>
      </w:pPr>
    </w:p>
    <w:p w:rsidR="001F0998" w:rsidRDefault="001F0998" w:rsidP="00D047FE">
      <w:pPr>
        <w:jc w:val="both"/>
        <w:rPr>
          <w:lang w:val="sk-SK"/>
        </w:rPr>
      </w:pPr>
      <w:r>
        <w:rPr>
          <w:lang w:val="sk-SK"/>
        </w:rPr>
        <w:t xml:space="preserve">Predkladateľ považuje za potrebné upozorniť, že v súvislosti s čl. 3a ods. 8, čl. 3b ods. 6 a čl. 3c ods. 3 smernice Komisia Európskej únie vydala vykonávacie nariadenie </w:t>
      </w:r>
      <w:r w:rsidRPr="001F0998">
        <w:rPr>
          <w:lang w:val="sk-SK"/>
        </w:rPr>
        <w:t>Komisie (EÚ) 2018/1212 z 3. septembra 2018, ktorým sa stanovujú minimálne požiadavky na vykonávanie ustanovení smernice Európskeho parlamentu a Rady 2007/36/ES, pokiaľ ide o identifikáciu akcionárov, prenos informácií a zjednodušenie výkonu práv akcionárov</w:t>
      </w:r>
      <w:r>
        <w:rPr>
          <w:lang w:val="sk-SK"/>
        </w:rPr>
        <w:t xml:space="preserve">. </w:t>
      </w:r>
      <w:r w:rsidR="000F77B1">
        <w:rPr>
          <w:lang w:val="sk-SK"/>
        </w:rPr>
        <w:t>Vykonávacie n</w:t>
      </w:r>
      <w:r>
        <w:rPr>
          <w:lang w:val="sk-SK"/>
        </w:rPr>
        <w:t>ariadenie je priamo aplikovateľné.</w:t>
      </w:r>
      <w:r>
        <w:rPr>
          <w:rStyle w:val="Odkaznapoznmkupodiarou"/>
          <w:lang w:val="sk-SK"/>
        </w:rPr>
        <w:footnoteReference w:id="6"/>
      </w:r>
    </w:p>
    <w:p w:rsidR="00D047FE" w:rsidRDefault="00981EA0" w:rsidP="00B968E4">
      <w:pPr>
        <w:jc w:val="both"/>
        <w:rPr>
          <w:lang w:val="sk-SK"/>
        </w:rPr>
      </w:pPr>
      <w:r>
        <w:rPr>
          <w:lang w:val="sk-SK"/>
        </w:rPr>
        <w:lastRenderedPageBreak/>
        <w:t>Ak sa v ďalšom texte dôvodovej správy uvádza odkaz na smernicu 2007/36/ES</w:t>
      </w:r>
      <w:r w:rsidR="00B35853">
        <w:rPr>
          <w:lang w:val="sk-SK"/>
        </w:rPr>
        <w:t xml:space="preserve"> v platnom znení</w:t>
      </w:r>
      <w:r>
        <w:rPr>
          <w:lang w:val="sk-SK"/>
        </w:rPr>
        <w:t xml:space="preserve">, má sa tým na mysli </w:t>
      </w:r>
      <w:r w:rsidR="00D56C96" w:rsidRPr="00D56C96">
        <w:rPr>
          <w:lang w:val="sk-SK"/>
        </w:rPr>
        <w:t>jej znenie v zmysle zmien a doplnení vykonaných smernicou 2017/828</w:t>
      </w:r>
      <w:r w:rsidR="00D56C96">
        <w:rPr>
          <w:lang w:val="sk-SK"/>
        </w:rPr>
        <w:t>.</w:t>
      </w:r>
    </w:p>
    <w:p w:rsidR="002B2CDA" w:rsidRDefault="002B2CDA" w:rsidP="00B968E4">
      <w:pPr>
        <w:jc w:val="both"/>
        <w:rPr>
          <w:lang w:val="sk-SK"/>
        </w:rPr>
      </w:pPr>
    </w:p>
    <w:p w:rsidR="002B2CDA" w:rsidRDefault="002B2CDA" w:rsidP="00B968E4">
      <w:pPr>
        <w:jc w:val="both"/>
        <w:rPr>
          <w:lang w:val="sk-SK"/>
        </w:rPr>
      </w:pPr>
      <w:r>
        <w:rPr>
          <w:lang w:val="sk-SK"/>
        </w:rPr>
        <w:t xml:space="preserve">V zmysle § 7 ods. 2 druhá veta zákona č. 400/2015 Z. z. </w:t>
      </w:r>
      <w:r w:rsidRPr="002B2CDA">
        <w:rPr>
          <w:lang w:val="sk-SK"/>
        </w:rPr>
        <w:t xml:space="preserve">o tvorbe právnych predpisov a o Zbierke zákonov Slovenskej republiky a o zmene a doplnení niektorých zákonov </w:t>
      </w:r>
      <w:r>
        <w:rPr>
          <w:lang w:val="sk-SK"/>
        </w:rPr>
        <w:t xml:space="preserve">v znení neskorších predpisov </w:t>
      </w:r>
      <w:r w:rsidR="00851E45">
        <w:rPr>
          <w:lang w:val="sk-SK"/>
        </w:rPr>
        <w:t xml:space="preserve">predkladateľ uvádza, že </w:t>
      </w:r>
      <w:r>
        <w:rPr>
          <w:lang w:val="sk-SK"/>
        </w:rPr>
        <w:t>predkladaný návrh zákona</w:t>
      </w:r>
      <w:r w:rsidR="00851E45">
        <w:rPr>
          <w:lang w:val="sk-SK"/>
        </w:rPr>
        <w:t xml:space="preserve"> je</w:t>
      </w:r>
      <w:r>
        <w:rPr>
          <w:lang w:val="sk-SK"/>
        </w:rPr>
        <w:t xml:space="preserve"> v </w:t>
      </w:r>
      <w:r w:rsidRPr="002B2CDA">
        <w:rPr>
          <w:lang w:val="sk-SK"/>
        </w:rPr>
        <w:t>súlade s Ústavou Slovenskej republiky, ústavnými zákonmi, nálezmi Ústavného súdu Slovenskej republiky, medzinárodnými zmluvami, ktorými je Slovenská republika viazaná a zákonmi a súčasne je v súlade aj s právom Európskej únie</w:t>
      </w:r>
      <w:r>
        <w:rPr>
          <w:lang w:val="sk-SK"/>
        </w:rPr>
        <w:t>.</w:t>
      </w:r>
    </w:p>
    <w:p w:rsidR="002B2CDA" w:rsidRPr="00D047FE" w:rsidRDefault="002B2CDA" w:rsidP="002B2CDA">
      <w:pPr>
        <w:jc w:val="both"/>
        <w:rPr>
          <w:lang w:val="sk-SK"/>
        </w:rPr>
      </w:pPr>
    </w:p>
    <w:sectPr w:rsidR="002B2CDA" w:rsidRPr="00D047FE" w:rsidSect="00995D3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C6" w:rsidRDefault="00D732C6">
      <w:r>
        <w:separator/>
      </w:r>
    </w:p>
  </w:endnote>
  <w:endnote w:type="continuationSeparator" w:id="0">
    <w:p w:rsidR="00D732C6" w:rsidRDefault="00D7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C6" w:rsidRDefault="00D732C6">
      <w:r>
        <w:separator/>
      </w:r>
    </w:p>
  </w:footnote>
  <w:footnote w:type="continuationSeparator" w:id="0">
    <w:p w:rsidR="00D732C6" w:rsidRDefault="00D732C6">
      <w:r>
        <w:continuationSeparator/>
      </w:r>
    </w:p>
  </w:footnote>
  <w:footnote w:id="1">
    <w:p w:rsidR="00000000" w:rsidRDefault="00995D39" w:rsidP="00D047FE">
      <w:pPr>
        <w:pStyle w:val="Textpoznmkypodiarou"/>
      </w:pPr>
      <w:r w:rsidRPr="008670EA">
        <w:rPr>
          <w:rStyle w:val="Odkaznapoznmkupodiarou"/>
          <w:lang w:val="sk-SK"/>
        </w:rPr>
        <w:footnoteRef/>
      </w:r>
      <w:r w:rsidR="00781D0F" w:rsidRPr="008670EA">
        <w:rPr>
          <w:lang w:val="sk-SK"/>
        </w:rPr>
        <w:t>https://eur-lex.europa.eu/legal-content/EN/TXT/?qid=1541580288622&amp;uri=CELEX:32017L0828</w:t>
      </w:r>
      <w:r w:rsidR="008A7B21" w:rsidRPr="008670EA">
        <w:rPr>
          <w:lang w:val="sk-SK"/>
        </w:rPr>
        <w:t xml:space="preserve"> </w:t>
      </w:r>
      <w:hyperlink r:id="rId1" w:history="1">
        <w:r w:rsidR="008A7B21" w:rsidRPr="008670EA">
          <w:rPr>
            <w:rStyle w:val="Hypertextovprepojenie"/>
            <w:lang w:val="sk-SK"/>
          </w:rPr>
          <w:t xml:space="preserve"> </w:t>
        </w:r>
      </w:hyperlink>
    </w:p>
  </w:footnote>
  <w:footnote w:id="2">
    <w:p w:rsidR="00CA53B5" w:rsidRPr="008670EA" w:rsidRDefault="00CA53B5" w:rsidP="00CA53B5">
      <w:pPr>
        <w:pStyle w:val="Textpoznmkypodiarou"/>
        <w:jc w:val="both"/>
        <w:rPr>
          <w:lang w:val="sk-SK"/>
        </w:rPr>
      </w:pPr>
      <w:r w:rsidRPr="008670EA">
        <w:rPr>
          <w:rStyle w:val="Odkaznapoznmkupodiarou"/>
          <w:lang w:val="sk-SK"/>
        </w:rPr>
        <w:footnoteRef/>
      </w:r>
      <w:r w:rsidRPr="008670EA">
        <w:rPr>
          <w:lang w:val="sk-SK"/>
        </w:rPr>
        <w:t xml:space="preserve">Ú. v. EÚ L 184, 14.7.2007, s. 17, konsolidované znenie dostupné cez: </w:t>
      </w:r>
    </w:p>
    <w:p w:rsidR="00000000" w:rsidRDefault="00CA53B5" w:rsidP="00CA53B5">
      <w:pPr>
        <w:pStyle w:val="Textpoznmkypodiarou"/>
        <w:jc w:val="both"/>
      </w:pPr>
      <w:r w:rsidRPr="00CA53B5">
        <w:rPr>
          <w:lang w:val="sk-SK"/>
        </w:rPr>
        <w:t>https://eur-lex.europa.eu/legal-content/EN/TXT/?qid=1541580402095&amp;uri=CELEX:02007L0036-20170609</w:t>
      </w:r>
    </w:p>
  </w:footnote>
  <w:footnote w:id="3">
    <w:p w:rsidR="00000000" w:rsidRDefault="00002E8F" w:rsidP="00002E8F">
      <w:pPr>
        <w:pStyle w:val="Textpoznmkypodiarou"/>
        <w:jc w:val="both"/>
      </w:pPr>
      <w:r w:rsidRPr="00002E8F">
        <w:rPr>
          <w:rStyle w:val="Odkaznapoznmkupodiarou"/>
          <w:lang w:val="sk-SK"/>
        </w:rPr>
        <w:footnoteRef/>
      </w:r>
      <w:r w:rsidRPr="00002E8F">
        <w:rPr>
          <w:lang w:val="sk-SK"/>
        </w:rPr>
        <w:t xml:space="preserve"> Zákon č. 513/1991 Zb. Obchodný zákonník v znení neskorších predpisov</w:t>
      </w:r>
      <w:r>
        <w:rPr>
          <w:lang w:val="sk-SK"/>
        </w:rPr>
        <w:t>.</w:t>
      </w:r>
    </w:p>
  </w:footnote>
  <w:footnote w:id="4">
    <w:p w:rsidR="00000000" w:rsidRDefault="000D75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A0393" w:rsidRPr="002A0393">
        <w:t>https://eur-lex.europa.eu/legal-content/SK/ALL/?uri=CELEX%3A52012DC0740</w:t>
      </w:r>
    </w:p>
  </w:footnote>
  <w:footnote w:id="5">
    <w:p w:rsidR="00DC1D40" w:rsidRDefault="00002E8F" w:rsidP="00002E8F">
      <w:pPr>
        <w:pStyle w:val="Textpoznmkypodiarou"/>
        <w:jc w:val="both"/>
        <w:rPr>
          <w:lang w:val="sk-SK"/>
        </w:rPr>
      </w:pPr>
      <w:r w:rsidRPr="00CA53B5">
        <w:rPr>
          <w:rStyle w:val="Odkaznapoznmkupodiarou"/>
          <w:lang w:val="sk-SK"/>
        </w:rPr>
        <w:footnoteRef/>
      </w:r>
      <w:r w:rsidRPr="00CA53B5">
        <w:rPr>
          <w:lang w:val="sk-SK"/>
        </w:rPr>
        <w:t xml:space="preserve"> Regulovan</w:t>
      </w:r>
      <w:r>
        <w:rPr>
          <w:lang w:val="sk-SK"/>
        </w:rPr>
        <w:t>ý</w:t>
      </w:r>
      <w:r w:rsidRPr="00CA53B5">
        <w:rPr>
          <w:lang w:val="sk-SK"/>
        </w:rPr>
        <w:t xml:space="preserve"> trh v zmysle § 25 ods. 1 zákona č. 429/2002 Z. z. o burze cenných papierov v znení neskorších predpisov (notifikovaný v súvislosti s </w:t>
      </w:r>
      <w:r w:rsidRPr="003B6C58">
        <w:rPr>
          <w:lang w:val="sk-SK"/>
        </w:rPr>
        <w:t xml:space="preserve">transpozíciou </w:t>
      </w:r>
      <w:r w:rsidR="00D56C96" w:rsidRPr="00D56C96">
        <w:rPr>
          <w:lang w:val="sk-SK"/>
        </w:rPr>
        <w:t>smernic</w:t>
      </w:r>
      <w:r w:rsidR="00D56C96">
        <w:rPr>
          <w:lang w:val="sk-SK"/>
        </w:rPr>
        <w:t>e</w:t>
      </w:r>
      <w:r w:rsidR="00D56C96" w:rsidRPr="00D56C96">
        <w:rPr>
          <w:lang w:val="sk-SK"/>
        </w:rPr>
        <w:t xml:space="preserve"> Európskeho parlamentu a Rady 2014/65/EÚ z 15. mája 2014 o trhoch s finančnými nástrojmi, ktorou sa mení smernica 2002/92/ES a smernic</w:t>
      </w:r>
      <w:r w:rsidR="00D56C96">
        <w:rPr>
          <w:lang w:val="sk-SK"/>
        </w:rPr>
        <w:t>a</w:t>
      </w:r>
      <w:r w:rsidR="00D56C96" w:rsidRPr="00D56C96">
        <w:rPr>
          <w:lang w:val="sk-SK"/>
        </w:rPr>
        <w:t xml:space="preserve"> 2011/61/EÚ (prepracované znenie) (Ú. v. ES L 173 12.6.2014) v platnom znení</w:t>
      </w:r>
      <w:r w:rsidR="00DC1D40">
        <w:rPr>
          <w:lang w:val="sk-SK"/>
        </w:rPr>
        <w:t>, konsolidované znenie dostupné cez:</w:t>
      </w:r>
    </w:p>
    <w:p w:rsidR="00000000" w:rsidRDefault="00DC1D40" w:rsidP="00002E8F">
      <w:pPr>
        <w:pStyle w:val="Textpoznmkypodiarou"/>
        <w:jc w:val="both"/>
      </w:pPr>
      <w:r w:rsidRPr="00DC1D40">
        <w:rPr>
          <w:lang w:val="sk-SK"/>
        </w:rPr>
        <w:t>https://eur-lex.europa.eu/legal-content/EN/TXT/?qid=1541584567617&amp;uri=CELEX:02014L0065-20160701</w:t>
      </w:r>
    </w:p>
  </w:footnote>
  <w:footnote w:id="6">
    <w:p w:rsidR="00000000" w:rsidRDefault="001F099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Pozri: Ú. v. EÚ z 4.9.2018, L 223/1.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39" w:rsidRPr="00995D39" w:rsidRDefault="00995D39" w:rsidP="004F7E00">
    <w:pPr>
      <w:pStyle w:val="Hlavik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t>-</w:t>
    </w:r>
    <w:r w:rsidRPr="00995D39">
      <w:rPr>
        <w:rStyle w:val="slostrany"/>
        <w:sz w:val="20"/>
        <w:szCs w:val="20"/>
      </w:rPr>
      <w:fldChar w:fldCharType="begin"/>
    </w:r>
    <w:r w:rsidRPr="00995D39">
      <w:rPr>
        <w:rStyle w:val="slostrany"/>
        <w:sz w:val="20"/>
        <w:szCs w:val="20"/>
      </w:rPr>
      <w:instrText xml:space="preserve">PAGE  </w:instrText>
    </w:r>
    <w:r w:rsidRPr="00995D39">
      <w:rPr>
        <w:rStyle w:val="slostrany"/>
        <w:sz w:val="20"/>
        <w:szCs w:val="20"/>
      </w:rPr>
      <w:fldChar w:fldCharType="separate"/>
    </w:r>
    <w:r w:rsidR="00646DD2">
      <w:rPr>
        <w:rStyle w:val="slostrany"/>
        <w:noProof/>
        <w:sz w:val="20"/>
        <w:szCs w:val="20"/>
      </w:rPr>
      <w:t>2</w:t>
    </w:r>
    <w:r w:rsidRPr="00995D39"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>-</w:t>
    </w:r>
  </w:p>
  <w:p w:rsidR="00995D39" w:rsidRDefault="00995D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0E5"/>
    <w:multiLevelType w:val="hybridMultilevel"/>
    <w:tmpl w:val="C978BE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24F49"/>
    <w:multiLevelType w:val="hybridMultilevel"/>
    <w:tmpl w:val="D33646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00740"/>
    <w:multiLevelType w:val="hybridMultilevel"/>
    <w:tmpl w:val="7304EA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FA4"/>
    <w:multiLevelType w:val="hybridMultilevel"/>
    <w:tmpl w:val="67CEE22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E"/>
    <w:rsid w:val="00002E8F"/>
    <w:rsid w:val="00051666"/>
    <w:rsid w:val="000D7545"/>
    <w:rsid w:val="000E49FD"/>
    <w:rsid w:val="000F77B1"/>
    <w:rsid w:val="001179BA"/>
    <w:rsid w:val="00177449"/>
    <w:rsid w:val="001F0998"/>
    <w:rsid w:val="001F18C1"/>
    <w:rsid w:val="001F5D41"/>
    <w:rsid w:val="002337E8"/>
    <w:rsid w:val="00252026"/>
    <w:rsid w:val="00275A57"/>
    <w:rsid w:val="002A0393"/>
    <w:rsid w:val="002B2CDA"/>
    <w:rsid w:val="002E1716"/>
    <w:rsid w:val="00350443"/>
    <w:rsid w:val="003769D7"/>
    <w:rsid w:val="003A5A75"/>
    <w:rsid w:val="003B6C58"/>
    <w:rsid w:val="004041CD"/>
    <w:rsid w:val="00437D9F"/>
    <w:rsid w:val="00446654"/>
    <w:rsid w:val="00447023"/>
    <w:rsid w:val="004D771F"/>
    <w:rsid w:val="004F2856"/>
    <w:rsid w:val="004F7E00"/>
    <w:rsid w:val="00514133"/>
    <w:rsid w:val="005310D2"/>
    <w:rsid w:val="00547E3E"/>
    <w:rsid w:val="005714F4"/>
    <w:rsid w:val="006116C3"/>
    <w:rsid w:val="00616B71"/>
    <w:rsid w:val="006365AF"/>
    <w:rsid w:val="00646DD2"/>
    <w:rsid w:val="006528BA"/>
    <w:rsid w:val="00661D4B"/>
    <w:rsid w:val="00673405"/>
    <w:rsid w:val="00682F68"/>
    <w:rsid w:val="00685FCA"/>
    <w:rsid w:val="006D6141"/>
    <w:rsid w:val="006F025D"/>
    <w:rsid w:val="006F569D"/>
    <w:rsid w:val="0071082A"/>
    <w:rsid w:val="00712764"/>
    <w:rsid w:val="00781D0F"/>
    <w:rsid w:val="007D3D99"/>
    <w:rsid w:val="007D7FE2"/>
    <w:rsid w:val="00851E45"/>
    <w:rsid w:val="008642D0"/>
    <w:rsid w:val="008670EA"/>
    <w:rsid w:val="008A7B21"/>
    <w:rsid w:val="009502A4"/>
    <w:rsid w:val="00981EA0"/>
    <w:rsid w:val="009915DD"/>
    <w:rsid w:val="00995D39"/>
    <w:rsid w:val="009A733A"/>
    <w:rsid w:val="009B3C3D"/>
    <w:rsid w:val="009C47BC"/>
    <w:rsid w:val="009D55CE"/>
    <w:rsid w:val="00A254CA"/>
    <w:rsid w:val="00A44305"/>
    <w:rsid w:val="00A54F16"/>
    <w:rsid w:val="00A90979"/>
    <w:rsid w:val="00AA5DBD"/>
    <w:rsid w:val="00AC5D88"/>
    <w:rsid w:val="00AE2462"/>
    <w:rsid w:val="00AF53B7"/>
    <w:rsid w:val="00B0743F"/>
    <w:rsid w:val="00B35853"/>
    <w:rsid w:val="00B968E4"/>
    <w:rsid w:val="00C30640"/>
    <w:rsid w:val="00C723F9"/>
    <w:rsid w:val="00CA069D"/>
    <w:rsid w:val="00CA53B5"/>
    <w:rsid w:val="00CC3146"/>
    <w:rsid w:val="00CD0D5A"/>
    <w:rsid w:val="00CF24C8"/>
    <w:rsid w:val="00D01875"/>
    <w:rsid w:val="00D047FE"/>
    <w:rsid w:val="00D261DB"/>
    <w:rsid w:val="00D56C96"/>
    <w:rsid w:val="00D626CA"/>
    <w:rsid w:val="00D732C6"/>
    <w:rsid w:val="00DC1D40"/>
    <w:rsid w:val="00DF2073"/>
    <w:rsid w:val="00E02332"/>
    <w:rsid w:val="00EA12BB"/>
    <w:rsid w:val="00EA2FDC"/>
    <w:rsid w:val="00EB21C2"/>
    <w:rsid w:val="00EB228E"/>
    <w:rsid w:val="00EB327D"/>
    <w:rsid w:val="00ED4848"/>
    <w:rsid w:val="00F209EC"/>
    <w:rsid w:val="00F461F4"/>
    <w:rsid w:val="00F525CD"/>
    <w:rsid w:val="00F52649"/>
    <w:rsid w:val="00F666A5"/>
    <w:rsid w:val="00FA5FD4"/>
    <w:rsid w:val="00FE0406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7FE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047F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047F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D047FE"/>
    <w:rPr>
      <w:rFonts w:cs="Times New Roman"/>
      <w:vertAlign w:val="superscript"/>
    </w:rPr>
  </w:style>
  <w:style w:type="paragraph" w:styleId="Zkladntext3">
    <w:name w:val="Body Text 3"/>
    <w:basedOn w:val="Normlny"/>
    <w:link w:val="Zkladntext3Char"/>
    <w:uiPriority w:val="99"/>
    <w:rsid w:val="00D047FE"/>
    <w:pPr>
      <w:spacing w:after="120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D047FE"/>
    <w:rPr>
      <w:rFonts w:cs="Times New Roman"/>
      <w:color w:val="auto"/>
      <w:u w:val="single"/>
    </w:rPr>
  </w:style>
  <w:style w:type="paragraph" w:styleId="Pta">
    <w:name w:val="footer"/>
    <w:basedOn w:val="Normlny"/>
    <w:link w:val="PtaChar"/>
    <w:uiPriority w:val="99"/>
    <w:rsid w:val="00995D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995D3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995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F0998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7FE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047F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047F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D047FE"/>
    <w:rPr>
      <w:rFonts w:cs="Times New Roman"/>
      <w:vertAlign w:val="superscript"/>
    </w:rPr>
  </w:style>
  <w:style w:type="paragraph" w:styleId="Zkladntext3">
    <w:name w:val="Body Text 3"/>
    <w:basedOn w:val="Normlny"/>
    <w:link w:val="Zkladntext3Char"/>
    <w:uiPriority w:val="99"/>
    <w:rsid w:val="00D047FE"/>
    <w:pPr>
      <w:spacing w:after="120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D047FE"/>
    <w:rPr>
      <w:rFonts w:cs="Times New Roman"/>
      <w:color w:val="auto"/>
      <w:u w:val="single"/>
    </w:rPr>
  </w:style>
  <w:style w:type="paragraph" w:styleId="Pta">
    <w:name w:val="footer"/>
    <w:basedOn w:val="Normlny"/>
    <w:link w:val="PtaChar"/>
    <w:uiPriority w:val="99"/>
    <w:rsid w:val="00995D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995D3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995D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F099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qid=1540187716307&amp;uri=CELEX:32017L0828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853A-787A-48EC-98C1-6E55DA75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spravodlivosti SR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anna.mikusova</dc:creator>
  <cp:lastModifiedBy>KOVAĽOVÁ Anna</cp:lastModifiedBy>
  <cp:revision>2</cp:revision>
  <cp:lastPrinted>2019-03-06T12:17:00Z</cp:lastPrinted>
  <dcterms:created xsi:type="dcterms:W3CDTF">2019-03-08T08:52:00Z</dcterms:created>
  <dcterms:modified xsi:type="dcterms:W3CDTF">2019-03-08T08:52:00Z</dcterms:modified>
</cp:coreProperties>
</file>