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10" w:rsidRDefault="00936F1D" w:rsidP="00845C10">
      <w:pPr>
        <w:pStyle w:val="Odsekzoznamu"/>
        <w:spacing w:after="240"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 xml:space="preserve"> D ô V O D O V Á  S P R Á V A</w:t>
      </w:r>
    </w:p>
    <w:p w:rsidR="00845C10" w:rsidRPr="00845C10" w:rsidRDefault="00845C10" w:rsidP="00845C10">
      <w:pPr>
        <w:pStyle w:val="Odsekzoznamu"/>
        <w:spacing w:after="240"/>
        <w:jc w:val="center"/>
        <w:rPr>
          <w:b/>
          <w:caps/>
          <w:color w:val="000000"/>
          <w:spacing w:val="30"/>
        </w:rPr>
      </w:pPr>
    </w:p>
    <w:p w:rsidR="00BC1F64" w:rsidRDefault="00BC1F64" w:rsidP="00BC1F64">
      <w:pPr>
        <w:pStyle w:val="Odsekzoznamu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Všeobecná časť </w:t>
      </w:r>
    </w:p>
    <w:p w:rsidR="00845C10" w:rsidRDefault="00845C10" w:rsidP="00A24CAC">
      <w:pPr>
        <w:pStyle w:val="Odsekzoznamu"/>
        <w:ind w:left="2124"/>
        <w:jc w:val="both"/>
        <w:rPr>
          <w:b/>
        </w:rPr>
      </w:pPr>
    </w:p>
    <w:p w:rsidR="00272127" w:rsidRDefault="00F06C17" w:rsidP="00272127">
      <w:pPr>
        <w:widowControl w:val="0"/>
        <w:adjustRightInd w:val="0"/>
        <w:spacing w:after="240"/>
        <w:ind w:firstLine="720"/>
        <w:jc w:val="both"/>
        <w:rPr>
          <w:rStyle w:val="Zstupntext"/>
          <w:color w:val="000000"/>
        </w:rPr>
      </w:pPr>
      <w:r w:rsidRPr="00F06C17">
        <w:rPr>
          <w:color w:val="000000"/>
          <w:szCs w:val="24"/>
          <w:lang w:eastAsia="sk-SK"/>
        </w:rPr>
        <w:t xml:space="preserve">Návrh zákona, </w:t>
      </w:r>
      <w:r w:rsidRPr="00F06C17">
        <w:rPr>
          <w:bCs/>
          <w:color w:val="000000"/>
          <w:szCs w:val="24"/>
          <w:lang w:eastAsia="sk-SK"/>
        </w:rPr>
        <w:t>ktorým sa mení a dopĺňa zákon č. 346/2013 Z. z. o obmedzení používania určitých nebezpečných látok v elektrických zariadeniach a elektronických zariadeniach</w:t>
      </w:r>
      <w:r w:rsidR="00BB454B">
        <w:rPr>
          <w:bCs/>
          <w:color w:val="000000"/>
          <w:szCs w:val="24"/>
          <w:lang w:eastAsia="sk-SK"/>
        </w:rPr>
        <w:t xml:space="preserve"> </w:t>
      </w:r>
      <w:r w:rsidRPr="00F06C17">
        <w:rPr>
          <w:bCs/>
          <w:color w:val="000000"/>
          <w:szCs w:val="24"/>
          <w:lang w:eastAsia="sk-SK"/>
        </w:rPr>
        <w:t>a ktorým sa mení zákon č. 223/2001 Z. z. o odpadoch a o zmene a doplnení niektorých zákonov v znení neskorších predpisov</w:t>
      </w:r>
      <w:r w:rsidR="0043593A">
        <w:rPr>
          <w:bCs/>
          <w:color w:val="000000"/>
          <w:szCs w:val="24"/>
          <w:lang w:eastAsia="sk-SK"/>
        </w:rPr>
        <w:t xml:space="preserve"> </w:t>
      </w:r>
      <w:r w:rsidR="0043593A" w:rsidRPr="0043593A">
        <w:rPr>
          <w:bCs/>
          <w:color w:val="000000"/>
          <w:szCs w:val="24"/>
          <w:lang w:eastAsia="sk-SK"/>
        </w:rPr>
        <w:t>v znení zákona č. 314/2016 Z. z</w:t>
      </w:r>
      <w:r w:rsidR="00AE318A">
        <w:rPr>
          <w:bCs/>
          <w:color w:val="000000"/>
          <w:szCs w:val="24"/>
          <w:lang w:eastAsia="sk-SK"/>
        </w:rPr>
        <w:t xml:space="preserve"> (ďalej len „návrh zákona“)</w:t>
      </w:r>
      <w:r w:rsidRPr="00F06C17">
        <w:rPr>
          <w:bCs/>
          <w:color w:val="000000"/>
          <w:szCs w:val="24"/>
          <w:lang w:eastAsia="sk-SK"/>
        </w:rPr>
        <w:t xml:space="preserve"> </w:t>
      </w:r>
      <w:r w:rsidR="00733026">
        <w:rPr>
          <w:bCs/>
          <w:color w:val="000000"/>
          <w:szCs w:val="24"/>
          <w:lang w:eastAsia="sk-SK"/>
        </w:rPr>
        <w:t xml:space="preserve">sa </w:t>
      </w:r>
      <w:r w:rsidRPr="00F06C17">
        <w:rPr>
          <w:szCs w:val="24"/>
          <w:lang w:eastAsia="sk-SK"/>
        </w:rPr>
        <w:t xml:space="preserve">predkladá </w:t>
      </w:r>
      <w:r w:rsidR="00733026">
        <w:rPr>
          <w:szCs w:val="24"/>
          <w:lang w:eastAsia="sk-SK"/>
        </w:rPr>
        <w:t>do legislatívneho procesu</w:t>
      </w:r>
      <w:r w:rsidRPr="00F06C17">
        <w:rPr>
          <w:szCs w:val="24"/>
          <w:lang w:eastAsia="sk-SK"/>
        </w:rPr>
        <w:t xml:space="preserve"> na základe uznesenia vlády Slovenskej republiky č. </w:t>
      </w:r>
      <w:r w:rsidR="008864FC" w:rsidRPr="008864FC">
        <w:rPr>
          <w:szCs w:val="24"/>
          <w:lang w:eastAsia="sk-SK"/>
        </w:rPr>
        <w:t>111 zo 14. marca 2018</w:t>
      </w:r>
      <w:r w:rsidRPr="008864FC">
        <w:rPr>
          <w:szCs w:val="24"/>
          <w:lang w:eastAsia="sk-SK"/>
        </w:rPr>
        <w:t>.</w:t>
      </w:r>
      <w:r w:rsidR="007A7948">
        <w:rPr>
          <w:rStyle w:val="Zstupntext"/>
          <w:color w:val="000000"/>
        </w:rPr>
        <w:t xml:space="preserve"> </w:t>
      </w:r>
    </w:p>
    <w:p w:rsidR="00315627" w:rsidRPr="00272127" w:rsidRDefault="00A94EFC" w:rsidP="00272127">
      <w:pPr>
        <w:widowControl w:val="0"/>
        <w:adjustRightInd w:val="0"/>
        <w:spacing w:after="240"/>
        <w:ind w:firstLine="720"/>
        <w:jc w:val="both"/>
        <w:rPr>
          <w:b/>
          <w:bCs/>
          <w:color w:val="FF0000"/>
          <w:szCs w:val="24"/>
          <w:lang w:eastAsia="sk-SK"/>
        </w:rPr>
      </w:pPr>
      <w:r w:rsidRPr="002440A1">
        <w:t>C</w:t>
      </w:r>
      <w:r w:rsidR="004D3AE0" w:rsidRPr="002440A1">
        <w:t xml:space="preserve">ieľom </w:t>
      </w:r>
      <w:r w:rsidR="00AE318A">
        <w:t xml:space="preserve">predloženého návrhu </w:t>
      </w:r>
      <w:r w:rsidR="00E16422">
        <w:t xml:space="preserve">zákona </w:t>
      </w:r>
      <w:r w:rsidRPr="002440A1">
        <w:t xml:space="preserve">je </w:t>
      </w:r>
      <w:r w:rsidR="004D3AE0" w:rsidRPr="002440A1">
        <w:t>zabezpečiť</w:t>
      </w:r>
      <w:r w:rsidR="00B76E7A" w:rsidRPr="002440A1">
        <w:t xml:space="preserve"> úplnú </w:t>
      </w:r>
      <w:r w:rsidR="004D3AE0" w:rsidRPr="002440A1">
        <w:t xml:space="preserve">transpozíciu </w:t>
      </w:r>
      <w:r w:rsidR="007A7948" w:rsidRPr="002440A1">
        <w:t xml:space="preserve">smernice </w:t>
      </w:r>
      <w:r w:rsidR="00F20EAE" w:rsidRPr="00F20EAE">
        <w:t>Európskeho parlamentu a Rady (EÚ) 2017/2102 z 15. novembra 2017, ktorou sa mení smernica 2011/65/EÚ o obmedzení používania určitých nebezpečných látok v elektrických a elektronických zariadeniach</w:t>
      </w:r>
      <w:r w:rsidR="00F20EAE">
        <w:t xml:space="preserve"> (ďalej len „smernica“)</w:t>
      </w:r>
      <w:r w:rsidR="00F20EAE" w:rsidRPr="00F20EAE">
        <w:t>.</w:t>
      </w:r>
      <w:r w:rsidR="00F20EAE">
        <w:t xml:space="preserve"> </w:t>
      </w:r>
      <w:r w:rsidR="00315627">
        <w:t xml:space="preserve">Smernica napomáha predchádzaniu </w:t>
      </w:r>
      <w:r w:rsidR="00315627" w:rsidRPr="00315627">
        <w:t>vzniku odpadu</w:t>
      </w:r>
      <w:r w:rsidR="00315627">
        <w:t>, čo</w:t>
      </w:r>
      <w:r w:rsidR="00315627" w:rsidRPr="00315627">
        <w:t xml:space="preserve"> zahŕňa opatrenia na zníženie obsahu škodlivých látok v materiáloch a výrobkoch. Znižovanie množstva nebezpečných látok v odpade z elektrických a elektronických zariadení je v konečnom dôsledku prínosné pre nakladanie s týmto odpadom. Podporuje opätovné použitie výrobkov a recykláciu použitých materiálov, a tým aj obehové hospodárstvo.</w:t>
      </w:r>
    </w:p>
    <w:p w:rsidR="00315627" w:rsidRDefault="00315627" w:rsidP="002566A9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AE07F2" w:rsidRDefault="005D5AE2" w:rsidP="002566A9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</w:t>
      </w:r>
      <w:r w:rsidRPr="005D5AE2">
        <w:rPr>
          <w:rFonts w:ascii="Times New Roman" w:hAnsi="Times New Roman" w:cs="Times New Roman"/>
        </w:rPr>
        <w:t xml:space="preserve"> sa zameriava na problémy týkajúce sa rozsahu pôsobnosti smernice</w:t>
      </w:r>
      <w:r w:rsidR="00610B4C">
        <w:rPr>
          <w:rFonts w:ascii="Times New Roman" w:hAnsi="Times New Roman" w:cs="Times New Roman"/>
        </w:rPr>
        <w:t xml:space="preserve"> Európskeho parlamentu a Rady</w:t>
      </w:r>
      <w:r w:rsidR="00C5560D">
        <w:rPr>
          <w:rFonts w:ascii="Times New Roman" w:hAnsi="Times New Roman" w:cs="Times New Roman"/>
        </w:rPr>
        <w:t xml:space="preserve"> </w:t>
      </w:r>
      <w:r w:rsidR="00C5560D" w:rsidRPr="00C5560D">
        <w:rPr>
          <w:rFonts w:ascii="Times New Roman" w:hAnsi="Times New Roman" w:cs="Times New Roman"/>
        </w:rPr>
        <w:t>2011/65/EÚ</w:t>
      </w:r>
      <w:r w:rsidR="00FB053E">
        <w:rPr>
          <w:rFonts w:ascii="Times New Roman" w:hAnsi="Times New Roman" w:cs="Times New Roman"/>
        </w:rPr>
        <w:t xml:space="preserve"> z 8. júna 2011 </w:t>
      </w:r>
      <w:r w:rsidR="00C5560D" w:rsidRPr="00C5560D">
        <w:rPr>
          <w:rFonts w:ascii="Times New Roman" w:hAnsi="Times New Roman" w:cs="Times New Roman"/>
        </w:rPr>
        <w:t>o obmedzení používania určitých nebezpečných látok v elektrických a elektronických zariadeniach</w:t>
      </w:r>
      <w:r w:rsidR="00FB053E">
        <w:rPr>
          <w:rFonts w:ascii="Times New Roman" w:hAnsi="Times New Roman" w:cs="Times New Roman"/>
        </w:rPr>
        <w:t xml:space="preserve"> (prepracované znenie) v platnom znení</w:t>
      </w:r>
      <w:r w:rsidR="00610B4C">
        <w:rPr>
          <w:rFonts w:ascii="Times New Roman" w:hAnsi="Times New Roman" w:cs="Times New Roman"/>
        </w:rPr>
        <w:t xml:space="preserve"> (ďalej len „smernica 2011/65/EÚ“), ktoré nie je možné vyriešiť </w:t>
      </w:r>
      <w:r w:rsidRPr="005D5AE2">
        <w:rPr>
          <w:rFonts w:ascii="Times New Roman" w:hAnsi="Times New Roman" w:cs="Times New Roman"/>
        </w:rPr>
        <w:t>nahradením látky alebo výnimkami a usmerneniami, napríklad v prípade konkrétnych skupín výrobkov s pretrvávajúcimi problémami s dosiahnutím súladu so smernicou</w:t>
      </w:r>
      <w:r w:rsidR="00C5560D">
        <w:rPr>
          <w:rFonts w:ascii="Times New Roman" w:hAnsi="Times New Roman" w:cs="Times New Roman"/>
        </w:rPr>
        <w:t xml:space="preserve"> </w:t>
      </w:r>
      <w:r w:rsidR="00C5560D" w:rsidRPr="00C5560D">
        <w:rPr>
          <w:rFonts w:ascii="Times New Roman" w:hAnsi="Times New Roman" w:cs="Times New Roman"/>
        </w:rPr>
        <w:t xml:space="preserve">2011/65/EÚ </w:t>
      </w:r>
      <w:r w:rsidRPr="005D5AE2">
        <w:rPr>
          <w:rFonts w:ascii="Times New Roman" w:hAnsi="Times New Roman" w:cs="Times New Roman"/>
        </w:rPr>
        <w:t>alebo v prípadoch, keď ustanovenia o rozsahu pôsobnosti vedú k deformáciám trhu</w:t>
      </w:r>
      <w:r w:rsidR="00085620">
        <w:rPr>
          <w:rFonts w:ascii="Times New Roman" w:hAnsi="Times New Roman" w:cs="Times New Roman"/>
        </w:rPr>
        <w:t xml:space="preserve"> (n</w:t>
      </w:r>
      <w:r w:rsidR="00085620" w:rsidRPr="00085620">
        <w:rPr>
          <w:rFonts w:ascii="Times New Roman" w:hAnsi="Times New Roman" w:cs="Times New Roman"/>
        </w:rPr>
        <w:t>ávrhom zákona sa upúšťa od náhleho zastavenia operácii na sekundárnom trhu</w:t>
      </w:r>
      <w:r w:rsidR="00085620">
        <w:rPr>
          <w:rFonts w:ascii="Times New Roman" w:hAnsi="Times New Roman" w:cs="Times New Roman"/>
        </w:rPr>
        <w:t>).</w:t>
      </w:r>
    </w:p>
    <w:p w:rsidR="00AE07F2" w:rsidRDefault="00AE07F2" w:rsidP="002566A9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62569" w:rsidRDefault="003F3653" w:rsidP="00127F8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sa </w:t>
      </w:r>
      <w:r w:rsidRPr="003F3653">
        <w:rPr>
          <w:rFonts w:ascii="Times New Roman" w:hAnsi="Times New Roman" w:cs="Times New Roman"/>
        </w:rPr>
        <w:t>vytvára výnimka (zo všeobecného obmedzenia používania látky) pre káble a náhradné diely určené na opravu, opätovné použitie, modernizáciu funkcií al</w:t>
      </w:r>
      <w:r>
        <w:rPr>
          <w:rFonts w:ascii="Times New Roman" w:hAnsi="Times New Roman" w:cs="Times New Roman"/>
        </w:rPr>
        <w:t>ebo zvýšenie kapacity skupín elektrozariadení</w:t>
      </w:r>
      <w:r w:rsidRPr="003F3653">
        <w:rPr>
          <w:rFonts w:ascii="Times New Roman" w:hAnsi="Times New Roman" w:cs="Times New Roman"/>
        </w:rPr>
        <w:t>, na ktoré sa postupne začína vzťahovať rozsah pôsobnosti smernice.</w:t>
      </w:r>
      <w:r>
        <w:rPr>
          <w:rFonts w:ascii="Times New Roman" w:hAnsi="Times New Roman" w:cs="Times New Roman"/>
        </w:rPr>
        <w:t xml:space="preserve"> Mení sa </w:t>
      </w:r>
      <w:r w:rsidRPr="003F3653">
        <w:rPr>
          <w:rFonts w:ascii="Times New Roman" w:hAnsi="Times New Roman" w:cs="Times New Roman"/>
        </w:rPr>
        <w:t xml:space="preserve"> vymedzenie necestných pojazdných strojov sprístupnených výlučne na profesionálne používanie tak, aby zahŕňa</w:t>
      </w:r>
      <w:r>
        <w:rPr>
          <w:rFonts w:ascii="Times New Roman" w:hAnsi="Times New Roman" w:cs="Times New Roman"/>
        </w:rPr>
        <w:t>lo aj stroje s trakčným pohonom a taktiež sa pridávajú</w:t>
      </w:r>
      <w:r w:rsidRPr="003F3653">
        <w:rPr>
          <w:rFonts w:ascii="Times New Roman" w:hAnsi="Times New Roman" w:cs="Times New Roman"/>
        </w:rPr>
        <w:t xml:space="preserve"> do zoznamu vyňatých zariadení píšťalové organy z dôvodu neexistujúcich alternatív, ktoré by mohli nahradiť používanú látku.</w:t>
      </w:r>
    </w:p>
    <w:p w:rsidR="00127F83" w:rsidRDefault="00127F83" w:rsidP="00127F83">
      <w:pPr>
        <w:pStyle w:val="Default"/>
        <w:spacing w:line="276" w:lineRule="auto"/>
        <w:ind w:firstLine="360"/>
        <w:jc w:val="both"/>
        <w:rPr>
          <w:rStyle w:val="Zstupntext"/>
          <w:color w:val="000000"/>
        </w:rPr>
      </w:pPr>
    </w:p>
    <w:p w:rsidR="00662569" w:rsidRDefault="00127F83" w:rsidP="002566A9">
      <w:pPr>
        <w:ind w:firstLine="360"/>
        <w:jc w:val="both"/>
        <w:rPr>
          <w:rStyle w:val="Zstupntext"/>
          <w:color w:val="000000"/>
          <w:szCs w:val="24"/>
        </w:rPr>
      </w:pPr>
      <w:r>
        <w:rPr>
          <w:rStyle w:val="Zstupntext"/>
          <w:color w:val="000000"/>
          <w:szCs w:val="24"/>
        </w:rPr>
        <w:t>P</w:t>
      </w:r>
      <w:r w:rsidR="00662569" w:rsidRPr="00662569">
        <w:rPr>
          <w:rStyle w:val="Zstupntext"/>
          <w:color w:val="000000"/>
          <w:szCs w:val="24"/>
        </w:rPr>
        <w:t>redkladaný návrh zákona nemá vplyv na rozpočet verejnej správy, nemá sociálny vplyv, vplyvy na informatizáciu spoločnosti a ani na slu</w:t>
      </w:r>
      <w:r w:rsidR="00662569">
        <w:rPr>
          <w:rStyle w:val="Zstupntext"/>
          <w:color w:val="000000"/>
          <w:szCs w:val="24"/>
        </w:rPr>
        <w:t>žby verejnej správy pre občana.</w:t>
      </w:r>
      <w:r w:rsidR="008C2FB1">
        <w:rPr>
          <w:rStyle w:val="Zstupntext"/>
          <w:color w:val="000000"/>
          <w:szCs w:val="24"/>
        </w:rPr>
        <w:t xml:space="preserve"> </w:t>
      </w:r>
      <w:r w:rsidR="00662569" w:rsidRPr="00662569">
        <w:rPr>
          <w:rStyle w:val="Zstupntext"/>
          <w:color w:val="000000"/>
          <w:szCs w:val="24"/>
        </w:rPr>
        <w:t xml:space="preserve">Predkladaný návrh zákona má v pozitívny vplyv na podnikateľské </w:t>
      </w:r>
      <w:r w:rsidR="00662569">
        <w:rPr>
          <w:rStyle w:val="Zstupntext"/>
          <w:color w:val="000000"/>
          <w:szCs w:val="24"/>
        </w:rPr>
        <w:t>prostredie a životné prostredie.</w:t>
      </w:r>
    </w:p>
    <w:p w:rsidR="00F06C17" w:rsidRDefault="00F6563F" w:rsidP="002566A9">
      <w:pPr>
        <w:ind w:firstLine="360"/>
        <w:jc w:val="both"/>
        <w:rPr>
          <w:rStyle w:val="Zstupntext"/>
          <w:color w:val="000000"/>
          <w:szCs w:val="24"/>
        </w:rPr>
      </w:pPr>
      <w:r w:rsidRPr="00F6563F">
        <w:rPr>
          <w:rStyle w:val="Zstupntext"/>
          <w:color w:val="000000"/>
          <w:szCs w:val="24"/>
        </w:rPr>
        <w:lastRenderedPageBreak/>
        <w:t>Návrh zákona je v súlade s Ústavou Slovenskej republiky, s ústavnými zákonmi a nálezmi ústavného súdu, so zákonmi a ostatnými všeobecne záväznými právnymi predpismi platnými v Slovenskej republike, s medzinárodnými zmluvami, ktorými je Slovenská republika viazaná, ako aj s právom Európskej únie.</w:t>
      </w: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610B4C" w:rsidRDefault="00610B4C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085620" w:rsidRDefault="00085620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085620" w:rsidRDefault="00085620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085620" w:rsidRDefault="00085620" w:rsidP="002566A9">
      <w:pPr>
        <w:ind w:firstLine="360"/>
        <w:jc w:val="both"/>
        <w:rPr>
          <w:rStyle w:val="Zstupntext"/>
          <w:color w:val="000000"/>
          <w:szCs w:val="24"/>
        </w:rPr>
      </w:pPr>
    </w:p>
    <w:p w:rsidR="00570E4F" w:rsidRDefault="00570E4F" w:rsidP="002566A9">
      <w:pPr>
        <w:ind w:firstLine="360"/>
        <w:jc w:val="both"/>
        <w:rPr>
          <w:rStyle w:val="Zstupntext"/>
          <w:color w:val="000000"/>
        </w:rPr>
      </w:pPr>
    </w:p>
    <w:p w:rsidR="00A24CAC" w:rsidRPr="00F65778" w:rsidRDefault="00A24CAC" w:rsidP="00F65778">
      <w:pPr>
        <w:pStyle w:val="Odsekzoznamu"/>
        <w:numPr>
          <w:ilvl w:val="0"/>
          <w:numId w:val="2"/>
        </w:numPr>
        <w:jc w:val="both"/>
        <w:rPr>
          <w:b/>
        </w:rPr>
      </w:pPr>
      <w:r w:rsidRPr="00F65778">
        <w:rPr>
          <w:b/>
        </w:rPr>
        <w:lastRenderedPageBreak/>
        <w:t>Osobitná časť</w:t>
      </w:r>
    </w:p>
    <w:p w:rsidR="003064E4" w:rsidRDefault="003064E4" w:rsidP="00A24CAC">
      <w:pPr>
        <w:jc w:val="both"/>
        <w:rPr>
          <w:b/>
        </w:rPr>
      </w:pPr>
      <w:r>
        <w:rPr>
          <w:b/>
        </w:rPr>
        <w:t>K</w:t>
      </w:r>
      <w:r w:rsidR="00486980">
        <w:rPr>
          <w:b/>
        </w:rPr>
        <w:t> čl. I</w:t>
      </w:r>
      <w:r>
        <w:rPr>
          <w:b/>
        </w:rPr>
        <w:t xml:space="preserve"> </w:t>
      </w:r>
    </w:p>
    <w:p w:rsidR="00A24CAC" w:rsidRDefault="00A24CAC" w:rsidP="00A24CAC">
      <w:pPr>
        <w:jc w:val="both"/>
        <w:rPr>
          <w:b/>
        </w:rPr>
      </w:pPr>
      <w:r>
        <w:rPr>
          <w:b/>
        </w:rPr>
        <w:t>K bodu 1</w:t>
      </w:r>
    </w:p>
    <w:p w:rsidR="00DA04A6" w:rsidRPr="000D1CB0" w:rsidRDefault="00DD37D3" w:rsidP="003F3653">
      <w:pPr>
        <w:ind w:firstLine="708"/>
        <w:jc w:val="both"/>
        <w:rPr>
          <w:szCs w:val="24"/>
        </w:rPr>
      </w:pPr>
      <w:r>
        <w:t xml:space="preserve">Novelizačným bodom </w:t>
      </w:r>
      <w:r w:rsidR="008B00D5">
        <w:t>1</w:t>
      </w:r>
      <w:r>
        <w:t xml:space="preserve"> sa v súlade so smernicou </w:t>
      </w:r>
      <w:r w:rsidR="00182FD9">
        <w:t xml:space="preserve">dopĺňajú do zoznamu elektrozariadení, na ktoré sa </w:t>
      </w:r>
      <w:r w:rsidR="00AC4420">
        <w:t>ne</w:t>
      </w:r>
      <w:r w:rsidR="00182FD9">
        <w:t>vzťahuje pôsobnosť tohto zákona</w:t>
      </w:r>
      <w:r w:rsidR="00AE318A">
        <w:t>,</w:t>
      </w:r>
      <w:r w:rsidR="00182FD9">
        <w:t xml:space="preserve"> píšťalové organy. </w:t>
      </w:r>
      <w:r w:rsidR="00AC4420" w:rsidRPr="00AC4420">
        <w:t xml:space="preserve">Píšťalové organy sa konštruujú s využitím osobitnej zliatiny obsahujúcej olovo, za ktorú doteraz nebola nájdená žiadna alternatíva. Väčšina píšťalových organov zostáva na jednom mieste </w:t>
      </w:r>
      <w:r w:rsidR="00AC4420">
        <w:t>dlhé obdobie</w:t>
      </w:r>
      <w:r w:rsidR="00AC4420" w:rsidRPr="00AC4420">
        <w:t xml:space="preserve"> a miera ich výmeny je zanedbateľná.</w:t>
      </w:r>
      <w:r w:rsidR="00AE318A">
        <w:t xml:space="preserve"> Z tohto dôvodu sa navrhuje ich vyňatie z rozsahu pôsobnosti zákona</w:t>
      </w:r>
      <w:r w:rsidR="00570E4F">
        <w:t xml:space="preserve">, keďže ich začlenenie </w:t>
      </w:r>
      <w:r w:rsidR="00FA59FC">
        <w:t xml:space="preserve">do pôsobnosti zákona </w:t>
      </w:r>
      <w:r w:rsidR="00570E4F">
        <w:t>by malo zanedbateľný prínos z hľadiska náhrady olova.</w:t>
      </w:r>
    </w:p>
    <w:p w:rsidR="008B00D5" w:rsidRPr="002566A9" w:rsidRDefault="00852B9F" w:rsidP="008B00D5">
      <w:pPr>
        <w:jc w:val="both"/>
        <w:rPr>
          <w:b/>
        </w:rPr>
      </w:pPr>
      <w:r w:rsidRPr="002566A9">
        <w:rPr>
          <w:b/>
        </w:rPr>
        <w:t>K bodu 2</w:t>
      </w:r>
    </w:p>
    <w:p w:rsidR="002B3EBA" w:rsidRDefault="00852B9F" w:rsidP="002566A9">
      <w:pPr>
        <w:ind w:firstLine="708"/>
        <w:jc w:val="both"/>
      </w:pPr>
      <w:r>
        <w:t>Novelizačným bodom</w:t>
      </w:r>
      <w:r w:rsidR="00570E4F">
        <w:t xml:space="preserve"> 2 sa v súlade so smernicou</w:t>
      </w:r>
      <w:r>
        <w:t xml:space="preserve"> </w:t>
      </w:r>
      <w:r w:rsidR="00483B26">
        <w:t xml:space="preserve">rozširuje </w:t>
      </w:r>
      <w:r w:rsidR="00097F30">
        <w:t xml:space="preserve">definícia necestných pojazdných strojov o </w:t>
      </w:r>
      <w:r w:rsidR="00097F30" w:rsidRPr="00097F30">
        <w:t>stroje poháňané trakčným pohonom pri</w:t>
      </w:r>
      <w:r w:rsidR="00097F30">
        <w:t xml:space="preserve">pojeným k zdroju energie káblom a ktoré sú inak </w:t>
      </w:r>
      <w:r w:rsidR="00097F30" w:rsidRPr="00097F30">
        <w:t>totožn</w:t>
      </w:r>
      <w:r w:rsidR="00097F30">
        <w:t>é so</w:t>
      </w:r>
      <w:r w:rsidR="00097F30" w:rsidRPr="00097F30">
        <w:t xml:space="preserve"> strojmi, pre ktoré slúži ako zd</w:t>
      </w:r>
      <w:r w:rsidR="00097F30">
        <w:t>roj energie batéria alebo motor.</w:t>
      </w:r>
      <w:r w:rsidR="00483B26" w:rsidRPr="00483B26">
        <w:t xml:space="preserve"> </w:t>
      </w:r>
      <w:r w:rsidR="00483B26">
        <w:t>Doplnením definície sa zároveň rozšíri zoznam elektrozariadení, na ktoré sa nevzťahuje tento zákon,</w:t>
      </w:r>
    </w:p>
    <w:p w:rsidR="002B3EBA" w:rsidRPr="002B3EBA" w:rsidRDefault="002B3EBA" w:rsidP="002B3EBA">
      <w:pPr>
        <w:jc w:val="both"/>
        <w:rPr>
          <w:b/>
        </w:rPr>
      </w:pPr>
      <w:r w:rsidRPr="002B3EBA">
        <w:rPr>
          <w:b/>
        </w:rPr>
        <w:t>K bodu 3 a 4</w:t>
      </w:r>
    </w:p>
    <w:p w:rsidR="002B3EBA" w:rsidRDefault="002B3EBA" w:rsidP="002566A9">
      <w:pPr>
        <w:ind w:firstLine="708"/>
        <w:jc w:val="both"/>
      </w:pPr>
      <w:r>
        <w:t xml:space="preserve">Návrhom zákona sa precizuje </w:t>
      </w:r>
      <w:r w:rsidRPr="002B3EBA">
        <w:t xml:space="preserve">§ 7 písm. f) a </w:t>
      </w:r>
      <w:r>
        <w:t>§ 8 písm. c)</w:t>
      </w:r>
      <w:r w:rsidR="00483B26">
        <w:t xml:space="preserve"> zákona. V týchto</w:t>
      </w:r>
      <w:r>
        <w:t xml:space="preserve"> </w:t>
      </w:r>
      <w:r w:rsidR="00483B26">
        <w:t xml:space="preserve">ustanoveniach </w:t>
      </w:r>
      <w:r>
        <w:t xml:space="preserve">sú </w:t>
      </w:r>
      <w:r w:rsidR="00483B26">
        <w:t>uvedené</w:t>
      </w:r>
      <w:r w:rsidRPr="002B3EBA">
        <w:t xml:space="preserve"> povinnos</w:t>
      </w:r>
      <w:r>
        <w:t>ti</w:t>
      </w:r>
      <w:r w:rsidRPr="002B3EBA">
        <w:t xml:space="preserve"> pre distribútora a dovozcu informovať orgán dohľadu nad trhom a orgány dohľadu členských štátov Európskej únie, v ktorých bolo elektro</w:t>
      </w:r>
      <w:r w:rsidR="00270C31">
        <w:t>zariadenie sprístupnené na trh</w:t>
      </w:r>
      <w:r w:rsidR="00483B26">
        <w:t xml:space="preserve">. Nakoľko je smernica „Text s významom pre EHP“ (rovnako aj </w:t>
      </w:r>
      <w:r w:rsidR="00AE449F" w:rsidRPr="00AE449F">
        <w:t>nariadenie (ES) č. 765/2008</w:t>
      </w:r>
      <w:r w:rsidR="00AE449F">
        <w:t>, na ktoré zákon odkazuje), boli ustanovenia precizované tak</w:t>
      </w:r>
      <w:r w:rsidR="00270C31">
        <w:t xml:space="preserve">, aby bolo zrejmé, že distribútor a dovozca má informovať aj </w:t>
      </w:r>
      <w:r w:rsidR="00270C31" w:rsidRPr="00270C31">
        <w:t xml:space="preserve">orgány dohľadu </w:t>
      </w:r>
      <w:r w:rsidRPr="002B3EBA">
        <w:t>štát</w:t>
      </w:r>
      <w:r w:rsidR="00270C31">
        <w:t>ov</w:t>
      </w:r>
      <w:r w:rsidRPr="002B3EBA">
        <w:t>, ktoré sú zmluvn</w:t>
      </w:r>
      <w:r w:rsidR="00270C31">
        <w:t>ými</w:t>
      </w:r>
      <w:r w:rsidRPr="002B3EBA">
        <w:t xml:space="preserve"> stran</w:t>
      </w:r>
      <w:r w:rsidR="00270C31">
        <w:t>ami</w:t>
      </w:r>
      <w:r w:rsidRPr="002B3EBA">
        <w:t xml:space="preserve"> Dohody o Európskom hospodárskom priestore. </w:t>
      </w:r>
    </w:p>
    <w:p w:rsidR="002B3EBA" w:rsidRDefault="002B3EBA" w:rsidP="002B3EBA">
      <w:pPr>
        <w:jc w:val="both"/>
        <w:rPr>
          <w:b/>
        </w:rPr>
      </w:pPr>
      <w:r w:rsidRPr="002B3EBA">
        <w:rPr>
          <w:b/>
        </w:rPr>
        <w:t>K bodu 5</w:t>
      </w:r>
    </w:p>
    <w:p w:rsidR="002B3EBA" w:rsidRPr="002B3EBA" w:rsidRDefault="002B3EBA" w:rsidP="008B00D5">
      <w:pPr>
        <w:jc w:val="both"/>
      </w:pPr>
      <w:r>
        <w:rPr>
          <w:b/>
        </w:rPr>
        <w:tab/>
      </w:r>
      <w:r w:rsidR="00AE449F" w:rsidRPr="00AE449F">
        <w:t>Ide</w:t>
      </w:r>
      <w:r w:rsidR="00AE449F">
        <w:rPr>
          <w:b/>
        </w:rPr>
        <w:t xml:space="preserve"> </w:t>
      </w:r>
      <w:r w:rsidR="00AE449F" w:rsidRPr="00AE449F">
        <w:t>o</w:t>
      </w:r>
      <w:r w:rsidR="00AE449F">
        <w:rPr>
          <w:b/>
        </w:rPr>
        <w:t xml:space="preserve"> </w:t>
      </w:r>
      <w:r w:rsidR="00AE449F">
        <w:t>l</w:t>
      </w:r>
      <w:r w:rsidRPr="002B3EBA">
        <w:t>egislatívno-technick</w:t>
      </w:r>
      <w:r w:rsidR="00AE449F">
        <w:t>ú</w:t>
      </w:r>
      <w:r w:rsidRPr="002B3EBA">
        <w:t xml:space="preserve"> </w:t>
      </w:r>
      <w:r w:rsidR="00AE449F">
        <w:t>úpravu textu súvisiacu s novelizačným bodom 6 (vypustenie odseku 1 v § 18 zákona)</w:t>
      </w:r>
      <w:r w:rsidRPr="002B3EBA">
        <w:t>.</w:t>
      </w:r>
    </w:p>
    <w:p w:rsidR="0013521C" w:rsidRDefault="0013521C" w:rsidP="008B00D5">
      <w:pPr>
        <w:jc w:val="both"/>
        <w:rPr>
          <w:b/>
        </w:rPr>
      </w:pPr>
      <w:r w:rsidRPr="002566A9">
        <w:rPr>
          <w:b/>
        </w:rPr>
        <w:t xml:space="preserve">K bodu </w:t>
      </w:r>
      <w:r w:rsidR="002B3EBA">
        <w:rPr>
          <w:b/>
        </w:rPr>
        <w:t>6</w:t>
      </w:r>
    </w:p>
    <w:p w:rsidR="008864FC" w:rsidRDefault="008864FC" w:rsidP="008B00D5">
      <w:pPr>
        <w:jc w:val="both"/>
      </w:pPr>
      <w:r>
        <w:rPr>
          <w:b/>
        </w:rPr>
        <w:tab/>
      </w:r>
      <w:r w:rsidRPr="008864FC">
        <w:t>V</w:t>
      </w:r>
      <w:r>
        <w:t> </w:t>
      </w:r>
      <w:r w:rsidRPr="008864FC">
        <w:t>nadväznosti</w:t>
      </w:r>
      <w:r>
        <w:t xml:space="preserve"> na nové ustanovenie § 18b </w:t>
      </w:r>
      <w:r w:rsidR="00401077">
        <w:t xml:space="preserve">sa v súlade so smernicou vypúšťa z  § 18 odsek 1. </w:t>
      </w:r>
      <w:r w:rsidR="006B3665">
        <w:t xml:space="preserve">Ustanovenie </w:t>
      </w:r>
      <w:r w:rsidR="00C17D79">
        <w:t>§ 18 ods. 1 (ako aj smernic</w:t>
      </w:r>
      <w:r w:rsidR="006B3665">
        <w:t>a</w:t>
      </w:r>
      <w:r w:rsidR="00C17D79">
        <w:t xml:space="preserve"> 2011/65) umožňuje</w:t>
      </w:r>
      <w:r w:rsidR="006B3665">
        <w:t>,</w:t>
      </w:r>
      <w:r w:rsidR="00C17D79">
        <w:t xml:space="preserve"> aby</w:t>
      </w:r>
      <w:r w:rsidR="006B3665">
        <w:t xml:space="preserve"> elektrozariadenia</w:t>
      </w:r>
      <w:r w:rsidR="00C17D79">
        <w:t xml:space="preserve">, ktoré nespĺňajú </w:t>
      </w:r>
      <w:r w:rsidR="006B3665">
        <w:t xml:space="preserve">technické </w:t>
      </w:r>
      <w:r w:rsidR="00C17D79">
        <w:t>požiadavk</w:t>
      </w:r>
      <w:r w:rsidR="006B3665">
        <w:t>y</w:t>
      </w:r>
      <w:r w:rsidR="00C17D79">
        <w:t xml:space="preserve"> zákona a na ktoré sa nevzťahuje osobitný predpis, boli dostupné na trhu do  </w:t>
      </w:r>
      <w:r w:rsidR="006B3665">
        <w:t>22. júla 2019. Po uvedenom dátume by však podľa platného znenia zákona bolo zakázané prvé uvedenie takýchto elektrozariadení na trh, ako aj operácie s nimi na sekundárnom trhu.</w:t>
      </w:r>
      <w:r w:rsidR="00127F83">
        <w:t xml:space="preserve"> (tzv. náhle zastavenie).</w:t>
      </w:r>
      <w:r w:rsidR="006B3665">
        <w:t xml:space="preserve"> Takýto zákaz operácií na sekundárnom trhu nie je v súlade so všeobecnými zásadami </w:t>
      </w:r>
      <w:r w:rsidR="00160FA6">
        <w:t>opatrení Európskej únie v oblasti aproximácie právnych predpisov týkajúcich sa výrobkov a z tohto dôvodu sa navrhuje vypustiť.</w:t>
      </w:r>
    </w:p>
    <w:p w:rsidR="008864FC" w:rsidRPr="008864FC" w:rsidRDefault="008864FC" w:rsidP="008B00D5">
      <w:pPr>
        <w:jc w:val="both"/>
        <w:rPr>
          <w:b/>
        </w:rPr>
      </w:pPr>
      <w:r w:rsidRPr="008864FC">
        <w:rPr>
          <w:b/>
        </w:rPr>
        <w:lastRenderedPageBreak/>
        <w:t xml:space="preserve">K bodu </w:t>
      </w:r>
      <w:r w:rsidR="002B3EBA">
        <w:rPr>
          <w:b/>
        </w:rPr>
        <w:t>7</w:t>
      </w:r>
      <w:r w:rsidRPr="008864FC">
        <w:rPr>
          <w:b/>
        </w:rPr>
        <w:t xml:space="preserve"> </w:t>
      </w:r>
    </w:p>
    <w:p w:rsidR="00580141" w:rsidRDefault="00097F30" w:rsidP="004C3283">
      <w:pPr>
        <w:jc w:val="both"/>
      </w:pPr>
      <w:r>
        <w:rPr>
          <w:b/>
        </w:rPr>
        <w:tab/>
      </w:r>
      <w:r w:rsidRPr="004C3283">
        <w:t>Noveliza</w:t>
      </w:r>
      <w:r w:rsidR="004C3283">
        <w:t xml:space="preserve">čným bodom </w:t>
      </w:r>
      <w:r w:rsidR="005F7101">
        <w:t>7</w:t>
      </w:r>
      <w:r w:rsidR="00B0372F">
        <w:t xml:space="preserve"> sa </w:t>
      </w:r>
      <w:r w:rsidR="004C3283">
        <w:t>vkladá nový § 18b, ktorý obsahuje prechodné ustanovenia k úprave účinnej od 12. júna 2019</w:t>
      </w:r>
      <w:r w:rsidR="005F7101">
        <w:t xml:space="preserve"> a je transpozíciou čl. 1 </w:t>
      </w:r>
      <w:r w:rsidR="00580141">
        <w:t xml:space="preserve">bodu 3 </w:t>
      </w:r>
      <w:r w:rsidR="005F7101">
        <w:t>smernice</w:t>
      </w:r>
      <w:r w:rsidR="004C3283">
        <w:t xml:space="preserve">. </w:t>
      </w:r>
      <w:r w:rsidR="004C3283" w:rsidRPr="004C3283">
        <w:t>Cieľom tohto bodu je v súlade s</w:t>
      </w:r>
      <w:r w:rsidR="004C3283">
        <w:t>o</w:t>
      </w:r>
      <w:r w:rsidR="004C3283" w:rsidRPr="004C3283">
        <w:t xml:space="preserve"> smernicou uľahčiť hospodárskym subjektom prechod na novú právnu úpravu. Z tohto dôvodu sa obmedzenie používania nebezpečných látok vzťahuje </w:t>
      </w:r>
      <w:r w:rsidR="005964C1">
        <w:t xml:space="preserve">na </w:t>
      </w:r>
      <w:r w:rsidR="00B0372F">
        <w:t>konkrétne typy</w:t>
      </w:r>
      <w:r w:rsidR="005964C1">
        <w:t xml:space="preserve"> elektrozariaden</w:t>
      </w:r>
      <w:r w:rsidR="00B0372F">
        <w:t>í</w:t>
      </w:r>
      <w:r w:rsidR="005964C1">
        <w:t xml:space="preserve"> s jednotlivými časovými výnimkami.</w:t>
      </w:r>
      <w:r w:rsidR="00580141">
        <w:t xml:space="preserve"> </w:t>
      </w:r>
    </w:p>
    <w:p w:rsidR="00BE7C4D" w:rsidRDefault="00580141" w:rsidP="004C3283">
      <w:pPr>
        <w:jc w:val="both"/>
      </w:pPr>
      <w:r>
        <w:tab/>
      </w:r>
      <w:r w:rsidR="008D4705" w:rsidRPr="00FB053E">
        <w:t xml:space="preserve">Pri </w:t>
      </w:r>
      <w:r w:rsidR="00BE7C4D" w:rsidRPr="00FB053E">
        <w:t>formulácii „</w:t>
      </w:r>
      <w:r w:rsidR="008D4705" w:rsidRPr="00FB053E">
        <w:t xml:space="preserve">elektrozariadenia, ktoré nepatrili do rozsahu pôsobnosti všeobecného záväzného právneho predpisu o odpadoch </w:t>
      </w:r>
      <w:r w:rsidR="00BE7C4D" w:rsidRPr="00FB053E">
        <w:t xml:space="preserve">účinného do 31. decembra 2015“ ide o prebratie slov v čl. 1 bodu 3 smernice „elektrozariadenia, ktoré nepatrili do rozsahu pôsobnosti smernice 2002/95/ES“. </w:t>
      </w:r>
      <w:r w:rsidR="00AC2E66" w:rsidRPr="00FB053E">
        <w:t>Smernica 2002/95/ES Európskeho parlamentu a Rady z 27. januára 2003 o obmedzení používania určitých nebezpečných látok v elektrických a elektronických zariadeniach (ďalej len „smernica 2002/95/ES</w:t>
      </w:r>
      <w:r w:rsidR="00BE7C4D" w:rsidRPr="00FB053E">
        <w:t>) bola prebratá predchádzajúcim zákonom č. 231/2001 Z. z. o</w:t>
      </w:r>
      <w:r w:rsidR="00AC2E66" w:rsidRPr="00FB053E">
        <w:t> </w:t>
      </w:r>
      <w:r w:rsidR="00BE7C4D" w:rsidRPr="00FB053E">
        <w:t>odpadoch</w:t>
      </w:r>
      <w:r w:rsidR="00AC2E66" w:rsidRPr="00FB053E">
        <w:t xml:space="preserve"> (už je zrušená smernicou 2011/65/EÚ). Podľa čl. 2 smernice 2002</w:t>
      </w:r>
      <w:r w:rsidR="00D91F99" w:rsidRPr="00FB053E">
        <w:t>/95/ES nepatria do jej pôsobnosti elektrické a elektronické zariadenia spadajúce do kategórií 8 a 9 uvedených v prílohe IA k smernici 2002/96/ES Európskeho parlamentu a Rady z 27. januára 2003 o odpade z elektrických a elektronických zariadení (ide o zdravotnícke prístroje s výnimkou všetkých implantovaných a infikovaných výrobkov a prístroje na monitorovanie a kontrolu) a náhradné diely určené na opravu alebo na opätovné použitie elektrických a elektronických zariadení uvedených na trh pred 1. júlom 2006.</w:t>
      </w:r>
    </w:p>
    <w:p w:rsidR="005964C1" w:rsidRPr="005964C1" w:rsidRDefault="005964C1" w:rsidP="004C3283">
      <w:pPr>
        <w:jc w:val="both"/>
        <w:rPr>
          <w:b/>
        </w:rPr>
      </w:pPr>
      <w:r w:rsidRPr="005964C1">
        <w:rPr>
          <w:b/>
        </w:rPr>
        <w:t xml:space="preserve">K bodu </w:t>
      </w:r>
      <w:r w:rsidR="002B3EBA">
        <w:rPr>
          <w:b/>
        </w:rPr>
        <w:t>8</w:t>
      </w:r>
    </w:p>
    <w:p w:rsidR="00A31CD2" w:rsidRDefault="00015905" w:rsidP="002566A9">
      <w:pPr>
        <w:ind w:firstLine="708"/>
        <w:jc w:val="both"/>
      </w:pPr>
      <w:r>
        <w:t xml:space="preserve">Zoznam </w:t>
      </w:r>
      <w:r w:rsidR="006265A7">
        <w:t>preberaných právne záväzných aktov Európskej únie</w:t>
      </w:r>
      <w:r>
        <w:t xml:space="preserve"> je doplnený o</w:t>
      </w:r>
      <w:r w:rsidR="005964C1">
        <w:t> smernicu.</w:t>
      </w:r>
    </w:p>
    <w:p w:rsidR="003064E4" w:rsidRDefault="006F4A36" w:rsidP="004E0739">
      <w:pPr>
        <w:jc w:val="both"/>
        <w:rPr>
          <w:b/>
        </w:rPr>
      </w:pPr>
      <w:r>
        <w:rPr>
          <w:b/>
        </w:rPr>
        <w:t>K čl. II</w:t>
      </w:r>
      <w:r w:rsidR="00B76E7A">
        <w:rPr>
          <w:b/>
        </w:rPr>
        <w:t xml:space="preserve"> – </w:t>
      </w:r>
      <w:r>
        <w:rPr>
          <w:b/>
        </w:rPr>
        <w:t xml:space="preserve">navrhovaná účinnosť </w:t>
      </w:r>
    </w:p>
    <w:p w:rsidR="006E1971" w:rsidRDefault="00015905" w:rsidP="002566A9">
      <w:pPr>
        <w:ind w:firstLine="708"/>
        <w:jc w:val="both"/>
      </w:pPr>
      <w:r>
        <w:t>Ú</w:t>
      </w:r>
      <w:r w:rsidR="00113E1B">
        <w:t xml:space="preserve">činnosť </w:t>
      </w:r>
      <w:r>
        <w:t xml:space="preserve">návrhu zákona je v súlade s termínom transpozície smernice </w:t>
      </w:r>
      <w:r w:rsidR="00B719CD">
        <w:t xml:space="preserve">stanovená na </w:t>
      </w:r>
      <w:r w:rsidR="005964C1">
        <w:t>12.júna</w:t>
      </w:r>
      <w:r w:rsidR="0087534E">
        <w:t xml:space="preserve"> 2019</w:t>
      </w:r>
      <w:r w:rsidR="00B719CD">
        <w:t>.</w:t>
      </w:r>
    </w:p>
    <w:p w:rsidR="00272127" w:rsidRDefault="00272127" w:rsidP="00272127">
      <w:pPr>
        <w:spacing w:after="0" w:line="240" w:lineRule="auto"/>
        <w:jc w:val="both"/>
      </w:pPr>
    </w:p>
    <w:p w:rsidR="00272127" w:rsidRDefault="00272127" w:rsidP="00272127">
      <w:pPr>
        <w:spacing w:after="0" w:line="240" w:lineRule="auto"/>
        <w:jc w:val="both"/>
      </w:pPr>
      <w:r w:rsidRPr="00C55CDC">
        <w:t xml:space="preserve">V Bratislave dňa </w:t>
      </w:r>
      <w:r>
        <w:t>6</w:t>
      </w:r>
      <w:r w:rsidRPr="00C55CDC">
        <w:t xml:space="preserve">. </w:t>
      </w:r>
      <w:r>
        <w:t>marca 2019</w:t>
      </w:r>
    </w:p>
    <w:p w:rsidR="00272127" w:rsidRDefault="00272127" w:rsidP="00272127">
      <w:pPr>
        <w:spacing w:after="0" w:line="240" w:lineRule="auto"/>
        <w:jc w:val="both"/>
      </w:pPr>
    </w:p>
    <w:p w:rsidR="00272127" w:rsidRDefault="00272127" w:rsidP="00272127">
      <w:pPr>
        <w:spacing w:before="120" w:after="0" w:line="240" w:lineRule="auto"/>
        <w:jc w:val="both"/>
        <w:rPr>
          <w:szCs w:val="24"/>
          <w:lang w:eastAsia="cs-CZ"/>
        </w:rPr>
      </w:pPr>
    </w:p>
    <w:p w:rsidR="00272127" w:rsidRPr="00C55CDC" w:rsidRDefault="00272127" w:rsidP="00272127">
      <w:pPr>
        <w:spacing w:before="120" w:after="0" w:line="240" w:lineRule="auto"/>
        <w:ind w:firstLine="567"/>
        <w:jc w:val="both"/>
        <w:rPr>
          <w:szCs w:val="24"/>
          <w:lang w:eastAsia="cs-CZ"/>
        </w:rPr>
      </w:pPr>
    </w:p>
    <w:p w:rsidR="00272127" w:rsidRPr="00C55CDC" w:rsidRDefault="00272127" w:rsidP="00272127">
      <w:pPr>
        <w:spacing w:after="0"/>
        <w:jc w:val="center"/>
        <w:rPr>
          <w:color w:val="000000"/>
          <w:szCs w:val="24"/>
          <w:lang w:val="en-US"/>
        </w:rPr>
      </w:pPr>
      <w:r w:rsidRPr="00C55CDC">
        <w:rPr>
          <w:color w:val="000000"/>
          <w:szCs w:val="24"/>
          <w:lang w:val="en-US"/>
        </w:rPr>
        <w:t xml:space="preserve"> Peter Pellegrini</w:t>
      </w:r>
      <w:r w:rsidR="00745B17">
        <w:rPr>
          <w:color w:val="000000"/>
          <w:szCs w:val="24"/>
          <w:lang w:val="en-US"/>
        </w:rPr>
        <w:t xml:space="preserve">, v. r. </w:t>
      </w:r>
      <w:r w:rsidRPr="00C55CDC">
        <w:rPr>
          <w:color w:val="000000"/>
          <w:szCs w:val="24"/>
          <w:lang w:val="en-US"/>
        </w:rPr>
        <w:t xml:space="preserve">  </w:t>
      </w:r>
    </w:p>
    <w:p w:rsidR="00272127" w:rsidRPr="00C55CDC" w:rsidRDefault="00272127" w:rsidP="00272127">
      <w:pPr>
        <w:spacing w:after="0"/>
        <w:jc w:val="center"/>
        <w:rPr>
          <w:color w:val="000000"/>
          <w:szCs w:val="24"/>
          <w:lang w:val="en-US"/>
        </w:rPr>
      </w:pPr>
      <w:r w:rsidRPr="00C55CDC">
        <w:rPr>
          <w:color w:val="000000"/>
          <w:szCs w:val="24"/>
          <w:lang w:val="en-US"/>
        </w:rPr>
        <w:t>predseda vlády</w:t>
      </w:r>
    </w:p>
    <w:p w:rsidR="00272127" w:rsidRPr="00C55CDC" w:rsidRDefault="00272127" w:rsidP="00272127">
      <w:pPr>
        <w:spacing w:after="0"/>
        <w:jc w:val="center"/>
        <w:rPr>
          <w:color w:val="000000"/>
          <w:szCs w:val="24"/>
          <w:lang w:val="en-US"/>
        </w:rPr>
      </w:pPr>
      <w:r w:rsidRPr="00C55CDC">
        <w:rPr>
          <w:color w:val="000000"/>
          <w:szCs w:val="24"/>
          <w:lang w:val="en-US"/>
        </w:rPr>
        <w:t>Slovenskej republiky</w:t>
      </w:r>
    </w:p>
    <w:p w:rsidR="00272127" w:rsidRPr="00C55CDC" w:rsidRDefault="00272127" w:rsidP="00272127">
      <w:pPr>
        <w:jc w:val="center"/>
        <w:rPr>
          <w:color w:val="000000"/>
          <w:szCs w:val="24"/>
          <w:lang w:val="en-US"/>
        </w:rPr>
      </w:pPr>
    </w:p>
    <w:p w:rsidR="00272127" w:rsidRPr="00C55CDC" w:rsidRDefault="00272127" w:rsidP="00272127">
      <w:pPr>
        <w:jc w:val="center"/>
        <w:rPr>
          <w:color w:val="000000"/>
          <w:szCs w:val="24"/>
          <w:lang w:val="en-US"/>
        </w:rPr>
      </w:pPr>
    </w:p>
    <w:p w:rsidR="00272127" w:rsidRPr="00C55CDC" w:rsidRDefault="00272127" w:rsidP="00272127">
      <w:pPr>
        <w:spacing w:after="0"/>
        <w:jc w:val="center"/>
        <w:rPr>
          <w:color w:val="000000"/>
          <w:szCs w:val="24"/>
          <w:lang w:val="en-US"/>
        </w:rPr>
      </w:pPr>
      <w:r w:rsidRPr="00C55CDC">
        <w:rPr>
          <w:color w:val="000000"/>
          <w:szCs w:val="24"/>
          <w:lang w:val="en-US"/>
        </w:rPr>
        <w:t>László Sólymos</w:t>
      </w:r>
      <w:r w:rsidR="00745B17">
        <w:rPr>
          <w:color w:val="000000"/>
          <w:szCs w:val="24"/>
          <w:lang w:val="en-US"/>
        </w:rPr>
        <w:t xml:space="preserve">, v. r. </w:t>
      </w:r>
      <w:r w:rsidRPr="00C55CDC">
        <w:rPr>
          <w:color w:val="000000"/>
          <w:szCs w:val="24"/>
          <w:lang w:val="en-US"/>
        </w:rPr>
        <w:t xml:space="preserve"> </w:t>
      </w:r>
    </w:p>
    <w:p w:rsidR="00272127" w:rsidRPr="00C55CDC" w:rsidRDefault="00272127" w:rsidP="00272127">
      <w:pPr>
        <w:spacing w:after="0"/>
        <w:jc w:val="center"/>
        <w:rPr>
          <w:color w:val="000000"/>
          <w:szCs w:val="24"/>
          <w:lang w:val="en-US"/>
        </w:rPr>
      </w:pPr>
      <w:r w:rsidRPr="00C55CDC">
        <w:rPr>
          <w:color w:val="000000"/>
          <w:szCs w:val="24"/>
          <w:lang w:val="en-US"/>
        </w:rPr>
        <w:t>podpredseda vlády a minister životného prostredia</w:t>
      </w:r>
    </w:p>
    <w:p w:rsidR="00272127" w:rsidRPr="00C55CDC" w:rsidRDefault="00272127" w:rsidP="00272127">
      <w:pPr>
        <w:spacing w:after="0"/>
        <w:rPr>
          <w:szCs w:val="24"/>
        </w:rPr>
      </w:pPr>
      <w:r w:rsidRPr="00C55CDC">
        <w:rPr>
          <w:color w:val="000000"/>
          <w:szCs w:val="24"/>
          <w:lang w:val="en-US"/>
        </w:rPr>
        <w:t xml:space="preserve">                                                           Slovenskej republiky</w:t>
      </w:r>
    </w:p>
    <w:p w:rsidR="00272127" w:rsidRPr="00A71934" w:rsidRDefault="00272127" w:rsidP="002566A9">
      <w:pPr>
        <w:ind w:firstLine="708"/>
        <w:jc w:val="both"/>
      </w:pPr>
    </w:p>
    <w:sectPr w:rsidR="00272127" w:rsidRPr="00A71934" w:rsidSect="00997B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B2" w:rsidRDefault="006178B2" w:rsidP="00167966">
      <w:pPr>
        <w:spacing w:after="0" w:line="240" w:lineRule="auto"/>
      </w:pPr>
      <w:r>
        <w:separator/>
      </w:r>
    </w:p>
  </w:endnote>
  <w:endnote w:type="continuationSeparator" w:id="0">
    <w:p w:rsidR="006178B2" w:rsidRDefault="006178B2" w:rsidP="0016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66" w:rsidRDefault="0016796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464B2">
      <w:rPr>
        <w:noProof/>
      </w:rPr>
      <w:t>2</w:t>
    </w:r>
    <w:r>
      <w:fldChar w:fldCharType="end"/>
    </w:r>
  </w:p>
  <w:p w:rsidR="00167966" w:rsidRDefault="001679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B2" w:rsidRDefault="006178B2" w:rsidP="00167966">
      <w:pPr>
        <w:spacing w:after="0" w:line="240" w:lineRule="auto"/>
      </w:pPr>
      <w:r>
        <w:separator/>
      </w:r>
    </w:p>
  </w:footnote>
  <w:footnote w:type="continuationSeparator" w:id="0">
    <w:p w:rsidR="006178B2" w:rsidRDefault="006178B2" w:rsidP="00167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3D6E"/>
    <w:multiLevelType w:val="hybridMultilevel"/>
    <w:tmpl w:val="F9026B2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2F4373"/>
    <w:multiLevelType w:val="hybridMultilevel"/>
    <w:tmpl w:val="171291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64"/>
    <w:rsid w:val="00015905"/>
    <w:rsid w:val="00024A49"/>
    <w:rsid w:val="00035090"/>
    <w:rsid w:val="00041B8F"/>
    <w:rsid w:val="00081EE2"/>
    <w:rsid w:val="00085620"/>
    <w:rsid w:val="00094612"/>
    <w:rsid w:val="00097F30"/>
    <w:rsid w:val="000D1CB0"/>
    <w:rsid w:val="000D50B3"/>
    <w:rsid w:val="000E7C97"/>
    <w:rsid w:val="000F249F"/>
    <w:rsid w:val="00110892"/>
    <w:rsid w:val="00113E1B"/>
    <w:rsid w:val="00122E15"/>
    <w:rsid w:val="00127F83"/>
    <w:rsid w:val="00130AD2"/>
    <w:rsid w:val="0013147D"/>
    <w:rsid w:val="0013521C"/>
    <w:rsid w:val="00160FA6"/>
    <w:rsid w:val="00167966"/>
    <w:rsid w:val="001828A2"/>
    <w:rsid w:val="00182FD9"/>
    <w:rsid w:val="0019219E"/>
    <w:rsid w:val="001B1490"/>
    <w:rsid w:val="001B65D4"/>
    <w:rsid w:val="001D1C79"/>
    <w:rsid w:val="001F1EA6"/>
    <w:rsid w:val="001F4716"/>
    <w:rsid w:val="002048A2"/>
    <w:rsid w:val="00215B32"/>
    <w:rsid w:val="00227098"/>
    <w:rsid w:val="002440A1"/>
    <w:rsid w:val="002566A9"/>
    <w:rsid w:val="002707CD"/>
    <w:rsid w:val="00270C31"/>
    <w:rsid w:val="00272127"/>
    <w:rsid w:val="00281E4E"/>
    <w:rsid w:val="002B3EBA"/>
    <w:rsid w:val="003064E4"/>
    <w:rsid w:val="00306ABF"/>
    <w:rsid w:val="00315627"/>
    <w:rsid w:val="00324A6B"/>
    <w:rsid w:val="00324BBC"/>
    <w:rsid w:val="00374E19"/>
    <w:rsid w:val="003A5A24"/>
    <w:rsid w:val="003B6582"/>
    <w:rsid w:val="003C1AE0"/>
    <w:rsid w:val="003C2D9E"/>
    <w:rsid w:val="003E33C8"/>
    <w:rsid w:val="003E40DE"/>
    <w:rsid w:val="003F3653"/>
    <w:rsid w:val="00401077"/>
    <w:rsid w:val="0040241E"/>
    <w:rsid w:val="004247C0"/>
    <w:rsid w:val="0043593A"/>
    <w:rsid w:val="00452FE6"/>
    <w:rsid w:val="004739EF"/>
    <w:rsid w:val="00483B26"/>
    <w:rsid w:val="00486980"/>
    <w:rsid w:val="004B7AFE"/>
    <w:rsid w:val="004C3283"/>
    <w:rsid w:val="004D3AE0"/>
    <w:rsid w:val="004E0739"/>
    <w:rsid w:val="004F7EDF"/>
    <w:rsid w:val="005464B2"/>
    <w:rsid w:val="00570E4F"/>
    <w:rsid w:val="00571516"/>
    <w:rsid w:val="00573552"/>
    <w:rsid w:val="00580141"/>
    <w:rsid w:val="005964C1"/>
    <w:rsid w:val="005D5AE2"/>
    <w:rsid w:val="005F7101"/>
    <w:rsid w:val="00610B4C"/>
    <w:rsid w:val="0061649D"/>
    <w:rsid w:val="006178B2"/>
    <w:rsid w:val="006265A7"/>
    <w:rsid w:val="00662569"/>
    <w:rsid w:val="00681D43"/>
    <w:rsid w:val="006A65A0"/>
    <w:rsid w:val="006B3665"/>
    <w:rsid w:val="006B7D76"/>
    <w:rsid w:val="006B7E21"/>
    <w:rsid w:val="006E1971"/>
    <w:rsid w:val="006F4A36"/>
    <w:rsid w:val="007079ED"/>
    <w:rsid w:val="00733026"/>
    <w:rsid w:val="00745B17"/>
    <w:rsid w:val="007731B9"/>
    <w:rsid w:val="007A5978"/>
    <w:rsid w:val="007A7948"/>
    <w:rsid w:val="007E42B8"/>
    <w:rsid w:val="00845C10"/>
    <w:rsid w:val="00852585"/>
    <w:rsid w:val="00852B9F"/>
    <w:rsid w:val="0087534E"/>
    <w:rsid w:val="008864FC"/>
    <w:rsid w:val="008866DB"/>
    <w:rsid w:val="008B00D5"/>
    <w:rsid w:val="008C2FB1"/>
    <w:rsid w:val="008D03BF"/>
    <w:rsid w:val="008D4705"/>
    <w:rsid w:val="00936F1D"/>
    <w:rsid w:val="00954BE7"/>
    <w:rsid w:val="00970132"/>
    <w:rsid w:val="00970E2B"/>
    <w:rsid w:val="00972FF3"/>
    <w:rsid w:val="00997B24"/>
    <w:rsid w:val="009B25BC"/>
    <w:rsid w:val="009C6747"/>
    <w:rsid w:val="009C6B48"/>
    <w:rsid w:val="00A24CAC"/>
    <w:rsid w:val="00A31CD2"/>
    <w:rsid w:val="00A52E22"/>
    <w:rsid w:val="00A71934"/>
    <w:rsid w:val="00A7672C"/>
    <w:rsid w:val="00A94EFC"/>
    <w:rsid w:val="00AA5101"/>
    <w:rsid w:val="00AC2E66"/>
    <w:rsid w:val="00AC4420"/>
    <w:rsid w:val="00AE07F2"/>
    <w:rsid w:val="00AE318A"/>
    <w:rsid w:val="00AE449F"/>
    <w:rsid w:val="00AE6A37"/>
    <w:rsid w:val="00B0372F"/>
    <w:rsid w:val="00B1587A"/>
    <w:rsid w:val="00B36667"/>
    <w:rsid w:val="00B5154B"/>
    <w:rsid w:val="00B538DE"/>
    <w:rsid w:val="00B62256"/>
    <w:rsid w:val="00B719CD"/>
    <w:rsid w:val="00B755DD"/>
    <w:rsid w:val="00B76E7A"/>
    <w:rsid w:val="00BA5B71"/>
    <w:rsid w:val="00BB454B"/>
    <w:rsid w:val="00BC13F9"/>
    <w:rsid w:val="00BC1F64"/>
    <w:rsid w:val="00BE6363"/>
    <w:rsid w:val="00BE7C4D"/>
    <w:rsid w:val="00BF325C"/>
    <w:rsid w:val="00C17D79"/>
    <w:rsid w:val="00C21BA5"/>
    <w:rsid w:val="00C319EF"/>
    <w:rsid w:val="00C50D57"/>
    <w:rsid w:val="00C5560D"/>
    <w:rsid w:val="00C55CDC"/>
    <w:rsid w:val="00C64E17"/>
    <w:rsid w:val="00CB109D"/>
    <w:rsid w:val="00CE391F"/>
    <w:rsid w:val="00CE43B6"/>
    <w:rsid w:val="00D0637A"/>
    <w:rsid w:val="00D1023B"/>
    <w:rsid w:val="00D22166"/>
    <w:rsid w:val="00D50BFB"/>
    <w:rsid w:val="00D734C8"/>
    <w:rsid w:val="00D816E8"/>
    <w:rsid w:val="00D81E7A"/>
    <w:rsid w:val="00D87658"/>
    <w:rsid w:val="00D91F99"/>
    <w:rsid w:val="00DA04A6"/>
    <w:rsid w:val="00DC72D9"/>
    <w:rsid w:val="00DD37D3"/>
    <w:rsid w:val="00DE1BBB"/>
    <w:rsid w:val="00DE3853"/>
    <w:rsid w:val="00E16422"/>
    <w:rsid w:val="00E53C0C"/>
    <w:rsid w:val="00E7037E"/>
    <w:rsid w:val="00E766FD"/>
    <w:rsid w:val="00E81E24"/>
    <w:rsid w:val="00E9483B"/>
    <w:rsid w:val="00EC785B"/>
    <w:rsid w:val="00F06C17"/>
    <w:rsid w:val="00F20EAE"/>
    <w:rsid w:val="00F6563F"/>
    <w:rsid w:val="00F65778"/>
    <w:rsid w:val="00F96593"/>
    <w:rsid w:val="00FA59FC"/>
    <w:rsid w:val="00FB053E"/>
    <w:rsid w:val="00FB5A8D"/>
    <w:rsid w:val="00FC2A34"/>
    <w:rsid w:val="00FD33D7"/>
    <w:rsid w:val="00FE1BEA"/>
    <w:rsid w:val="00FF051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25DF78-8EC3-4CAF-BBBC-DF73708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B24"/>
    <w:rPr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F64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45C1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735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0A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</w:rPr>
  </w:style>
  <w:style w:type="character" w:styleId="Siln">
    <w:name w:val="Strong"/>
    <w:basedOn w:val="Predvolenpsmoodseku"/>
    <w:uiPriority w:val="22"/>
    <w:qFormat/>
    <w:rsid w:val="00BF325C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16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67966"/>
    <w:rPr>
      <w:rFonts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rsid w:val="0016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6796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strycek</dc:creator>
  <cp:keywords/>
  <dc:description/>
  <cp:lastModifiedBy>Vaňo Marián</cp:lastModifiedBy>
  <cp:revision>2</cp:revision>
  <cp:lastPrinted>2019-03-07T09:05:00Z</cp:lastPrinted>
  <dcterms:created xsi:type="dcterms:W3CDTF">2019-03-08T08:46:00Z</dcterms:created>
  <dcterms:modified xsi:type="dcterms:W3CDTF">2019-03-08T08:46:00Z</dcterms:modified>
</cp:coreProperties>
</file>