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Pr="00CE2A70" w:rsidRDefault="00B34E23" w:rsidP="00C579E9">
      <w:pPr>
        <w:pStyle w:val="Normlnywebov"/>
        <w:spacing w:before="0" w:beforeAutospacing="0" w:after="0" w:afterAutospacing="0"/>
        <w:jc w:val="center"/>
        <w:rPr>
          <w:b/>
          <w:bCs/>
          <w:szCs w:val="28"/>
        </w:rPr>
      </w:pPr>
      <w:bookmarkStart w:id="0" w:name="_GoBack"/>
      <w:bookmarkEnd w:id="0"/>
      <w:r w:rsidRPr="00CE2A70">
        <w:rPr>
          <w:b/>
          <w:bCs/>
          <w:szCs w:val="28"/>
        </w:rPr>
        <w:t>D</w:t>
      </w:r>
      <w:r w:rsidR="00C579E9" w:rsidRPr="00CE2A70">
        <w:rPr>
          <w:b/>
          <w:bCs/>
          <w:szCs w:val="28"/>
        </w:rPr>
        <w:t xml:space="preserve">oložka </w:t>
      </w:r>
      <w:r w:rsidRPr="00CE2A70">
        <w:rPr>
          <w:b/>
          <w:bCs/>
          <w:szCs w:val="28"/>
        </w:rPr>
        <w:t>vybraných vplyvov</w:t>
      </w:r>
    </w:p>
    <w:p w:rsidR="00636D1D" w:rsidRDefault="00636D1D"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636D1D">
        <w:trPr>
          <w:divId w:val="1729500444"/>
          <w:jc w:val="center"/>
        </w:trPr>
        <w:tc>
          <w:tcPr>
            <w:tcW w:w="250" w:type="pct"/>
            <w:gridSpan w:val="2"/>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1.  Základné údaje</w:t>
            </w:r>
          </w:p>
        </w:tc>
      </w:tr>
      <w:tr w:rsidR="00636D1D">
        <w:trPr>
          <w:divId w:val="1729500444"/>
          <w:trHeight w:val="450"/>
          <w:jc w:val="center"/>
        </w:trPr>
        <w:tc>
          <w:tcPr>
            <w:tcW w:w="250" w:type="pct"/>
            <w:gridSpan w:val="2"/>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Názov materiálu</w:t>
            </w:r>
          </w:p>
        </w:tc>
      </w:tr>
      <w:tr w:rsidR="00636D1D">
        <w:trPr>
          <w:divId w:val="1729500444"/>
          <w:trHeight w:val="450"/>
          <w:jc w:val="center"/>
        </w:trPr>
        <w:tc>
          <w:tcPr>
            <w:tcW w:w="250" w:type="pct"/>
            <w:gridSpan w:val="2"/>
            <w:tcBorders>
              <w:top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 xml:space="preserve">Zákon o prevencii a manažmente introdukcie a šírenia inváznych nepôvodných druhov a o zmene a doplnení niektorých zákonov </w:t>
            </w:r>
          </w:p>
        </w:tc>
      </w:tr>
      <w:tr w:rsidR="00636D1D">
        <w:trPr>
          <w:divId w:val="1729500444"/>
          <w:trHeight w:val="450"/>
          <w:jc w:val="center"/>
        </w:trPr>
        <w:tc>
          <w:tcPr>
            <w:tcW w:w="250" w:type="pct"/>
            <w:gridSpan w:val="2"/>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Predkladateľ (a spolupredkladateľ)</w:t>
            </w:r>
          </w:p>
        </w:tc>
      </w:tr>
      <w:tr w:rsidR="00636D1D">
        <w:trPr>
          <w:divId w:val="1729500444"/>
          <w:trHeight w:val="450"/>
          <w:jc w:val="center"/>
        </w:trPr>
        <w:tc>
          <w:tcPr>
            <w:tcW w:w="250" w:type="pct"/>
            <w:gridSpan w:val="2"/>
            <w:tcBorders>
              <w:top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Ministerstvo životného prostredia Slovenskej republiky</w:t>
            </w:r>
          </w:p>
        </w:tc>
      </w:tr>
      <w:tr w:rsidR="00636D1D">
        <w:trPr>
          <w:divId w:val="1729500444"/>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636D1D" w:rsidRDefault="00636D1D">
            <w:pPr>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636D1D">
        <w:trPr>
          <w:divId w:val="1729500444"/>
          <w:trHeight w:val="255"/>
          <w:jc w:val="center"/>
        </w:trPr>
        <w:tc>
          <w:tcPr>
            <w:tcW w:w="0" w:type="auto"/>
            <w:vMerge/>
            <w:tcBorders>
              <w:top w:val="outset" w:sz="6" w:space="0" w:color="000000"/>
              <w:bottom w:val="outset" w:sz="6" w:space="0" w:color="000000"/>
              <w:right w:val="outset" w:sz="6" w:space="0" w:color="000000"/>
            </w:tcBorders>
            <w:vAlign w:val="center"/>
            <w:hideMark/>
          </w:tcPr>
          <w:p w:rsidR="00636D1D" w:rsidRDefault="00636D1D">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636D1D">
        <w:trPr>
          <w:divId w:val="1729500444"/>
          <w:trHeight w:val="255"/>
          <w:jc w:val="center"/>
        </w:trPr>
        <w:tc>
          <w:tcPr>
            <w:tcW w:w="0" w:type="auto"/>
            <w:vMerge/>
            <w:tcBorders>
              <w:top w:val="outset" w:sz="6" w:space="0" w:color="000000"/>
              <w:bottom w:val="outset" w:sz="6" w:space="0" w:color="000000"/>
              <w:right w:val="outset" w:sz="6" w:space="0" w:color="000000"/>
            </w:tcBorders>
            <w:vAlign w:val="center"/>
            <w:hideMark/>
          </w:tcPr>
          <w:p w:rsidR="00636D1D" w:rsidRDefault="00636D1D">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636D1D">
        <w:trPr>
          <w:divId w:val="1729500444"/>
          <w:trHeight w:val="675"/>
          <w:jc w:val="center"/>
        </w:trPr>
        <w:tc>
          <w:tcPr>
            <w:tcW w:w="0" w:type="auto"/>
            <w:gridSpan w:val="2"/>
            <w:tcBorders>
              <w:top w:val="outset" w:sz="6" w:space="0" w:color="000000"/>
              <w:bottom w:val="outset" w:sz="6" w:space="0" w:color="000000"/>
            </w:tcBorders>
            <w:hideMark/>
          </w:tcPr>
          <w:p w:rsidR="00636D1D" w:rsidRDefault="00636D1D">
            <w:pPr>
              <w:rPr>
                <w:rFonts w:ascii="Times" w:hAnsi="Times" w:cs="Times"/>
                <w:sz w:val="20"/>
                <w:szCs w:val="20"/>
              </w:rPr>
            </w:pPr>
          </w:p>
        </w:tc>
      </w:tr>
      <w:tr w:rsidR="00636D1D">
        <w:trPr>
          <w:divId w:val="1729500444"/>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Začiatok:    1.7.2016</w:t>
            </w:r>
            <w:r>
              <w:rPr>
                <w:rFonts w:ascii="Times" w:hAnsi="Times" w:cs="Times"/>
                <w:sz w:val="20"/>
                <w:szCs w:val="20"/>
              </w:rPr>
              <w:br/>
              <w:t>Ukončenie: 7.7.2016</w:t>
            </w:r>
          </w:p>
        </w:tc>
      </w:tr>
      <w:tr w:rsidR="00636D1D">
        <w:trPr>
          <w:divId w:val="1729500444"/>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11.07.2016</w:t>
            </w:r>
          </w:p>
        </w:tc>
      </w:tr>
      <w:tr w:rsidR="00636D1D">
        <w:trPr>
          <w:divId w:val="1729500444"/>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636D1D" w:rsidRDefault="00B10185">
            <w:pPr>
              <w:rPr>
                <w:rFonts w:ascii="Times" w:hAnsi="Times" w:cs="Times"/>
                <w:sz w:val="20"/>
                <w:szCs w:val="20"/>
              </w:rPr>
            </w:pPr>
            <w:r>
              <w:rPr>
                <w:rFonts w:ascii="Times" w:hAnsi="Times" w:cs="Times"/>
                <w:sz w:val="20"/>
                <w:szCs w:val="20"/>
              </w:rPr>
              <w:t>marec</w:t>
            </w:r>
            <w:r w:rsidR="00A61696">
              <w:rPr>
                <w:rFonts w:ascii="Times" w:hAnsi="Times" w:cs="Times"/>
                <w:sz w:val="20"/>
                <w:szCs w:val="20"/>
              </w:rPr>
              <w:t xml:space="preserve"> </w:t>
            </w:r>
            <w:r w:rsidR="00636D1D">
              <w:rPr>
                <w:rFonts w:ascii="Times" w:hAnsi="Times" w:cs="Times"/>
                <w:sz w:val="20"/>
                <w:szCs w:val="20"/>
              </w:rPr>
              <w:t>201</w:t>
            </w:r>
            <w:r w:rsidR="00A61696">
              <w:rPr>
                <w:rFonts w:ascii="Times" w:hAnsi="Times" w:cs="Times"/>
                <w:sz w:val="20"/>
                <w:szCs w:val="20"/>
              </w:rPr>
              <w:t>9</w:t>
            </w:r>
          </w:p>
        </w:tc>
      </w:tr>
    </w:tbl>
    <w:p w:rsidR="007025E5" w:rsidRPr="007025E5" w:rsidRDefault="007025E5" w:rsidP="007025E5">
      <w:pPr>
        <w:rPr>
          <w:vanish/>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2.  Definícia problému</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636D1D" w:rsidRDefault="00636D1D" w:rsidP="00CE2A70">
            <w:pPr>
              <w:jc w:val="both"/>
              <w:rPr>
                <w:rFonts w:ascii="Times" w:hAnsi="Times" w:cs="Times"/>
                <w:sz w:val="20"/>
                <w:szCs w:val="20"/>
              </w:rPr>
            </w:pPr>
            <w:r>
              <w:rPr>
                <w:rFonts w:ascii="Times" w:hAnsi="Times" w:cs="Times"/>
                <w:sz w:val="20"/>
                <w:szCs w:val="20"/>
              </w:rPr>
              <w:t xml:space="preserve">Implementácia nariadenia Európskeho parlamentu a Rady (EÚ) č. 1143/2014 z 22. októbra 2014 o prevencii a manažmente introdukcie a šírenia inváznych nepôvodných druhov (ďalej len „nariadenie EÚ“) do legislatívy Slovenskej republiky a jej zosúladenie s existujúcou právnou úpravou týkajúcou sa problematiky inváznych nepôvodných druhov. </w:t>
            </w:r>
          </w:p>
        </w:tc>
      </w:tr>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3.  Ciele a výsledný stav</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636D1D" w:rsidRDefault="00636D1D" w:rsidP="00CE2A70">
            <w:pPr>
              <w:jc w:val="both"/>
              <w:rPr>
                <w:rFonts w:ascii="Times" w:hAnsi="Times" w:cs="Times"/>
                <w:sz w:val="20"/>
                <w:szCs w:val="20"/>
              </w:rPr>
            </w:pPr>
            <w:r>
              <w:rPr>
                <w:rFonts w:ascii="Times" w:hAnsi="Times" w:cs="Times"/>
                <w:sz w:val="20"/>
                <w:szCs w:val="20"/>
              </w:rPr>
              <w:t>Kompatibilita národnej legislatívy s legislatívou Európskej Únie, efektívne riešenie problematiky inváznych nepôvodných druhov a minimalizácia ich negatívneho vplyvu na pôvodné druhy a biotopy, zavedenie účinného systému kontrol a zhromažďovania údajov o inváznych nepôvodných druhoch a následné nastavenie účinných opatrení na ich odstránenie.</w:t>
            </w:r>
          </w:p>
        </w:tc>
      </w:tr>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4.  Dotknuté subjekty</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CE2A70" w:rsidRDefault="00636D1D" w:rsidP="00CE2A70">
            <w:pPr>
              <w:jc w:val="both"/>
              <w:rPr>
                <w:rFonts w:ascii="Times" w:hAnsi="Times" w:cs="Times"/>
                <w:sz w:val="20"/>
                <w:szCs w:val="20"/>
              </w:rPr>
            </w:pPr>
            <w:r>
              <w:rPr>
                <w:rFonts w:ascii="Times" w:hAnsi="Times" w:cs="Times"/>
                <w:sz w:val="20"/>
                <w:szCs w:val="20"/>
              </w:rPr>
              <w:t>Ovplyvnené budú subjekty a osoby, ktoré:</w:t>
            </w:r>
          </w:p>
          <w:p w:rsidR="00CE2A70" w:rsidRDefault="00636D1D" w:rsidP="00CE2A70">
            <w:pPr>
              <w:jc w:val="both"/>
              <w:rPr>
                <w:rFonts w:ascii="Times" w:hAnsi="Times" w:cs="Times"/>
                <w:sz w:val="20"/>
                <w:szCs w:val="20"/>
              </w:rPr>
            </w:pPr>
            <w:r>
              <w:rPr>
                <w:rFonts w:ascii="Times" w:hAnsi="Times" w:cs="Times"/>
                <w:sz w:val="20"/>
                <w:szCs w:val="20"/>
              </w:rPr>
              <w:t>- hospodária na poľnohospodárskej pôde alebo lesných pozemkoch (v prípade, že sa na týchto pozemkoch zaznamená výsky</w:t>
            </w:r>
            <w:r w:rsidR="00CE2A70">
              <w:rPr>
                <w:rFonts w:ascii="Times" w:hAnsi="Times" w:cs="Times"/>
                <w:sz w:val="20"/>
                <w:szCs w:val="20"/>
              </w:rPr>
              <w:t>t inváznych nepôvodných druhov),</w:t>
            </w:r>
          </w:p>
          <w:p w:rsidR="00CE2A70" w:rsidRDefault="00636D1D" w:rsidP="00CE2A70">
            <w:pPr>
              <w:jc w:val="both"/>
              <w:rPr>
                <w:rFonts w:ascii="Times" w:hAnsi="Times" w:cs="Times"/>
                <w:sz w:val="20"/>
                <w:szCs w:val="20"/>
              </w:rPr>
            </w:pPr>
            <w:r>
              <w:rPr>
                <w:rFonts w:ascii="Times" w:hAnsi="Times" w:cs="Times"/>
                <w:sz w:val="20"/>
                <w:szCs w:val="20"/>
              </w:rPr>
              <w:t>- podnikajú v oblasti obchodu so živými rastlinami alebo živočíchmi, ktoré budú uvedené v zozname inváznych nepôvodných druhov vzbudzujúcich obavy únie (ďalej len „zoznam EÚ“) alebo zozname inváznych nepôvodných druhov národného významu (ďalej len „národný zoznam“) alebo tieto živočíchy alebo rastliny chovajú a pestujú za účelom zisku (napr. kožušinové zvieratá)</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podnikajú v oblasti rybolovu a</w:t>
            </w:r>
            <w:r w:rsidR="00CE2A70">
              <w:rPr>
                <w:rFonts w:ascii="Times" w:hAnsi="Times" w:cs="Times"/>
                <w:sz w:val="20"/>
                <w:szCs w:val="20"/>
              </w:rPr>
              <w:t> </w:t>
            </w:r>
            <w:r>
              <w:rPr>
                <w:rFonts w:ascii="Times" w:hAnsi="Times" w:cs="Times"/>
                <w:sz w:val="20"/>
                <w:szCs w:val="20"/>
              </w:rPr>
              <w:t>akvakutúry</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sa zaoberajú lovom, odchytom živočíchov a súvisiacimi službami</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xml:space="preserve">Z hľadiska orgánov štátnej správy </w:t>
            </w:r>
            <w:r w:rsidR="00762DA9">
              <w:rPr>
                <w:rFonts w:ascii="Times" w:hAnsi="Times" w:cs="Times"/>
                <w:sz w:val="20"/>
                <w:szCs w:val="20"/>
              </w:rPr>
              <w:t xml:space="preserve">a nimi zriadených odborných organizácií </w:t>
            </w:r>
            <w:r>
              <w:rPr>
                <w:rFonts w:ascii="Times" w:hAnsi="Times" w:cs="Times"/>
                <w:sz w:val="20"/>
                <w:szCs w:val="20"/>
              </w:rPr>
              <w:t>pribudnú kompetencie:</w:t>
            </w:r>
          </w:p>
          <w:p w:rsidR="00CE2A70" w:rsidRDefault="00636D1D" w:rsidP="00CE2A70">
            <w:pPr>
              <w:jc w:val="both"/>
              <w:rPr>
                <w:rFonts w:ascii="Times" w:hAnsi="Times" w:cs="Times"/>
                <w:sz w:val="20"/>
                <w:szCs w:val="20"/>
              </w:rPr>
            </w:pPr>
            <w:r>
              <w:rPr>
                <w:rFonts w:ascii="Times" w:hAnsi="Times" w:cs="Times"/>
                <w:sz w:val="20"/>
                <w:szCs w:val="20"/>
              </w:rPr>
              <w:t>- Ministerstvu životného prostredia Slovenskej republiky</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Štátnej ochrane prírody Slovenskej republiky</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Zoologickej záhrade Bojnice</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Štátnej veterinárnej a potravinovej správe Slovenskej republiky</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Ústrednému kontrolnému a skúšobný ústavu poľnohospodárskemu v</w:t>
            </w:r>
            <w:r w:rsidR="00CE2A70">
              <w:rPr>
                <w:rFonts w:ascii="Times" w:hAnsi="Times" w:cs="Times"/>
                <w:sz w:val="20"/>
                <w:szCs w:val="20"/>
              </w:rPr>
              <w:t> </w:t>
            </w:r>
            <w:r>
              <w:rPr>
                <w:rFonts w:ascii="Times" w:hAnsi="Times" w:cs="Times"/>
                <w:sz w:val="20"/>
                <w:szCs w:val="20"/>
              </w:rPr>
              <w:t>Bratislave</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Finančnému riaditeľstvu Slovenskej republiky</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Slovenskej inšpekcii životného prostredia</w:t>
            </w:r>
            <w:r w:rsidR="00CE2A70">
              <w:rPr>
                <w:rFonts w:ascii="Times" w:hAnsi="Times" w:cs="Times"/>
                <w:sz w:val="20"/>
                <w:szCs w:val="20"/>
              </w:rPr>
              <w:t>,</w:t>
            </w:r>
          </w:p>
          <w:p w:rsidR="00CE2A70" w:rsidRDefault="00636D1D" w:rsidP="00CE2A70">
            <w:pPr>
              <w:jc w:val="both"/>
              <w:rPr>
                <w:rFonts w:ascii="Times" w:hAnsi="Times" w:cs="Times"/>
                <w:sz w:val="20"/>
                <w:szCs w:val="20"/>
              </w:rPr>
            </w:pPr>
            <w:r>
              <w:rPr>
                <w:rFonts w:ascii="Times" w:hAnsi="Times" w:cs="Times"/>
                <w:sz w:val="20"/>
                <w:szCs w:val="20"/>
              </w:rPr>
              <w:t>- okresným úradom</w:t>
            </w:r>
            <w:r w:rsidR="00CE2A70">
              <w:rPr>
                <w:rFonts w:ascii="Times" w:hAnsi="Times" w:cs="Times"/>
                <w:sz w:val="20"/>
                <w:szCs w:val="20"/>
              </w:rPr>
              <w:t>,</w:t>
            </w:r>
          </w:p>
          <w:p w:rsidR="00636D1D" w:rsidRDefault="00636D1D" w:rsidP="00CE2A70">
            <w:pPr>
              <w:jc w:val="both"/>
              <w:rPr>
                <w:rFonts w:ascii="Times" w:hAnsi="Times" w:cs="Times"/>
                <w:sz w:val="20"/>
                <w:szCs w:val="20"/>
              </w:rPr>
            </w:pPr>
            <w:r>
              <w:rPr>
                <w:rFonts w:ascii="Times" w:hAnsi="Times" w:cs="Times"/>
                <w:sz w:val="20"/>
                <w:szCs w:val="20"/>
              </w:rPr>
              <w:t>- obciam</w:t>
            </w:r>
            <w:r w:rsidR="00CE2A70">
              <w:rPr>
                <w:rFonts w:ascii="Times" w:hAnsi="Times" w:cs="Times"/>
                <w:sz w:val="20"/>
                <w:szCs w:val="20"/>
              </w:rPr>
              <w:t>.</w:t>
            </w:r>
          </w:p>
        </w:tc>
      </w:tr>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5.  Alternatívne riešenia</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Nie sú alternatívne riešenia.</w:t>
            </w:r>
          </w:p>
        </w:tc>
      </w:tr>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lastRenderedPageBreak/>
              <w:t>  6.  Vykonávacie predpisy</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 prijatie vykonávacej vyhlášky k návrhu zákona - zmena a doplnenie vyhlášky Ministerstva životného prostredia Slovenskej republiky č. 24/2003 Z. z., ktorou sa vykonáva zákon č. 543/2002 Z. z. o ochrane prírody a krajiny v znení neskorších predpisov - prijatie vykonávacieho predpisu k nariadeniu EÚ, ktorým sa ustanoví zoznam inváznych nepôvodných druhov vzbudzujúcich obavy Únie </w:t>
            </w:r>
          </w:p>
        </w:tc>
      </w:tr>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xml:space="preserve">  7.  Transpozícia práva EÚ </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Návrh zákona nejde nad rámec požiadaviek vyplývajúcich z nariadenia EÚ, nastavuje systém riešení jednotlivých okruhov problémov v rámci existujúcich národných systémov a preberá problematiku inváznych nepôvodných druhov zo zákona č. 543/2002 Z. z. o ochrane prírody a krajiny v znení neskorších predpisov.</w:t>
            </w:r>
          </w:p>
        </w:tc>
      </w:tr>
      <w:tr w:rsidR="00636D1D" w:rsidTr="00CE2A70">
        <w:trPr>
          <w:divId w:val="1729500445"/>
          <w:jc w:val="center"/>
        </w:trPr>
        <w:tc>
          <w:tcPr>
            <w:tcW w:w="500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8.  Preskúmanie účelnosti**</w:t>
            </w:r>
          </w:p>
        </w:tc>
      </w:tr>
      <w:tr w:rsidR="00636D1D" w:rsidTr="00CE2A70">
        <w:trPr>
          <w:divId w:val="1729500445"/>
          <w:trHeight w:val="600"/>
          <w:jc w:val="center"/>
        </w:trPr>
        <w:tc>
          <w:tcPr>
            <w:tcW w:w="5000" w:type="pct"/>
            <w:tcBorders>
              <w:top w:val="outset" w:sz="6" w:space="0" w:color="000000"/>
              <w:bottom w:val="outset" w:sz="6" w:space="0" w:color="000000"/>
            </w:tcBorders>
            <w:hideMark/>
          </w:tcPr>
          <w:p w:rsidR="00636D1D" w:rsidRDefault="00636D1D">
            <w:pPr>
              <w:rPr>
                <w:rFonts w:ascii="Times" w:hAnsi="Times" w:cs="Times"/>
                <w:b/>
                <w:bCs/>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636D1D" w:rsidRDefault="00636D1D"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636D1D">
        <w:trPr>
          <w:divId w:val="1729500443"/>
          <w:trHeight w:val="450"/>
          <w:jc w:val="center"/>
        </w:trPr>
        <w:tc>
          <w:tcPr>
            <w:tcW w:w="250" w:type="pct"/>
            <w:gridSpan w:val="4"/>
            <w:tcBorders>
              <w:top w:val="outset" w:sz="6" w:space="0" w:color="000000"/>
              <w:bottom w:val="outset" w:sz="6" w:space="0" w:color="000000"/>
            </w:tcBorders>
            <w:shd w:val="clear" w:color="auto" w:fill="E6E6E6"/>
            <w:hideMark/>
          </w:tcPr>
          <w:p w:rsidR="00636D1D" w:rsidRDefault="00636D1D">
            <w:pPr>
              <w:rPr>
                <w:rFonts w:ascii="Times" w:hAnsi="Times" w:cs="Times"/>
                <w:b/>
                <w:bCs/>
                <w:sz w:val="20"/>
                <w:szCs w:val="20"/>
              </w:rPr>
            </w:pPr>
            <w:r>
              <w:rPr>
                <w:rFonts w:ascii="Times" w:hAnsi="Times" w:cs="Times"/>
                <w:b/>
                <w:bCs/>
                <w:sz w:val="20"/>
                <w:szCs w:val="20"/>
              </w:rPr>
              <w:t>  9.   Vplyvy navrhovaného materiálu</w:t>
            </w:r>
          </w:p>
        </w:tc>
      </w:tr>
      <w:tr w:rsidR="00636D1D">
        <w:trPr>
          <w:divId w:val="1729500443"/>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636D1D" w:rsidRDefault="00636D1D">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636D1D">
        <w:trPr>
          <w:divId w:val="1729500443"/>
          <w:trHeight w:val="270"/>
          <w:jc w:val="center"/>
        </w:trPr>
        <w:tc>
          <w:tcPr>
            <w:tcW w:w="0" w:type="auto"/>
            <w:vMerge/>
            <w:tcBorders>
              <w:top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636D1D">
        <w:trPr>
          <w:divId w:val="1729500443"/>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636D1D" w:rsidRDefault="00636D1D">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636D1D">
        <w:trPr>
          <w:divId w:val="1729500443"/>
          <w:trHeight w:val="270"/>
          <w:jc w:val="center"/>
        </w:trPr>
        <w:tc>
          <w:tcPr>
            <w:tcW w:w="0" w:type="auto"/>
            <w:vMerge/>
            <w:tcBorders>
              <w:top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636D1D">
        <w:trPr>
          <w:divId w:val="172950044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636D1D" w:rsidRDefault="00636D1D">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636D1D">
        <w:trPr>
          <w:divId w:val="172950044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636D1D" w:rsidRDefault="00636D1D">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636D1D">
        <w:trPr>
          <w:divId w:val="172950044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636D1D" w:rsidRDefault="00636D1D">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636D1D">
        <w:trPr>
          <w:divId w:val="1729500443"/>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636D1D" w:rsidRDefault="00636D1D">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636D1D">
        <w:trPr>
          <w:divId w:val="1729500443"/>
          <w:trHeight w:val="150"/>
          <w:jc w:val="center"/>
        </w:trPr>
        <w:tc>
          <w:tcPr>
            <w:tcW w:w="0" w:type="auto"/>
            <w:vMerge/>
            <w:tcBorders>
              <w:top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636D1D" w:rsidRDefault="00636D1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636D1D" w:rsidRDefault="00636D1D"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636D1D">
        <w:trPr>
          <w:divId w:val="1729500440"/>
          <w:jc w:val="center"/>
        </w:trPr>
        <w:tc>
          <w:tcPr>
            <w:tcW w:w="25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10.  Poznámky</w:t>
            </w:r>
          </w:p>
        </w:tc>
      </w:tr>
      <w:tr w:rsidR="00636D1D">
        <w:trPr>
          <w:divId w:val="1729500440"/>
          <w:trHeight w:val="600"/>
          <w:jc w:val="center"/>
        </w:trPr>
        <w:tc>
          <w:tcPr>
            <w:tcW w:w="250" w:type="pct"/>
            <w:tcBorders>
              <w:top w:val="outset" w:sz="6" w:space="0" w:color="000000"/>
              <w:bottom w:val="outset" w:sz="6" w:space="0" w:color="000000"/>
            </w:tcBorders>
            <w:hideMark/>
          </w:tcPr>
          <w:p w:rsidR="00636D1D" w:rsidRDefault="00636D1D" w:rsidP="00B10185">
            <w:pPr>
              <w:rPr>
                <w:rFonts w:ascii="Times" w:hAnsi="Times" w:cs="Times"/>
                <w:sz w:val="20"/>
                <w:szCs w:val="20"/>
              </w:rPr>
            </w:pPr>
            <w:r>
              <w:rPr>
                <w:rFonts w:ascii="Times" w:hAnsi="Times" w:cs="Times"/>
                <w:sz w:val="20"/>
                <w:szCs w:val="20"/>
              </w:rPr>
              <w:t>Návrh zákona implementuje nariadenie EÚ. Výška nákladov spojených s prijatím návrhu zákona bude priamo závisieť od</w:t>
            </w:r>
            <w:r w:rsidR="00B10185">
              <w:rPr>
                <w:rFonts w:ascii="Times" w:hAnsi="Times" w:cs="Times"/>
                <w:sz w:val="20"/>
                <w:szCs w:val="20"/>
              </w:rPr>
              <w:t xml:space="preserve"> ďalších</w:t>
            </w:r>
            <w:r>
              <w:rPr>
                <w:rFonts w:ascii="Times" w:hAnsi="Times" w:cs="Times"/>
                <w:sz w:val="20"/>
                <w:szCs w:val="20"/>
              </w:rPr>
              <w:t xml:space="preserve"> </w:t>
            </w:r>
            <w:r w:rsidR="00762DA9">
              <w:rPr>
                <w:rFonts w:ascii="Times" w:hAnsi="Times" w:cs="Times"/>
                <w:sz w:val="20"/>
                <w:szCs w:val="20"/>
              </w:rPr>
              <w:t>rozširovan</w:t>
            </w:r>
            <w:r w:rsidR="00B10185">
              <w:rPr>
                <w:rFonts w:ascii="Times" w:hAnsi="Times" w:cs="Times"/>
                <w:sz w:val="20"/>
                <w:szCs w:val="20"/>
              </w:rPr>
              <w:t>í</w:t>
            </w:r>
            <w:r w:rsidR="00762DA9">
              <w:rPr>
                <w:rFonts w:ascii="Times" w:hAnsi="Times" w:cs="Times"/>
                <w:sz w:val="20"/>
                <w:szCs w:val="20"/>
              </w:rPr>
              <w:t xml:space="preserve"> zoznamu  </w:t>
            </w:r>
            <w:r>
              <w:rPr>
                <w:rFonts w:ascii="Times" w:hAnsi="Times" w:cs="Times"/>
                <w:sz w:val="20"/>
                <w:szCs w:val="20"/>
              </w:rPr>
              <w:t>inváznych nepôvodných druhov</w:t>
            </w:r>
            <w:r w:rsidR="00762DA9">
              <w:rPr>
                <w:rFonts w:ascii="Times" w:hAnsi="Times" w:cs="Times"/>
                <w:sz w:val="20"/>
                <w:szCs w:val="20"/>
              </w:rPr>
              <w:t xml:space="preserve"> vzbudzujúcich obavy </w:t>
            </w:r>
            <w:r>
              <w:rPr>
                <w:rFonts w:ascii="Times" w:hAnsi="Times" w:cs="Times"/>
                <w:sz w:val="20"/>
                <w:szCs w:val="20"/>
              </w:rPr>
              <w:t xml:space="preserve"> Únie</w:t>
            </w:r>
            <w:r w:rsidR="00B10185">
              <w:rPr>
                <w:rFonts w:ascii="Times" w:hAnsi="Times" w:cs="Times"/>
                <w:sz w:val="20"/>
                <w:szCs w:val="20"/>
              </w:rPr>
              <w:t>, ktoré bude uskutočňované prijímaním vykonávacích nariadení Európskej komisie.</w:t>
            </w:r>
            <w:r>
              <w:rPr>
                <w:rFonts w:ascii="Times" w:hAnsi="Times" w:cs="Times"/>
                <w:sz w:val="20"/>
                <w:szCs w:val="20"/>
              </w:rPr>
              <w:t xml:space="preserve"> </w:t>
            </w:r>
          </w:p>
        </w:tc>
      </w:tr>
      <w:tr w:rsidR="00636D1D">
        <w:trPr>
          <w:divId w:val="1729500440"/>
          <w:jc w:val="center"/>
        </w:trPr>
        <w:tc>
          <w:tcPr>
            <w:tcW w:w="25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11.  Kontakt na spracovateľa</w:t>
            </w:r>
          </w:p>
        </w:tc>
      </w:tr>
      <w:tr w:rsidR="00636D1D">
        <w:trPr>
          <w:divId w:val="1729500440"/>
          <w:trHeight w:val="600"/>
          <w:jc w:val="center"/>
        </w:trPr>
        <w:tc>
          <w:tcPr>
            <w:tcW w:w="250" w:type="pct"/>
            <w:tcBorders>
              <w:top w:val="outset" w:sz="6" w:space="0" w:color="000000"/>
              <w:bottom w:val="outset" w:sz="6" w:space="0" w:color="000000"/>
            </w:tcBorders>
            <w:hideMark/>
          </w:tcPr>
          <w:p w:rsidR="00636D1D" w:rsidRDefault="00636D1D" w:rsidP="007E7FB6">
            <w:pPr>
              <w:rPr>
                <w:rFonts w:ascii="Times" w:hAnsi="Times" w:cs="Times"/>
                <w:sz w:val="20"/>
                <w:szCs w:val="20"/>
              </w:rPr>
            </w:pPr>
            <w:r>
              <w:rPr>
                <w:rFonts w:ascii="Times" w:hAnsi="Times" w:cs="Times"/>
                <w:sz w:val="20"/>
                <w:szCs w:val="20"/>
              </w:rPr>
              <w:t xml:space="preserve">Ing. Peter Maňka, PhD., </w:t>
            </w:r>
            <w:r>
              <w:rPr>
                <w:rFonts w:ascii="Times" w:hAnsi="Times" w:cs="Times"/>
                <w:sz w:val="20"/>
                <w:szCs w:val="20"/>
              </w:rPr>
              <w:br/>
              <w:t>Ministerstvo životného prostredia SR,</w:t>
            </w:r>
            <w:r>
              <w:rPr>
                <w:rFonts w:ascii="Times" w:hAnsi="Times" w:cs="Times"/>
                <w:sz w:val="20"/>
                <w:szCs w:val="20"/>
              </w:rPr>
              <w:br/>
              <w:t>peter.manka@enviro.gov.sk</w:t>
            </w:r>
            <w:r>
              <w:rPr>
                <w:rFonts w:ascii="Times" w:hAnsi="Times" w:cs="Times"/>
                <w:sz w:val="20"/>
                <w:szCs w:val="20"/>
              </w:rPr>
              <w:br/>
              <w:t xml:space="preserve">Odbor ochrany biodiverzity a </w:t>
            </w:r>
            <w:r w:rsidR="007E7FB6">
              <w:rPr>
                <w:rFonts w:ascii="Times" w:hAnsi="Times" w:cs="Times"/>
                <w:sz w:val="20"/>
                <w:szCs w:val="20"/>
              </w:rPr>
              <w:t>krajiny</w:t>
            </w:r>
            <w:r>
              <w:rPr>
                <w:rFonts w:ascii="Times" w:hAnsi="Times" w:cs="Times"/>
                <w:sz w:val="20"/>
                <w:szCs w:val="20"/>
              </w:rPr>
              <w:t xml:space="preserve">, </w:t>
            </w:r>
            <w:r>
              <w:rPr>
                <w:rFonts w:ascii="Times" w:hAnsi="Times" w:cs="Times"/>
                <w:sz w:val="20"/>
                <w:szCs w:val="20"/>
              </w:rPr>
              <w:br/>
              <w:t>Sekcia ochrany prírody, biodiverzity a krajiny</w:t>
            </w:r>
            <w:r>
              <w:rPr>
                <w:rFonts w:ascii="Times" w:hAnsi="Times" w:cs="Times"/>
                <w:sz w:val="20"/>
                <w:szCs w:val="20"/>
              </w:rPr>
              <w:br/>
              <w:t>Námestie Ľ. Štúra 1</w:t>
            </w:r>
            <w:r>
              <w:rPr>
                <w:rFonts w:ascii="Times" w:hAnsi="Times" w:cs="Times"/>
                <w:sz w:val="20"/>
                <w:szCs w:val="20"/>
              </w:rPr>
              <w:br/>
              <w:t>812 35 Bratislava</w:t>
            </w:r>
            <w:r>
              <w:rPr>
                <w:rFonts w:ascii="Times" w:hAnsi="Times" w:cs="Times"/>
                <w:sz w:val="20"/>
                <w:szCs w:val="20"/>
              </w:rPr>
              <w:br/>
              <w:t>Slovenská republika</w:t>
            </w:r>
            <w:r>
              <w:rPr>
                <w:rFonts w:ascii="Times" w:hAnsi="Times" w:cs="Times"/>
                <w:sz w:val="20"/>
                <w:szCs w:val="20"/>
              </w:rPr>
              <w:br/>
            </w:r>
            <w:r>
              <w:rPr>
                <w:rFonts w:ascii="Times" w:hAnsi="Times" w:cs="Times"/>
                <w:sz w:val="20"/>
                <w:szCs w:val="20"/>
              </w:rPr>
              <w:br/>
              <w:t>Tel. +421 2 5956 2413, Mobil: +421 917 607 199,</w:t>
            </w:r>
            <w:r>
              <w:rPr>
                <w:rFonts w:ascii="Times" w:hAnsi="Times" w:cs="Times"/>
                <w:sz w:val="20"/>
                <w:szCs w:val="20"/>
              </w:rPr>
              <w:br/>
              <w:t>peter.manka@enviro.gov.sk</w:t>
            </w:r>
          </w:p>
        </w:tc>
      </w:tr>
      <w:tr w:rsidR="00636D1D">
        <w:trPr>
          <w:divId w:val="1729500440"/>
          <w:jc w:val="center"/>
        </w:trPr>
        <w:tc>
          <w:tcPr>
            <w:tcW w:w="25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t>  12.  Zdroje</w:t>
            </w:r>
          </w:p>
        </w:tc>
      </w:tr>
      <w:tr w:rsidR="00636D1D">
        <w:trPr>
          <w:divId w:val="1729500440"/>
          <w:trHeight w:val="600"/>
          <w:jc w:val="center"/>
        </w:trPr>
        <w:tc>
          <w:tcPr>
            <w:tcW w:w="250" w:type="pct"/>
            <w:tcBorders>
              <w:top w:val="outset" w:sz="6" w:space="0" w:color="000000"/>
              <w:bottom w:val="outset" w:sz="6" w:space="0" w:color="000000"/>
            </w:tcBorders>
            <w:hideMark/>
          </w:tcPr>
          <w:p w:rsidR="00636D1D" w:rsidRDefault="00636D1D">
            <w:pPr>
              <w:rPr>
                <w:rFonts w:ascii="Times" w:hAnsi="Times" w:cs="Times"/>
                <w:sz w:val="20"/>
                <w:szCs w:val="20"/>
              </w:rPr>
            </w:pPr>
            <w:r>
              <w:rPr>
                <w:rFonts w:ascii="Times" w:hAnsi="Times" w:cs="Times"/>
                <w:sz w:val="20"/>
                <w:szCs w:val="20"/>
              </w:rPr>
              <w:t xml:space="preserve">Pri príprave doložky vplyvov sa vychádzalo z poznatkov Ministerstva životného prostredia Slovenskej republiky pri uplatňovaní súčasného režimu regulácie inváznych nepôvodných druhov v rámci zákona č. 543/2002 Z. z. o ochrane prírody a krajiny v znení neskorších predpisov, konzultácií s ďalšími orgánmi a organizáciami štátnej správy v oblasti prípravy politík v oblasti životného prostredia, z poznatkov a údajov od Štátnej ochrany prírody </w:t>
            </w:r>
            <w:r>
              <w:rPr>
                <w:rFonts w:ascii="Times" w:hAnsi="Times" w:cs="Times"/>
                <w:sz w:val="20"/>
                <w:szCs w:val="20"/>
              </w:rPr>
              <w:lastRenderedPageBreak/>
              <w:t xml:space="preserve">Slovenskej republiky a hodnotenia dopadov nariadenia EÚ vypracovaného Európskou komisiou (http://eur-lex.europa.eu/legal-content/EN/TXT/PDF/?uri=CELEX:52013SC0321&amp;from=EN). </w:t>
            </w:r>
          </w:p>
        </w:tc>
      </w:tr>
      <w:tr w:rsidR="00636D1D">
        <w:trPr>
          <w:divId w:val="1729500440"/>
          <w:jc w:val="center"/>
        </w:trPr>
        <w:tc>
          <w:tcPr>
            <w:tcW w:w="250" w:type="pct"/>
            <w:tcBorders>
              <w:top w:val="outset" w:sz="6" w:space="0" w:color="000000"/>
              <w:bottom w:val="outset" w:sz="6" w:space="0" w:color="000000"/>
            </w:tcBorders>
            <w:shd w:val="clear" w:color="auto" w:fill="E6E6E6"/>
            <w:hideMark/>
          </w:tcPr>
          <w:p w:rsidR="00636D1D" w:rsidRDefault="00636D1D">
            <w:pPr>
              <w:rPr>
                <w:rFonts w:ascii="Times" w:hAnsi="Times" w:cs="Times"/>
                <w:b/>
                <w:bCs/>
              </w:rPr>
            </w:pPr>
            <w:r>
              <w:rPr>
                <w:rFonts w:ascii="Times" w:hAnsi="Times" w:cs="Times"/>
                <w:b/>
                <w:bCs/>
                <w:sz w:val="22"/>
                <w:szCs w:val="22"/>
              </w:rPr>
              <w:lastRenderedPageBreak/>
              <w:t>  13.  Stanovisko Komisie pre posudzovanie vybraných vplyvov z PPK</w:t>
            </w:r>
          </w:p>
        </w:tc>
      </w:tr>
      <w:tr w:rsidR="00636D1D">
        <w:trPr>
          <w:divId w:val="1729500440"/>
          <w:trHeight w:val="1200"/>
          <w:jc w:val="center"/>
        </w:trPr>
        <w:tc>
          <w:tcPr>
            <w:tcW w:w="250" w:type="pct"/>
            <w:tcBorders>
              <w:top w:val="outset" w:sz="6" w:space="0" w:color="000000"/>
              <w:bottom w:val="outset" w:sz="6" w:space="0" w:color="000000"/>
            </w:tcBorders>
            <w:hideMark/>
          </w:tcPr>
          <w:p w:rsidR="00CE2A70" w:rsidRDefault="00636D1D">
            <w:pPr>
              <w:rPr>
                <w:rFonts w:ascii="Times" w:hAnsi="Times" w:cs="Times"/>
                <w:sz w:val="20"/>
                <w:szCs w:val="20"/>
              </w:rPr>
            </w:pPr>
            <w:r>
              <w:rPr>
                <w:rFonts w:ascii="Times" w:hAnsi="Times" w:cs="Times"/>
                <w:sz w:val="20"/>
                <w:szCs w:val="20"/>
              </w:rPr>
              <w:t>I. Stála pracovná komisia na posudzovanie vybraných vplyvov vyjadrila nesúhlasné stanovisko k materiálu, ktorý bol predložený na predbežné pripomienkové konanie, s odporúčaním na jeho dopracovanie podľa pripomienok v bode II.</w:t>
            </w:r>
          </w:p>
          <w:p w:rsidR="00CE2A70" w:rsidRDefault="00636D1D">
            <w:pPr>
              <w:rPr>
                <w:rFonts w:ascii="Times" w:hAnsi="Times" w:cs="Times"/>
                <w:sz w:val="20"/>
                <w:szCs w:val="20"/>
              </w:rPr>
            </w:pPr>
            <w:r>
              <w:rPr>
                <w:rFonts w:ascii="Times" w:hAnsi="Times" w:cs="Times"/>
                <w:sz w:val="20"/>
                <w:szCs w:val="20"/>
              </w:rPr>
              <w:t>II. Pripomienky a návrhy zmien: Komisia uplatnila k materiálu nasledovné pripomienky a odporúčania:</w:t>
            </w:r>
            <w:r w:rsidR="00B10185">
              <w:rPr>
                <w:rFonts w:ascii="Times" w:hAnsi="Times" w:cs="Times"/>
                <w:sz w:val="20"/>
                <w:szCs w:val="20"/>
              </w:rPr>
              <w:t xml:space="preserve"> </w:t>
            </w:r>
          </w:p>
          <w:p w:rsidR="00CE2A70" w:rsidRDefault="00636D1D">
            <w:pPr>
              <w:rPr>
                <w:rFonts w:ascii="Times" w:hAnsi="Times" w:cs="Times"/>
                <w:sz w:val="20"/>
                <w:szCs w:val="20"/>
              </w:rPr>
            </w:pPr>
            <w:r>
              <w:rPr>
                <w:rFonts w:ascii="Times" w:hAnsi="Times" w:cs="Times"/>
                <w:sz w:val="20"/>
                <w:szCs w:val="20"/>
              </w:rPr>
              <w:t>K doložke vybraných vplyvov a analýze vplyvov na rozpočet verejnej správy</w:t>
            </w:r>
            <w:r w:rsidR="00B10185">
              <w:rPr>
                <w:rFonts w:ascii="Times" w:hAnsi="Times" w:cs="Times"/>
                <w:sz w:val="20"/>
                <w:szCs w:val="20"/>
              </w:rPr>
              <w:t xml:space="preserve"> </w:t>
            </w:r>
          </w:p>
          <w:p w:rsidR="00CE2A70" w:rsidRDefault="00636D1D">
            <w:pPr>
              <w:rPr>
                <w:rFonts w:ascii="Times" w:hAnsi="Times" w:cs="Times"/>
                <w:sz w:val="20"/>
                <w:szCs w:val="20"/>
              </w:rPr>
            </w:pPr>
            <w:r>
              <w:rPr>
                <w:rFonts w:ascii="Times" w:hAnsi="Times" w:cs="Times"/>
                <w:sz w:val="20"/>
                <w:szCs w:val="20"/>
              </w:rPr>
              <w:t>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w:t>
            </w:r>
            <w:r w:rsidR="00B10185">
              <w:rPr>
                <w:rFonts w:ascii="Times" w:hAnsi="Times" w:cs="Times"/>
                <w:sz w:val="20"/>
                <w:szCs w:val="20"/>
              </w:rPr>
              <w:t xml:space="preserve"> </w:t>
            </w:r>
          </w:p>
          <w:p w:rsidR="00CE2A70" w:rsidRDefault="00636D1D">
            <w:pPr>
              <w:rPr>
                <w:rFonts w:ascii="Times" w:hAnsi="Times" w:cs="Times"/>
                <w:sz w:val="20"/>
                <w:szCs w:val="20"/>
              </w:rPr>
            </w:pPr>
            <w:r>
              <w:rPr>
                <w:rFonts w:ascii="Times" w:hAnsi="Times" w:cs="Times"/>
                <w:sz w:val="20"/>
                <w:szCs w:val="20"/>
              </w:rPr>
              <w:t>Vyhodnotenie:</w:t>
            </w:r>
            <w:r w:rsidR="00B10185">
              <w:rPr>
                <w:rFonts w:ascii="Times" w:hAnsi="Times" w:cs="Times"/>
                <w:sz w:val="20"/>
                <w:szCs w:val="20"/>
              </w:rPr>
              <w:t xml:space="preserve"> </w:t>
            </w:r>
          </w:p>
          <w:p w:rsidR="00CE2A70" w:rsidRDefault="00636D1D">
            <w:pPr>
              <w:rPr>
                <w:rFonts w:ascii="Times" w:hAnsi="Times" w:cs="Times"/>
                <w:sz w:val="20"/>
                <w:szCs w:val="20"/>
              </w:rPr>
            </w:pPr>
            <w:r>
              <w:rPr>
                <w:rFonts w:ascii="Times" w:hAnsi="Times" w:cs="Times"/>
                <w:sz w:val="20"/>
                <w:szCs w:val="20"/>
              </w:rPr>
              <w:t>Doložka vybraných vplyvov bola v zmysle pripomienky zosúladená s analýzou vplyvov.</w:t>
            </w:r>
            <w:r w:rsidR="00B10185">
              <w:rPr>
                <w:rFonts w:ascii="Times" w:hAnsi="Times" w:cs="Times"/>
                <w:sz w:val="20"/>
                <w:szCs w:val="20"/>
              </w:rPr>
              <w:t xml:space="preserve"> </w:t>
            </w:r>
          </w:p>
          <w:p w:rsidR="00CE2A70" w:rsidRDefault="00636D1D">
            <w:pPr>
              <w:rPr>
                <w:rFonts w:ascii="Times" w:hAnsi="Times" w:cs="Times"/>
                <w:sz w:val="20"/>
                <w:szCs w:val="20"/>
              </w:rPr>
            </w:pPr>
            <w:r>
              <w:rPr>
                <w:rFonts w:ascii="Times" w:hAnsi="Times" w:cs="Times"/>
                <w:sz w:val="20"/>
                <w:szCs w:val="20"/>
              </w:rPr>
              <w:t>K</w:t>
            </w:r>
            <w:r w:rsidR="00B10185">
              <w:rPr>
                <w:rFonts w:ascii="Times" w:hAnsi="Times" w:cs="Times"/>
                <w:sz w:val="20"/>
                <w:szCs w:val="20"/>
              </w:rPr>
              <w:t> </w:t>
            </w:r>
            <w:r>
              <w:rPr>
                <w:rFonts w:ascii="Times" w:hAnsi="Times" w:cs="Times"/>
                <w:sz w:val="20"/>
                <w:szCs w:val="20"/>
              </w:rPr>
              <w:t>procesu</w:t>
            </w:r>
            <w:r w:rsidR="00B10185">
              <w:rPr>
                <w:rFonts w:ascii="Times" w:hAnsi="Times" w:cs="Times"/>
                <w:sz w:val="20"/>
                <w:szCs w:val="20"/>
              </w:rPr>
              <w:t xml:space="preserve">: </w:t>
            </w:r>
          </w:p>
          <w:p w:rsidR="00CE2A70" w:rsidRDefault="00636D1D" w:rsidP="00CE2A70">
            <w:pPr>
              <w:rPr>
                <w:rFonts w:ascii="Times" w:hAnsi="Times" w:cs="Times"/>
                <w:sz w:val="20"/>
                <w:szCs w:val="20"/>
              </w:rPr>
            </w:pPr>
            <w:r>
              <w:rPr>
                <w:rFonts w:ascii="Times" w:hAnsi="Times" w:cs="Times"/>
                <w:sz w:val="20"/>
                <w:szCs w:val="20"/>
              </w:rPr>
              <w:t>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w:t>
            </w:r>
            <w:r w:rsidR="00B10185">
              <w:rPr>
                <w:rFonts w:ascii="Times" w:hAnsi="Times" w:cs="Times"/>
                <w:sz w:val="20"/>
                <w:szCs w:val="20"/>
              </w:rPr>
              <w:t xml:space="preserve"> </w:t>
            </w:r>
            <w:r>
              <w:rPr>
                <w:rFonts w:ascii="Times" w:hAnsi="Times" w:cs="Times"/>
                <w:sz w:val="20"/>
                <w:szCs w:val="20"/>
              </w:rPr>
              <w:t>Vyhodnotenie:</w:t>
            </w:r>
            <w:r w:rsidR="00B10185">
              <w:rPr>
                <w:rFonts w:ascii="Times" w:hAnsi="Times" w:cs="Times"/>
                <w:sz w:val="20"/>
                <w:szCs w:val="20"/>
              </w:rPr>
              <w:t xml:space="preserve"> </w:t>
            </w:r>
          </w:p>
          <w:p w:rsidR="00CE2A70" w:rsidRDefault="00CE2A70" w:rsidP="00CE2A70">
            <w:pPr>
              <w:rPr>
                <w:rFonts w:ascii="Times" w:hAnsi="Times" w:cs="Times"/>
                <w:sz w:val="20"/>
                <w:szCs w:val="20"/>
              </w:rPr>
            </w:pPr>
            <w:r>
              <w:rPr>
                <w:rFonts w:ascii="Times" w:hAnsi="Times" w:cs="Times"/>
                <w:sz w:val="20"/>
                <w:szCs w:val="20"/>
              </w:rPr>
              <w:t>T</w:t>
            </w:r>
            <w:r w:rsidR="00636D1D">
              <w:rPr>
                <w:rFonts w:ascii="Times" w:hAnsi="Times" w:cs="Times"/>
                <w:sz w:val="20"/>
                <w:szCs w:val="20"/>
              </w:rPr>
              <w: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w:t>
            </w:r>
            <w:r w:rsidR="00B10185">
              <w:rPr>
                <w:rFonts w:ascii="Times" w:hAnsi="Times" w:cs="Times"/>
                <w:sz w:val="20"/>
                <w:szCs w:val="20"/>
              </w:rPr>
              <w:t xml:space="preserve"> </w:t>
            </w:r>
            <w:r w:rsidR="00636D1D">
              <w:rPr>
                <w:rFonts w:ascii="Times" w:hAnsi="Times" w:cs="Times"/>
                <w:sz w:val="20"/>
                <w:szCs w:val="20"/>
              </w:rPr>
              <w:t>Vyhodnotenie:</w:t>
            </w:r>
            <w:r w:rsidR="00B10185">
              <w:rPr>
                <w:rFonts w:ascii="Times" w:hAnsi="Times" w:cs="Times"/>
                <w:sz w:val="20"/>
                <w:szCs w:val="20"/>
              </w:rPr>
              <w:t xml:space="preserve"> </w:t>
            </w:r>
            <w:r w:rsidR="00636D1D">
              <w:rPr>
                <w:rFonts w:ascii="Times" w:hAnsi="Times" w:cs="Times"/>
                <w:sz w:val="20"/>
                <w:szCs w:val="20"/>
              </w:rPr>
              <w:t xml:space="preserv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w:t>
            </w:r>
          </w:p>
          <w:p w:rsidR="00CE2A70" w:rsidRDefault="00636D1D" w:rsidP="00CE2A70">
            <w:pPr>
              <w:rPr>
                <w:rFonts w:ascii="Times" w:hAnsi="Times" w:cs="Times"/>
                <w:sz w:val="20"/>
                <w:szCs w:val="20"/>
              </w:rPr>
            </w:pPr>
            <w:r>
              <w:rPr>
                <w:rFonts w:ascii="Times" w:hAnsi="Times" w:cs="Times"/>
                <w:sz w:val="20"/>
                <w:szCs w:val="20"/>
              </w:rPr>
              <w:t>K analýze vplyvov na podnikateľské prostredie</w:t>
            </w:r>
            <w:r w:rsidR="00B10185">
              <w:rPr>
                <w:rFonts w:ascii="Times" w:hAnsi="Times" w:cs="Times"/>
                <w:sz w:val="20"/>
                <w:szCs w:val="20"/>
              </w:rPr>
              <w:t xml:space="preserve">: </w:t>
            </w:r>
          </w:p>
          <w:p w:rsidR="00CE2A70" w:rsidRDefault="00636D1D" w:rsidP="00CE2A70">
            <w:pPr>
              <w:rPr>
                <w:rFonts w:ascii="Times" w:hAnsi="Times" w:cs="Times"/>
                <w:sz w:val="20"/>
                <w:szCs w:val="20"/>
              </w:rPr>
            </w:pPr>
            <w:r>
              <w:rPr>
                <w:rFonts w:ascii="Times" w:hAnsi="Times" w:cs="Times"/>
                <w:sz w:val="20"/>
                <w:szCs w:val="20"/>
              </w:rPr>
              <w:t>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w:t>
            </w:r>
          </w:p>
          <w:p w:rsidR="00CE2A70" w:rsidRDefault="00636D1D" w:rsidP="00CE2A70">
            <w:pPr>
              <w:rPr>
                <w:rFonts w:ascii="Times" w:hAnsi="Times" w:cs="Times"/>
                <w:sz w:val="20"/>
                <w:szCs w:val="20"/>
              </w:rPr>
            </w:pPr>
            <w:r>
              <w:rPr>
                <w:rFonts w:ascii="Times" w:hAnsi="Times" w:cs="Times"/>
                <w:sz w:val="20"/>
                <w:szCs w:val="20"/>
              </w:rPr>
              <w:t>Vyhodnotenie:</w:t>
            </w:r>
            <w:r w:rsidR="00600950">
              <w:rPr>
                <w:rFonts w:ascii="Times" w:hAnsi="Times" w:cs="Times"/>
                <w:sz w:val="20"/>
                <w:szCs w:val="20"/>
              </w:rPr>
              <w:t xml:space="preserve"> </w:t>
            </w:r>
          </w:p>
          <w:p w:rsidR="00636D1D" w:rsidRDefault="00636D1D" w:rsidP="00CE2A70">
            <w:pPr>
              <w:rPr>
                <w:rFonts w:ascii="Times" w:hAnsi="Times" w:cs="Times"/>
                <w:sz w:val="20"/>
                <w:szCs w:val="20"/>
              </w:rPr>
            </w:pPr>
            <w:r>
              <w:rPr>
                <w:rFonts w:ascii="Times" w:hAnsi="Times" w:cs="Times"/>
                <w:sz w:val="20"/>
                <w:szCs w:val="20"/>
              </w:rPr>
              <w:t xml:space="preserve">Zhodnotenie dopadov regulácie vo forme administratívnych nákladov bolo doplnené do analýzy vplyvov na podnikateľské prostredie. </w:t>
            </w:r>
          </w:p>
        </w:tc>
      </w:tr>
    </w:tbl>
    <w:p w:rsidR="006931EC" w:rsidRPr="00543B8E" w:rsidRDefault="006931EC" w:rsidP="00543B8E">
      <w:pPr>
        <w:pStyle w:val="Normlnywebov"/>
        <w:spacing w:before="0" w:beforeAutospacing="0" w:after="0" w:afterAutospacing="0"/>
        <w:rPr>
          <w:bCs/>
          <w:sz w:val="20"/>
          <w:szCs w:val="20"/>
        </w:rPr>
      </w:pPr>
    </w:p>
    <w:sectPr w:rsidR="006931EC" w:rsidRPr="00543B8E" w:rsidSect="00A135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4C" w:rsidRDefault="003D624C">
      <w:r>
        <w:separator/>
      </w:r>
    </w:p>
  </w:endnote>
  <w:endnote w:type="continuationSeparator" w:id="0">
    <w:p w:rsidR="003D624C" w:rsidRDefault="003D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41" w:rsidRDefault="00FE0B41">
    <w:pPr>
      <w:pStyle w:val="Pta"/>
      <w:jc w:val="right"/>
    </w:pPr>
    <w:r>
      <w:fldChar w:fldCharType="begin"/>
    </w:r>
    <w:r>
      <w:instrText>PAGE   \* MERGEFORMAT</w:instrText>
    </w:r>
    <w:r>
      <w:fldChar w:fldCharType="separate"/>
    </w:r>
    <w:r w:rsidR="003B0B21">
      <w:rPr>
        <w:noProof/>
      </w:rPr>
      <w:t>2</w:t>
    </w:r>
    <w:r>
      <w:fldChar w:fldCharType="end"/>
    </w:r>
  </w:p>
  <w:p w:rsidR="00FE0B41" w:rsidRDefault="00FE0B4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4C" w:rsidRDefault="003D624C">
      <w:r>
        <w:separator/>
      </w:r>
    </w:p>
  </w:footnote>
  <w:footnote w:type="continuationSeparator" w:id="0">
    <w:p w:rsidR="003D624C" w:rsidRDefault="003D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091D"/>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50D3"/>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E60E5"/>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0511"/>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036F"/>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3C1A"/>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B21"/>
    <w:rsid w:val="003B0EC8"/>
    <w:rsid w:val="003B3D78"/>
    <w:rsid w:val="003B3E43"/>
    <w:rsid w:val="003B6772"/>
    <w:rsid w:val="003B7F8D"/>
    <w:rsid w:val="003C068A"/>
    <w:rsid w:val="003C5D7C"/>
    <w:rsid w:val="003D4CB7"/>
    <w:rsid w:val="003D4FA2"/>
    <w:rsid w:val="003D605F"/>
    <w:rsid w:val="003D624C"/>
    <w:rsid w:val="003D70CA"/>
    <w:rsid w:val="003E2667"/>
    <w:rsid w:val="003E2B82"/>
    <w:rsid w:val="003E3BC1"/>
    <w:rsid w:val="003E45C4"/>
    <w:rsid w:val="003E497C"/>
    <w:rsid w:val="003F06A3"/>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0950"/>
    <w:rsid w:val="006031C2"/>
    <w:rsid w:val="00605BA4"/>
    <w:rsid w:val="00605C59"/>
    <w:rsid w:val="006220BB"/>
    <w:rsid w:val="006228E8"/>
    <w:rsid w:val="00623418"/>
    <w:rsid w:val="00625F21"/>
    <w:rsid w:val="00626827"/>
    <w:rsid w:val="00626E9A"/>
    <w:rsid w:val="00627B86"/>
    <w:rsid w:val="006314A5"/>
    <w:rsid w:val="006330CB"/>
    <w:rsid w:val="006346F5"/>
    <w:rsid w:val="00636D1D"/>
    <w:rsid w:val="006411E7"/>
    <w:rsid w:val="00644B1D"/>
    <w:rsid w:val="006507F3"/>
    <w:rsid w:val="006512E3"/>
    <w:rsid w:val="006516F7"/>
    <w:rsid w:val="00656031"/>
    <w:rsid w:val="00664475"/>
    <w:rsid w:val="00664B75"/>
    <w:rsid w:val="00665654"/>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25E5"/>
    <w:rsid w:val="00703D54"/>
    <w:rsid w:val="0070401B"/>
    <w:rsid w:val="0070423F"/>
    <w:rsid w:val="007060EF"/>
    <w:rsid w:val="00706551"/>
    <w:rsid w:val="00715D3F"/>
    <w:rsid w:val="00716F76"/>
    <w:rsid w:val="007171F3"/>
    <w:rsid w:val="00717BE9"/>
    <w:rsid w:val="007215D2"/>
    <w:rsid w:val="00721DBB"/>
    <w:rsid w:val="00721F65"/>
    <w:rsid w:val="007220EB"/>
    <w:rsid w:val="00722266"/>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A9"/>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01"/>
    <w:rsid w:val="007C17DA"/>
    <w:rsid w:val="007C1E6F"/>
    <w:rsid w:val="007C357A"/>
    <w:rsid w:val="007C3C21"/>
    <w:rsid w:val="007C4FB8"/>
    <w:rsid w:val="007C68C8"/>
    <w:rsid w:val="007D1B49"/>
    <w:rsid w:val="007D32C0"/>
    <w:rsid w:val="007D3352"/>
    <w:rsid w:val="007D5D38"/>
    <w:rsid w:val="007D6878"/>
    <w:rsid w:val="007D693F"/>
    <w:rsid w:val="007D6D87"/>
    <w:rsid w:val="007E0FA6"/>
    <w:rsid w:val="007E37A8"/>
    <w:rsid w:val="007E5079"/>
    <w:rsid w:val="007E5C78"/>
    <w:rsid w:val="007E7FB6"/>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35F3"/>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1696"/>
    <w:rsid w:val="00A650CA"/>
    <w:rsid w:val="00A6621B"/>
    <w:rsid w:val="00A70D06"/>
    <w:rsid w:val="00A71048"/>
    <w:rsid w:val="00A71AD6"/>
    <w:rsid w:val="00A71FE6"/>
    <w:rsid w:val="00A72A8B"/>
    <w:rsid w:val="00A76DEF"/>
    <w:rsid w:val="00A77DE1"/>
    <w:rsid w:val="00A77F39"/>
    <w:rsid w:val="00A77FD6"/>
    <w:rsid w:val="00A81D9D"/>
    <w:rsid w:val="00A836D7"/>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85"/>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2A70"/>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3D8E"/>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B41"/>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294F9D-0C4C-4604-A11F-F94C0A5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sid w:val="00A135F3"/>
    <w:rPr>
      <w:rFonts w:cs="Times New Roman"/>
      <w:sz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sid w:val="00A135F3"/>
    <w:rPr>
      <w:rFonts w:cs="Times New Roman"/>
      <w:sz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sid w:val="00A135F3"/>
    <w:rPr>
      <w:rFonts w:cs="Times New Roman"/>
      <w:sz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sid w:val="00A135F3"/>
    <w:rPr>
      <w:rFonts w:cs="Times New Roman"/>
      <w:sz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rPr>
  </w:style>
  <w:style w:type="paragraph" w:styleId="Textbubliny">
    <w:name w:val="Balloon Text"/>
    <w:basedOn w:val="Normlny"/>
    <w:link w:val="TextbublinyChar"/>
    <w:uiPriority w:val="99"/>
    <w:semiHidden/>
    <w:unhideWhenUsed/>
    <w:rsid w:val="00762DA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62DA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00440">
      <w:marLeft w:val="0"/>
      <w:marRight w:val="0"/>
      <w:marTop w:val="0"/>
      <w:marBottom w:val="0"/>
      <w:divBdr>
        <w:top w:val="none" w:sz="0" w:space="0" w:color="auto"/>
        <w:left w:val="none" w:sz="0" w:space="0" w:color="auto"/>
        <w:bottom w:val="none" w:sz="0" w:space="0" w:color="auto"/>
        <w:right w:val="none" w:sz="0" w:space="0" w:color="auto"/>
      </w:divBdr>
    </w:div>
    <w:div w:id="1729500441">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
      </w:divsChild>
    </w:div>
    <w:div w:id="1729500443">
      <w:marLeft w:val="0"/>
      <w:marRight w:val="0"/>
      <w:marTop w:val="0"/>
      <w:marBottom w:val="0"/>
      <w:divBdr>
        <w:top w:val="none" w:sz="0" w:space="0" w:color="auto"/>
        <w:left w:val="none" w:sz="0" w:space="0" w:color="auto"/>
        <w:bottom w:val="none" w:sz="0" w:space="0" w:color="auto"/>
        <w:right w:val="none" w:sz="0" w:space="0" w:color="auto"/>
      </w:divBdr>
    </w:div>
    <w:div w:id="1729500444">
      <w:marLeft w:val="0"/>
      <w:marRight w:val="0"/>
      <w:marTop w:val="0"/>
      <w:marBottom w:val="0"/>
      <w:divBdr>
        <w:top w:val="none" w:sz="0" w:space="0" w:color="auto"/>
        <w:left w:val="none" w:sz="0" w:space="0" w:color="auto"/>
        <w:bottom w:val="none" w:sz="0" w:space="0" w:color="auto"/>
        <w:right w:val="none" w:sz="0" w:space="0" w:color="auto"/>
      </w:divBdr>
    </w:div>
    <w:div w:id="1729500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1.7.2016 12:15:18"/>
    <f:field ref="objchangedby" par="" text="Administrator, System"/>
    <f:field ref="objmodifiedat" par="" text="11.7.2016 12:15:19"/>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subject/>
  <dc:creator>grosjarova</dc:creator>
  <cp:keywords/>
  <dc:description/>
  <cp:lastModifiedBy>Vaňo Marián</cp:lastModifiedBy>
  <cp:revision>2</cp:revision>
  <dcterms:created xsi:type="dcterms:W3CDTF">2019-03-08T08:57:00Z</dcterms:created>
  <dcterms:modified xsi:type="dcterms:W3CDTF">2019-03-08T08:57:00Z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Barbora Kozlíková</vt:lpwstr>
  </property>
  <property fmtid="{D5CDD505-2E9C-101B-9397-08002B2CF9AE}" pid="9" name="FSC#SKEDITIONSLOVLEX@103.510:zodppredkladatel">
    <vt:lpwstr>László Sólymos</vt:lpwstr>
  </property>
  <property fmtid="{D5CDD505-2E9C-101B-9397-08002B2CF9AE}" pid="10" name="FSC#SKEDITIONSLOVLEX@103.510:nazovpredpis">
    <vt:lpwstr> o prevencii a manažmente introdukcie a šírenia inváznych nepôvodných druhov a o zmene a doplnení niektorých zákonov </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o prevencii a manažmente introdukcie a šírenia inváznych nepôvodných druhov a o zmene a doplnení niektorých zákonov </vt:lpwstr>
  </property>
  <property fmtid="{D5CDD505-2E9C-101B-9397-08002B2CF9AE}" pid="17" name="FSC#SKEDITIONSLOVLEX@103.510:rezortcislopredpis">
    <vt:lpwstr>7082/2016-min</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LP/2016/707</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 Čl. 191 až 193 Zmluvy o fungovaní Európskej únie v platnom znení.   </vt:lpwstr>
  </property>
  <property fmtid="{D5CDD505-2E9C-101B-9397-08002B2CF9AE}" pid="37" name="FSC#SKEDITIONSLOVLEX@103.510:AttrStrListDocPropSekundarneLegPravoPO">
    <vt:lpwstr>nariadenie Európskeho parlamentu a Rady (EÚ) č. 1143/2014 z 22. októbra 2014 o prevencii a manažmente introdukcie a šírenia inváznych nepôvodných druhov (Ú. v. EÚ L 317, 4.11.2014)</vt:lpwstr>
  </property>
  <property fmtid="{D5CDD505-2E9C-101B-9397-08002B2CF9AE}" pid="38" name="FSC#SKEDITIONSLOVLEX@103.510:AttrStrListDocPropSekundarneNelegPravoPO">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2. január 2016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životného prostredia Slovenskej republiky_x000d__x000d_Ministerstvo pôdohospodárstva a rozvoja vidieka Slovenskej republiky_x000d__x000d_Ministerstvo financií Slovenskej republiky</vt:lpwstr>
  </property>
  <property fmtid="{D5CDD505-2E9C-101B-9397-08002B2CF9AE}" pid="48" name="FSC#SKEDITIONSLOVLEX@103.510:AttrDateDocPropZaciatokPKK">
    <vt:lpwstr>1. 7. 2016</vt:lpwstr>
  </property>
  <property fmtid="{D5CDD505-2E9C-101B-9397-08002B2CF9AE}" pid="49" name="FSC#SKEDITIONSLOVLEX@103.510:AttrDateDocPropUkonceniePKK">
    <vt:lpwstr>7. 7. 2016</vt:lpwstr>
  </property>
  <property fmtid="{D5CDD505-2E9C-101B-9397-08002B2CF9AE}" pid="50" name="FSC#SKEDITIONSLOVLEX@103.510:AttrStrDocPropVplyvRozpocetVS">
    <vt:lpwstr>Pozitívne_x000d__x000d_Negatívne</vt:lpwstr>
  </property>
  <property fmtid="{D5CDD505-2E9C-101B-9397-08002B2CF9AE}" pid="51" name="FSC#SKEDITIONSLOVLEX@103.510:AttrStrDocPropVplyvPodnikatelskeProstr">
    <vt:lpwstr>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vt:lpwstr>
  </property>
  <property fmtid="{D5CDD505-2E9C-101B-9397-08002B2CF9AE}" pid="56" name="FSC#SKEDITIONSLOVLEX@103.510:AttrStrListDocPropAltRiesenia">
    <vt:lpwstr>Nie sú alternatívne riešenia.</vt:lpwstr>
  </property>
  <property fmtid="{D5CDD505-2E9C-101B-9397-08002B2CF9AE}" pid="57" name="FSC#SKEDITIONSLOVLEX@103.510:AttrStrListDocPropStanoviskoGest">
    <vt:lpwstr>I. Stála pracovná komisia na posudzovanie vybraných vplyvov vyjadrila nesúhlasné stanovisko k materiálu, ktorý bol predložený na predbežné pripomienkové konanie, s odporúčaním na jeho dopracovanie podľa pripomienok v bode II.II. Pripomienky a návrhy zmien</vt:lpwstr>
  </property>
  <property fmtid="{D5CDD505-2E9C-101B-9397-08002B2CF9AE}" pid="58" name="FSC#SKEDITIONSLOVLEX@103.510:AttrStrListDocPropTextKomunike">
    <vt:lpwstr>Vláda Slovenskej republiky na svojom rokovaní dňa ....................... prerokovala a schválila návrh zákona o prevencii a manažmente introdukcie a šírenia inváznych nepôvodných druhov a o zmene a doplnení niektorých zákonov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republiky_x000d__x000d_minister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životného prostredia Slovenskej republiky predkladá na základe Plánu legislatívnych úloh vlády Slovenskej vlády na mesiace jún až december 2016 do legislatívneho procesu návrh zákona o&amp;nbsp;prevencii a&amp;nbsp;man</vt:lpwstr>
  </property>
  <property fmtid="{D5CDD505-2E9C-101B-9397-08002B2CF9AE}" pid="130" name="FSC#COOSYSTEM@1.1:Container">
    <vt:lpwstr>COO.2145.1000.3.1498677</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a minister životného prostredia Slovenskej republiky</vt:lpwstr>
  </property>
  <property fmtid="{D5CDD505-2E9C-101B-9397-08002B2CF9AE}" pid="145" name="FSC#SKEDITIONSLOVLEX@103.510:funkciaZodpPredAkuzativ">
    <vt:lpwstr>podpredsedovi vlády a ministrovi životného prostredia Slovenskej republiky</vt:lpwstr>
  </property>
  <property fmtid="{D5CDD505-2E9C-101B-9397-08002B2CF9AE}" pid="146" name="FSC#SKEDITIONSLOVLEX@103.510:funkciaZodpPredDativ">
    <vt:lpwstr>podpredsedu vlády a ministra životného prostredia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László Sólymos_x000d__x000d_podpredseda vlády a minister životného prostredia Slovenskej republiky</vt:lpwstr>
  </property>
  <property fmtid="{D5CDD505-2E9C-101B-9397-08002B2CF9AE}" pid="151" name="FSC#SKEDITIONSLOVLEX@103.510:aktualnyrok">
    <vt:lpwstr>2019</vt:lpwstr>
  </property>
  <property fmtid="{D5CDD505-2E9C-101B-9397-08002B2CF9AE}" pid="152" name="FSC#SKEDITIONSLOVLEX@103.510:vytvorenedna">
    <vt:lpwstr>11. 7. 2016</vt:lpwstr>
  </property>
</Properties>
</file>