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88B" w:rsidRPr="00CB6D80" w:rsidRDefault="0039188B" w:rsidP="0039188B">
      <w:pPr>
        <w:spacing w:before="120" w:after="0" w:line="240" w:lineRule="auto"/>
        <w:ind w:firstLine="709"/>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Dôvodová správa</w:t>
      </w:r>
    </w:p>
    <w:p w:rsidR="0039188B" w:rsidRDefault="0039188B" w:rsidP="0039188B">
      <w:pPr>
        <w:spacing w:before="120" w:after="0" w:line="240" w:lineRule="auto"/>
        <w:ind w:firstLine="709"/>
        <w:jc w:val="both"/>
        <w:rPr>
          <w:rFonts w:ascii="Times New Roman" w:hAnsi="Times New Roman" w:cs="Times New Roman"/>
          <w:b/>
          <w:bCs/>
          <w:sz w:val="24"/>
          <w:szCs w:val="24"/>
          <w:u w:val="single"/>
          <w:lang w:eastAsia="sk-SK"/>
        </w:rPr>
      </w:pPr>
      <w:r w:rsidRPr="00CB6D80">
        <w:rPr>
          <w:rFonts w:ascii="Times New Roman" w:hAnsi="Times New Roman" w:cs="Times New Roman"/>
          <w:b/>
          <w:bCs/>
          <w:sz w:val="24"/>
          <w:szCs w:val="24"/>
          <w:u w:val="single"/>
          <w:lang w:eastAsia="sk-SK"/>
        </w:rPr>
        <w:t>Všeobecná časť</w:t>
      </w:r>
    </w:p>
    <w:p w:rsidR="0039188B" w:rsidRPr="00005130" w:rsidRDefault="0039188B" w:rsidP="0039188B">
      <w:pPr>
        <w:pStyle w:val="Zkladntext"/>
        <w:overflowPunct w:val="0"/>
        <w:autoSpaceDE w:val="0"/>
        <w:autoSpaceDN w:val="0"/>
        <w:adjustRightInd w:val="0"/>
        <w:jc w:val="both"/>
        <w:textAlignment w:val="baseline"/>
        <w:rPr>
          <w:rFonts w:ascii="Times New Roman" w:hAnsi="Times New Roman" w:cs="Times New Roman"/>
          <w:sz w:val="24"/>
          <w:szCs w:val="24"/>
        </w:rPr>
      </w:pPr>
    </w:p>
    <w:p w:rsidR="000924F6" w:rsidRDefault="00504992" w:rsidP="00272F74">
      <w:pPr>
        <w:spacing w:after="0" w:line="240" w:lineRule="auto"/>
        <w:ind w:firstLine="709"/>
        <w:jc w:val="both"/>
        <w:rPr>
          <w:rFonts w:ascii="Times New Roman" w:hAnsi="Times New Roman"/>
          <w:sz w:val="24"/>
          <w:szCs w:val="24"/>
        </w:rPr>
      </w:pPr>
      <w:r w:rsidRPr="00ED5F45">
        <w:rPr>
          <w:rFonts w:ascii="Times New Roman" w:hAnsi="Times New Roman"/>
          <w:sz w:val="24"/>
          <w:szCs w:val="24"/>
          <w:lang w:eastAsia="sk-SK"/>
        </w:rPr>
        <w:t>Predkladaným návrhom zákona</w:t>
      </w:r>
      <w:r w:rsidR="00B62A95" w:rsidRPr="00FA2EA0">
        <w:rPr>
          <w:rFonts w:ascii="Times New Roman" w:hAnsi="Times New Roman"/>
          <w:sz w:val="24"/>
          <w:szCs w:val="24"/>
        </w:rPr>
        <w:t xml:space="preserve">, ktorým sa mení a dopĺňa </w:t>
      </w:r>
      <w:r w:rsidR="00B62A95" w:rsidRPr="00FA2EA0">
        <w:rPr>
          <w:rFonts w:ascii="Times New Roman" w:hAnsi="Times New Roman"/>
          <w:bCs/>
          <w:sz w:val="24"/>
          <w:szCs w:val="24"/>
          <w:lang w:eastAsia="sk-SK"/>
        </w:rPr>
        <w:t xml:space="preserve">zákon č. </w:t>
      </w:r>
      <w:r w:rsidR="00B62A95">
        <w:rPr>
          <w:rFonts w:ascii="Times New Roman" w:hAnsi="Times New Roman"/>
          <w:bCs/>
          <w:sz w:val="24"/>
          <w:szCs w:val="24"/>
          <w:lang w:eastAsia="sk-SK"/>
        </w:rPr>
        <w:t>328/2002 Z. z. o sociálnom zabezpečení policajtov a vojakov a o zmene a doplnení niektorých zákonov v znení neskorších predpisov (ďalej len „návrh zákona“)</w:t>
      </w:r>
      <w:r w:rsidRPr="00ED5F45">
        <w:rPr>
          <w:rFonts w:ascii="Times New Roman" w:hAnsi="Times New Roman"/>
          <w:sz w:val="24"/>
          <w:szCs w:val="24"/>
          <w:lang w:eastAsia="sk-SK"/>
        </w:rPr>
        <w:t xml:space="preserve"> sa</w:t>
      </w:r>
      <w:r w:rsidRPr="00ED5F45">
        <w:rPr>
          <w:rFonts w:ascii="Times New Roman" w:hAnsi="Times New Roman"/>
          <w:sz w:val="24"/>
          <w:szCs w:val="24"/>
        </w:rPr>
        <w:t xml:space="preserve"> ustanovuje nový spôsob zvyšovania dávok </w:t>
      </w:r>
      <w:r w:rsidR="00272F74" w:rsidRPr="00ED5F45">
        <w:rPr>
          <w:rFonts w:ascii="Times New Roman" w:hAnsi="Times New Roman"/>
          <w:sz w:val="24"/>
          <w:szCs w:val="24"/>
        </w:rPr>
        <w:t xml:space="preserve">výsluhového dôchodku, invalidného výsluhového dôchodku, vdovského výsluhového dôchodku, vdoveckého výsluhového dôchodku a sirotského výsluhového </w:t>
      </w:r>
      <w:r w:rsidR="00B62A95">
        <w:rPr>
          <w:rFonts w:ascii="Times New Roman" w:hAnsi="Times New Roman"/>
          <w:sz w:val="24"/>
          <w:szCs w:val="24"/>
        </w:rPr>
        <w:t xml:space="preserve">dôchodku </w:t>
      </w:r>
      <w:r w:rsidR="00272F74" w:rsidRPr="00ED5F45">
        <w:rPr>
          <w:rFonts w:ascii="Times New Roman" w:hAnsi="Times New Roman"/>
          <w:sz w:val="24"/>
          <w:szCs w:val="24"/>
        </w:rPr>
        <w:t>(ďalej</w:t>
      </w:r>
      <w:r w:rsidR="00EF55E1">
        <w:rPr>
          <w:rFonts w:ascii="Times New Roman" w:hAnsi="Times New Roman"/>
          <w:sz w:val="24"/>
          <w:szCs w:val="24"/>
        </w:rPr>
        <w:t xml:space="preserve"> </w:t>
      </w:r>
      <w:r w:rsidR="00272F74" w:rsidRPr="00ED5F45">
        <w:rPr>
          <w:rFonts w:ascii="Times New Roman" w:hAnsi="Times New Roman"/>
          <w:sz w:val="24"/>
          <w:szCs w:val="24"/>
        </w:rPr>
        <w:t>len „</w:t>
      </w:r>
      <w:r w:rsidR="00AB5AF6" w:rsidRPr="00ED5F45">
        <w:rPr>
          <w:rFonts w:ascii="Times New Roman" w:hAnsi="Times New Roman"/>
          <w:sz w:val="24"/>
          <w:szCs w:val="24"/>
        </w:rPr>
        <w:t>dôchodková dávka</w:t>
      </w:r>
      <w:r w:rsidR="00272F74" w:rsidRPr="00ED5F45">
        <w:rPr>
          <w:rFonts w:ascii="Times New Roman" w:hAnsi="Times New Roman"/>
          <w:sz w:val="24"/>
          <w:szCs w:val="24"/>
        </w:rPr>
        <w:t xml:space="preserve"> výsluhového zabezpečenia“)</w:t>
      </w:r>
      <w:r w:rsidR="00272F74">
        <w:rPr>
          <w:rFonts w:ascii="Times New Roman" w:hAnsi="Times New Roman"/>
          <w:sz w:val="24"/>
          <w:szCs w:val="24"/>
        </w:rPr>
        <w:t xml:space="preserve"> </w:t>
      </w:r>
      <w:r w:rsidR="003A4BB4">
        <w:rPr>
          <w:rFonts w:ascii="Times New Roman" w:hAnsi="Times New Roman"/>
          <w:sz w:val="24"/>
          <w:szCs w:val="24"/>
        </w:rPr>
        <w:t xml:space="preserve">v rokoch 2019 až 2021 </w:t>
      </w:r>
      <w:r>
        <w:rPr>
          <w:rFonts w:ascii="Times New Roman" w:hAnsi="Times New Roman"/>
          <w:sz w:val="24"/>
          <w:szCs w:val="24"/>
        </w:rPr>
        <w:t xml:space="preserve">a </w:t>
      </w:r>
      <w:r w:rsidR="00ED5F45">
        <w:rPr>
          <w:rFonts w:ascii="Times New Roman" w:hAnsi="Times New Roman"/>
          <w:sz w:val="24"/>
          <w:szCs w:val="24"/>
        </w:rPr>
        <w:t>u</w:t>
      </w:r>
      <w:r w:rsidRPr="00ED5F45">
        <w:rPr>
          <w:rFonts w:ascii="Times New Roman" w:hAnsi="Times New Roman"/>
          <w:sz w:val="24"/>
          <w:szCs w:val="24"/>
        </w:rPr>
        <w:t>pravujú sa aj ustanovenia</w:t>
      </w:r>
      <w:r w:rsidRPr="007823A7">
        <w:rPr>
          <w:rFonts w:ascii="Times New Roman" w:hAnsi="Times New Roman"/>
          <w:sz w:val="24"/>
          <w:szCs w:val="24"/>
        </w:rPr>
        <w:t xml:space="preserve"> zákona </w:t>
      </w:r>
      <w:r w:rsidR="00ED5F45">
        <w:rPr>
          <w:rFonts w:ascii="Times New Roman" w:hAnsi="Times New Roman"/>
          <w:sz w:val="24"/>
          <w:szCs w:val="24"/>
        </w:rPr>
        <w:t>o</w:t>
      </w:r>
      <w:r>
        <w:rPr>
          <w:rFonts w:ascii="Times New Roman" w:hAnsi="Times New Roman"/>
          <w:sz w:val="24"/>
          <w:szCs w:val="24"/>
        </w:rPr>
        <w:t xml:space="preserve"> lekárskej posudkovej činnosti</w:t>
      </w:r>
      <w:r w:rsidR="00272F74">
        <w:rPr>
          <w:rFonts w:ascii="Times New Roman" w:hAnsi="Times New Roman"/>
          <w:sz w:val="24"/>
          <w:szCs w:val="24"/>
        </w:rPr>
        <w:t>.</w:t>
      </w:r>
      <w:r>
        <w:rPr>
          <w:rFonts w:ascii="Times New Roman" w:hAnsi="Times New Roman"/>
          <w:sz w:val="24"/>
          <w:szCs w:val="24"/>
        </w:rPr>
        <w:t xml:space="preserve"> </w:t>
      </w:r>
    </w:p>
    <w:p w:rsidR="00272F74" w:rsidRPr="007823A7" w:rsidRDefault="00272F74" w:rsidP="00272F74">
      <w:pPr>
        <w:spacing w:after="0" w:line="240" w:lineRule="auto"/>
        <w:ind w:firstLine="709"/>
        <w:jc w:val="both"/>
        <w:rPr>
          <w:rFonts w:ascii="Times New Roman" w:hAnsi="Times New Roman"/>
          <w:sz w:val="24"/>
          <w:szCs w:val="24"/>
        </w:rPr>
      </w:pPr>
    </w:p>
    <w:p w:rsidR="00272F74" w:rsidRDefault="00784EA7" w:rsidP="00272F74">
      <w:pPr>
        <w:pStyle w:val="Bezriadkovania"/>
        <w:ind w:firstLine="709"/>
        <w:jc w:val="both"/>
        <w:rPr>
          <w:rFonts w:ascii="Times New Roman" w:hAnsi="Times New Roman" w:cs="Times New Roman"/>
          <w:sz w:val="24"/>
          <w:szCs w:val="24"/>
        </w:rPr>
      </w:pPr>
      <w:r w:rsidRPr="00ED5F45">
        <w:rPr>
          <w:rFonts w:ascii="Times New Roman" w:hAnsi="Times New Roman" w:cs="Times New Roman"/>
          <w:sz w:val="24"/>
          <w:szCs w:val="24"/>
        </w:rPr>
        <w:t xml:space="preserve">Súčasná právna úprava zvyšovania </w:t>
      </w:r>
      <w:r w:rsidR="00AB5AF6" w:rsidRPr="00ED5F45">
        <w:rPr>
          <w:rFonts w:ascii="Times New Roman" w:hAnsi="Times New Roman" w:cs="Times New Roman"/>
          <w:sz w:val="24"/>
          <w:szCs w:val="24"/>
        </w:rPr>
        <w:t xml:space="preserve">dôchodkových </w:t>
      </w:r>
      <w:r w:rsidR="00AB5AF6" w:rsidRPr="00ED5F45">
        <w:rPr>
          <w:rFonts w:ascii="Times New Roman" w:hAnsi="Times New Roman"/>
          <w:sz w:val="24"/>
          <w:szCs w:val="24"/>
        </w:rPr>
        <w:t>dávok</w:t>
      </w:r>
      <w:r w:rsidR="00272F74" w:rsidRPr="00ED5F45">
        <w:rPr>
          <w:rFonts w:ascii="Times New Roman" w:hAnsi="Times New Roman"/>
          <w:sz w:val="24"/>
          <w:szCs w:val="24"/>
        </w:rPr>
        <w:t xml:space="preserve"> výsluhového zabezpečenia</w:t>
      </w:r>
      <w:r w:rsidR="002C35A5" w:rsidRPr="00ED5F45">
        <w:rPr>
          <w:rFonts w:ascii="Times New Roman" w:hAnsi="Times New Roman"/>
          <w:sz w:val="24"/>
          <w:szCs w:val="24"/>
        </w:rPr>
        <w:t xml:space="preserve"> </w:t>
      </w:r>
      <w:r w:rsidRPr="00ED5F45">
        <w:rPr>
          <w:rFonts w:ascii="Times New Roman" w:hAnsi="Times New Roman" w:cs="Times New Roman"/>
          <w:sz w:val="24"/>
          <w:szCs w:val="24"/>
        </w:rPr>
        <w:t xml:space="preserve">realizovaná na </w:t>
      </w:r>
      <w:r w:rsidR="0039188B" w:rsidRPr="00ED5F45">
        <w:rPr>
          <w:rFonts w:ascii="Times New Roman" w:hAnsi="Times New Roman" w:cs="Times New Roman"/>
          <w:sz w:val="24"/>
          <w:szCs w:val="24"/>
        </w:rPr>
        <w:t>základe</w:t>
      </w:r>
      <w:r w:rsidR="002C35A5" w:rsidRPr="00ED5F45">
        <w:rPr>
          <w:rFonts w:ascii="Times New Roman" w:hAnsi="Times New Roman" w:cs="Times New Roman"/>
          <w:sz w:val="24"/>
          <w:szCs w:val="24"/>
        </w:rPr>
        <w:t xml:space="preserve"> § 68</w:t>
      </w:r>
      <w:r w:rsidR="0039188B" w:rsidRPr="00ED5F45">
        <w:rPr>
          <w:rFonts w:ascii="Times New Roman" w:hAnsi="Times New Roman" w:cs="Times New Roman"/>
          <w:sz w:val="24"/>
          <w:szCs w:val="24"/>
        </w:rPr>
        <w:t xml:space="preserve"> </w:t>
      </w:r>
      <w:r w:rsidR="0039188B">
        <w:rPr>
          <w:rFonts w:ascii="Times New Roman" w:hAnsi="Times New Roman" w:cs="Times New Roman"/>
          <w:sz w:val="24"/>
          <w:szCs w:val="24"/>
        </w:rPr>
        <w:t>zákona č. </w:t>
      </w:r>
      <w:r w:rsidR="0039188B" w:rsidRPr="00005130">
        <w:rPr>
          <w:rFonts w:ascii="Times New Roman" w:hAnsi="Times New Roman" w:cs="Times New Roman"/>
          <w:sz w:val="24"/>
          <w:szCs w:val="24"/>
        </w:rPr>
        <w:t>328/2002 Z. z. o sociálnom zabezpečení policajtov a vojakov a o zmene a doplnení niektorých zákonov v znení  neskorších predpisov (ďalej</w:t>
      </w:r>
      <w:r w:rsidR="002C7CDD">
        <w:rPr>
          <w:rFonts w:ascii="Times New Roman" w:hAnsi="Times New Roman" w:cs="Times New Roman"/>
          <w:sz w:val="24"/>
          <w:szCs w:val="24"/>
        </w:rPr>
        <w:t xml:space="preserve"> </w:t>
      </w:r>
      <w:r w:rsidR="0039188B" w:rsidRPr="00005130">
        <w:rPr>
          <w:rFonts w:ascii="Times New Roman" w:hAnsi="Times New Roman" w:cs="Times New Roman"/>
          <w:sz w:val="24"/>
          <w:szCs w:val="24"/>
        </w:rPr>
        <w:t>len „zákon</w:t>
      </w:r>
      <w:r w:rsidR="002C7CDD">
        <w:rPr>
          <w:rFonts w:ascii="Times New Roman" w:hAnsi="Times New Roman" w:cs="Times New Roman"/>
          <w:sz w:val="24"/>
          <w:szCs w:val="24"/>
        </w:rPr>
        <w:t xml:space="preserve"> </w:t>
      </w:r>
      <w:r w:rsidR="0039188B" w:rsidRPr="00005130">
        <w:rPr>
          <w:rFonts w:ascii="Times New Roman" w:hAnsi="Times New Roman" w:cs="Times New Roman"/>
          <w:sz w:val="24"/>
          <w:szCs w:val="24"/>
        </w:rPr>
        <w:t>č.</w:t>
      </w:r>
      <w:r w:rsidR="00367FA1">
        <w:rPr>
          <w:rFonts w:ascii="Times New Roman" w:hAnsi="Times New Roman" w:cs="Times New Roman"/>
          <w:sz w:val="24"/>
          <w:szCs w:val="24"/>
        </w:rPr>
        <w:t> </w:t>
      </w:r>
      <w:r w:rsidR="0039188B" w:rsidRPr="00005130">
        <w:rPr>
          <w:rFonts w:ascii="Times New Roman" w:hAnsi="Times New Roman" w:cs="Times New Roman"/>
          <w:sz w:val="24"/>
          <w:szCs w:val="24"/>
        </w:rPr>
        <w:t xml:space="preserve">328/2002 Z. z.“) </w:t>
      </w:r>
      <w:r w:rsidRPr="00ED5F45">
        <w:rPr>
          <w:rFonts w:ascii="Times New Roman" w:hAnsi="Times New Roman" w:cs="Times New Roman"/>
          <w:sz w:val="24"/>
          <w:szCs w:val="24"/>
        </w:rPr>
        <w:t>je</w:t>
      </w:r>
      <w:r>
        <w:rPr>
          <w:rFonts w:ascii="Times New Roman" w:hAnsi="Times New Roman" w:cs="Times New Roman"/>
          <w:sz w:val="24"/>
          <w:szCs w:val="24"/>
        </w:rPr>
        <w:t xml:space="preserve"> </w:t>
      </w:r>
      <w:r w:rsidR="0039188B" w:rsidRPr="00005130">
        <w:rPr>
          <w:rFonts w:ascii="Times New Roman" w:hAnsi="Times New Roman" w:cs="Times New Roman"/>
          <w:sz w:val="24"/>
          <w:szCs w:val="24"/>
        </w:rPr>
        <w:t xml:space="preserve">naviazaná na úpravu </w:t>
      </w:r>
      <w:r w:rsidR="0039188B" w:rsidRPr="00ED5F45">
        <w:rPr>
          <w:rFonts w:ascii="Times New Roman" w:hAnsi="Times New Roman" w:cs="Times New Roman"/>
          <w:sz w:val="24"/>
          <w:szCs w:val="24"/>
        </w:rPr>
        <w:t>zákon</w:t>
      </w:r>
      <w:r w:rsidRPr="00ED5F45">
        <w:rPr>
          <w:rFonts w:ascii="Times New Roman" w:hAnsi="Times New Roman" w:cs="Times New Roman"/>
          <w:sz w:val="24"/>
          <w:szCs w:val="24"/>
        </w:rPr>
        <w:t>a</w:t>
      </w:r>
      <w:r w:rsidR="0039188B" w:rsidRPr="00005130">
        <w:rPr>
          <w:rFonts w:ascii="Times New Roman" w:hAnsi="Times New Roman" w:cs="Times New Roman"/>
          <w:sz w:val="24"/>
          <w:szCs w:val="24"/>
        </w:rPr>
        <w:t xml:space="preserve"> č. 461/2003 Z. z. o sociálnom poistení v znení neskorších predpisov. </w:t>
      </w:r>
      <w:r w:rsidR="00504992" w:rsidRPr="00ED5F45">
        <w:rPr>
          <w:rFonts w:ascii="Times New Roman" w:hAnsi="Times New Roman" w:cs="Times New Roman"/>
          <w:sz w:val="24"/>
          <w:szCs w:val="24"/>
        </w:rPr>
        <w:t xml:space="preserve">Pri zachovaní </w:t>
      </w:r>
      <w:r w:rsidR="00B62A95">
        <w:rPr>
          <w:rFonts w:ascii="Times New Roman" w:hAnsi="Times New Roman" w:cs="Times New Roman"/>
          <w:sz w:val="24"/>
          <w:szCs w:val="24"/>
        </w:rPr>
        <w:t>platného právneho</w:t>
      </w:r>
      <w:r w:rsidR="00504992" w:rsidRPr="00ED5F45">
        <w:rPr>
          <w:rFonts w:ascii="Times New Roman" w:hAnsi="Times New Roman" w:cs="Times New Roman"/>
          <w:sz w:val="24"/>
          <w:szCs w:val="24"/>
        </w:rPr>
        <w:t xml:space="preserve"> stavu by sa suma zvýšenia </w:t>
      </w:r>
      <w:r w:rsidR="00AB5AF6" w:rsidRPr="00ED5F45">
        <w:rPr>
          <w:rFonts w:ascii="Times New Roman" w:hAnsi="Times New Roman" w:cs="Times New Roman"/>
          <w:sz w:val="24"/>
          <w:szCs w:val="24"/>
        </w:rPr>
        <w:t xml:space="preserve">dôchodkových </w:t>
      </w:r>
      <w:r w:rsidR="00504992" w:rsidRPr="00ED5F45">
        <w:rPr>
          <w:rFonts w:ascii="Times New Roman" w:hAnsi="Times New Roman" w:cs="Times New Roman"/>
          <w:sz w:val="24"/>
          <w:szCs w:val="24"/>
        </w:rPr>
        <w:t xml:space="preserve">dávok výsluhového zabezpečenia odvíjala od tzv. dôchodcovskej inflácie. </w:t>
      </w:r>
    </w:p>
    <w:p w:rsidR="00E17D83" w:rsidRDefault="00E17D83" w:rsidP="00272F74">
      <w:pPr>
        <w:pStyle w:val="Bezriadkovania"/>
        <w:ind w:firstLine="709"/>
        <w:jc w:val="both"/>
        <w:rPr>
          <w:rFonts w:ascii="Times New Roman" w:hAnsi="Times New Roman" w:cs="Times New Roman"/>
          <w:sz w:val="24"/>
          <w:szCs w:val="24"/>
        </w:rPr>
      </w:pPr>
    </w:p>
    <w:p w:rsidR="00E17D83" w:rsidRDefault="00E17D83" w:rsidP="002F36FD">
      <w:pPr>
        <w:pStyle w:val="Odsekzoznamu"/>
        <w:ind w:left="0" w:firstLine="709"/>
        <w:jc w:val="both"/>
        <w:rPr>
          <w:rFonts w:ascii="Times New Roman" w:hAnsi="Times New Roman"/>
        </w:rPr>
      </w:pPr>
      <w:r>
        <w:rPr>
          <w:rFonts w:ascii="Times New Roman" w:hAnsi="Times New Roman"/>
        </w:rPr>
        <w:t xml:space="preserve">Podľa predloženého návrhu </w:t>
      </w:r>
      <w:r w:rsidR="003A4BB4">
        <w:rPr>
          <w:rFonts w:ascii="Times New Roman" w:hAnsi="Times New Roman"/>
        </w:rPr>
        <w:t xml:space="preserve">zákona </w:t>
      </w:r>
      <w:r>
        <w:rPr>
          <w:rFonts w:ascii="Times New Roman" w:hAnsi="Times New Roman"/>
        </w:rPr>
        <w:t>sa j</w:t>
      </w:r>
      <w:r w:rsidRPr="000924F6">
        <w:rPr>
          <w:rFonts w:ascii="Times New Roman" w:hAnsi="Times New Roman"/>
        </w:rPr>
        <w:t>ednotlivé dôchodkové d</w:t>
      </w:r>
      <w:r w:rsidR="003A4BB4">
        <w:rPr>
          <w:rFonts w:ascii="Times New Roman" w:hAnsi="Times New Roman"/>
        </w:rPr>
        <w:t>ávky výsluhového zabezpečenia v rokoch 2019 až 2021</w:t>
      </w:r>
      <w:r w:rsidRPr="000924F6">
        <w:rPr>
          <w:rFonts w:ascii="Times New Roman" w:hAnsi="Times New Roman"/>
        </w:rPr>
        <w:t xml:space="preserve"> majú zvyšovať pevnou sumou, pričom mechanizmus zvyšovania dávok invalidných výsluhových dôchodkov, vdovských výsluhových dôchodkov, vdoveckých výsluhových dôchodkov a sirotských výsluhových dôchodkov bude</w:t>
      </w:r>
      <w:r w:rsidR="003A4BB4">
        <w:rPr>
          <w:rFonts w:ascii="Times New Roman" w:hAnsi="Times New Roman"/>
        </w:rPr>
        <w:t xml:space="preserve"> </w:t>
      </w:r>
      <w:r w:rsidRPr="000924F6">
        <w:rPr>
          <w:rFonts w:ascii="Times New Roman" w:hAnsi="Times New Roman"/>
        </w:rPr>
        <w:t>rovnaký, odlišný bude jedine mechanizmus zvyšovania dávok výsluhových dôchodkov, kde sa bude brať do úvahy aj počet odslúžených rokov.</w:t>
      </w:r>
      <w:r w:rsidR="00EF00D3">
        <w:rPr>
          <w:rFonts w:ascii="Times New Roman" w:hAnsi="Times New Roman"/>
        </w:rPr>
        <w:t xml:space="preserve"> </w:t>
      </w:r>
      <w:r w:rsidR="002F36FD">
        <w:rPr>
          <w:rFonts w:ascii="Times New Roman" w:hAnsi="Times New Roman"/>
        </w:rPr>
        <w:t>Výška zvýšenia výsluhových dôchodkov sa teda  viaže na kombináciu princípov solidarity a zásluhovosti.</w:t>
      </w:r>
    </w:p>
    <w:p w:rsidR="0039188B" w:rsidRDefault="0039188B" w:rsidP="0039188B">
      <w:pPr>
        <w:pStyle w:val="Bezriadkovania"/>
        <w:ind w:firstLine="709"/>
        <w:jc w:val="both"/>
        <w:rPr>
          <w:rFonts w:ascii="Times New Roman" w:hAnsi="Times New Roman" w:cs="Times New Roman"/>
          <w:sz w:val="24"/>
          <w:szCs w:val="24"/>
        </w:rPr>
      </w:pPr>
    </w:p>
    <w:p w:rsidR="00AB7CB8" w:rsidRPr="00F44A0F" w:rsidRDefault="00AB7CB8" w:rsidP="00AB7CB8">
      <w:pPr>
        <w:spacing w:after="0" w:line="240" w:lineRule="auto"/>
        <w:ind w:firstLine="709"/>
        <w:jc w:val="both"/>
        <w:rPr>
          <w:rFonts w:ascii="Times New Roman" w:hAnsi="Times New Roman"/>
          <w:color w:val="548DD4"/>
          <w:sz w:val="24"/>
          <w:szCs w:val="24"/>
        </w:rPr>
      </w:pPr>
      <w:r>
        <w:rPr>
          <w:rFonts w:ascii="Times New Roman" w:hAnsi="Times New Roman" w:cs="Times New Roman"/>
          <w:sz w:val="24"/>
          <w:szCs w:val="24"/>
        </w:rPr>
        <w:t xml:space="preserve">Návrhom zákona dochádza aj k doplneniu ustanovení </w:t>
      </w:r>
      <w:r w:rsidRPr="007823A7">
        <w:rPr>
          <w:rFonts w:ascii="Times New Roman" w:hAnsi="Times New Roman"/>
          <w:sz w:val="24"/>
          <w:szCs w:val="24"/>
        </w:rPr>
        <w:t>zákona</w:t>
      </w:r>
      <w:r w:rsidR="0077684C">
        <w:rPr>
          <w:rFonts w:ascii="Times New Roman" w:hAnsi="Times New Roman"/>
          <w:sz w:val="24"/>
          <w:szCs w:val="24"/>
        </w:rPr>
        <w:t xml:space="preserve"> č. 328/2002 Z. z., ktoré sa týkajú</w:t>
      </w:r>
      <w:r>
        <w:rPr>
          <w:rFonts w:ascii="Times New Roman" w:hAnsi="Times New Roman"/>
          <w:sz w:val="24"/>
          <w:szCs w:val="24"/>
        </w:rPr>
        <w:t xml:space="preserve"> lekárskej posudkovej činnosti tak, aby v rámci kontroly bodového ohodnotenia služobného úrazu na </w:t>
      </w:r>
      <w:r w:rsidRPr="004C5574">
        <w:rPr>
          <w:rFonts w:ascii="Times New Roman" w:hAnsi="Times New Roman" w:cs="Times New Roman"/>
          <w:sz w:val="24"/>
          <w:szCs w:val="24"/>
        </w:rPr>
        <w:t>účely náhrady za bolesť a náhrady za sťaženie spoločenského uplatnenia</w:t>
      </w:r>
      <w:r>
        <w:rPr>
          <w:rFonts w:ascii="Times New Roman" w:hAnsi="Times New Roman"/>
          <w:sz w:val="24"/>
          <w:szCs w:val="24"/>
        </w:rPr>
        <w:t xml:space="preserve"> bolo umožnené vykonať aj prípadnú zmenu tohto bodového ohodnotenia. </w:t>
      </w:r>
      <w:r w:rsidR="00ED5F45">
        <w:rPr>
          <w:rFonts w:ascii="Times New Roman" w:hAnsi="Times New Roman"/>
          <w:sz w:val="24"/>
          <w:szCs w:val="24"/>
        </w:rPr>
        <w:t xml:space="preserve">Predmetné doplnenie </w:t>
      </w:r>
      <w:r w:rsidR="001A781E">
        <w:rPr>
          <w:rFonts w:ascii="Times New Roman" w:hAnsi="Times New Roman"/>
          <w:sz w:val="24"/>
          <w:szCs w:val="24"/>
        </w:rPr>
        <w:t xml:space="preserve">ustanovení </w:t>
      </w:r>
      <w:r w:rsidR="00ED5F45">
        <w:rPr>
          <w:rFonts w:ascii="Times New Roman" w:hAnsi="Times New Roman"/>
          <w:sz w:val="24"/>
          <w:szCs w:val="24"/>
        </w:rPr>
        <w:t xml:space="preserve">zákona </w:t>
      </w:r>
      <w:r w:rsidR="00B62A95">
        <w:rPr>
          <w:rFonts w:ascii="Times New Roman" w:hAnsi="Times New Roman"/>
          <w:sz w:val="24"/>
          <w:szCs w:val="24"/>
        </w:rPr>
        <w:t>č. 328/2002 Z. z.</w:t>
      </w:r>
      <w:r w:rsidR="0077684C">
        <w:rPr>
          <w:rFonts w:ascii="Times New Roman" w:hAnsi="Times New Roman"/>
          <w:sz w:val="24"/>
          <w:szCs w:val="24"/>
        </w:rPr>
        <w:t>, ktoré sa týkajú</w:t>
      </w:r>
      <w:r w:rsidR="00B62A95">
        <w:rPr>
          <w:rFonts w:ascii="Times New Roman" w:hAnsi="Times New Roman"/>
          <w:sz w:val="24"/>
          <w:szCs w:val="24"/>
        </w:rPr>
        <w:t xml:space="preserve"> </w:t>
      </w:r>
      <w:r w:rsidR="00FF7B8F">
        <w:rPr>
          <w:rFonts w:ascii="Times New Roman" w:hAnsi="Times New Roman"/>
          <w:sz w:val="24"/>
          <w:szCs w:val="24"/>
        </w:rPr>
        <w:t xml:space="preserve"> lekárskej posudkovej činnosti </w:t>
      </w:r>
      <w:r w:rsidR="00ED5F45">
        <w:rPr>
          <w:rFonts w:ascii="Times New Roman" w:hAnsi="Times New Roman"/>
          <w:sz w:val="24"/>
          <w:szCs w:val="24"/>
        </w:rPr>
        <w:t>vychádza z potrieb aplikačnej praxe.</w:t>
      </w:r>
    </w:p>
    <w:p w:rsidR="0039188B" w:rsidRPr="0025493C" w:rsidRDefault="0039188B" w:rsidP="0039188B">
      <w:pPr>
        <w:tabs>
          <w:tab w:val="num" w:pos="709"/>
        </w:tabs>
        <w:spacing w:after="0"/>
        <w:jc w:val="both"/>
        <w:rPr>
          <w:rFonts w:ascii="Times New Roman" w:hAnsi="Times New Roman"/>
          <w:sz w:val="24"/>
          <w:szCs w:val="24"/>
        </w:rPr>
      </w:pPr>
    </w:p>
    <w:p w:rsidR="0039188B" w:rsidRPr="00FA2EA0" w:rsidRDefault="0039188B" w:rsidP="0039188B">
      <w:pPr>
        <w:pStyle w:val="Normlnywebov"/>
        <w:spacing w:before="0" w:beforeAutospacing="0" w:after="0" w:afterAutospacing="0"/>
        <w:ind w:firstLine="720"/>
        <w:jc w:val="both"/>
      </w:pPr>
      <w:r>
        <w:t xml:space="preserve">Predkladaný návrh zákona </w:t>
      </w:r>
      <w:r w:rsidRPr="00FA2EA0">
        <w:t>má</w:t>
      </w:r>
      <w:r>
        <w:t>, tak ako to vyplýva z doložky vybraných vplyvov,</w:t>
      </w:r>
      <w:r w:rsidRPr="00FA2EA0">
        <w:t xml:space="preserve"> </w:t>
      </w:r>
      <w:r w:rsidRPr="00ED5F45">
        <w:t>pozitívny</w:t>
      </w:r>
      <w:r>
        <w:t xml:space="preserve"> </w:t>
      </w:r>
      <w:r w:rsidRPr="00FA2EA0">
        <w:t>vplyv na rozpočet verejnej správ</w:t>
      </w:r>
      <w:r>
        <w:t xml:space="preserve">y, </w:t>
      </w:r>
      <w:r w:rsidRPr="0008175E">
        <w:t xml:space="preserve">má </w:t>
      </w:r>
      <w:r w:rsidRPr="00236170">
        <w:t xml:space="preserve">pozitívne </w:t>
      </w:r>
      <w:r w:rsidR="009E0E14" w:rsidRPr="00236170">
        <w:t>aj negatívne</w:t>
      </w:r>
      <w:r w:rsidR="009E0E14">
        <w:t xml:space="preserve"> </w:t>
      </w:r>
      <w:r w:rsidRPr="0008175E">
        <w:t>sociálne vplyvy,</w:t>
      </w:r>
      <w:r w:rsidRPr="002F544E">
        <w:t xml:space="preserve"> </w:t>
      </w:r>
      <w:r>
        <w:t>nemá vplyv na podnikateľské prostredie,</w:t>
      </w:r>
      <w:r w:rsidRPr="002F544E">
        <w:t xml:space="preserve"> životné </w:t>
      </w:r>
      <w:r w:rsidRPr="00FA2EA0">
        <w:t xml:space="preserve">prostredie, informatizáciu spoločnosti, ani na služby verejnej správy pre občana. </w:t>
      </w:r>
    </w:p>
    <w:p w:rsidR="0039188B" w:rsidRDefault="0039188B" w:rsidP="0039188B">
      <w:pPr>
        <w:tabs>
          <w:tab w:val="num" w:pos="709"/>
        </w:tabs>
        <w:spacing w:after="0" w:line="240" w:lineRule="auto"/>
        <w:jc w:val="both"/>
        <w:rPr>
          <w:rFonts w:ascii="Times New Roman" w:hAnsi="Times New Roman"/>
          <w:sz w:val="24"/>
          <w:szCs w:val="24"/>
        </w:rPr>
      </w:pPr>
    </w:p>
    <w:p w:rsidR="0039188B" w:rsidRPr="00236170" w:rsidRDefault="0039188B" w:rsidP="00236170">
      <w:pPr>
        <w:tabs>
          <w:tab w:val="num"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sk-SK"/>
        </w:rPr>
        <w:tab/>
      </w:r>
      <w:r w:rsidRPr="00236170">
        <w:rPr>
          <w:rFonts w:ascii="Times New Roman" w:hAnsi="Times New Roman" w:cs="Times New Roman"/>
          <w:sz w:val="24"/>
          <w:szCs w:val="24"/>
        </w:rPr>
        <w:t>Návrh zákona je v súlade s Ústavou Slovensk</w:t>
      </w:r>
      <w:r w:rsidR="00660DC7" w:rsidRPr="00236170">
        <w:rPr>
          <w:rFonts w:ascii="Times New Roman" w:hAnsi="Times New Roman" w:cs="Times New Roman"/>
          <w:sz w:val="24"/>
          <w:szCs w:val="24"/>
        </w:rPr>
        <w:t>ej republiky, ústavnými zákonmi a nálezmi Ústavného súdu Slovenskej republiky,</w:t>
      </w:r>
      <w:r w:rsidRPr="00236170">
        <w:rPr>
          <w:rFonts w:ascii="Times New Roman" w:hAnsi="Times New Roman" w:cs="Times New Roman"/>
          <w:sz w:val="24"/>
          <w:szCs w:val="24"/>
        </w:rPr>
        <w:t xml:space="preserve"> zákonmi a medzinárodnými zmluvami, ktorými je Slovenská</w:t>
      </w:r>
      <w:r w:rsidR="00AB7CB8" w:rsidRPr="00236170">
        <w:rPr>
          <w:rFonts w:ascii="Times New Roman" w:hAnsi="Times New Roman" w:cs="Times New Roman"/>
          <w:sz w:val="24"/>
          <w:szCs w:val="24"/>
        </w:rPr>
        <w:t xml:space="preserve"> republika viazaná, ako aj</w:t>
      </w:r>
      <w:r w:rsidRPr="00236170">
        <w:rPr>
          <w:rFonts w:ascii="Times New Roman" w:hAnsi="Times New Roman" w:cs="Times New Roman"/>
          <w:sz w:val="24"/>
          <w:szCs w:val="24"/>
        </w:rPr>
        <w:t xml:space="preserve"> s právom Európskej únie.</w:t>
      </w:r>
    </w:p>
    <w:p w:rsidR="00FC25F1" w:rsidRDefault="00FC25F1" w:rsidP="00A23841">
      <w:pPr>
        <w:spacing w:after="0" w:line="240" w:lineRule="auto"/>
        <w:jc w:val="both"/>
        <w:rPr>
          <w:rFonts w:ascii="Times New Roman" w:hAnsi="Times New Roman" w:cs="Times New Roman"/>
          <w:sz w:val="24"/>
          <w:szCs w:val="24"/>
          <w:lang w:eastAsia="sk-SK"/>
        </w:rPr>
      </w:pPr>
    </w:p>
    <w:p w:rsidR="00F83DD0" w:rsidRDefault="00F83DD0" w:rsidP="00A23841">
      <w:pPr>
        <w:spacing w:after="0" w:line="240" w:lineRule="auto"/>
        <w:jc w:val="both"/>
        <w:rPr>
          <w:rFonts w:ascii="Times New Roman" w:hAnsi="Times New Roman" w:cs="Times New Roman"/>
          <w:sz w:val="24"/>
          <w:szCs w:val="24"/>
          <w:lang w:eastAsia="sk-SK"/>
        </w:rPr>
      </w:pPr>
    </w:p>
    <w:p w:rsidR="00236170" w:rsidRDefault="00236170" w:rsidP="00F83DD0">
      <w:pPr>
        <w:spacing w:after="0" w:line="240" w:lineRule="auto"/>
        <w:ind w:firstLine="709"/>
        <w:jc w:val="both"/>
        <w:rPr>
          <w:rFonts w:ascii="Times New Roman" w:hAnsi="Times New Roman" w:cs="Times New Roman"/>
          <w:b/>
          <w:bCs/>
          <w:sz w:val="24"/>
          <w:szCs w:val="24"/>
          <w:u w:val="single"/>
          <w:lang w:eastAsia="sk-SK"/>
        </w:rPr>
      </w:pPr>
    </w:p>
    <w:p w:rsidR="00236170" w:rsidRDefault="00236170" w:rsidP="00F83DD0">
      <w:pPr>
        <w:spacing w:after="0" w:line="240" w:lineRule="auto"/>
        <w:ind w:firstLine="709"/>
        <w:jc w:val="both"/>
        <w:rPr>
          <w:rFonts w:ascii="Times New Roman" w:hAnsi="Times New Roman" w:cs="Times New Roman"/>
          <w:b/>
          <w:bCs/>
          <w:sz w:val="24"/>
          <w:szCs w:val="24"/>
          <w:u w:val="single"/>
          <w:lang w:eastAsia="sk-SK"/>
        </w:rPr>
      </w:pPr>
    </w:p>
    <w:p w:rsidR="00236170" w:rsidRDefault="00236170" w:rsidP="00F83DD0">
      <w:pPr>
        <w:spacing w:after="0" w:line="240" w:lineRule="auto"/>
        <w:ind w:firstLine="709"/>
        <w:jc w:val="both"/>
        <w:rPr>
          <w:rFonts w:ascii="Times New Roman" w:hAnsi="Times New Roman" w:cs="Times New Roman"/>
          <w:b/>
          <w:bCs/>
          <w:sz w:val="24"/>
          <w:szCs w:val="24"/>
          <w:u w:val="single"/>
          <w:lang w:eastAsia="sk-SK"/>
        </w:rPr>
      </w:pPr>
    </w:p>
    <w:p w:rsidR="00236170" w:rsidRDefault="00236170" w:rsidP="00F83DD0">
      <w:pPr>
        <w:spacing w:after="0" w:line="240" w:lineRule="auto"/>
        <w:ind w:firstLine="709"/>
        <w:jc w:val="both"/>
        <w:rPr>
          <w:rFonts w:ascii="Times New Roman" w:hAnsi="Times New Roman" w:cs="Times New Roman"/>
          <w:b/>
          <w:bCs/>
          <w:sz w:val="24"/>
          <w:szCs w:val="24"/>
          <w:u w:val="single"/>
          <w:lang w:eastAsia="sk-SK"/>
        </w:rPr>
      </w:pPr>
    </w:p>
    <w:p w:rsidR="00134B51" w:rsidRPr="00134B51" w:rsidRDefault="00134B51" w:rsidP="00134B51">
      <w:pPr>
        <w:jc w:val="center"/>
        <w:rPr>
          <w:rFonts w:ascii="Times New Roman" w:hAnsi="Times New Roman" w:cs="Times New Roman"/>
          <w:b/>
          <w:bCs/>
          <w:sz w:val="28"/>
          <w:szCs w:val="28"/>
        </w:rPr>
      </w:pPr>
      <w:r>
        <w:rPr>
          <w:rFonts w:ascii="Times New Roman" w:hAnsi="Times New Roman" w:cs="Times New Roman"/>
          <w:b/>
          <w:bCs/>
          <w:sz w:val="24"/>
          <w:szCs w:val="24"/>
          <w:u w:val="single"/>
          <w:lang w:eastAsia="sk-SK"/>
        </w:rPr>
        <w:br w:type="page"/>
      </w:r>
      <w:r w:rsidRPr="00134B51">
        <w:rPr>
          <w:rFonts w:ascii="Times New Roman" w:hAnsi="Times New Roman" w:cs="Times New Roman"/>
          <w:b/>
          <w:bCs/>
          <w:sz w:val="28"/>
          <w:szCs w:val="28"/>
        </w:rPr>
        <w:lastRenderedPageBreak/>
        <w:t>Doložka vybraných vplyvov</w:t>
      </w:r>
    </w:p>
    <w:p w:rsidR="00134B51" w:rsidRPr="00134B51" w:rsidRDefault="00134B51" w:rsidP="00134B51">
      <w:pPr>
        <w:pStyle w:val="Odsekzoznamu"/>
        <w:ind w:left="426"/>
        <w:rPr>
          <w:rFonts w:ascii="Times New Roman" w:hAnsi="Times New Roman"/>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134B51" w:rsidRPr="00F44A0F" w:rsidTr="00F44A0F">
        <w:tc>
          <w:tcPr>
            <w:tcW w:w="9180" w:type="dxa"/>
            <w:gridSpan w:val="10"/>
            <w:tcBorders>
              <w:bottom w:val="single" w:sz="4" w:space="0" w:color="FFFFFF"/>
            </w:tcBorders>
            <w:shd w:val="clear" w:color="auto" w:fill="E2E2E2"/>
            <w:hideMark/>
          </w:tcPr>
          <w:p w:rsidR="00134B51" w:rsidRPr="00F44A0F" w:rsidRDefault="00134B51" w:rsidP="00F44A0F">
            <w:pPr>
              <w:pStyle w:val="Odsekzoznamu"/>
              <w:numPr>
                <w:ilvl w:val="0"/>
                <w:numId w:val="23"/>
              </w:numPr>
              <w:ind w:left="426"/>
              <w:contextualSpacing/>
              <w:rPr>
                <w:rFonts w:ascii="Times New Roman" w:hAnsi="Times New Roman"/>
                <w:b/>
                <w:sz w:val="22"/>
                <w:szCs w:val="22"/>
              </w:rPr>
            </w:pPr>
            <w:r w:rsidRPr="00F44A0F">
              <w:rPr>
                <w:rFonts w:ascii="Times New Roman" w:hAnsi="Times New Roman"/>
                <w:b/>
                <w:sz w:val="22"/>
                <w:szCs w:val="22"/>
              </w:rPr>
              <w:t>Základné údaje</w:t>
            </w:r>
          </w:p>
        </w:tc>
      </w:tr>
      <w:tr w:rsidR="00134B51" w:rsidRPr="00F44A0F" w:rsidTr="00F44A0F">
        <w:tc>
          <w:tcPr>
            <w:tcW w:w="9180" w:type="dxa"/>
            <w:gridSpan w:val="10"/>
            <w:tcBorders>
              <w:bottom w:val="single" w:sz="4" w:space="0" w:color="FFFFFF"/>
            </w:tcBorders>
            <w:shd w:val="clear" w:color="auto" w:fill="E2E2E2"/>
            <w:hideMark/>
          </w:tcPr>
          <w:p w:rsidR="00134B51" w:rsidRPr="00F44A0F" w:rsidRDefault="00134B51" w:rsidP="00F44A0F">
            <w:pPr>
              <w:pStyle w:val="Odsekzoznamu"/>
              <w:ind w:left="142"/>
              <w:rPr>
                <w:rFonts w:ascii="Times New Roman" w:hAnsi="Times New Roman"/>
                <w:b/>
                <w:sz w:val="22"/>
                <w:szCs w:val="22"/>
              </w:rPr>
            </w:pPr>
            <w:r w:rsidRPr="00F44A0F">
              <w:rPr>
                <w:rFonts w:ascii="Times New Roman" w:hAnsi="Times New Roman"/>
                <w:b/>
                <w:sz w:val="22"/>
                <w:szCs w:val="22"/>
              </w:rPr>
              <w:t>Názov materiálu</w:t>
            </w:r>
          </w:p>
        </w:tc>
      </w:tr>
      <w:tr w:rsidR="00134B51" w:rsidRPr="00F44A0F" w:rsidTr="00F44A0F">
        <w:trPr>
          <w:trHeight w:val="745"/>
        </w:trPr>
        <w:tc>
          <w:tcPr>
            <w:tcW w:w="9180" w:type="dxa"/>
            <w:gridSpan w:val="10"/>
            <w:tcBorders>
              <w:top w:val="single" w:sz="4" w:space="0" w:color="FFFFFF"/>
            </w:tcBorders>
          </w:tcPr>
          <w:p w:rsidR="00134B51" w:rsidRPr="00F44A0F" w:rsidRDefault="00134B51" w:rsidP="00F44A0F">
            <w:pPr>
              <w:spacing w:after="0" w:line="240" w:lineRule="auto"/>
              <w:rPr>
                <w:rFonts w:ascii="Times New Roman" w:hAnsi="Times New Roman" w:cs="Times New Roman"/>
              </w:rPr>
            </w:pPr>
          </w:p>
          <w:p w:rsidR="00134B51" w:rsidRPr="00F44A0F" w:rsidRDefault="00134B51" w:rsidP="00F44A0F">
            <w:pPr>
              <w:spacing w:after="0" w:line="240" w:lineRule="auto"/>
              <w:rPr>
                <w:rFonts w:ascii="Times New Roman" w:hAnsi="Times New Roman" w:cs="Times New Roman"/>
                <w:sz w:val="20"/>
                <w:szCs w:val="20"/>
              </w:rPr>
            </w:pPr>
            <w:r w:rsidRPr="00F44A0F">
              <w:rPr>
                <w:rFonts w:ascii="Times New Roman" w:hAnsi="Times New Roman" w:cs="Times New Roman"/>
                <w:sz w:val="20"/>
                <w:szCs w:val="20"/>
              </w:rPr>
              <w:t>Návrh zákona, ktorým sa mení a dopĺňa zákon č. 328/2002 Z. z. o sociálnom zabezpečení policajtov a vojakov a o zmene a doplnení niektorých zákonov v znení neskorších predpisov</w:t>
            </w:r>
          </w:p>
          <w:p w:rsidR="00134B51" w:rsidRPr="00F44A0F" w:rsidRDefault="00134B51" w:rsidP="00F44A0F">
            <w:pPr>
              <w:spacing w:after="0" w:line="240" w:lineRule="auto"/>
              <w:rPr>
                <w:rFonts w:ascii="Times New Roman" w:hAnsi="Times New Roman" w:cs="Times New Roman"/>
              </w:rPr>
            </w:pPr>
          </w:p>
        </w:tc>
      </w:tr>
      <w:tr w:rsidR="00134B51" w:rsidRPr="00F44A0F" w:rsidTr="00F44A0F">
        <w:tc>
          <w:tcPr>
            <w:tcW w:w="9180" w:type="dxa"/>
            <w:gridSpan w:val="10"/>
            <w:tcBorders>
              <w:bottom w:val="single" w:sz="4" w:space="0" w:color="FFFFFF"/>
            </w:tcBorders>
            <w:shd w:val="clear" w:color="auto" w:fill="E2E2E2"/>
            <w:hideMark/>
          </w:tcPr>
          <w:p w:rsidR="00134B51" w:rsidRPr="00F44A0F" w:rsidRDefault="00134B51" w:rsidP="00F44A0F">
            <w:pPr>
              <w:pStyle w:val="Odsekzoznamu"/>
              <w:ind w:left="142"/>
              <w:rPr>
                <w:rFonts w:ascii="Times New Roman" w:hAnsi="Times New Roman"/>
                <w:b/>
                <w:sz w:val="22"/>
                <w:szCs w:val="22"/>
              </w:rPr>
            </w:pPr>
            <w:r w:rsidRPr="00F44A0F">
              <w:rPr>
                <w:rFonts w:ascii="Times New Roman" w:hAnsi="Times New Roman"/>
                <w:b/>
                <w:sz w:val="22"/>
                <w:szCs w:val="22"/>
              </w:rPr>
              <w:t>Predkladateľ (a spolupredkladateľ)</w:t>
            </w:r>
          </w:p>
        </w:tc>
      </w:tr>
      <w:tr w:rsidR="00134B51" w:rsidRPr="00F44A0F" w:rsidTr="00F44A0F">
        <w:trPr>
          <w:trHeight w:val="196"/>
        </w:trPr>
        <w:tc>
          <w:tcPr>
            <w:tcW w:w="9180" w:type="dxa"/>
            <w:gridSpan w:val="10"/>
            <w:tcBorders>
              <w:top w:val="single" w:sz="4" w:space="0" w:color="FFFFFF"/>
            </w:tcBorders>
            <w:shd w:val="clear" w:color="auto" w:fill="FFFFFF"/>
          </w:tcPr>
          <w:p w:rsidR="00134B51" w:rsidRPr="00F44A0F" w:rsidRDefault="00134B51" w:rsidP="00F44A0F">
            <w:pPr>
              <w:spacing w:after="0" w:line="240" w:lineRule="auto"/>
              <w:rPr>
                <w:rFonts w:ascii="Times New Roman" w:hAnsi="Times New Roman" w:cs="Times New Roman"/>
                <w:strike/>
                <w:sz w:val="20"/>
                <w:szCs w:val="20"/>
              </w:rPr>
            </w:pPr>
            <w:r w:rsidRPr="00F44A0F">
              <w:rPr>
                <w:rFonts w:ascii="Times New Roman" w:hAnsi="Times New Roman" w:cs="Times New Roman"/>
                <w:sz w:val="20"/>
                <w:szCs w:val="20"/>
              </w:rPr>
              <w:t xml:space="preserve">   Ministerstvo vnútra Slovenskej republiky</w:t>
            </w:r>
          </w:p>
          <w:p w:rsidR="00134B51" w:rsidRPr="00F44A0F" w:rsidRDefault="00134B51" w:rsidP="00F44A0F">
            <w:pPr>
              <w:spacing w:after="0" w:line="240" w:lineRule="auto"/>
              <w:rPr>
                <w:rFonts w:ascii="Times New Roman" w:hAnsi="Times New Roman" w:cs="Times New Roman"/>
              </w:rPr>
            </w:pPr>
          </w:p>
        </w:tc>
      </w:tr>
      <w:tr w:rsidR="009E6C3E" w:rsidRPr="00F44A0F" w:rsidTr="00F44A0F">
        <w:tc>
          <w:tcPr>
            <w:tcW w:w="4212" w:type="dxa"/>
            <w:gridSpan w:val="2"/>
            <w:vMerge w:val="restart"/>
            <w:shd w:val="clear" w:color="auto" w:fill="E2E2E2"/>
            <w:vAlign w:val="center"/>
            <w:hideMark/>
          </w:tcPr>
          <w:p w:rsidR="00134B51" w:rsidRPr="00F44A0F" w:rsidRDefault="00134B51" w:rsidP="00F44A0F">
            <w:pPr>
              <w:pStyle w:val="Odsekzoznamu"/>
              <w:ind w:left="142"/>
              <w:rPr>
                <w:rFonts w:ascii="Times New Roman" w:hAnsi="Times New Roman"/>
                <w:b/>
                <w:sz w:val="22"/>
                <w:szCs w:val="22"/>
              </w:rPr>
            </w:pPr>
            <w:r w:rsidRPr="00F44A0F">
              <w:rPr>
                <w:rFonts w:ascii="Times New Roman" w:hAnsi="Times New Roman"/>
                <w:b/>
                <w:sz w:val="22"/>
                <w:szCs w:val="22"/>
              </w:rPr>
              <w:t>Charakter predkladaného materiálu</w:t>
            </w:r>
          </w:p>
        </w:tc>
        <w:tc>
          <w:tcPr>
            <w:tcW w:w="705" w:type="dxa"/>
            <w:gridSpan w:val="2"/>
            <w:tcBorders>
              <w:right w:val="nil"/>
            </w:tcBorders>
            <w:shd w:val="clear" w:color="auto" w:fill="FFFFFF"/>
            <w:hideMark/>
          </w:tcPr>
          <w:p w:rsidR="00134B51" w:rsidRPr="00F44A0F" w:rsidRDefault="00134B51" w:rsidP="00F44A0F">
            <w:pPr>
              <w:spacing w:after="0" w:line="240" w:lineRule="auto"/>
              <w:jc w:val="center"/>
              <w:rPr>
                <w:rFonts w:ascii="Times New Roman" w:hAnsi="Times New Roman" w:cs="Times New Roman"/>
              </w:rPr>
            </w:pPr>
            <w:r w:rsidRPr="00F44A0F">
              <w:rPr>
                <w:rFonts w:ascii="Segoe UI Symbol" w:eastAsia="MS Mincho" w:hAnsi="Segoe UI Symbol" w:cs="Segoe UI Symbol"/>
              </w:rPr>
              <w:t>☐</w:t>
            </w:r>
          </w:p>
        </w:tc>
        <w:tc>
          <w:tcPr>
            <w:tcW w:w="4263" w:type="dxa"/>
            <w:gridSpan w:val="6"/>
            <w:tcBorders>
              <w:left w:val="nil"/>
            </w:tcBorders>
            <w:shd w:val="clear" w:color="auto" w:fill="FFFFFF"/>
            <w:hideMark/>
          </w:tcPr>
          <w:p w:rsidR="00134B51" w:rsidRPr="00F44A0F" w:rsidRDefault="00134B51" w:rsidP="00F44A0F">
            <w:pPr>
              <w:spacing w:after="0" w:line="240" w:lineRule="auto"/>
              <w:rPr>
                <w:rFonts w:ascii="Times New Roman" w:hAnsi="Times New Roman" w:cs="Times New Roman"/>
                <w:sz w:val="20"/>
                <w:szCs w:val="20"/>
              </w:rPr>
            </w:pPr>
            <w:r w:rsidRPr="00F44A0F">
              <w:rPr>
                <w:rFonts w:ascii="Times New Roman" w:hAnsi="Times New Roman" w:cs="Times New Roman"/>
                <w:sz w:val="20"/>
                <w:szCs w:val="20"/>
              </w:rPr>
              <w:t>Materiál nelegislatívnej povahy</w:t>
            </w:r>
          </w:p>
        </w:tc>
      </w:tr>
      <w:tr w:rsidR="009E6C3E" w:rsidRPr="00F44A0F" w:rsidTr="00F44A0F">
        <w:tc>
          <w:tcPr>
            <w:tcW w:w="4212" w:type="dxa"/>
            <w:gridSpan w:val="2"/>
            <w:vMerge/>
            <w:vAlign w:val="center"/>
            <w:hideMark/>
          </w:tcPr>
          <w:p w:rsidR="00134B51" w:rsidRPr="00F44A0F" w:rsidRDefault="00134B51" w:rsidP="00F44A0F">
            <w:pPr>
              <w:spacing w:after="0" w:line="240" w:lineRule="auto"/>
              <w:rPr>
                <w:rFonts w:ascii="Times New Roman" w:hAnsi="Times New Roman" w:cs="Times New Roman"/>
                <w:b/>
              </w:rPr>
            </w:pPr>
          </w:p>
        </w:tc>
        <w:tc>
          <w:tcPr>
            <w:tcW w:w="705" w:type="dxa"/>
            <w:gridSpan w:val="2"/>
            <w:tcBorders>
              <w:right w:val="nil"/>
            </w:tcBorders>
            <w:shd w:val="clear" w:color="auto" w:fill="FFFFFF"/>
            <w:hideMark/>
          </w:tcPr>
          <w:p w:rsidR="00134B51" w:rsidRPr="00F44A0F" w:rsidRDefault="00134B51" w:rsidP="00F44A0F">
            <w:pPr>
              <w:spacing w:after="0" w:line="240" w:lineRule="auto"/>
              <w:jc w:val="center"/>
              <w:rPr>
                <w:rFonts w:ascii="Times New Roman" w:hAnsi="Times New Roman" w:cs="Times New Roman"/>
              </w:rPr>
            </w:pPr>
            <w:r w:rsidRPr="00F44A0F">
              <w:rPr>
                <w:rFonts w:ascii="Segoe UI Symbol" w:eastAsia="MS Gothic" w:hAnsi="Segoe UI Symbol" w:cs="Segoe UI Symbol"/>
              </w:rPr>
              <w:t>☒</w:t>
            </w:r>
          </w:p>
        </w:tc>
        <w:tc>
          <w:tcPr>
            <w:tcW w:w="4263" w:type="dxa"/>
            <w:gridSpan w:val="6"/>
            <w:tcBorders>
              <w:left w:val="nil"/>
            </w:tcBorders>
            <w:shd w:val="clear" w:color="auto" w:fill="FFFFFF"/>
            <w:hideMark/>
          </w:tcPr>
          <w:p w:rsidR="00134B51" w:rsidRPr="00F44A0F" w:rsidRDefault="00134B51" w:rsidP="00F44A0F">
            <w:pPr>
              <w:spacing w:after="0" w:line="240" w:lineRule="auto"/>
              <w:ind w:left="175" w:hanging="175"/>
              <w:rPr>
                <w:rFonts w:ascii="Times New Roman" w:hAnsi="Times New Roman" w:cs="Times New Roman"/>
                <w:sz w:val="20"/>
                <w:szCs w:val="20"/>
              </w:rPr>
            </w:pPr>
            <w:r w:rsidRPr="00F44A0F">
              <w:rPr>
                <w:rFonts w:ascii="Times New Roman" w:hAnsi="Times New Roman" w:cs="Times New Roman"/>
                <w:sz w:val="20"/>
                <w:szCs w:val="20"/>
              </w:rPr>
              <w:t>Materiál legislatívnej povahy</w:t>
            </w:r>
          </w:p>
        </w:tc>
      </w:tr>
      <w:tr w:rsidR="009E6C3E" w:rsidRPr="00F44A0F" w:rsidTr="00F44A0F">
        <w:tc>
          <w:tcPr>
            <w:tcW w:w="4212" w:type="dxa"/>
            <w:gridSpan w:val="2"/>
            <w:vMerge/>
            <w:vAlign w:val="center"/>
            <w:hideMark/>
          </w:tcPr>
          <w:p w:rsidR="00134B51" w:rsidRPr="00F44A0F" w:rsidRDefault="00134B51" w:rsidP="00F44A0F">
            <w:pPr>
              <w:spacing w:after="0" w:line="240" w:lineRule="auto"/>
              <w:rPr>
                <w:rFonts w:ascii="Times New Roman" w:hAnsi="Times New Roman" w:cs="Times New Roman"/>
                <w:b/>
              </w:rPr>
            </w:pPr>
          </w:p>
        </w:tc>
        <w:tc>
          <w:tcPr>
            <w:tcW w:w="705" w:type="dxa"/>
            <w:gridSpan w:val="2"/>
            <w:tcBorders>
              <w:right w:val="nil"/>
            </w:tcBorders>
            <w:shd w:val="clear" w:color="auto" w:fill="FFFFFF"/>
            <w:hideMark/>
          </w:tcPr>
          <w:p w:rsidR="00134B51" w:rsidRPr="00F44A0F" w:rsidRDefault="00134B51" w:rsidP="00F44A0F">
            <w:pPr>
              <w:spacing w:after="0" w:line="240" w:lineRule="auto"/>
              <w:jc w:val="center"/>
              <w:rPr>
                <w:rFonts w:ascii="Times New Roman" w:hAnsi="Times New Roman" w:cs="Times New Roman"/>
              </w:rPr>
            </w:pPr>
            <w:r w:rsidRPr="00F44A0F">
              <w:rPr>
                <w:rFonts w:ascii="Segoe UI Symbol" w:eastAsia="MS Mincho" w:hAnsi="Segoe UI Symbol" w:cs="Segoe UI Symbol"/>
              </w:rPr>
              <w:t>☐</w:t>
            </w:r>
          </w:p>
        </w:tc>
        <w:tc>
          <w:tcPr>
            <w:tcW w:w="4263" w:type="dxa"/>
            <w:gridSpan w:val="6"/>
            <w:tcBorders>
              <w:left w:val="nil"/>
            </w:tcBorders>
            <w:shd w:val="clear" w:color="auto" w:fill="FFFFFF"/>
            <w:hideMark/>
          </w:tcPr>
          <w:p w:rsidR="00134B51" w:rsidRPr="00F44A0F" w:rsidRDefault="00134B51" w:rsidP="00F44A0F">
            <w:pPr>
              <w:spacing w:after="0" w:line="240" w:lineRule="auto"/>
              <w:rPr>
                <w:rFonts w:ascii="Times New Roman" w:hAnsi="Times New Roman" w:cs="Times New Roman"/>
                <w:sz w:val="20"/>
                <w:szCs w:val="20"/>
              </w:rPr>
            </w:pPr>
            <w:r w:rsidRPr="00F44A0F">
              <w:rPr>
                <w:rFonts w:ascii="Times New Roman" w:hAnsi="Times New Roman" w:cs="Times New Roman"/>
                <w:sz w:val="20"/>
                <w:szCs w:val="20"/>
              </w:rPr>
              <w:t>Transpozícia práva EÚ</w:t>
            </w:r>
          </w:p>
        </w:tc>
      </w:tr>
      <w:tr w:rsidR="00134B51" w:rsidRPr="00F44A0F" w:rsidTr="00F44A0F">
        <w:trPr>
          <w:trHeight w:val="229"/>
        </w:trPr>
        <w:tc>
          <w:tcPr>
            <w:tcW w:w="9180" w:type="dxa"/>
            <w:gridSpan w:val="10"/>
            <w:tcBorders>
              <w:bottom w:val="single" w:sz="4" w:space="0" w:color="FFFFFF"/>
            </w:tcBorders>
            <w:shd w:val="clear" w:color="auto" w:fill="FFFFFF"/>
          </w:tcPr>
          <w:p w:rsidR="00134B51" w:rsidRPr="00F44A0F" w:rsidRDefault="00134B51" w:rsidP="00F44A0F">
            <w:pPr>
              <w:spacing w:after="0" w:line="240" w:lineRule="auto"/>
              <w:rPr>
                <w:rFonts w:ascii="Times New Roman" w:hAnsi="Times New Roman" w:cs="Times New Roman"/>
                <w:i/>
                <w:sz w:val="20"/>
                <w:szCs w:val="20"/>
              </w:rPr>
            </w:pPr>
          </w:p>
          <w:p w:rsidR="00134B51" w:rsidRPr="00F44A0F" w:rsidRDefault="00134B51" w:rsidP="00F44A0F">
            <w:pPr>
              <w:spacing w:after="0" w:line="240" w:lineRule="auto"/>
              <w:rPr>
                <w:rFonts w:ascii="Times New Roman" w:hAnsi="Times New Roman" w:cs="Times New Roman"/>
                <w:sz w:val="20"/>
                <w:szCs w:val="20"/>
              </w:rPr>
            </w:pPr>
          </w:p>
          <w:p w:rsidR="00134B51" w:rsidRPr="00F44A0F" w:rsidRDefault="00134B51" w:rsidP="00F44A0F">
            <w:pPr>
              <w:spacing w:after="0" w:line="240" w:lineRule="auto"/>
              <w:rPr>
                <w:rFonts w:ascii="Times New Roman" w:hAnsi="Times New Roman" w:cs="Times New Roman"/>
                <w:sz w:val="20"/>
                <w:szCs w:val="20"/>
              </w:rPr>
            </w:pPr>
          </w:p>
        </w:tc>
      </w:tr>
      <w:tr w:rsidR="00134B51" w:rsidRPr="00F44A0F" w:rsidTr="00F44A0F">
        <w:tc>
          <w:tcPr>
            <w:tcW w:w="5634" w:type="dxa"/>
            <w:gridSpan w:val="5"/>
            <w:tcBorders>
              <w:top w:val="single" w:sz="4" w:space="0" w:color="000000"/>
              <w:bottom w:val="single" w:sz="4" w:space="0" w:color="FFFFFF"/>
            </w:tcBorders>
            <w:shd w:val="clear" w:color="auto" w:fill="E2E2E2"/>
            <w:vAlign w:val="center"/>
            <w:hideMark/>
          </w:tcPr>
          <w:p w:rsidR="00134B51" w:rsidRPr="00F44A0F" w:rsidRDefault="00134B51" w:rsidP="00F44A0F">
            <w:pPr>
              <w:pStyle w:val="Odsekzoznamu"/>
              <w:ind w:left="142"/>
              <w:rPr>
                <w:rFonts w:ascii="Times New Roman" w:hAnsi="Times New Roman"/>
                <w:b/>
                <w:sz w:val="22"/>
                <w:szCs w:val="22"/>
              </w:rPr>
            </w:pPr>
            <w:r w:rsidRPr="00F44A0F">
              <w:rPr>
                <w:rFonts w:ascii="Times New Roman" w:hAnsi="Times New Roman"/>
                <w:b/>
                <w:sz w:val="22"/>
                <w:szCs w:val="22"/>
              </w:rPr>
              <w:t>Termín začiatku a ukončenia PPK</w:t>
            </w:r>
          </w:p>
        </w:tc>
        <w:tc>
          <w:tcPr>
            <w:tcW w:w="3546" w:type="dxa"/>
            <w:gridSpan w:val="5"/>
            <w:tcBorders>
              <w:top w:val="single" w:sz="4" w:space="0" w:color="000000"/>
            </w:tcBorders>
            <w:vAlign w:val="center"/>
            <w:hideMark/>
          </w:tcPr>
          <w:p w:rsidR="00134B51" w:rsidRPr="00F44A0F" w:rsidRDefault="00134B51" w:rsidP="00F44A0F">
            <w:pPr>
              <w:spacing w:after="0" w:line="240" w:lineRule="auto"/>
              <w:rPr>
                <w:rFonts w:ascii="Times New Roman" w:hAnsi="Times New Roman" w:cs="Times New Roman"/>
                <w:i/>
                <w:sz w:val="20"/>
                <w:szCs w:val="20"/>
              </w:rPr>
            </w:pPr>
            <w:r w:rsidRPr="00F44A0F">
              <w:rPr>
                <w:rFonts w:ascii="Times New Roman" w:hAnsi="Times New Roman" w:cs="Times New Roman"/>
                <w:i/>
                <w:sz w:val="20"/>
                <w:szCs w:val="20"/>
              </w:rPr>
              <w:t>Začiatok: 23.1.2019</w:t>
            </w:r>
          </w:p>
          <w:p w:rsidR="00134B51" w:rsidRPr="00F44A0F" w:rsidRDefault="00134B51" w:rsidP="00F44A0F">
            <w:pPr>
              <w:spacing w:after="0" w:line="240" w:lineRule="auto"/>
              <w:rPr>
                <w:rFonts w:ascii="Times New Roman" w:hAnsi="Times New Roman" w:cs="Times New Roman"/>
                <w:i/>
                <w:sz w:val="20"/>
                <w:szCs w:val="20"/>
              </w:rPr>
            </w:pPr>
            <w:r w:rsidRPr="00F44A0F">
              <w:rPr>
                <w:rFonts w:ascii="Times New Roman" w:hAnsi="Times New Roman" w:cs="Times New Roman"/>
                <w:i/>
                <w:sz w:val="20"/>
                <w:szCs w:val="20"/>
              </w:rPr>
              <w:t>Koniec:  1.2.2019</w:t>
            </w:r>
          </w:p>
        </w:tc>
      </w:tr>
      <w:tr w:rsidR="00134B51" w:rsidRPr="00F44A0F" w:rsidTr="00F44A0F">
        <w:tc>
          <w:tcPr>
            <w:tcW w:w="5634" w:type="dxa"/>
            <w:gridSpan w:val="5"/>
            <w:tcBorders>
              <w:bottom w:val="single" w:sz="4" w:space="0" w:color="FFFFFF"/>
            </w:tcBorders>
            <w:shd w:val="clear" w:color="auto" w:fill="E2E2E2"/>
            <w:vAlign w:val="center"/>
            <w:hideMark/>
          </w:tcPr>
          <w:p w:rsidR="00134B51" w:rsidRPr="00F44A0F" w:rsidRDefault="00134B51" w:rsidP="00F44A0F">
            <w:pPr>
              <w:pStyle w:val="Odsekzoznamu"/>
              <w:ind w:left="142"/>
              <w:rPr>
                <w:rFonts w:ascii="Times New Roman" w:hAnsi="Times New Roman"/>
                <w:b/>
                <w:sz w:val="22"/>
                <w:szCs w:val="22"/>
              </w:rPr>
            </w:pPr>
            <w:r w:rsidRPr="00F44A0F">
              <w:rPr>
                <w:rFonts w:ascii="Times New Roman" w:hAnsi="Times New Roman"/>
                <w:b/>
                <w:sz w:val="22"/>
                <w:szCs w:val="22"/>
              </w:rPr>
              <w:t>Predpokladaný termín predloženia na MPK*</w:t>
            </w:r>
          </w:p>
        </w:tc>
        <w:tc>
          <w:tcPr>
            <w:tcW w:w="3546" w:type="dxa"/>
            <w:gridSpan w:val="5"/>
            <w:vAlign w:val="center"/>
            <w:hideMark/>
          </w:tcPr>
          <w:p w:rsidR="00134B51" w:rsidRPr="00F44A0F" w:rsidRDefault="00134B51" w:rsidP="00F44A0F">
            <w:pPr>
              <w:spacing w:after="0" w:line="240" w:lineRule="auto"/>
              <w:rPr>
                <w:rFonts w:ascii="Times New Roman" w:hAnsi="Times New Roman" w:cs="Times New Roman"/>
                <w:i/>
                <w:sz w:val="20"/>
                <w:szCs w:val="20"/>
              </w:rPr>
            </w:pPr>
            <w:r w:rsidRPr="00F44A0F">
              <w:rPr>
                <w:rFonts w:ascii="Times New Roman" w:hAnsi="Times New Roman" w:cs="Times New Roman"/>
                <w:i/>
                <w:sz w:val="20"/>
                <w:szCs w:val="20"/>
              </w:rPr>
              <w:t xml:space="preserve"> január 2019   </w:t>
            </w:r>
          </w:p>
        </w:tc>
      </w:tr>
      <w:tr w:rsidR="00134B51" w:rsidRPr="00F44A0F" w:rsidTr="00F44A0F">
        <w:tc>
          <w:tcPr>
            <w:tcW w:w="5634" w:type="dxa"/>
            <w:gridSpan w:val="5"/>
            <w:tcBorders>
              <w:bottom w:val="single" w:sz="4" w:space="0" w:color="FFFFFF"/>
            </w:tcBorders>
            <w:shd w:val="clear" w:color="auto" w:fill="E2E2E2"/>
            <w:vAlign w:val="center"/>
            <w:hideMark/>
          </w:tcPr>
          <w:p w:rsidR="00134B51" w:rsidRPr="00F44A0F" w:rsidRDefault="00134B51" w:rsidP="00F44A0F">
            <w:pPr>
              <w:pStyle w:val="Odsekzoznamu"/>
              <w:ind w:left="142"/>
              <w:rPr>
                <w:rFonts w:ascii="Times New Roman" w:hAnsi="Times New Roman"/>
                <w:b/>
                <w:sz w:val="22"/>
                <w:szCs w:val="22"/>
              </w:rPr>
            </w:pPr>
            <w:r w:rsidRPr="00F44A0F">
              <w:rPr>
                <w:rFonts w:ascii="Times New Roman" w:hAnsi="Times New Roman"/>
                <w:b/>
                <w:sz w:val="22"/>
                <w:szCs w:val="22"/>
              </w:rPr>
              <w:t>Predpokladaný termín predloženia na Rokovanie vlády SR*</w:t>
            </w:r>
          </w:p>
        </w:tc>
        <w:tc>
          <w:tcPr>
            <w:tcW w:w="3546" w:type="dxa"/>
            <w:gridSpan w:val="5"/>
            <w:vAlign w:val="center"/>
            <w:hideMark/>
          </w:tcPr>
          <w:p w:rsidR="00134B51" w:rsidRPr="00F44A0F" w:rsidRDefault="00134B51" w:rsidP="00F44A0F">
            <w:pPr>
              <w:spacing w:after="0" w:line="240" w:lineRule="auto"/>
              <w:rPr>
                <w:rFonts w:ascii="Times New Roman" w:hAnsi="Times New Roman" w:cs="Times New Roman"/>
                <w:i/>
                <w:sz w:val="20"/>
                <w:szCs w:val="20"/>
              </w:rPr>
            </w:pPr>
            <w:r w:rsidRPr="00F44A0F">
              <w:rPr>
                <w:rFonts w:ascii="Times New Roman" w:hAnsi="Times New Roman" w:cs="Times New Roman"/>
                <w:i/>
                <w:sz w:val="20"/>
                <w:szCs w:val="20"/>
              </w:rPr>
              <w:t xml:space="preserve"> február  2019</w:t>
            </w:r>
          </w:p>
        </w:tc>
      </w:tr>
      <w:tr w:rsidR="00134B51" w:rsidRPr="00F44A0F" w:rsidTr="00F44A0F">
        <w:tc>
          <w:tcPr>
            <w:tcW w:w="9180" w:type="dxa"/>
            <w:gridSpan w:val="10"/>
            <w:tcBorders>
              <w:left w:val="nil"/>
              <w:right w:val="nil"/>
            </w:tcBorders>
            <w:shd w:val="clear" w:color="auto" w:fill="FFFFFF"/>
          </w:tcPr>
          <w:p w:rsidR="00134B51" w:rsidRPr="00F44A0F" w:rsidRDefault="00134B51" w:rsidP="00F44A0F">
            <w:pPr>
              <w:spacing w:after="0" w:line="240" w:lineRule="auto"/>
              <w:rPr>
                <w:rFonts w:ascii="Times New Roman" w:hAnsi="Times New Roman" w:cs="Times New Roman"/>
              </w:rPr>
            </w:pPr>
          </w:p>
        </w:tc>
      </w:tr>
      <w:tr w:rsidR="00134B51" w:rsidRPr="00F44A0F" w:rsidTr="00F44A0F">
        <w:tc>
          <w:tcPr>
            <w:tcW w:w="9180" w:type="dxa"/>
            <w:gridSpan w:val="10"/>
            <w:tcBorders>
              <w:bottom w:val="single" w:sz="4" w:space="0" w:color="FFFFFF"/>
            </w:tcBorders>
            <w:shd w:val="clear" w:color="auto" w:fill="E2E2E2"/>
            <w:hideMark/>
          </w:tcPr>
          <w:p w:rsidR="00134B51" w:rsidRPr="00F44A0F" w:rsidRDefault="00134B51" w:rsidP="00F44A0F">
            <w:pPr>
              <w:pStyle w:val="Odsekzoznamu"/>
              <w:numPr>
                <w:ilvl w:val="0"/>
                <w:numId w:val="23"/>
              </w:numPr>
              <w:ind w:left="426"/>
              <w:contextualSpacing/>
              <w:rPr>
                <w:rFonts w:ascii="Times New Roman" w:hAnsi="Times New Roman"/>
                <w:b/>
                <w:sz w:val="22"/>
                <w:szCs w:val="22"/>
              </w:rPr>
            </w:pPr>
            <w:r w:rsidRPr="00F44A0F">
              <w:rPr>
                <w:rFonts w:ascii="Times New Roman" w:hAnsi="Times New Roman"/>
                <w:b/>
                <w:sz w:val="22"/>
                <w:szCs w:val="22"/>
              </w:rPr>
              <w:t>Definovanie problému</w:t>
            </w:r>
          </w:p>
        </w:tc>
      </w:tr>
      <w:tr w:rsidR="00134B51" w:rsidRPr="00F44A0F" w:rsidTr="00F44A0F">
        <w:trPr>
          <w:trHeight w:val="718"/>
        </w:trPr>
        <w:tc>
          <w:tcPr>
            <w:tcW w:w="9180" w:type="dxa"/>
            <w:gridSpan w:val="10"/>
            <w:tcBorders>
              <w:top w:val="single" w:sz="4" w:space="0" w:color="FFFFFF"/>
            </w:tcBorders>
            <w:shd w:val="clear" w:color="auto" w:fill="FFFFFF"/>
            <w:hideMark/>
          </w:tcPr>
          <w:p w:rsidR="00134B51" w:rsidRPr="00F44A0F" w:rsidRDefault="00134B51" w:rsidP="00F44A0F">
            <w:pPr>
              <w:spacing w:after="0" w:line="240" w:lineRule="auto"/>
              <w:jc w:val="both"/>
              <w:rPr>
                <w:rFonts w:ascii="Times New Roman" w:hAnsi="Times New Roman" w:cs="Times New Roman"/>
                <w:b/>
                <w:sz w:val="20"/>
                <w:szCs w:val="20"/>
              </w:rPr>
            </w:pPr>
            <w:r w:rsidRPr="00F44A0F">
              <w:rPr>
                <w:rFonts w:ascii="Times New Roman" w:hAnsi="Times New Roman" w:cs="Times New Roman"/>
                <w:i/>
                <w:sz w:val="20"/>
                <w:szCs w:val="20"/>
              </w:rPr>
              <w:t>Predmetom návrhu zákona je zvýšenie dávok výsluhového dôchodku, vdovského výsluhového dôchodku, vdoveckého výsluhového dôchodku, invalidného výsluhového dôchodku a sirotského výsluhového dôchodku (ďalej len „dôchodková dávka výsluhového zabezpečenia“) pre stanovený okruh dotknutých subjektov v rokoch 2019 až 2021.</w:t>
            </w:r>
          </w:p>
        </w:tc>
      </w:tr>
      <w:tr w:rsidR="00134B51" w:rsidRPr="00F44A0F" w:rsidTr="00F44A0F">
        <w:tc>
          <w:tcPr>
            <w:tcW w:w="9180" w:type="dxa"/>
            <w:gridSpan w:val="10"/>
            <w:tcBorders>
              <w:bottom w:val="nil"/>
            </w:tcBorders>
            <w:shd w:val="clear" w:color="auto" w:fill="E2E2E2"/>
            <w:hideMark/>
          </w:tcPr>
          <w:p w:rsidR="00134B51" w:rsidRPr="00F44A0F" w:rsidRDefault="00134B51" w:rsidP="00F44A0F">
            <w:pPr>
              <w:pStyle w:val="Odsekzoznamu"/>
              <w:numPr>
                <w:ilvl w:val="0"/>
                <w:numId w:val="23"/>
              </w:numPr>
              <w:ind w:left="426"/>
              <w:contextualSpacing/>
              <w:rPr>
                <w:rFonts w:ascii="Times New Roman" w:hAnsi="Times New Roman"/>
                <w:b/>
                <w:sz w:val="22"/>
                <w:szCs w:val="22"/>
              </w:rPr>
            </w:pPr>
            <w:r w:rsidRPr="00F44A0F">
              <w:rPr>
                <w:rFonts w:ascii="Times New Roman" w:hAnsi="Times New Roman"/>
                <w:b/>
                <w:sz w:val="22"/>
                <w:szCs w:val="22"/>
              </w:rPr>
              <w:t>Ciele a výsledný stav</w:t>
            </w:r>
          </w:p>
        </w:tc>
      </w:tr>
      <w:tr w:rsidR="00134B51" w:rsidRPr="00F44A0F" w:rsidTr="00F44A0F">
        <w:trPr>
          <w:trHeight w:val="646"/>
        </w:trPr>
        <w:tc>
          <w:tcPr>
            <w:tcW w:w="9180" w:type="dxa"/>
            <w:gridSpan w:val="10"/>
            <w:tcBorders>
              <w:top w:val="nil"/>
            </w:tcBorders>
            <w:shd w:val="clear" w:color="auto" w:fill="FFFFFF"/>
          </w:tcPr>
          <w:p w:rsidR="00134B51" w:rsidRPr="00F44A0F" w:rsidRDefault="00134B51" w:rsidP="00F44A0F">
            <w:pPr>
              <w:pStyle w:val="Zkladntext"/>
              <w:overflowPunct w:val="0"/>
              <w:autoSpaceDE w:val="0"/>
              <w:autoSpaceDN w:val="0"/>
              <w:adjustRightInd w:val="0"/>
              <w:jc w:val="both"/>
              <w:textAlignment w:val="baseline"/>
              <w:rPr>
                <w:i/>
                <w:strike/>
                <w:color w:val="auto"/>
                <w:lang w:eastAsia="en-US"/>
              </w:rPr>
            </w:pPr>
            <w:r w:rsidRPr="00F44A0F">
              <w:rPr>
                <w:i/>
                <w:color w:val="auto"/>
                <w:lang w:eastAsia="en-US"/>
              </w:rPr>
              <w:t>Cieľom navrhovanej právnej úpravy je zabezpečiť nový model zvýšenia dôchodkových dávok výsluhového zabezpečenia pre stanovený okruh dotknutých subjektov v rokoch 2019 až 2021.</w:t>
            </w:r>
          </w:p>
        </w:tc>
      </w:tr>
      <w:tr w:rsidR="00134B51" w:rsidRPr="00F44A0F" w:rsidTr="00F44A0F">
        <w:tc>
          <w:tcPr>
            <w:tcW w:w="9180" w:type="dxa"/>
            <w:gridSpan w:val="10"/>
            <w:tcBorders>
              <w:bottom w:val="nil"/>
            </w:tcBorders>
            <w:shd w:val="clear" w:color="auto" w:fill="E2E2E2"/>
            <w:hideMark/>
          </w:tcPr>
          <w:p w:rsidR="00134B51" w:rsidRPr="00F44A0F" w:rsidRDefault="00134B51" w:rsidP="00F44A0F">
            <w:pPr>
              <w:pStyle w:val="Odsekzoznamu"/>
              <w:numPr>
                <w:ilvl w:val="0"/>
                <w:numId w:val="23"/>
              </w:numPr>
              <w:ind w:left="426"/>
              <w:contextualSpacing/>
              <w:rPr>
                <w:rFonts w:ascii="Times New Roman" w:hAnsi="Times New Roman"/>
                <w:b/>
                <w:sz w:val="22"/>
                <w:szCs w:val="22"/>
              </w:rPr>
            </w:pPr>
            <w:r w:rsidRPr="00F44A0F">
              <w:rPr>
                <w:rFonts w:ascii="Times New Roman" w:hAnsi="Times New Roman"/>
                <w:b/>
                <w:sz w:val="22"/>
                <w:szCs w:val="22"/>
              </w:rPr>
              <w:t>Dotknuté subjekty</w:t>
            </w:r>
          </w:p>
        </w:tc>
      </w:tr>
      <w:tr w:rsidR="00134B51" w:rsidRPr="00F44A0F" w:rsidTr="00F44A0F">
        <w:tc>
          <w:tcPr>
            <w:tcW w:w="9180" w:type="dxa"/>
            <w:gridSpan w:val="10"/>
            <w:tcBorders>
              <w:top w:val="nil"/>
            </w:tcBorders>
            <w:shd w:val="clear" w:color="auto" w:fill="FFFFFF"/>
          </w:tcPr>
          <w:p w:rsidR="00134B51" w:rsidRPr="00F44A0F" w:rsidRDefault="00134B51" w:rsidP="00F44A0F">
            <w:pPr>
              <w:spacing w:after="0" w:line="240" w:lineRule="auto"/>
              <w:rPr>
                <w:rFonts w:ascii="Times New Roman" w:hAnsi="Times New Roman" w:cs="Times New Roman"/>
                <w:i/>
              </w:rPr>
            </w:pPr>
          </w:p>
          <w:p w:rsidR="00134B51" w:rsidRPr="00F44A0F" w:rsidRDefault="00134B51" w:rsidP="00F44A0F">
            <w:pPr>
              <w:spacing w:after="0" w:line="240" w:lineRule="auto"/>
              <w:jc w:val="both"/>
              <w:rPr>
                <w:rFonts w:ascii="Times New Roman" w:hAnsi="Times New Roman" w:cs="Times New Roman"/>
                <w:i/>
                <w:sz w:val="20"/>
                <w:szCs w:val="20"/>
              </w:rPr>
            </w:pPr>
            <w:r w:rsidRPr="00F44A0F">
              <w:rPr>
                <w:rFonts w:ascii="Times New Roman" w:hAnsi="Times New Roman" w:cs="Times New Roman"/>
                <w:i/>
                <w:sz w:val="20"/>
                <w:szCs w:val="20"/>
              </w:rPr>
              <w:t>Poberatelia výsluhového dôchodku, vdovského</w:t>
            </w:r>
            <w:r w:rsidRPr="00F44A0F">
              <w:rPr>
                <w:rFonts w:ascii="Times New Roman" w:hAnsi="Times New Roman" w:cs="Times New Roman"/>
                <w:i/>
                <w:color w:val="FF0000"/>
                <w:sz w:val="20"/>
                <w:szCs w:val="20"/>
              </w:rPr>
              <w:t xml:space="preserve"> </w:t>
            </w:r>
            <w:r w:rsidRPr="00F44A0F">
              <w:rPr>
                <w:rFonts w:ascii="Times New Roman" w:hAnsi="Times New Roman" w:cs="Times New Roman"/>
                <w:i/>
                <w:sz w:val="20"/>
                <w:szCs w:val="20"/>
              </w:rPr>
              <w:t>výsluhového dôchodku, vdoveckého</w:t>
            </w:r>
            <w:r w:rsidRPr="00F44A0F">
              <w:rPr>
                <w:rFonts w:ascii="Times New Roman" w:hAnsi="Times New Roman" w:cs="Times New Roman"/>
                <w:i/>
                <w:color w:val="FF0000"/>
                <w:sz w:val="20"/>
                <w:szCs w:val="20"/>
              </w:rPr>
              <w:t xml:space="preserve"> </w:t>
            </w:r>
            <w:r w:rsidRPr="00F44A0F">
              <w:rPr>
                <w:rFonts w:ascii="Times New Roman" w:hAnsi="Times New Roman" w:cs="Times New Roman"/>
                <w:i/>
                <w:sz w:val="20"/>
                <w:szCs w:val="20"/>
              </w:rPr>
              <w:t>výsluhového dôchodku, invalidného</w:t>
            </w:r>
            <w:r w:rsidRPr="00F44A0F">
              <w:rPr>
                <w:rFonts w:ascii="Times New Roman" w:hAnsi="Times New Roman" w:cs="Times New Roman"/>
                <w:i/>
                <w:color w:val="FF0000"/>
                <w:sz w:val="20"/>
                <w:szCs w:val="20"/>
              </w:rPr>
              <w:t xml:space="preserve"> </w:t>
            </w:r>
            <w:r w:rsidRPr="00F44A0F">
              <w:rPr>
                <w:rFonts w:ascii="Times New Roman" w:hAnsi="Times New Roman" w:cs="Times New Roman"/>
                <w:i/>
                <w:sz w:val="20"/>
                <w:szCs w:val="20"/>
              </w:rPr>
              <w:t>výsluhového dôchodku a sirotského výsluhového dôchodku.</w:t>
            </w:r>
          </w:p>
          <w:p w:rsidR="00134B51" w:rsidRPr="00F44A0F" w:rsidRDefault="00134B51" w:rsidP="00F44A0F">
            <w:pPr>
              <w:spacing w:after="0" w:line="240" w:lineRule="auto"/>
              <w:jc w:val="both"/>
              <w:rPr>
                <w:rFonts w:ascii="Times New Roman" w:hAnsi="Times New Roman" w:cs="Times New Roman"/>
                <w:i/>
                <w:sz w:val="20"/>
                <w:szCs w:val="20"/>
              </w:rPr>
            </w:pPr>
          </w:p>
        </w:tc>
      </w:tr>
      <w:tr w:rsidR="00134B51" w:rsidRPr="00F44A0F" w:rsidTr="00F44A0F">
        <w:tc>
          <w:tcPr>
            <w:tcW w:w="9180" w:type="dxa"/>
            <w:gridSpan w:val="10"/>
            <w:tcBorders>
              <w:bottom w:val="nil"/>
            </w:tcBorders>
            <w:shd w:val="clear" w:color="auto" w:fill="E2E2E2"/>
            <w:hideMark/>
          </w:tcPr>
          <w:p w:rsidR="00134B51" w:rsidRPr="00F44A0F" w:rsidRDefault="00134B51" w:rsidP="00F44A0F">
            <w:pPr>
              <w:pStyle w:val="Odsekzoznamu"/>
              <w:numPr>
                <w:ilvl w:val="0"/>
                <w:numId w:val="23"/>
              </w:numPr>
              <w:ind w:left="426"/>
              <w:contextualSpacing/>
              <w:rPr>
                <w:rFonts w:ascii="Times New Roman" w:hAnsi="Times New Roman"/>
                <w:b/>
              </w:rPr>
            </w:pPr>
            <w:r w:rsidRPr="00F44A0F">
              <w:rPr>
                <w:rFonts w:ascii="Times New Roman" w:hAnsi="Times New Roman"/>
                <w:b/>
              </w:rPr>
              <w:t>Alternatívne riešenia</w:t>
            </w:r>
          </w:p>
        </w:tc>
      </w:tr>
      <w:tr w:rsidR="00134B51" w:rsidRPr="00F44A0F" w:rsidTr="00F44A0F">
        <w:trPr>
          <w:trHeight w:val="709"/>
        </w:trPr>
        <w:tc>
          <w:tcPr>
            <w:tcW w:w="9180" w:type="dxa"/>
            <w:gridSpan w:val="10"/>
            <w:tcBorders>
              <w:top w:val="nil"/>
            </w:tcBorders>
            <w:shd w:val="clear" w:color="auto" w:fill="FFFFFF"/>
            <w:hideMark/>
          </w:tcPr>
          <w:p w:rsidR="00134B51" w:rsidRPr="00F44A0F" w:rsidRDefault="00134B51" w:rsidP="00F44A0F">
            <w:pPr>
              <w:spacing w:after="0" w:line="240" w:lineRule="auto"/>
              <w:jc w:val="both"/>
              <w:rPr>
                <w:rFonts w:ascii="Times New Roman" w:hAnsi="Times New Roman" w:cs="Times New Roman"/>
                <w:i/>
                <w:sz w:val="20"/>
                <w:szCs w:val="20"/>
              </w:rPr>
            </w:pPr>
            <w:r w:rsidRPr="00F44A0F">
              <w:rPr>
                <w:rFonts w:ascii="Times New Roman" w:hAnsi="Times New Roman" w:cs="Times New Roman"/>
                <w:i/>
                <w:sz w:val="20"/>
                <w:szCs w:val="20"/>
              </w:rPr>
              <w:t>Pri zachovaní súčasného právneho stavu by sa  suma zvýšenia dôchodkových dávok výsluhového zabezpečenia odvíjala od tzv. dôchodcovskej inflácie. Stanovenie nového modelu zvyšovania týchto dávok výsluhového zabezpečenia v rokoch 2019 až 2021 o pevnú sumu zvýšenia bude mať  pozitívny vplyv na dotknuté subjekty, ktorých doba trvania služobného pomeru bola dlhšia a zvyšovanie tzv. dôchodcovskou infláciou by bolo pre túto skupinu nevýhodné. Nezvažovali sa iné alternatívne riešenia.</w:t>
            </w:r>
          </w:p>
        </w:tc>
      </w:tr>
      <w:tr w:rsidR="00134B51" w:rsidRPr="00F44A0F" w:rsidTr="00F44A0F">
        <w:tc>
          <w:tcPr>
            <w:tcW w:w="9180" w:type="dxa"/>
            <w:gridSpan w:val="10"/>
            <w:tcBorders>
              <w:bottom w:val="single" w:sz="4" w:space="0" w:color="FFFFFF"/>
            </w:tcBorders>
            <w:shd w:val="clear" w:color="auto" w:fill="E2E2E2"/>
            <w:hideMark/>
          </w:tcPr>
          <w:p w:rsidR="00134B51" w:rsidRPr="00F44A0F" w:rsidRDefault="00134B51" w:rsidP="00F44A0F">
            <w:pPr>
              <w:pStyle w:val="Odsekzoznamu"/>
              <w:numPr>
                <w:ilvl w:val="0"/>
                <w:numId w:val="23"/>
              </w:numPr>
              <w:contextualSpacing/>
              <w:rPr>
                <w:rFonts w:ascii="Times New Roman" w:hAnsi="Times New Roman"/>
                <w:b/>
                <w:sz w:val="22"/>
                <w:szCs w:val="22"/>
              </w:rPr>
            </w:pPr>
            <w:r w:rsidRPr="00F44A0F">
              <w:rPr>
                <w:rFonts w:ascii="Times New Roman" w:hAnsi="Times New Roman"/>
                <w:b/>
                <w:sz w:val="22"/>
                <w:szCs w:val="22"/>
              </w:rPr>
              <w:t>Vykonávacie predpisy</w:t>
            </w:r>
          </w:p>
        </w:tc>
      </w:tr>
      <w:tr w:rsidR="009E6C3E" w:rsidRPr="00F44A0F" w:rsidTr="00F44A0F">
        <w:tc>
          <w:tcPr>
            <w:tcW w:w="6203" w:type="dxa"/>
            <w:gridSpan w:val="6"/>
            <w:tcBorders>
              <w:top w:val="single" w:sz="4" w:space="0" w:color="FFFFFF"/>
              <w:bottom w:val="nil"/>
              <w:right w:val="nil"/>
            </w:tcBorders>
            <w:shd w:val="clear" w:color="auto" w:fill="FFFFFF"/>
          </w:tcPr>
          <w:p w:rsidR="00134B51" w:rsidRPr="00F44A0F" w:rsidRDefault="00134B51" w:rsidP="00F44A0F">
            <w:pPr>
              <w:spacing w:after="0" w:line="240" w:lineRule="auto"/>
              <w:rPr>
                <w:rFonts w:ascii="Times New Roman" w:hAnsi="Times New Roman" w:cs="Times New Roman"/>
                <w:i/>
                <w:sz w:val="20"/>
                <w:szCs w:val="20"/>
              </w:rPr>
            </w:pPr>
            <w:r w:rsidRPr="00F44A0F">
              <w:rPr>
                <w:rFonts w:ascii="Times New Roman" w:hAnsi="Times New Roman" w:cs="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rsidR="00134B51" w:rsidRPr="00F44A0F" w:rsidRDefault="00134B51" w:rsidP="00F44A0F">
            <w:pPr>
              <w:spacing w:after="0" w:line="240" w:lineRule="auto"/>
              <w:jc w:val="center"/>
              <w:rPr>
                <w:rFonts w:ascii="Times New Roman" w:hAnsi="Times New Roman" w:cs="Times New Roman"/>
                <w:b/>
                <w:sz w:val="20"/>
                <w:szCs w:val="20"/>
              </w:rPr>
            </w:pPr>
            <w:r w:rsidRPr="00F44A0F">
              <w:rPr>
                <w:rFonts w:ascii="Segoe UI Symbol" w:eastAsia="MS Gothic" w:hAnsi="Segoe UI Symbol" w:cs="Segoe UI Symbol"/>
                <w:sz w:val="20"/>
                <w:szCs w:val="20"/>
              </w:rPr>
              <w:t>☐</w:t>
            </w:r>
            <w:r w:rsidRPr="00F44A0F">
              <w:rPr>
                <w:rFonts w:ascii="Times New Roman" w:hAnsi="Times New Roman" w:cs="Times New Roman"/>
                <w:b/>
                <w:sz w:val="20"/>
                <w:szCs w:val="20"/>
              </w:rPr>
              <w:t xml:space="preserve">  </w:t>
            </w:r>
            <w:r w:rsidRPr="00F44A0F">
              <w:rPr>
                <w:rFonts w:ascii="Times New Roman" w:hAnsi="Times New Roman" w:cs="Times New Roman"/>
                <w:sz w:val="20"/>
                <w:szCs w:val="20"/>
              </w:rPr>
              <w:t>Áno</w:t>
            </w:r>
          </w:p>
        </w:tc>
        <w:tc>
          <w:tcPr>
            <w:tcW w:w="1560" w:type="dxa"/>
            <w:gridSpan w:val="2"/>
            <w:tcBorders>
              <w:top w:val="single" w:sz="4" w:space="0" w:color="FFFFFF"/>
              <w:left w:val="nil"/>
              <w:bottom w:val="nil"/>
            </w:tcBorders>
            <w:shd w:val="clear" w:color="auto" w:fill="FFFFFF"/>
            <w:hideMark/>
          </w:tcPr>
          <w:p w:rsidR="00134B51" w:rsidRPr="00F44A0F" w:rsidRDefault="00134B51" w:rsidP="00F44A0F">
            <w:pPr>
              <w:spacing w:after="0" w:line="240" w:lineRule="auto"/>
              <w:jc w:val="center"/>
              <w:rPr>
                <w:rFonts w:ascii="Times New Roman" w:hAnsi="Times New Roman" w:cs="Times New Roman"/>
                <w:sz w:val="20"/>
                <w:szCs w:val="20"/>
              </w:rPr>
            </w:pPr>
            <w:r w:rsidRPr="00F44A0F">
              <w:rPr>
                <w:rFonts w:ascii="Segoe UI Symbol" w:eastAsia="MS Gothic" w:hAnsi="Segoe UI Symbol" w:cs="Segoe UI Symbol"/>
                <w:b/>
                <w:sz w:val="20"/>
                <w:szCs w:val="20"/>
              </w:rPr>
              <w:t>☒</w:t>
            </w:r>
            <w:r w:rsidRPr="00F44A0F">
              <w:rPr>
                <w:rFonts w:ascii="Times New Roman" w:hAnsi="Times New Roman" w:cs="Times New Roman"/>
                <w:sz w:val="20"/>
                <w:szCs w:val="20"/>
              </w:rPr>
              <w:t xml:space="preserve">  </w:t>
            </w:r>
            <w:r w:rsidRPr="00F44A0F">
              <w:rPr>
                <w:rFonts w:ascii="Times New Roman" w:hAnsi="Times New Roman" w:cs="Times New Roman"/>
                <w:b/>
                <w:sz w:val="20"/>
                <w:szCs w:val="20"/>
              </w:rPr>
              <w:t>Nie</w:t>
            </w:r>
          </w:p>
        </w:tc>
      </w:tr>
      <w:tr w:rsidR="00134B51" w:rsidRPr="00F44A0F" w:rsidTr="00F44A0F">
        <w:trPr>
          <w:trHeight w:val="80"/>
        </w:trPr>
        <w:tc>
          <w:tcPr>
            <w:tcW w:w="9180" w:type="dxa"/>
            <w:gridSpan w:val="10"/>
            <w:tcBorders>
              <w:top w:val="nil"/>
            </w:tcBorders>
            <w:shd w:val="clear" w:color="auto" w:fill="FFFFFF"/>
          </w:tcPr>
          <w:p w:rsidR="00134B51" w:rsidRPr="00F44A0F" w:rsidRDefault="00134B51" w:rsidP="00F44A0F">
            <w:pPr>
              <w:spacing w:after="0" w:line="240" w:lineRule="auto"/>
              <w:rPr>
                <w:rFonts w:ascii="Times New Roman" w:hAnsi="Times New Roman" w:cs="Times New Roman"/>
              </w:rPr>
            </w:pPr>
          </w:p>
        </w:tc>
      </w:tr>
      <w:tr w:rsidR="00134B51" w:rsidRPr="00F44A0F" w:rsidTr="00F44A0F">
        <w:tc>
          <w:tcPr>
            <w:tcW w:w="9180" w:type="dxa"/>
            <w:gridSpan w:val="10"/>
            <w:tcBorders>
              <w:bottom w:val="single" w:sz="4" w:space="0" w:color="FFFFFF"/>
            </w:tcBorders>
            <w:shd w:val="clear" w:color="auto" w:fill="E2E2E2"/>
            <w:hideMark/>
          </w:tcPr>
          <w:p w:rsidR="00134B51" w:rsidRPr="00F44A0F" w:rsidRDefault="00134B51" w:rsidP="00F44A0F">
            <w:pPr>
              <w:pStyle w:val="Odsekzoznamu"/>
              <w:numPr>
                <w:ilvl w:val="0"/>
                <w:numId w:val="23"/>
              </w:numPr>
              <w:contextualSpacing/>
              <w:rPr>
                <w:rFonts w:ascii="Times New Roman" w:hAnsi="Times New Roman"/>
                <w:b/>
                <w:sz w:val="22"/>
                <w:szCs w:val="22"/>
              </w:rPr>
            </w:pPr>
            <w:r w:rsidRPr="00F44A0F">
              <w:rPr>
                <w:rFonts w:ascii="Times New Roman" w:hAnsi="Times New Roman"/>
                <w:b/>
                <w:sz w:val="22"/>
                <w:szCs w:val="22"/>
              </w:rPr>
              <w:t xml:space="preserve">Transpozícia práva EÚ </w:t>
            </w:r>
          </w:p>
        </w:tc>
      </w:tr>
      <w:tr w:rsidR="00134B51" w:rsidRPr="00F44A0F" w:rsidTr="00F44A0F">
        <w:trPr>
          <w:trHeight w:val="157"/>
        </w:trPr>
        <w:tc>
          <w:tcPr>
            <w:tcW w:w="9180" w:type="dxa"/>
            <w:gridSpan w:val="10"/>
            <w:tcBorders>
              <w:top w:val="nil"/>
              <w:left w:val="single" w:sz="4" w:space="0" w:color="000000"/>
              <w:bottom w:val="nil"/>
            </w:tcBorders>
            <w:shd w:val="clear" w:color="auto" w:fill="FFFFFF"/>
          </w:tcPr>
          <w:p w:rsidR="00134B51" w:rsidRPr="00F44A0F" w:rsidRDefault="00134B51" w:rsidP="00F44A0F">
            <w:pPr>
              <w:spacing w:after="0" w:line="240" w:lineRule="auto"/>
              <w:rPr>
                <w:rFonts w:ascii="Times New Roman" w:hAnsi="Times New Roman" w:cs="Times New Roman"/>
                <w:i/>
              </w:rPr>
            </w:pPr>
          </w:p>
        </w:tc>
      </w:tr>
      <w:tr w:rsidR="00134B51" w:rsidRPr="00F44A0F" w:rsidTr="00F44A0F">
        <w:trPr>
          <w:trHeight w:val="80"/>
        </w:trPr>
        <w:tc>
          <w:tcPr>
            <w:tcW w:w="9180" w:type="dxa"/>
            <w:gridSpan w:val="10"/>
            <w:tcBorders>
              <w:top w:val="nil"/>
              <w:left w:val="single" w:sz="4" w:space="0" w:color="000000"/>
              <w:bottom w:val="single" w:sz="4" w:space="0" w:color="000000"/>
              <w:right w:val="single" w:sz="4" w:space="0" w:color="000000"/>
            </w:tcBorders>
            <w:shd w:val="clear" w:color="auto" w:fill="FFFFFF"/>
          </w:tcPr>
          <w:p w:rsidR="00134B51" w:rsidRPr="00F44A0F" w:rsidRDefault="00134B51" w:rsidP="00F44A0F">
            <w:pPr>
              <w:spacing w:after="0" w:line="240" w:lineRule="auto"/>
              <w:jc w:val="center"/>
              <w:rPr>
                <w:rFonts w:ascii="Times New Roman" w:hAnsi="Times New Roman" w:cs="Times New Roman"/>
              </w:rPr>
            </w:pPr>
          </w:p>
        </w:tc>
      </w:tr>
      <w:tr w:rsidR="00134B51" w:rsidRPr="00F44A0F" w:rsidTr="00F44A0F">
        <w:tc>
          <w:tcPr>
            <w:tcW w:w="9180" w:type="dxa"/>
            <w:gridSpan w:val="10"/>
            <w:tcBorders>
              <w:bottom w:val="single" w:sz="4" w:space="0" w:color="FFFFFF"/>
            </w:tcBorders>
            <w:shd w:val="clear" w:color="auto" w:fill="E2E2E2"/>
            <w:hideMark/>
          </w:tcPr>
          <w:p w:rsidR="00134B51" w:rsidRPr="00F44A0F" w:rsidRDefault="00134B51" w:rsidP="00F44A0F">
            <w:pPr>
              <w:pStyle w:val="Odsekzoznamu"/>
              <w:numPr>
                <w:ilvl w:val="0"/>
                <w:numId w:val="23"/>
              </w:numPr>
              <w:contextualSpacing/>
              <w:rPr>
                <w:rFonts w:ascii="Times New Roman" w:hAnsi="Times New Roman"/>
                <w:b/>
                <w:sz w:val="22"/>
                <w:szCs w:val="22"/>
              </w:rPr>
            </w:pPr>
            <w:r w:rsidRPr="00F44A0F">
              <w:rPr>
                <w:rFonts w:ascii="Times New Roman" w:hAnsi="Times New Roman"/>
                <w:b/>
                <w:sz w:val="22"/>
                <w:szCs w:val="22"/>
              </w:rPr>
              <w:t>Preskúmanie účelnosti**</w:t>
            </w:r>
          </w:p>
        </w:tc>
      </w:tr>
      <w:tr w:rsidR="00134B51" w:rsidRPr="00F44A0F" w:rsidTr="00F44A0F">
        <w:trPr>
          <w:trHeight w:val="299"/>
        </w:trPr>
        <w:tc>
          <w:tcPr>
            <w:tcW w:w="9180" w:type="dxa"/>
            <w:gridSpan w:val="10"/>
            <w:tcBorders>
              <w:top w:val="single" w:sz="4" w:space="0" w:color="FFFFFF"/>
            </w:tcBorders>
            <w:shd w:val="clear" w:color="auto" w:fill="FFFFFF"/>
          </w:tcPr>
          <w:p w:rsidR="00134B51" w:rsidRPr="00F44A0F" w:rsidRDefault="00134B51" w:rsidP="00F44A0F">
            <w:pPr>
              <w:spacing w:after="0" w:line="240" w:lineRule="auto"/>
              <w:rPr>
                <w:rFonts w:ascii="Times New Roman" w:hAnsi="Times New Roman" w:cs="Times New Roman"/>
                <w:i/>
              </w:rPr>
            </w:pPr>
          </w:p>
        </w:tc>
      </w:tr>
      <w:tr w:rsidR="00134B51" w:rsidRPr="00F44A0F" w:rsidTr="00F44A0F">
        <w:trPr>
          <w:trHeight w:val="577"/>
        </w:trPr>
        <w:tc>
          <w:tcPr>
            <w:tcW w:w="9180" w:type="dxa"/>
            <w:gridSpan w:val="10"/>
            <w:tcBorders>
              <w:bottom w:val="single" w:sz="4" w:space="0" w:color="FFFFFF"/>
            </w:tcBorders>
            <w:shd w:val="clear" w:color="auto" w:fill="E2E2E2"/>
            <w:vAlign w:val="center"/>
            <w:hideMark/>
          </w:tcPr>
          <w:p w:rsidR="00134B51" w:rsidRPr="00F44A0F" w:rsidRDefault="00134B51" w:rsidP="00F44A0F">
            <w:pPr>
              <w:pStyle w:val="Odsekzoznamu"/>
              <w:numPr>
                <w:ilvl w:val="0"/>
                <w:numId w:val="23"/>
              </w:numPr>
              <w:contextualSpacing/>
              <w:rPr>
                <w:rFonts w:ascii="Times New Roman" w:hAnsi="Times New Roman"/>
                <w:b/>
                <w:sz w:val="22"/>
                <w:szCs w:val="22"/>
              </w:rPr>
            </w:pPr>
            <w:r w:rsidRPr="00F44A0F">
              <w:rPr>
                <w:rFonts w:ascii="Times New Roman" w:hAnsi="Times New Roman"/>
                <w:b/>
                <w:sz w:val="22"/>
                <w:szCs w:val="22"/>
              </w:rPr>
              <w:t>Vplyvy navrhovaného materiálu</w:t>
            </w:r>
          </w:p>
        </w:tc>
      </w:tr>
      <w:tr w:rsidR="009E6C3E" w:rsidRPr="00F44A0F" w:rsidTr="00F44A0F">
        <w:tc>
          <w:tcPr>
            <w:tcW w:w="3812" w:type="dxa"/>
            <w:tcBorders>
              <w:bottom w:val="nil"/>
            </w:tcBorders>
            <w:shd w:val="clear" w:color="auto" w:fill="E2E2E2"/>
            <w:hideMark/>
          </w:tcPr>
          <w:p w:rsidR="00134B51" w:rsidRPr="00F44A0F" w:rsidRDefault="00134B51" w:rsidP="00F44A0F">
            <w:pPr>
              <w:spacing w:after="0" w:line="240" w:lineRule="auto"/>
              <w:rPr>
                <w:rFonts w:ascii="Times New Roman" w:hAnsi="Times New Roman" w:cs="Times New Roman"/>
                <w:b/>
                <w:sz w:val="20"/>
                <w:szCs w:val="20"/>
              </w:rPr>
            </w:pPr>
            <w:r w:rsidRPr="00F44A0F">
              <w:rPr>
                <w:rFonts w:ascii="Times New Roman" w:hAnsi="Times New Roman" w:cs="Times New Roman"/>
                <w:b/>
                <w:sz w:val="20"/>
                <w:szCs w:val="20"/>
              </w:rPr>
              <w:t>Vplyvy na rozpočet verejnej správy</w:t>
            </w:r>
          </w:p>
        </w:tc>
        <w:tc>
          <w:tcPr>
            <w:tcW w:w="541" w:type="dxa"/>
            <w:gridSpan w:val="2"/>
            <w:tcBorders>
              <w:right w:val="nil"/>
            </w:tcBorders>
            <w:hideMark/>
          </w:tcPr>
          <w:p w:rsidR="00134B51" w:rsidRPr="00F44A0F" w:rsidRDefault="00134B51" w:rsidP="00F44A0F">
            <w:pPr>
              <w:spacing w:after="0" w:line="240" w:lineRule="auto"/>
              <w:jc w:val="center"/>
              <w:rPr>
                <w:rFonts w:ascii="Times New Roman" w:hAnsi="Times New Roman" w:cs="Times New Roman"/>
                <w:b/>
                <w:sz w:val="20"/>
                <w:szCs w:val="20"/>
              </w:rPr>
            </w:pPr>
            <w:r w:rsidRPr="00F44A0F">
              <w:rPr>
                <w:rFonts w:ascii="Segoe UI Symbol" w:eastAsia="MS Gothic" w:hAnsi="Segoe UI Symbol" w:cs="Segoe UI Symbol"/>
                <w:b/>
                <w:sz w:val="20"/>
                <w:szCs w:val="20"/>
              </w:rPr>
              <w:t>☒</w:t>
            </w:r>
          </w:p>
        </w:tc>
        <w:tc>
          <w:tcPr>
            <w:tcW w:w="1281" w:type="dxa"/>
            <w:gridSpan w:val="2"/>
            <w:tcBorders>
              <w:left w:val="nil"/>
              <w:right w:val="nil"/>
            </w:tcBorders>
            <w:hideMark/>
          </w:tcPr>
          <w:p w:rsidR="00134B51" w:rsidRPr="00F44A0F" w:rsidRDefault="00134B51" w:rsidP="00F44A0F">
            <w:pPr>
              <w:spacing w:after="0" w:line="240" w:lineRule="auto"/>
              <w:rPr>
                <w:rFonts w:ascii="Times New Roman" w:hAnsi="Times New Roman" w:cs="Times New Roman"/>
                <w:b/>
                <w:sz w:val="20"/>
                <w:szCs w:val="20"/>
              </w:rPr>
            </w:pPr>
            <w:r w:rsidRPr="00F44A0F">
              <w:rPr>
                <w:rFonts w:ascii="Times New Roman" w:hAnsi="Times New Roman" w:cs="Times New Roman"/>
                <w:b/>
                <w:sz w:val="20"/>
                <w:szCs w:val="20"/>
              </w:rPr>
              <w:t>Pozitívne</w:t>
            </w:r>
          </w:p>
        </w:tc>
        <w:tc>
          <w:tcPr>
            <w:tcW w:w="569" w:type="dxa"/>
            <w:tcBorders>
              <w:left w:val="nil"/>
              <w:right w:val="nil"/>
            </w:tcBorders>
            <w:hideMark/>
          </w:tcPr>
          <w:p w:rsidR="00134B51" w:rsidRPr="00F44A0F" w:rsidRDefault="00134B51" w:rsidP="00F44A0F">
            <w:pPr>
              <w:spacing w:after="0" w:line="240" w:lineRule="auto"/>
              <w:jc w:val="center"/>
              <w:rPr>
                <w:rFonts w:ascii="Times New Roman" w:hAnsi="Times New Roman" w:cs="Times New Roman"/>
                <w:sz w:val="20"/>
                <w:szCs w:val="20"/>
              </w:rPr>
            </w:pPr>
            <w:r w:rsidRPr="00F44A0F">
              <w:rPr>
                <w:rFonts w:ascii="Segoe UI Symbol" w:eastAsia="MS Mincho" w:hAnsi="Segoe UI Symbol" w:cs="Segoe UI Symbol"/>
                <w:sz w:val="20"/>
                <w:szCs w:val="20"/>
              </w:rPr>
              <w:t>☐</w:t>
            </w:r>
          </w:p>
        </w:tc>
        <w:tc>
          <w:tcPr>
            <w:tcW w:w="1133" w:type="dxa"/>
            <w:tcBorders>
              <w:left w:val="nil"/>
              <w:right w:val="nil"/>
            </w:tcBorders>
            <w:hideMark/>
          </w:tcPr>
          <w:p w:rsidR="00134B51" w:rsidRPr="00F44A0F" w:rsidRDefault="00134B51" w:rsidP="00F44A0F">
            <w:pPr>
              <w:spacing w:after="0" w:line="240" w:lineRule="auto"/>
              <w:rPr>
                <w:rFonts w:ascii="Times New Roman" w:hAnsi="Times New Roman" w:cs="Times New Roman"/>
                <w:sz w:val="20"/>
                <w:szCs w:val="20"/>
              </w:rPr>
            </w:pPr>
            <w:r w:rsidRPr="00F44A0F">
              <w:rPr>
                <w:rFonts w:ascii="Times New Roman" w:hAnsi="Times New Roman" w:cs="Times New Roman"/>
                <w:sz w:val="20"/>
                <w:szCs w:val="20"/>
              </w:rPr>
              <w:t xml:space="preserve">Žiadne      </w:t>
            </w:r>
          </w:p>
        </w:tc>
        <w:tc>
          <w:tcPr>
            <w:tcW w:w="547" w:type="dxa"/>
            <w:gridSpan w:val="2"/>
            <w:tcBorders>
              <w:left w:val="nil"/>
              <w:right w:val="nil"/>
            </w:tcBorders>
            <w:hideMark/>
          </w:tcPr>
          <w:p w:rsidR="00134B51" w:rsidRPr="00F44A0F" w:rsidRDefault="00134B51" w:rsidP="00F44A0F">
            <w:pPr>
              <w:spacing w:after="0" w:line="240" w:lineRule="auto"/>
              <w:ind w:left="-107" w:right="-108"/>
              <w:jc w:val="center"/>
              <w:rPr>
                <w:rFonts w:ascii="Times New Roman" w:hAnsi="Times New Roman" w:cs="Times New Roman"/>
                <w:sz w:val="20"/>
                <w:szCs w:val="20"/>
              </w:rPr>
            </w:pPr>
            <w:r w:rsidRPr="00F44A0F">
              <w:rPr>
                <w:rFonts w:ascii="Segoe UI Symbol" w:eastAsia="MS Mincho" w:hAnsi="Segoe UI Symbol" w:cs="Segoe UI Symbol"/>
                <w:sz w:val="20"/>
                <w:szCs w:val="20"/>
              </w:rPr>
              <w:t>☐</w:t>
            </w:r>
          </w:p>
        </w:tc>
        <w:tc>
          <w:tcPr>
            <w:tcW w:w="1297" w:type="dxa"/>
            <w:tcBorders>
              <w:left w:val="nil"/>
            </w:tcBorders>
            <w:hideMark/>
          </w:tcPr>
          <w:p w:rsidR="00134B51" w:rsidRPr="00F44A0F" w:rsidRDefault="00134B51" w:rsidP="00F44A0F">
            <w:pPr>
              <w:spacing w:after="0" w:line="240" w:lineRule="auto"/>
              <w:ind w:left="34"/>
              <w:rPr>
                <w:rFonts w:ascii="Times New Roman" w:hAnsi="Times New Roman" w:cs="Times New Roman"/>
                <w:sz w:val="20"/>
                <w:szCs w:val="20"/>
              </w:rPr>
            </w:pPr>
            <w:r w:rsidRPr="00F44A0F">
              <w:rPr>
                <w:rFonts w:ascii="Times New Roman" w:hAnsi="Times New Roman" w:cs="Times New Roman"/>
                <w:sz w:val="20"/>
                <w:szCs w:val="20"/>
              </w:rPr>
              <w:t>Negatívne</w:t>
            </w:r>
          </w:p>
        </w:tc>
      </w:tr>
      <w:tr w:rsidR="009E6C3E" w:rsidRPr="00F44A0F" w:rsidTr="00F44A0F">
        <w:tc>
          <w:tcPr>
            <w:tcW w:w="3812" w:type="dxa"/>
            <w:tcBorders>
              <w:top w:val="nil"/>
              <w:bottom w:val="single" w:sz="4" w:space="0" w:color="000000"/>
            </w:tcBorders>
            <w:shd w:val="clear" w:color="auto" w:fill="E2E2E2"/>
            <w:hideMark/>
          </w:tcPr>
          <w:p w:rsidR="00134B51" w:rsidRPr="00F44A0F" w:rsidRDefault="00134B51" w:rsidP="00F44A0F">
            <w:pPr>
              <w:spacing w:after="0" w:line="240" w:lineRule="auto"/>
              <w:rPr>
                <w:rFonts w:ascii="Times New Roman" w:hAnsi="Times New Roman" w:cs="Times New Roman"/>
                <w:sz w:val="20"/>
                <w:szCs w:val="20"/>
              </w:rPr>
            </w:pPr>
            <w:r w:rsidRPr="00F44A0F">
              <w:rPr>
                <w:rFonts w:ascii="Times New Roman" w:hAnsi="Times New Roman" w:cs="Times New Roman"/>
                <w:sz w:val="20"/>
                <w:szCs w:val="20"/>
              </w:rPr>
              <w:t xml:space="preserve"> z toho rozpočtovo zabezpečené vplyvy</w:t>
            </w:r>
          </w:p>
        </w:tc>
        <w:tc>
          <w:tcPr>
            <w:tcW w:w="541" w:type="dxa"/>
            <w:gridSpan w:val="2"/>
            <w:tcBorders>
              <w:right w:val="nil"/>
            </w:tcBorders>
            <w:hideMark/>
          </w:tcPr>
          <w:p w:rsidR="00134B51" w:rsidRPr="00F44A0F" w:rsidRDefault="00134B51" w:rsidP="00F44A0F">
            <w:pPr>
              <w:spacing w:after="0" w:line="240" w:lineRule="auto"/>
              <w:jc w:val="center"/>
              <w:rPr>
                <w:rFonts w:ascii="Times New Roman" w:hAnsi="Times New Roman" w:cs="Times New Roman"/>
                <w:b/>
                <w:sz w:val="20"/>
                <w:szCs w:val="20"/>
              </w:rPr>
            </w:pPr>
            <w:r w:rsidRPr="00F44A0F">
              <w:rPr>
                <w:rFonts w:ascii="Segoe UI Symbol" w:eastAsia="MS Gothic" w:hAnsi="Segoe UI Symbol" w:cs="Segoe UI Symbol"/>
                <w:b/>
                <w:sz w:val="20"/>
                <w:szCs w:val="20"/>
              </w:rPr>
              <w:t>☒</w:t>
            </w:r>
          </w:p>
        </w:tc>
        <w:tc>
          <w:tcPr>
            <w:tcW w:w="1281" w:type="dxa"/>
            <w:gridSpan w:val="2"/>
            <w:tcBorders>
              <w:left w:val="nil"/>
              <w:right w:val="nil"/>
            </w:tcBorders>
            <w:hideMark/>
          </w:tcPr>
          <w:p w:rsidR="00134B51" w:rsidRPr="00F44A0F" w:rsidRDefault="00134B51" w:rsidP="00F44A0F">
            <w:pPr>
              <w:spacing w:after="0" w:line="240" w:lineRule="auto"/>
              <w:rPr>
                <w:rFonts w:ascii="Times New Roman" w:hAnsi="Times New Roman" w:cs="Times New Roman"/>
                <w:b/>
                <w:sz w:val="20"/>
                <w:szCs w:val="20"/>
              </w:rPr>
            </w:pPr>
            <w:r w:rsidRPr="00F44A0F">
              <w:rPr>
                <w:rFonts w:ascii="Times New Roman" w:hAnsi="Times New Roman" w:cs="Times New Roman"/>
                <w:b/>
                <w:sz w:val="20"/>
                <w:szCs w:val="20"/>
              </w:rPr>
              <w:t>Áno</w:t>
            </w:r>
          </w:p>
        </w:tc>
        <w:tc>
          <w:tcPr>
            <w:tcW w:w="569" w:type="dxa"/>
            <w:tcBorders>
              <w:left w:val="nil"/>
              <w:right w:val="nil"/>
            </w:tcBorders>
            <w:hideMark/>
          </w:tcPr>
          <w:p w:rsidR="00134B51" w:rsidRPr="00F44A0F" w:rsidRDefault="00134B51" w:rsidP="00F44A0F">
            <w:pPr>
              <w:spacing w:after="0" w:line="240" w:lineRule="auto"/>
              <w:jc w:val="center"/>
              <w:rPr>
                <w:rFonts w:ascii="Times New Roman" w:hAnsi="Times New Roman" w:cs="Times New Roman"/>
                <w:sz w:val="20"/>
                <w:szCs w:val="20"/>
              </w:rPr>
            </w:pPr>
            <w:r w:rsidRPr="00F44A0F">
              <w:rPr>
                <w:rFonts w:ascii="Segoe UI Symbol" w:eastAsia="MS Gothic" w:hAnsi="Segoe UI Symbol" w:cs="Segoe UI Symbol"/>
                <w:sz w:val="20"/>
                <w:szCs w:val="20"/>
              </w:rPr>
              <w:t>☐</w:t>
            </w:r>
          </w:p>
        </w:tc>
        <w:tc>
          <w:tcPr>
            <w:tcW w:w="1133" w:type="dxa"/>
            <w:tcBorders>
              <w:left w:val="nil"/>
              <w:right w:val="nil"/>
            </w:tcBorders>
            <w:hideMark/>
          </w:tcPr>
          <w:p w:rsidR="00134B51" w:rsidRPr="00F44A0F" w:rsidRDefault="00134B51" w:rsidP="00F44A0F">
            <w:pPr>
              <w:spacing w:after="0" w:line="240" w:lineRule="auto"/>
              <w:rPr>
                <w:rFonts w:ascii="Times New Roman" w:hAnsi="Times New Roman" w:cs="Times New Roman"/>
                <w:sz w:val="20"/>
                <w:szCs w:val="20"/>
              </w:rPr>
            </w:pPr>
            <w:r w:rsidRPr="00F44A0F">
              <w:rPr>
                <w:rFonts w:ascii="Times New Roman" w:hAnsi="Times New Roman" w:cs="Times New Roman"/>
                <w:sz w:val="20"/>
                <w:szCs w:val="20"/>
              </w:rPr>
              <w:t>Nie</w:t>
            </w:r>
          </w:p>
        </w:tc>
        <w:tc>
          <w:tcPr>
            <w:tcW w:w="547" w:type="dxa"/>
            <w:gridSpan w:val="2"/>
            <w:tcBorders>
              <w:left w:val="nil"/>
              <w:right w:val="nil"/>
            </w:tcBorders>
            <w:hideMark/>
          </w:tcPr>
          <w:p w:rsidR="00134B51" w:rsidRPr="00F44A0F" w:rsidRDefault="00134B51" w:rsidP="00F44A0F">
            <w:pPr>
              <w:spacing w:after="0" w:line="240" w:lineRule="auto"/>
              <w:ind w:left="-107" w:right="-108"/>
              <w:jc w:val="center"/>
              <w:rPr>
                <w:rFonts w:ascii="Times New Roman" w:hAnsi="Times New Roman" w:cs="Times New Roman"/>
                <w:sz w:val="20"/>
                <w:szCs w:val="20"/>
              </w:rPr>
            </w:pPr>
            <w:r w:rsidRPr="00F44A0F">
              <w:rPr>
                <w:rFonts w:ascii="Segoe UI Symbol" w:eastAsia="MS Mincho" w:hAnsi="Segoe UI Symbol" w:cs="Segoe UI Symbol"/>
                <w:sz w:val="20"/>
                <w:szCs w:val="20"/>
              </w:rPr>
              <w:t>☐</w:t>
            </w:r>
          </w:p>
        </w:tc>
        <w:tc>
          <w:tcPr>
            <w:tcW w:w="1297" w:type="dxa"/>
            <w:tcBorders>
              <w:left w:val="nil"/>
            </w:tcBorders>
            <w:hideMark/>
          </w:tcPr>
          <w:p w:rsidR="00134B51" w:rsidRPr="00F44A0F" w:rsidRDefault="00134B51" w:rsidP="00F44A0F">
            <w:pPr>
              <w:spacing w:after="0" w:line="240" w:lineRule="auto"/>
              <w:ind w:left="34"/>
              <w:rPr>
                <w:rFonts w:ascii="Times New Roman" w:hAnsi="Times New Roman" w:cs="Times New Roman"/>
                <w:sz w:val="20"/>
                <w:szCs w:val="20"/>
              </w:rPr>
            </w:pPr>
            <w:r w:rsidRPr="00F44A0F">
              <w:rPr>
                <w:rFonts w:ascii="Times New Roman" w:hAnsi="Times New Roman" w:cs="Times New Roman"/>
                <w:sz w:val="20"/>
                <w:szCs w:val="20"/>
              </w:rPr>
              <w:t>Čiastočne</w:t>
            </w:r>
          </w:p>
        </w:tc>
      </w:tr>
      <w:tr w:rsidR="009E6C3E" w:rsidRPr="00F44A0F" w:rsidTr="00F44A0F">
        <w:tc>
          <w:tcPr>
            <w:tcW w:w="3812" w:type="dxa"/>
            <w:tcBorders>
              <w:top w:val="single" w:sz="4" w:space="0" w:color="000000"/>
              <w:bottom w:val="nil"/>
            </w:tcBorders>
            <w:shd w:val="clear" w:color="auto" w:fill="E2E2E2"/>
            <w:hideMark/>
          </w:tcPr>
          <w:p w:rsidR="00134B51" w:rsidRPr="00F44A0F" w:rsidRDefault="00134B51" w:rsidP="00F44A0F">
            <w:pPr>
              <w:spacing w:after="0" w:line="240" w:lineRule="auto"/>
              <w:rPr>
                <w:rFonts w:ascii="Times New Roman" w:hAnsi="Times New Roman" w:cs="Times New Roman"/>
                <w:b/>
                <w:sz w:val="20"/>
                <w:szCs w:val="20"/>
              </w:rPr>
            </w:pPr>
            <w:r w:rsidRPr="00F44A0F">
              <w:rPr>
                <w:rFonts w:ascii="Times New Roman" w:hAnsi="Times New Roman" w:cs="Times New Roman"/>
                <w:b/>
                <w:sz w:val="20"/>
                <w:szCs w:val="20"/>
              </w:rPr>
              <w:lastRenderedPageBreak/>
              <w:t>Vplyvy na podnikateľské prostredie</w:t>
            </w:r>
          </w:p>
        </w:tc>
        <w:tc>
          <w:tcPr>
            <w:tcW w:w="541" w:type="dxa"/>
            <w:gridSpan w:val="2"/>
            <w:tcBorders>
              <w:right w:val="nil"/>
            </w:tcBorders>
            <w:hideMark/>
          </w:tcPr>
          <w:p w:rsidR="00134B51" w:rsidRPr="00F44A0F" w:rsidRDefault="00134B51" w:rsidP="00F44A0F">
            <w:pPr>
              <w:spacing w:after="0" w:line="240" w:lineRule="auto"/>
              <w:jc w:val="center"/>
              <w:rPr>
                <w:rFonts w:ascii="Times New Roman" w:hAnsi="Times New Roman" w:cs="Times New Roman"/>
                <w:sz w:val="20"/>
                <w:szCs w:val="20"/>
              </w:rPr>
            </w:pPr>
            <w:r w:rsidRPr="00F44A0F">
              <w:rPr>
                <w:rFonts w:ascii="Segoe UI Symbol" w:eastAsia="MS Gothic" w:hAnsi="Segoe UI Symbol" w:cs="Segoe UI Symbol"/>
                <w:sz w:val="20"/>
                <w:szCs w:val="20"/>
              </w:rPr>
              <w:t>☐</w:t>
            </w:r>
          </w:p>
        </w:tc>
        <w:tc>
          <w:tcPr>
            <w:tcW w:w="1281" w:type="dxa"/>
            <w:gridSpan w:val="2"/>
            <w:tcBorders>
              <w:left w:val="nil"/>
              <w:right w:val="nil"/>
            </w:tcBorders>
            <w:hideMark/>
          </w:tcPr>
          <w:p w:rsidR="00134B51" w:rsidRPr="00F44A0F" w:rsidRDefault="00134B51" w:rsidP="00F44A0F">
            <w:pPr>
              <w:spacing w:after="0" w:line="240" w:lineRule="auto"/>
              <w:ind w:right="-108"/>
              <w:rPr>
                <w:rFonts w:ascii="Times New Roman" w:hAnsi="Times New Roman" w:cs="Times New Roman"/>
                <w:sz w:val="20"/>
                <w:szCs w:val="20"/>
              </w:rPr>
            </w:pPr>
            <w:r w:rsidRPr="00F44A0F">
              <w:rPr>
                <w:rFonts w:ascii="Times New Roman" w:hAnsi="Times New Roman" w:cs="Times New Roman"/>
                <w:sz w:val="20"/>
                <w:szCs w:val="20"/>
              </w:rPr>
              <w:t>Pozitívne</w:t>
            </w:r>
          </w:p>
        </w:tc>
        <w:tc>
          <w:tcPr>
            <w:tcW w:w="569" w:type="dxa"/>
            <w:tcBorders>
              <w:left w:val="nil"/>
              <w:right w:val="nil"/>
            </w:tcBorders>
            <w:hideMark/>
          </w:tcPr>
          <w:p w:rsidR="00134B51" w:rsidRPr="00F44A0F" w:rsidRDefault="00134B51" w:rsidP="00F44A0F">
            <w:pPr>
              <w:spacing w:after="0" w:line="240" w:lineRule="auto"/>
              <w:jc w:val="center"/>
              <w:rPr>
                <w:rFonts w:ascii="Times New Roman" w:hAnsi="Times New Roman" w:cs="Times New Roman"/>
                <w:b/>
                <w:sz w:val="20"/>
                <w:szCs w:val="20"/>
              </w:rPr>
            </w:pPr>
            <w:r w:rsidRPr="00F44A0F">
              <w:rPr>
                <w:rFonts w:ascii="Segoe UI Symbol" w:eastAsia="MS Gothic" w:hAnsi="Segoe UI Symbol" w:cs="Segoe UI Symbol"/>
                <w:b/>
                <w:sz w:val="20"/>
                <w:szCs w:val="20"/>
              </w:rPr>
              <w:t>☒</w:t>
            </w:r>
          </w:p>
        </w:tc>
        <w:tc>
          <w:tcPr>
            <w:tcW w:w="1133" w:type="dxa"/>
            <w:tcBorders>
              <w:left w:val="nil"/>
              <w:right w:val="nil"/>
            </w:tcBorders>
            <w:hideMark/>
          </w:tcPr>
          <w:p w:rsidR="00134B51" w:rsidRPr="00F44A0F" w:rsidRDefault="00134B51" w:rsidP="00F44A0F">
            <w:pPr>
              <w:spacing w:after="0" w:line="240" w:lineRule="auto"/>
              <w:rPr>
                <w:rFonts w:ascii="Times New Roman" w:hAnsi="Times New Roman" w:cs="Times New Roman"/>
                <w:b/>
                <w:sz w:val="20"/>
                <w:szCs w:val="20"/>
              </w:rPr>
            </w:pPr>
            <w:r w:rsidRPr="00F44A0F">
              <w:rPr>
                <w:rFonts w:ascii="Times New Roman" w:hAnsi="Times New Roman" w:cs="Times New Roman"/>
                <w:b/>
                <w:sz w:val="20"/>
                <w:szCs w:val="20"/>
              </w:rPr>
              <w:t>Žiadne</w:t>
            </w:r>
          </w:p>
        </w:tc>
        <w:tc>
          <w:tcPr>
            <w:tcW w:w="547" w:type="dxa"/>
            <w:gridSpan w:val="2"/>
            <w:tcBorders>
              <w:left w:val="nil"/>
              <w:right w:val="nil"/>
            </w:tcBorders>
            <w:hideMark/>
          </w:tcPr>
          <w:p w:rsidR="00134B51" w:rsidRPr="00F44A0F" w:rsidRDefault="00134B51" w:rsidP="00F44A0F">
            <w:pPr>
              <w:spacing w:after="0" w:line="240" w:lineRule="auto"/>
              <w:jc w:val="center"/>
              <w:rPr>
                <w:rFonts w:ascii="Times New Roman" w:hAnsi="Times New Roman" w:cs="Times New Roman"/>
                <w:sz w:val="20"/>
                <w:szCs w:val="20"/>
              </w:rPr>
            </w:pPr>
            <w:r w:rsidRPr="00F44A0F">
              <w:rPr>
                <w:rFonts w:ascii="Segoe UI Symbol" w:eastAsia="MS Mincho" w:hAnsi="Segoe UI Symbol" w:cs="Segoe UI Symbol"/>
                <w:sz w:val="20"/>
                <w:szCs w:val="20"/>
              </w:rPr>
              <w:t>☐</w:t>
            </w:r>
          </w:p>
        </w:tc>
        <w:tc>
          <w:tcPr>
            <w:tcW w:w="1297" w:type="dxa"/>
            <w:tcBorders>
              <w:left w:val="nil"/>
            </w:tcBorders>
            <w:hideMark/>
          </w:tcPr>
          <w:p w:rsidR="00134B51" w:rsidRPr="00F44A0F" w:rsidRDefault="00134B51" w:rsidP="00F44A0F">
            <w:pPr>
              <w:spacing w:after="0" w:line="240" w:lineRule="auto"/>
              <w:ind w:left="54"/>
              <w:rPr>
                <w:rFonts w:ascii="Times New Roman" w:hAnsi="Times New Roman" w:cs="Times New Roman"/>
                <w:sz w:val="20"/>
                <w:szCs w:val="20"/>
              </w:rPr>
            </w:pPr>
            <w:r w:rsidRPr="00F44A0F">
              <w:rPr>
                <w:rFonts w:ascii="Times New Roman" w:hAnsi="Times New Roman" w:cs="Times New Roman"/>
                <w:sz w:val="20"/>
                <w:szCs w:val="20"/>
              </w:rPr>
              <w:t>Negatívne</w:t>
            </w:r>
          </w:p>
        </w:tc>
      </w:tr>
      <w:tr w:rsidR="009E6C3E" w:rsidRPr="00F44A0F" w:rsidTr="00F44A0F">
        <w:tc>
          <w:tcPr>
            <w:tcW w:w="3812" w:type="dxa"/>
            <w:tcBorders>
              <w:top w:val="nil"/>
              <w:left w:val="single" w:sz="4" w:space="0" w:color="000000"/>
              <w:bottom w:val="single" w:sz="4" w:space="0" w:color="000000"/>
              <w:right w:val="single" w:sz="4" w:space="0" w:color="000000"/>
            </w:tcBorders>
            <w:shd w:val="clear" w:color="auto" w:fill="E2E2E2"/>
            <w:hideMark/>
          </w:tcPr>
          <w:p w:rsidR="00134B51" w:rsidRPr="00F44A0F" w:rsidRDefault="00134B51" w:rsidP="00F44A0F">
            <w:pPr>
              <w:spacing w:after="0" w:line="240" w:lineRule="auto"/>
              <w:rPr>
                <w:rFonts w:ascii="Times New Roman" w:hAnsi="Times New Roman" w:cs="Times New Roman"/>
                <w:sz w:val="20"/>
                <w:szCs w:val="20"/>
              </w:rPr>
            </w:pPr>
            <w:r w:rsidRPr="00F44A0F">
              <w:rPr>
                <w:rFonts w:ascii="Times New Roman" w:hAnsi="Times New Roman" w:cs="Times New Roman"/>
                <w:sz w:val="20"/>
                <w:szCs w:val="20"/>
              </w:rPr>
              <w:t>z toho vplyvy na MSP</w:t>
            </w:r>
          </w:p>
        </w:tc>
        <w:tc>
          <w:tcPr>
            <w:tcW w:w="541" w:type="dxa"/>
            <w:gridSpan w:val="2"/>
            <w:tcBorders>
              <w:left w:val="single" w:sz="4" w:space="0" w:color="000000"/>
              <w:right w:val="nil"/>
            </w:tcBorders>
            <w:hideMark/>
          </w:tcPr>
          <w:p w:rsidR="00134B51" w:rsidRPr="00F44A0F" w:rsidRDefault="00134B51" w:rsidP="00F44A0F">
            <w:pPr>
              <w:spacing w:after="0" w:line="240" w:lineRule="auto"/>
              <w:jc w:val="center"/>
              <w:rPr>
                <w:rFonts w:ascii="Times New Roman" w:hAnsi="Times New Roman" w:cs="Times New Roman"/>
                <w:sz w:val="20"/>
                <w:szCs w:val="20"/>
              </w:rPr>
            </w:pPr>
            <w:r w:rsidRPr="00F44A0F">
              <w:rPr>
                <w:rFonts w:ascii="Segoe UI Symbol" w:eastAsia="MS Mincho" w:hAnsi="Segoe UI Symbol" w:cs="Segoe UI Symbol"/>
                <w:sz w:val="20"/>
                <w:szCs w:val="20"/>
              </w:rPr>
              <w:t>☐</w:t>
            </w:r>
          </w:p>
        </w:tc>
        <w:tc>
          <w:tcPr>
            <w:tcW w:w="1281" w:type="dxa"/>
            <w:gridSpan w:val="2"/>
            <w:tcBorders>
              <w:left w:val="nil"/>
              <w:right w:val="nil"/>
            </w:tcBorders>
            <w:hideMark/>
          </w:tcPr>
          <w:p w:rsidR="00134B51" w:rsidRPr="00F44A0F" w:rsidRDefault="00134B51" w:rsidP="00F44A0F">
            <w:pPr>
              <w:spacing w:after="0" w:line="240" w:lineRule="auto"/>
              <w:ind w:right="-108"/>
              <w:rPr>
                <w:rFonts w:ascii="Times New Roman" w:hAnsi="Times New Roman" w:cs="Times New Roman"/>
                <w:sz w:val="20"/>
                <w:szCs w:val="20"/>
              </w:rPr>
            </w:pPr>
            <w:r w:rsidRPr="00F44A0F">
              <w:rPr>
                <w:rFonts w:ascii="Times New Roman" w:hAnsi="Times New Roman" w:cs="Times New Roman"/>
                <w:sz w:val="20"/>
                <w:szCs w:val="20"/>
              </w:rPr>
              <w:t>Pozitívne</w:t>
            </w:r>
          </w:p>
        </w:tc>
        <w:tc>
          <w:tcPr>
            <w:tcW w:w="569" w:type="dxa"/>
            <w:tcBorders>
              <w:left w:val="nil"/>
              <w:right w:val="nil"/>
            </w:tcBorders>
            <w:hideMark/>
          </w:tcPr>
          <w:p w:rsidR="00134B51" w:rsidRPr="00F44A0F" w:rsidRDefault="00134B51" w:rsidP="00F44A0F">
            <w:pPr>
              <w:spacing w:after="0" w:line="240" w:lineRule="auto"/>
              <w:jc w:val="center"/>
              <w:rPr>
                <w:rFonts w:ascii="Times New Roman" w:hAnsi="Times New Roman" w:cs="Times New Roman"/>
                <w:b/>
                <w:sz w:val="20"/>
                <w:szCs w:val="20"/>
              </w:rPr>
            </w:pPr>
            <w:r w:rsidRPr="00F44A0F">
              <w:rPr>
                <w:rFonts w:ascii="Segoe UI Symbol" w:eastAsia="MS Gothic" w:hAnsi="Segoe UI Symbol" w:cs="Segoe UI Symbol"/>
                <w:b/>
                <w:sz w:val="20"/>
                <w:szCs w:val="20"/>
              </w:rPr>
              <w:t>☒</w:t>
            </w:r>
          </w:p>
        </w:tc>
        <w:tc>
          <w:tcPr>
            <w:tcW w:w="1133" w:type="dxa"/>
            <w:tcBorders>
              <w:left w:val="nil"/>
              <w:right w:val="nil"/>
            </w:tcBorders>
            <w:hideMark/>
          </w:tcPr>
          <w:p w:rsidR="00134B51" w:rsidRPr="00F44A0F" w:rsidRDefault="00134B51" w:rsidP="00F44A0F">
            <w:pPr>
              <w:spacing w:after="0" w:line="240" w:lineRule="auto"/>
              <w:rPr>
                <w:rFonts w:ascii="Times New Roman" w:hAnsi="Times New Roman" w:cs="Times New Roman"/>
                <w:b/>
                <w:sz w:val="20"/>
                <w:szCs w:val="20"/>
              </w:rPr>
            </w:pPr>
            <w:r w:rsidRPr="00F44A0F">
              <w:rPr>
                <w:rFonts w:ascii="Times New Roman" w:hAnsi="Times New Roman" w:cs="Times New Roman"/>
                <w:b/>
                <w:sz w:val="20"/>
                <w:szCs w:val="20"/>
              </w:rPr>
              <w:t>Žiadne</w:t>
            </w:r>
          </w:p>
        </w:tc>
        <w:tc>
          <w:tcPr>
            <w:tcW w:w="547" w:type="dxa"/>
            <w:gridSpan w:val="2"/>
            <w:tcBorders>
              <w:left w:val="nil"/>
              <w:right w:val="nil"/>
            </w:tcBorders>
            <w:hideMark/>
          </w:tcPr>
          <w:p w:rsidR="00134B51" w:rsidRPr="00F44A0F" w:rsidRDefault="00134B51" w:rsidP="00F44A0F">
            <w:pPr>
              <w:spacing w:after="0" w:line="240" w:lineRule="auto"/>
              <w:jc w:val="center"/>
              <w:rPr>
                <w:rFonts w:ascii="Times New Roman" w:hAnsi="Times New Roman" w:cs="Times New Roman"/>
                <w:sz w:val="20"/>
                <w:szCs w:val="20"/>
              </w:rPr>
            </w:pPr>
            <w:r w:rsidRPr="00F44A0F">
              <w:rPr>
                <w:rFonts w:ascii="Segoe UI Symbol" w:eastAsia="MS Mincho" w:hAnsi="Segoe UI Symbol" w:cs="Segoe UI Symbol"/>
                <w:sz w:val="20"/>
                <w:szCs w:val="20"/>
              </w:rPr>
              <w:t>☐</w:t>
            </w:r>
          </w:p>
        </w:tc>
        <w:tc>
          <w:tcPr>
            <w:tcW w:w="1297" w:type="dxa"/>
            <w:tcBorders>
              <w:left w:val="nil"/>
            </w:tcBorders>
            <w:hideMark/>
          </w:tcPr>
          <w:p w:rsidR="00134B51" w:rsidRPr="00F44A0F" w:rsidRDefault="00134B51" w:rsidP="00F44A0F">
            <w:pPr>
              <w:spacing w:after="0" w:line="240" w:lineRule="auto"/>
              <w:ind w:left="54"/>
              <w:rPr>
                <w:rFonts w:ascii="Times New Roman" w:hAnsi="Times New Roman" w:cs="Times New Roman"/>
                <w:sz w:val="20"/>
                <w:szCs w:val="20"/>
              </w:rPr>
            </w:pPr>
            <w:r w:rsidRPr="00F44A0F">
              <w:rPr>
                <w:rFonts w:ascii="Times New Roman" w:hAnsi="Times New Roman" w:cs="Times New Roman"/>
                <w:sz w:val="20"/>
                <w:szCs w:val="20"/>
              </w:rPr>
              <w:t>Negatívne</w:t>
            </w:r>
          </w:p>
        </w:tc>
      </w:tr>
      <w:tr w:rsidR="009E6C3E" w:rsidRPr="00F44A0F" w:rsidTr="00F44A0F">
        <w:tc>
          <w:tcPr>
            <w:tcW w:w="3812" w:type="dxa"/>
            <w:tcBorders>
              <w:top w:val="single" w:sz="4" w:space="0" w:color="000000"/>
            </w:tcBorders>
            <w:shd w:val="clear" w:color="auto" w:fill="E2E2E2"/>
            <w:hideMark/>
          </w:tcPr>
          <w:p w:rsidR="00134B51" w:rsidRPr="00F44A0F" w:rsidRDefault="00134B51" w:rsidP="00F44A0F">
            <w:pPr>
              <w:spacing w:after="0" w:line="240" w:lineRule="auto"/>
              <w:rPr>
                <w:rFonts w:ascii="Times New Roman" w:hAnsi="Times New Roman" w:cs="Times New Roman"/>
                <w:b/>
                <w:sz w:val="20"/>
                <w:szCs w:val="20"/>
              </w:rPr>
            </w:pPr>
            <w:r w:rsidRPr="00F44A0F">
              <w:rPr>
                <w:rFonts w:ascii="Times New Roman" w:hAnsi="Times New Roman" w:cs="Times New Roman"/>
                <w:b/>
                <w:sz w:val="20"/>
                <w:szCs w:val="20"/>
              </w:rPr>
              <w:t>Sociálne vplyvy</w:t>
            </w:r>
          </w:p>
        </w:tc>
        <w:tc>
          <w:tcPr>
            <w:tcW w:w="541" w:type="dxa"/>
            <w:gridSpan w:val="2"/>
            <w:tcBorders>
              <w:right w:val="nil"/>
            </w:tcBorders>
            <w:hideMark/>
          </w:tcPr>
          <w:p w:rsidR="00134B51" w:rsidRPr="00F44A0F" w:rsidRDefault="00134B51" w:rsidP="00F44A0F">
            <w:pPr>
              <w:spacing w:after="0" w:line="240" w:lineRule="auto"/>
              <w:jc w:val="center"/>
              <w:rPr>
                <w:rFonts w:ascii="Times New Roman" w:hAnsi="Times New Roman" w:cs="Times New Roman"/>
                <w:b/>
                <w:sz w:val="20"/>
                <w:szCs w:val="20"/>
              </w:rPr>
            </w:pPr>
            <w:r w:rsidRPr="00F44A0F">
              <w:rPr>
                <w:rFonts w:ascii="Segoe UI Symbol" w:eastAsia="MS Gothic" w:hAnsi="Segoe UI Symbol" w:cs="Segoe UI Symbol"/>
                <w:b/>
                <w:sz w:val="20"/>
                <w:szCs w:val="20"/>
              </w:rPr>
              <w:t>☒</w:t>
            </w:r>
          </w:p>
        </w:tc>
        <w:tc>
          <w:tcPr>
            <w:tcW w:w="1281" w:type="dxa"/>
            <w:gridSpan w:val="2"/>
            <w:tcBorders>
              <w:left w:val="nil"/>
              <w:right w:val="nil"/>
            </w:tcBorders>
            <w:hideMark/>
          </w:tcPr>
          <w:p w:rsidR="00134B51" w:rsidRPr="00F44A0F" w:rsidRDefault="00134B51" w:rsidP="00F44A0F">
            <w:pPr>
              <w:spacing w:after="0" w:line="240" w:lineRule="auto"/>
              <w:ind w:right="-108"/>
              <w:rPr>
                <w:rFonts w:ascii="Times New Roman" w:hAnsi="Times New Roman" w:cs="Times New Roman"/>
                <w:b/>
                <w:sz w:val="20"/>
                <w:szCs w:val="20"/>
              </w:rPr>
            </w:pPr>
            <w:r w:rsidRPr="00F44A0F">
              <w:rPr>
                <w:rFonts w:ascii="Times New Roman" w:hAnsi="Times New Roman" w:cs="Times New Roman"/>
                <w:b/>
                <w:sz w:val="20"/>
                <w:szCs w:val="20"/>
              </w:rPr>
              <w:t>Pozitívne</w:t>
            </w:r>
          </w:p>
        </w:tc>
        <w:tc>
          <w:tcPr>
            <w:tcW w:w="569" w:type="dxa"/>
            <w:tcBorders>
              <w:left w:val="nil"/>
              <w:right w:val="nil"/>
            </w:tcBorders>
            <w:hideMark/>
          </w:tcPr>
          <w:p w:rsidR="00134B51" w:rsidRPr="00F44A0F" w:rsidRDefault="00134B51" w:rsidP="00F44A0F">
            <w:pPr>
              <w:spacing w:after="0" w:line="240" w:lineRule="auto"/>
              <w:jc w:val="center"/>
              <w:rPr>
                <w:rFonts w:ascii="Times New Roman" w:hAnsi="Times New Roman" w:cs="Times New Roman"/>
                <w:sz w:val="20"/>
                <w:szCs w:val="20"/>
              </w:rPr>
            </w:pPr>
            <w:r w:rsidRPr="00F44A0F">
              <w:rPr>
                <w:rFonts w:ascii="Segoe UI Symbol" w:eastAsia="MS Gothic" w:hAnsi="Segoe UI Symbol" w:cs="Segoe UI Symbol"/>
                <w:sz w:val="20"/>
                <w:szCs w:val="20"/>
              </w:rPr>
              <w:t>☐</w:t>
            </w:r>
          </w:p>
        </w:tc>
        <w:tc>
          <w:tcPr>
            <w:tcW w:w="1133" w:type="dxa"/>
            <w:tcBorders>
              <w:left w:val="nil"/>
              <w:right w:val="nil"/>
            </w:tcBorders>
            <w:hideMark/>
          </w:tcPr>
          <w:p w:rsidR="00134B51" w:rsidRPr="00F44A0F" w:rsidRDefault="00134B51" w:rsidP="00F44A0F">
            <w:pPr>
              <w:spacing w:after="0" w:line="240" w:lineRule="auto"/>
              <w:rPr>
                <w:rFonts w:ascii="Times New Roman" w:hAnsi="Times New Roman" w:cs="Times New Roman"/>
                <w:sz w:val="20"/>
                <w:szCs w:val="20"/>
              </w:rPr>
            </w:pPr>
            <w:r w:rsidRPr="00F44A0F">
              <w:rPr>
                <w:rFonts w:ascii="Times New Roman" w:hAnsi="Times New Roman" w:cs="Times New Roman"/>
                <w:sz w:val="20"/>
                <w:szCs w:val="20"/>
              </w:rPr>
              <w:t>Žiadne</w:t>
            </w:r>
          </w:p>
        </w:tc>
        <w:tc>
          <w:tcPr>
            <w:tcW w:w="547" w:type="dxa"/>
            <w:gridSpan w:val="2"/>
            <w:tcBorders>
              <w:left w:val="nil"/>
              <w:right w:val="nil"/>
            </w:tcBorders>
            <w:hideMark/>
          </w:tcPr>
          <w:p w:rsidR="00134B51" w:rsidRPr="00F44A0F" w:rsidRDefault="00134B51" w:rsidP="00F44A0F">
            <w:pPr>
              <w:spacing w:after="0" w:line="240" w:lineRule="auto"/>
              <w:jc w:val="center"/>
              <w:rPr>
                <w:rFonts w:ascii="Times New Roman" w:hAnsi="Times New Roman" w:cs="Times New Roman"/>
                <w:b/>
                <w:sz w:val="20"/>
                <w:szCs w:val="20"/>
              </w:rPr>
            </w:pPr>
            <w:r w:rsidRPr="00F44A0F">
              <w:rPr>
                <w:rFonts w:ascii="Segoe UI Symbol" w:hAnsi="Segoe UI Symbol" w:cs="Segoe UI Symbol"/>
                <w:b/>
                <w:sz w:val="20"/>
                <w:szCs w:val="20"/>
              </w:rPr>
              <w:t>☒</w:t>
            </w:r>
          </w:p>
        </w:tc>
        <w:tc>
          <w:tcPr>
            <w:tcW w:w="1297" w:type="dxa"/>
            <w:tcBorders>
              <w:left w:val="nil"/>
            </w:tcBorders>
            <w:hideMark/>
          </w:tcPr>
          <w:p w:rsidR="00134B51" w:rsidRPr="00F44A0F" w:rsidRDefault="00134B51" w:rsidP="00F44A0F">
            <w:pPr>
              <w:spacing w:after="0" w:line="240" w:lineRule="auto"/>
              <w:ind w:left="54"/>
              <w:rPr>
                <w:rFonts w:ascii="Times New Roman" w:hAnsi="Times New Roman" w:cs="Times New Roman"/>
                <w:sz w:val="20"/>
                <w:szCs w:val="20"/>
              </w:rPr>
            </w:pPr>
            <w:r w:rsidRPr="00F44A0F">
              <w:rPr>
                <w:rFonts w:ascii="Times New Roman" w:hAnsi="Times New Roman" w:cs="Times New Roman"/>
                <w:sz w:val="20"/>
                <w:szCs w:val="20"/>
              </w:rPr>
              <w:t>Negatívne</w:t>
            </w:r>
          </w:p>
        </w:tc>
      </w:tr>
      <w:tr w:rsidR="009E6C3E" w:rsidRPr="00F44A0F" w:rsidTr="00F44A0F">
        <w:tc>
          <w:tcPr>
            <w:tcW w:w="3812" w:type="dxa"/>
            <w:shd w:val="clear" w:color="auto" w:fill="E2E2E2"/>
            <w:hideMark/>
          </w:tcPr>
          <w:p w:rsidR="00134B51" w:rsidRPr="00F44A0F" w:rsidRDefault="00134B51" w:rsidP="00F44A0F">
            <w:pPr>
              <w:spacing w:after="0" w:line="240" w:lineRule="auto"/>
              <w:rPr>
                <w:rFonts w:ascii="Times New Roman" w:hAnsi="Times New Roman" w:cs="Times New Roman"/>
                <w:b/>
                <w:sz w:val="20"/>
                <w:szCs w:val="20"/>
              </w:rPr>
            </w:pPr>
            <w:r w:rsidRPr="00F44A0F">
              <w:rPr>
                <w:rFonts w:ascii="Times New Roman" w:hAnsi="Times New Roman" w:cs="Times New Roman"/>
                <w:b/>
                <w:sz w:val="20"/>
                <w:szCs w:val="20"/>
              </w:rPr>
              <w:t>Vplyvy na životné prostredie</w:t>
            </w:r>
          </w:p>
        </w:tc>
        <w:tc>
          <w:tcPr>
            <w:tcW w:w="541" w:type="dxa"/>
            <w:gridSpan w:val="2"/>
            <w:tcBorders>
              <w:right w:val="nil"/>
            </w:tcBorders>
            <w:hideMark/>
          </w:tcPr>
          <w:p w:rsidR="00134B51" w:rsidRPr="00F44A0F" w:rsidRDefault="00134B51" w:rsidP="00F44A0F">
            <w:pPr>
              <w:spacing w:after="0" w:line="240" w:lineRule="auto"/>
              <w:jc w:val="center"/>
              <w:rPr>
                <w:rFonts w:ascii="Times New Roman" w:hAnsi="Times New Roman" w:cs="Times New Roman"/>
                <w:sz w:val="20"/>
                <w:szCs w:val="20"/>
              </w:rPr>
            </w:pPr>
            <w:r w:rsidRPr="00F44A0F">
              <w:rPr>
                <w:rFonts w:ascii="Segoe UI Symbol" w:eastAsia="MS Gothic" w:hAnsi="Segoe UI Symbol" w:cs="Segoe UI Symbol"/>
                <w:sz w:val="20"/>
                <w:szCs w:val="20"/>
              </w:rPr>
              <w:t>☐</w:t>
            </w:r>
          </w:p>
        </w:tc>
        <w:tc>
          <w:tcPr>
            <w:tcW w:w="1281" w:type="dxa"/>
            <w:gridSpan w:val="2"/>
            <w:tcBorders>
              <w:left w:val="nil"/>
              <w:right w:val="nil"/>
            </w:tcBorders>
            <w:hideMark/>
          </w:tcPr>
          <w:p w:rsidR="00134B51" w:rsidRPr="00F44A0F" w:rsidRDefault="00134B51" w:rsidP="00F44A0F">
            <w:pPr>
              <w:spacing w:after="0" w:line="240" w:lineRule="auto"/>
              <w:ind w:right="-108"/>
              <w:rPr>
                <w:rFonts w:ascii="Times New Roman" w:hAnsi="Times New Roman" w:cs="Times New Roman"/>
                <w:sz w:val="20"/>
                <w:szCs w:val="20"/>
              </w:rPr>
            </w:pPr>
            <w:r w:rsidRPr="00F44A0F">
              <w:rPr>
                <w:rFonts w:ascii="Times New Roman" w:hAnsi="Times New Roman" w:cs="Times New Roman"/>
                <w:sz w:val="20"/>
                <w:szCs w:val="20"/>
              </w:rPr>
              <w:t>Pozitívne</w:t>
            </w:r>
          </w:p>
        </w:tc>
        <w:tc>
          <w:tcPr>
            <w:tcW w:w="569" w:type="dxa"/>
            <w:tcBorders>
              <w:left w:val="nil"/>
              <w:right w:val="nil"/>
            </w:tcBorders>
            <w:hideMark/>
          </w:tcPr>
          <w:p w:rsidR="00134B51" w:rsidRPr="00F44A0F" w:rsidRDefault="00134B51" w:rsidP="00F44A0F">
            <w:pPr>
              <w:spacing w:after="0" w:line="240" w:lineRule="auto"/>
              <w:jc w:val="center"/>
              <w:rPr>
                <w:rFonts w:ascii="Times New Roman" w:hAnsi="Times New Roman" w:cs="Times New Roman"/>
                <w:b/>
                <w:sz w:val="20"/>
                <w:szCs w:val="20"/>
              </w:rPr>
            </w:pPr>
            <w:r w:rsidRPr="00F44A0F">
              <w:rPr>
                <w:rFonts w:ascii="Segoe UI Symbol" w:eastAsia="MS Gothic" w:hAnsi="Segoe UI Symbol" w:cs="Segoe UI Symbol"/>
                <w:b/>
                <w:sz w:val="20"/>
                <w:szCs w:val="20"/>
              </w:rPr>
              <w:t>☒</w:t>
            </w:r>
          </w:p>
        </w:tc>
        <w:tc>
          <w:tcPr>
            <w:tcW w:w="1133" w:type="dxa"/>
            <w:tcBorders>
              <w:left w:val="nil"/>
              <w:right w:val="nil"/>
            </w:tcBorders>
            <w:hideMark/>
          </w:tcPr>
          <w:p w:rsidR="00134B51" w:rsidRPr="00F44A0F" w:rsidRDefault="00134B51" w:rsidP="00F44A0F">
            <w:pPr>
              <w:spacing w:after="0" w:line="240" w:lineRule="auto"/>
              <w:rPr>
                <w:rFonts w:ascii="Times New Roman" w:hAnsi="Times New Roman" w:cs="Times New Roman"/>
                <w:b/>
                <w:sz w:val="20"/>
                <w:szCs w:val="20"/>
              </w:rPr>
            </w:pPr>
            <w:r w:rsidRPr="00F44A0F">
              <w:rPr>
                <w:rFonts w:ascii="Times New Roman" w:hAnsi="Times New Roman" w:cs="Times New Roman"/>
                <w:b/>
                <w:sz w:val="20"/>
                <w:szCs w:val="20"/>
              </w:rPr>
              <w:t>Žiadne</w:t>
            </w:r>
          </w:p>
        </w:tc>
        <w:tc>
          <w:tcPr>
            <w:tcW w:w="547" w:type="dxa"/>
            <w:gridSpan w:val="2"/>
            <w:tcBorders>
              <w:left w:val="nil"/>
              <w:right w:val="nil"/>
            </w:tcBorders>
            <w:hideMark/>
          </w:tcPr>
          <w:p w:rsidR="00134B51" w:rsidRPr="00F44A0F" w:rsidRDefault="00134B51" w:rsidP="00F44A0F">
            <w:pPr>
              <w:spacing w:after="0" w:line="240" w:lineRule="auto"/>
              <w:jc w:val="center"/>
              <w:rPr>
                <w:rFonts w:ascii="Times New Roman" w:hAnsi="Times New Roman" w:cs="Times New Roman"/>
                <w:sz w:val="20"/>
                <w:szCs w:val="20"/>
              </w:rPr>
            </w:pPr>
            <w:r w:rsidRPr="00F44A0F">
              <w:rPr>
                <w:rFonts w:ascii="Segoe UI Symbol" w:eastAsia="MS Mincho" w:hAnsi="Segoe UI Symbol" w:cs="Segoe UI Symbol"/>
                <w:sz w:val="20"/>
                <w:szCs w:val="20"/>
              </w:rPr>
              <w:t>☐</w:t>
            </w:r>
          </w:p>
        </w:tc>
        <w:tc>
          <w:tcPr>
            <w:tcW w:w="1297" w:type="dxa"/>
            <w:tcBorders>
              <w:left w:val="nil"/>
            </w:tcBorders>
            <w:hideMark/>
          </w:tcPr>
          <w:p w:rsidR="00134B51" w:rsidRPr="00F44A0F" w:rsidRDefault="00134B51" w:rsidP="00F44A0F">
            <w:pPr>
              <w:spacing w:after="0" w:line="240" w:lineRule="auto"/>
              <w:ind w:left="54"/>
              <w:rPr>
                <w:rFonts w:ascii="Times New Roman" w:hAnsi="Times New Roman" w:cs="Times New Roman"/>
                <w:sz w:val="20"/>
                <w:szCs w:val="20"/>
              </w:rPr>
            </w:pPr>
            <w:r w:rsidRPr="00F44A0F">
              <w:rPr>
                <w:rFonts w:ascii="Times New Roman" w:hAnsi="Times New Roman" w:cs="Times New Roman"/>
                <w:sz w:val="20"/>
                <w:szCs w:val="20"/>
              </w:rPr>
              <w:t>Negatívne</w:t>
            </w:r>
          </w:p>
        </w:tc>
      </w:tr>
      <w:tr w:rsidR="009E6C3E" w:rsidRPr="00F44A0F" w:rsidTr="00F44A0F">
        <w:tc>
          <w:tcPr>
            <w:tcW w:w="3812" w:type="dxa"/>
            <w:shd w:val="clear" w:color="auto" w:fill="E2E2E2"/>
            <w:hideMark/>
          </w:tcPr>
          <w:p w:rsidR="00134B51" w:rsidRPr="00F44A0F" w:rsidRDefault="00134B51" w:rsidP="00F44A0F">
            <w:pPr>
              <w:spacing w:after="0" w:line="240" w:lineRule="auto"/>
              <w:rPr>
                <w:rFonts w:ascii="Times New Roman" w:hAnsi="Times New Roman" w:cs="Times New Roman"/>
                <w:b/>
                <w:sz w:val="20"/>
                <w:szCs w:val="20"/>
              </w:rPr>
            </w:pPr>
            <w:r w:rsidRPr="00F44A0F">
              <w:rPr>
                <w:rFonts w:ascii="Times New Roman" w:hAnsi="Times New Roman" w:cs="Times New Roman"/>
                <w:b/>
                <w:sz w:val="20"/>
                <w:szCs w:val="20"/>
              </w:rPr>
              <w:t>Vplyvy na informatizáciu</w:t>
            </w:r>
          </w:p>
        </w:tc>
        <w:tc>
          <w:tcPr>
            <w:tcW w:w="541" w:type="dxa"/>
            <w:gridSpan w:val="2"/>
            <w:tcBorders>
              <w:right w:val="nil"/>
            </w:tcBorders>
            <w:hideMark/>
          </w:tcPr>
          <w:p w:rsidR="00134B51" w:rsidRPr="00F44A0F" w:rsidRDefault="00134B51" w:rsidP="00F44A0F">
            <w:pPr>
              <w:spacing w:after="0" w:line="240" w:lineRule="auto"/>
              <w:jc w:val="center"/>
              <w:rPr>
                <w:rFonts w:ascii="Times New Roman" w:hAnsi="Times New Roman" w:cs="Times New Roman"/>
                <w:sz w:val="20"/>
                <w:szCs w:val="20"/>
              </w:rPr>
            </w:pPr>
            <w:r w:rsidRPr="00F44A0F">
              <w:rPr>
                <w:rFonts w:ascii="Segoe UI Symbol" w:eastAsia="MS Gothic" w:hAnsi="Segoe UI Symbol" w:cs="Segoe UI Symbol"/>
                <w:sz w:val="20"/>
                <w:szCs w:val="20"/>
              </w:rPr>
              <w:t>☐</w:t>
            </w:r>
          </w:p>
        </w:tc>
        <w:tc>
          <w:tcPr>
            <w:tcW w:w="1281" w:type="dxa"/>
            <w:gridSpan w:val="2"/>
            <w:tcBorders>
              <w:left w:val="nil"/>
              <w:right w:val="nil"/>
            </w:tcBorders>
            <w:hideMark/>
          </w:tcPr>
          <w:p w:rsidR="00134B51" w:rsidRPr="00F44A0F" w:rsidRDefault="00134B51" w:rsidP="00F44A0F">
            <w:pPr>
              <w:spacing w:after="0" w:line="240" w:lineRule="auto"/>
              <w:ind w:right="-108"/>
              <w:rPr>
                <w:rFonts w:ascii="Times New Roman" w:hAnsi="Times New Roman" w:cs="Times New Roman"/>
                <w:sz w:val="20"/>
                <w:szCs w:val="20"/>
              </w:rPr>
            </w:pPr>
            <w:r w:rsidRPr="00F44A0F">
              <w:rPr>
                <w:rFonts w:ascii="Times New Roman" w:hAnsi="Times New Roman" w:cs="Times New Roman"/>
                <w:sz w:val="20"/>
                <w:szCs w:val="20"/>
              </w:rPr>
              <w:t>Pozitívne</w:t>
            </w:r>
          </w:p>
        </w:tc>
        <w:tc>
          <w:tcPr>
            <w:tcW w:w="569" w:type="dxa"/>
            <w:tcBorders>
              <w:left w:val="nil"/>
              <w:right w:val="nil"/>
            </w:tcBorders>
            <w:hideMark/>
          </w:tcPr>
          <w:p w:rsidR="00134B51" w:rsidRPr="00F44A0F" w:rsidRDefault="00134B51" w:rsidP="00F44A0F">
            <w:pPr>
              <w:spacing w:after="0" w:line="240" w:lineRule="auto"/>
              <w:jc w:val="center"/>
              <w:rPr>
                <w:rFonts w:ascii="Times New Roman" w:hAnsi="Times New Roman" w:cs="Times New Roman"/>
                <w:b/>
                <w:sz w:val="20"/>
                <w:szCs w:val="20"/>
              </w:rPr>
            </w:pPr>
            <w:r w:rsidRPr="00F44A0F">
              <w:rPr>
                <w:rFonts w:ascii="Segoe UI Symbol" w:eastAsia="MS Gothic" w:hAnsi="Segoe UI Symbol" w:cs="Segoe UI Symbol"/>
                <w:b/>
                <w:sz w:val="20"/>
                <w:szCs w:val="20"/>
              </w:rPr>
              <w:t>☒</w:t>
            </w:r>
          </w:p>
        </w:tc>
        <w:tc>
          <w:tcPr>
            <w:tcW w:w="1133" w:type="dxa"/>
            <w:tcBorders>
              <w:left w:val="nil"/>
              <w:right w:val="nil"/>
            </w:tcBorders>
            <w:hideMark/>
          </w:tcPr>
          <w:p w:rsidR="00134B51" w:rsidRPr="00F44A0F" w:rsidRDefault="00134B51" w:rsidP="00F44A0F">
            <w:pPr>
              <w:spacing w:after="0" w:line="240" w:lineRule="auto"/>
              <w:rPr>
                <w:rFonts w:ascii="Times New Roman" w:hAnsi="Times New Roman" w:cs="Times New Roman"/>
                <w:b/>
                <w:sz w:val="20"/>
                <w:szCs w:val="20"/>
              </w:rPr>
            </w:pPr>
            <w:r w:rsidRPr="00F44A0F">
              <w:rPr>
                <w:rFonts w:ascii="Times New Roman" w:hAnsi="Times New Roman" w:cs="Times New Roman"/>
                <w:b/>
                <w:sz w:val="20"/>
                <w:szCs w:val="20"/>
              </w:rPr>
              <w:t>Žiadne</w:t>
            </w:r>
          </w:p>
        </w:tc>
        <w:tc>
          <w:tcPr>
            <w:tcW w:w="547" w:type="dxa"/>
            <w:gridSpan w:val="2"/>
            <w:tcBorders>
              <w:left w:val="nil"/>
              <w:right w:val="nil"/>
            </w:tcBorders>
            <w:hideMark/>
          </w:tcPr>
          <w:p w:rsidR="00134B51" w:rsidRPr="00F44A0F" w:rsidRDefault="00134B51" w:rsidP="00F44A0F">
            <w:pPr>
              <w:spacing w:after="0" w:line="240" w:lineRule="auto"/>
              <w:jc w:val="center"/>
              <w:rPr>
                <w:rFonts w:ascii="Times New Roman" w:hAnsi="Times New Roman" w:cs="Times New Roman"/>
                <w:sz w:val="20"/>
                <w:szCs w:val="20"/>
              </w:rPr>
            </w:pPr>
            <w:r w:rsidRPr="00F44A0F">
              <w:rPr>
                <w:rFonts w:ascii="Segoe UI Symbol" w:eastAsia="MS Mincho" w:hAnsi="Segoe UI Symbol" w:cs="Segoe UI Symbol"/>
                <w:sz w:val="20"/>
                <w:szCs w:val="20"/>
              </w:rPr>
              <w:t>☐</w:t>
            </w:r>
          </w:p>
        </w:tc>
        <w:tc>
          <w:tcPr>
            <w:tcW w:w="1297" w:type="dxa"/>
            <w:tcBorders>
              <w:left w:val="nil"/>
            </w:tcBorders>
            <w:hideMark/>
          </w:tcPr>
          <w:p w:rsidR="00134B51" w:rsidRPr="00F44A0F" w:rsidRDefault="00134B51" w:rsidP="00F44A0F">
            <w:pPr>
              <w:spacing w:after="0" w:line="240" w:lineRule="auto"/>
              <w:ind w:left="54"/>
              <w:rPr>
                <w:rFonts w:ascii="Times New Roman" w:hAnsi="Times New Roman" w:cs="Times New Roman"/>
                <w:sz w:val="20"/>
                <w:szCs w:val="20"/>
              </w:rPr>
            </w:pPr>
            <w:r w:rsidRPr="00F44A0F">
              <w:rPr>
                <w:rFonts w:ascii="Times New Roman" w:hAnsi="Times New Roman" w:cs="Times New Roman"/>
                <w:sz w:val="20"/>
                <w:szCs w:val="20"/>
              </w:rPr>
              <w:t>Negatívne</w:t>
            </w:r>
          </w:p>
        </w:tc>
      </w:tr>
    </w:tbl>
    <w:p w:rsidR="00134B51" w:rsidRPr="00134B51" w:rsidRDefault="00134B51" w:rsidP="00134B51">
      <w:pPr>
        <w:spacing w:after="0"/>
        <w:rPr>
          <w:rFonts w:ascii="Times New Roman" w:hAnsi="Times New Roman" w:cs="Times New Roman"/>
          <w:vanish/>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134B51" w:rsidRPr="00134B51" w:rsidTr="00D5717A">
        <w:tc>
          <w:tcPr>
            <w:tcW w:w="3812" w:type="dxa"/>
            <w:tcBorders>
              <w:bottom w:val="nil"/>
            </w:tcBorders>
            <w:shd w:val="clear" w:color="auto" w:fill="E2E2E2"/>
            <w:hideMark/>
          </w:tcPr>
          <w:p w:rsidR="00134B51" w:rsidRPr="00134B51" w:rsidRDefault="00134B51" w:rsidP="00D5717A">
            <w:pPr>
              <w:rPr>
                <w:rFonts w:ascii="Times New Roman" w:hAnsi="Times New Roman" w:cs="Times New Roman"/>
                <w:b/>
                <w:sz w:val="20"/>
                <w:szCs w:val="20"/>
              </w:rPr>
            </w:pPr>
            <w:r w:rsidRPr="00134B51">
              <w:rPr>
                <w:rFonts w:ascii="Times New Roman" w:hAnsi="Times New Roman" w:cs="Times New Roman"/>
                <w:b/>
                <w:sz w:val="20"/>
                <w:szCs w:val="20"/>
              </w:rPr>
              <w:t>Vplyvy na služby verejnej správy pre občana, z toho</w:t>
            </w:r>
          </w:p>
        </w:tc>
        <w:tc>
          <w:tcPr>
            <w:tcW w:w="541" w:type="dxa"/>
            <w:tcBorders>
              <w:bottom w:val="nil"/>
              <w:right w:val="nil"/>
            </w:tcBorders>
          </w:tcPr>
          <w:p w:rsidR="00134B51" w:rsidRPr="00134B51" w:rsidRDefault="00134B51" w:rsidP="00D5717A">
            <w:pPr>
              <w:jc w:val="center"/>
              <w:rPr>
                <w:rFonts w:ascii="Times New Roman" w:eastAsia="MS Mincho" w:hAnsi="Times New Roman" w:cs="Times New Roman"/>
                <w:b/>
                <w:sz w:val="20"/>
                <w:szCs w:val="20"/>
              </w:rPr>
            </w:pPr>
          </w:p>
        </w:tc>
        <w:tc>
          <w:tcPr>
            <w:tcW w:w="1281" w:type="dxa"/>
            <w:tcBorders>
              <w:left w:val="nil"/>
              <w:bottom w:val="nil"/>
              <w:right w:val="nil"/>
            </w:tcBorders>
          </w:tcPr>
          <w:p w:rsidR="00134B51" w:rsidRPr="00134B51" w:rsidRDefault="00134B51" w:rsidP="00D5717A">
            <w:pPr>
              <w:ind w:right="-108"/>
              <w:rPr>
                <w:rFonts w:ascii="Times New Roman" w:hAnsi="Times New Roman" w:cs="Times New Roman"/>
                <w:b/>
                <w:sz w:val="20"/>
                <w:szCs w:val="20"/>
              </w:rPr>
            </w:pPr>
          </w:p>
        </w:tc>
        <w:tc>
          <w:tcPr>
            <w:tcW w:w="569" w:type="dxa"/>
            <w:tcBorders>
              <w:left w:val="nil"/>
              <w:bottom w:val="nil"/>
              <w:right w:val="nil"/>
            </w:tcBorders>
          </w:tcPr>
          <w:p w:rsidR="00134B51" w:rsidRPr="00134B51" w:rsidRDefault="00134B51" w:rsidP="00D5717A">
            <w:pPr>
              <w:jc w:val="center"/>
              <w:rPr>
                <w:rFonts w:ascii="Times New Roman" w:eastAsia="MS Mincho" w:hAnsi="Times New Roman" w:cs="Times New Roman"/>
                <w:b/>
                <w:sz w:val="20"/>
                <w:szCs w:val="20"/>
              </w:rPr>
            </w:pPr>
          </w:p>
        </w:tc>
        <w:tc>
          <w:tcPr>
            <w:tcW w:w="1133" w:type="dxa"/>
            <w:tcBorders>
              <w:left w:val="nil"/>
              <w:bottom w:val="nil"/>
              <w:right w:val="nil"/>
            </w:tcBorders>
          </w:tcPr>
          <w:p w:rsidR="00134B51" w:rsidRPr="00134B51" w:rsidRDefault="00134B51" w:rsidP="00D5717A">
            <w:pPr>
              <w:rPr>
                <w:rFonts w:ascii="Times New Roman" w:hAnsi="Times New Roman" w:cs="Times New Roman"/>
                <w:b/>
                <w:sz w:val="20"/>
                <w:szCs w:val="20"/>
              </w:rPr>
            </w:pPr>
          </w:p>
        </w:tc>
        <w:tc>
          <w:tcPr>
            <w:tcW w:w="547" w:type="dxa"/>
            <w:tcBorders>
              <w:left w:val="nil"/>
              <w:bottom w:val="nil"/>
              <w:right w:val="nil"/>
            </w:tcBorders>
          </w:tcPr>
          <w:p w:rsidR="00134B51" w:rsidRPr="00134B51" w:rsidRDefault="00134B51" w:rsidP="00D5717A">
            <w:pPr>
              <w:jc w:val="center"/>
              <w:rPr>
                <w:rFonts w:ascii="Times New Roman" w:eastAsia="MS Mincho" w:hAnsi="Times New Roman" w:cs="Times New Roman"/>
                <w:b/>
                <w:sz w:val="20"/>
                <w:szCs w:val="20"/>
              </w:rPr>
            </w:pPr>
          </w:p>
        </w:tc>
        <w:tc>
          <w:tcPr>
            <w:tcW w:w="1297" w:type="dxa"/>
            <w:tcBorders>
              <w:left w:val="nil"/>
              <w:bottom w:val="nil"/>
            </w:tcBorders>
          </w:tcPr>
          <w:p w:rsidR="00134B51" w:rsidRPr="00134B51" w:rsidRDefault="00134B51" w:rsidP="00D5717A">
            <w:pPr>
              <w:ind w:left="54"/>
              <w:rPr>
                <w:rFonts w:ascii="Times New Roman" w:hAnsi="Times New Roman" w:cs="Times New Roman"/>
                <w:b/>
                <w:sz w:val="20"/>
                <w:szCs w:val="20"/>
              </w:rPr>
            </w:pPr>
          </w:p>
        </w:tc>
      </w:tr>
      <w:tr w:rsidR="00134B51" w:rsidRPr="00134B51" w:rsidTr="00D5717A">
        <w:tc>
          <w:tcPr>
            <w:tcW w:w="3812" w:type="dxa"/>
            <w:tcBorders>
              <w:top w:val="nil"/>
              <w:bottom w:val="nil"/>
            </w:tcBorders>
            <w:shd w:val="clear" w:color="auto" w:fill="E2E2E2"/>
            <w:hideMark/>
          </w:tcPr>
          <w:p w:rsidR="00134B51" w:rsidRPr="00134B51" w:rsidRDefault="00134B51" w:rsidP="00D5717A">
            <w:pPr>
              <w:ind w:left="196" w:hanging="196"/>
              <w:rPr>
                <w:rFonts w:ascii="Times New Roman" w:hAnsi="Times New Roman" w:cs="Times New Roman"/>
                <w:b/>
                <w:sz w:val="20"/>
                <w:szCs w:val="20"/>
              </w:rPr>
            </w:pPr>
            <w:r w:rsidRPr="00134B51">
              <w:rPr>
                <w:rFonts w:ascii="Times New Roman" w:hAnsi="Times New Roman" w:cs="Times New Roman"/>
                <w:b/>
                <w:sz w:val="20"/>
                <w:szCs w:val="20"/>
              </w:rPr>
              <w:t xml:space="preserve">    vplyvy služieb verejnej správy na občana</w:t>
            </w:r>
          </w:p>
        </w:tc>
        <w:tc>
          <w:tcPr>
            <w:tcW w:w="541" w:type="dxa"/>
            <w:tcBorders>
              <w:top w:val="nil"/>
              <w:bottom w:val="nil"/>
              <w:right w:val="nil"/>
            </w:tcBorders>
            <w:hideMark/>
          </w:tcPr>
          <w:p w:rsidR="00134B51" w:rsidRPr="00134B51" w:rsidRDefault="00134B51" w:rsidP="00D5717A">
            <w:pPr>
              <w:jc w:val="center"/>
              <w:rPr>
                <w:rFonts w:ascii="Times New Roman" w:hAnsi="Times New Roman" w:cs="Times New Roman"/>
                <w:sz w:val="20"/>
                <w:szCs w:val="20"/>
              </w:rPr>
            </w:pPr>
            <w:r w:rsidRPr="00134B51">
              <w:rPr>
                <w:rFonts w:ascii="Segoe UI Symbol" w:eastAsia="MS Gothic" w:hAnsi="Segoe UI Symbol" w:cs="Segoe UI Symbol"/>
                <w:sz w:val="20"/>
                <w:szCs w:val="20"/>
              </w:rPr>
              <w:t>☐</w:t>
            </w:r>
          </w:p>
        </w:tc>
        <w:tc>
          <w:tcPr>
            <w:tcW w:w="1281" w:type="dxa"/>
            <w:tcBorders>
              <w:top w:val="nil"/>
              <w:left w:val="nil"/>
              <w:bottom w:val="nil"/>
              <w:right w:val="nil"/>
            </w:tcBorders>
            <w:hideMark/>
          </w:tcPr>
          <w:p w:rsidR="00134B51" w:rsidRPr="00134B51" w:rsidRDefault="00134B51" w:rsidP="00D5717A">
            <w:pPr>
              <w:ind w:right="-108"/>
              <w:rPr>
                <w:rFonts w:ascii="Times New Roman" w:hAnsi="Times New Roman" w:cs="Times New Roman"/>
                <w:sz w:val="20"/>
                <w:szCs w:val="20"/>
              </w:rPr>
            </w:pPr>
            <w:r w:rsidRPr="00134B51">
              <w:rPr>
                <w:rFonts w:ascii="Times New Roman" w:hAnsi="Times New Roman" w:cs="Times New Roman"/>
                <w:sz w:val="20"/>
                <w:szCs w:val="20"/>
              </w:rPr>
              <w:t>Pozitívne</w:t>
            </w:r>
          </w:p>
        </w:tc>
        <w:tc>
          <w:tcPr>
            <w:tcW w:w="569" w:type="dxa"/>
            <w:tcBorders>
              <w:top w:val="nil"/>
              <w:left w:val="nil"/>
              <w:bottom w:val="nil"/>
              <w:right w:val="nil"/>
            </w:tcBorders>
            <w:hideMark/>
          </w:tcPr>
          <w:p w:rsidR="00134B51" w:rsidRPr="00134B51" w:rsidRDefault="00134B51" w:rsidP="00D5717A">
            <w:pPr>
              <w:jc w:val="center"/>
              <w:rPr>
                <w:rFonts w:ascii="Times New Roman" w:hAnsi="Times New Roman" w:cs="Times New Roman"/>
                <w:b/>
                <w:sz w:val="20"/>
                <w:szCs w:val="20"/>
              </w:rPr>
            </w:pPr>
            <w:r w:rsidRPr="00134B51">
              <w:rPr>
                <w:rFonts w:ascii="Segoe UI Symbol" w:eastAsia="MS Gothic" w:hAnsi="Segoe UI Symbol" w:cs="Segoe UI Symbol"/>
                <w:b/>
                <w:sz w:val="20"/>
                <w:szCs w:val="20"/>
              </w:rPr>
              <w:t>☒</w:t>
            </w:r>
          </w:p>
        </w:tc>
        <w:tc>
          <w:tcPr>
            <w:tcW w:w="1133" w:type="dxa"/>
            <w:tcBorders>
              <w:top w:val="nil"/>
              <w:left w:val="nil"/>
              <w:bottom w:val="nil"/>
              <w:right w:val="nil"/>
            </w:tcBorders>
            <w:hideMark/>
          </w:tcPr>
          <w:p w:rsidR="00134B51" w:rsidRPr="00134B51" w:rsidRDefault="00134B51" w:rsidP="00D5717A">
            <w:pPr>
              <w:rPr>
                <w:rFonts w:ascii="Times New Roman" w:hAnsi="Times New Roman" w:cs="Times New Roman"/>
                <w:b/>
                <w:sz w:val="20"/>
                <w:szCs w:val="20"/>
              </w:rPr>
            </w:pPr>
            <w:r w:rsidRPr="00134B51">
              <w:rPr>
                <w:rFonts w:ascii="Times New Roman" w:hAnsi="Times New Roman" w:cs="Times New Roman"/>
                <w:b/>
                <w:sz w:val="20"/>
                <w:szCs w:val="20"/>
              </w:rPr>
              <w:t>Žiadne</w:t>
            </w:r>
          </w:p>
        </w:tc>
        <w:tc>
          <w:tcPr>
            <w:tcW w:w="547" w:type="dxa"/>
            <w:tcBorders>
              <w:top w:val="nil"/>
              <w:left w:val="nil"/>
              <w:bottom w:val="nil"/>
              <w:right w:val="nil"/>
            </w:tcBorders>
            <w:hideMark/>
          </w:tcPr>
          <w:p w:rsidR="00134B51" w:rsidRPr="00134B51" w:rsidRDefault="00134B51" w:rsidP="00D5717A">
            <w:pPr>
              <w:jc w:val="center"/>
              <w:rPr>
                <w:rFonts w:ascii="Times New Roman" w:hAnsi="Times New Roman" w:cs="Times New Roman"/>
                <w:sz w:val="20"/>
                <w:szCs w:val="20"/>
              </w:rPr>
            </w:pPr>
            <w:r w:rsidRPr="00134B51">
              <w:rPr>
                <w:rFonts w:ascii="Segoe UI Symbol" w:eastAsia="MS Mincho" w:hAnsi="Segoe UI Symbol" w:cs="Segoe UI Symbol"/>
                <w:sz w:val="20"/>
                <w:szCs w:val="20"/>
              </w:rPr>
              <w:t>☐</w:t>
            </w:r>
          </w:p>
        </w:tc>
        <w:tc>
          <w:tcPr>
            <w:tcW w:w="1297" w:type="dxa"/>
            <w:tcBorders>
              <w:top w:val="nil"/>
              <w:left w:val="nil"/>
              <w:bottom w:val="nil"/>
            </w:tcBorders>
            <w:hideMark/>
          </w:tcPr>
          <w:p w:rsidR="00134B51" w:rsidRPr="00134B51" w:rsidRDefault="00134B51" w:rsidP="00D5717A">
            <w:pPr>
              <w:ind w:left="54"/>
              <w:rPr>
                <w:rFonts w:ascii="Times New Roman" w:hAnsi="Times New Roman" w:cs="Times New Roman"/>
                <w:sz w:val="20"/>
                <w:szCs w:val="20"/>
              </w:rPr>
            </w:pPr>
            <w:r w:rsidRPr="00134B51">
              <w:rPr>
                <w:rFonts w:ascii="Times New Roman" w:hAnsi="Times New Roman" w:cs="Times New Roman"/>
                <w:sz w:val="20"/>
                <w:szCs w:val="20"/>
              </w:rPr>
              <w:t>Negatívne</w:t>
            </w:r>
          </w:p>
        </w:tc>
      </w:tr>
      <w:tr w:rsidR="00134B51" w:rsidRPr="00134B51" w:rsidTr="00D5717A">
        <w:tc>
          <w:tcPr>
            <w:tcW w:w="3812" w:type="dxa"/>
            <w:tcBorders>
              <w:top w:val="nil"/>
            </w:tcBorders>
            <w:shd w:val="clear" w:color="auto" w:fill="E2E2E2"/>
            <w:hideMark/>
          </w:tcPr>
          <w:p w:rsidR="00134B51" w:rsidRPr="00134B51" w:rsidRDefault="00134B51" w:rsidP="00D5717A">
            <w:pPr>
              <w:ind w:left="168" w:hanging="168"/>
              <w:rPr>
                <w:rFonts w:ascii="Times New Roman" w:hAnsi="Times New Roman" w:cs="Times New Roman"/>
                <w:b/>
                <w:sz w:val="20"/>
                <w:szCs w:val="20"/>
              </w:rPr>
            </w:pPr>
            <w:r w:rsidRPr="00134B51">
              <w:rPr>
                <w:rFonts w:ascii="Times New Roman" w:hAnsi="Times New Roman" w:cs="Times New Roman"/>
                <w:b/>
                <w:sz w:val="20"/>
                <w:szCs w:val="20"/>
              </w:rPr>
              <w:t xml:space="preserve">    vplyvy na procesy služieb vo verejnej správe</w:t>
            </w:r>
          </w:p>
        </w:tc>
        <w:tc>
          <w:tcPr>
            <w:tcW w:w="541" w:type="dxa"/>
            <w:tcBorders>
              <w:top w:val="nil"/>
              <w:right w:val="nil"/>
            </w:tcBorders>
            <w:hideMark/>
          </w:tcPr>
          <w:p w:rsidR="00134B51" w:rsidRPr="00134B51" w:rsidRDefault="00134B51" w:rsidP="00D5717A">
            <w:pPr>
              <w:jc w:val="center"/>
              <w:rPr>
                <w:rFonts w:ascii="Times New Roman" w:hAnsi="Times New Roman" w:cs="Times New Roman"/>
                <w:sz w:val="20"/>
                <w:szCs w:val="20"/>
              </w:rPr>
            </w:pPr>
            <w:r w:rsidRPr="00134B51">
              <w:rPr>
                <w:rFonts w:ascii="Segoe UI Symbol" w:eastAsia="MS Gothic" w:hAnsi="Segoe UI Symbol" w:cs="Segoe UI Symbol"/>
                <w:sz w:val="20"/>
                <w:szCs w:val="20"/>
              </w:rPr>
              <w:t>☐</w:t>
            </w:r>
          </w:p>
        </w:tc>
        <w:tc>
          <w:tcPr>
            <w:tcW w:w="1281" w:type="dxa"/>
            <w:tcBorders>
              <w:top w:val="nil"/>
              <w:left w:val="nil"/>
              <w:right w:val="nil"/>
            </w:tcBorders>
            <w:hideMark/>
          </w:tcPr>
          <w:p w:rsidR="00134B51" w:rsidRPr="00134B51" w:rsidRDefault="00134B51" w:rsidP="00D5717A">
            <w:pPr>
              <w:ind w:right="-108"/>
              <w:rPr>
                <w:rFonts w:ascii="Times New Roman" w:hAnsi="Times New Roman" w:cs="Times New Roman"/>
                <w:sz w:val="20"/>
                <w:szCs w:val="20"/>
              </w:rPr>
            </w:pPr>
            <w:r w:rsidRPr="00134B51">
              <w:rPr>
                <w:rFonts w:ascii="Times New Roman" w:hAnsi="Times New Roman" w:cs="Times New Roman"/>
                <w:sz w:val="20"/>
                <w:szCs w:val="20"/>
              </w:rPr>
              <w:t>Pozitívne</w:t>
            </w:r>
          </w:p>
        </w:tc>
        <w:tc>
          <w:tcPr>
            <w:tcW w:w="569" w:type="dxa"/>
            <w:tcBorders>
              <w:top w:val="nil"/>
              <w:left w:val="nil"/>
              <w:right w:val="nil"/>
            </w:tcBorders>
            <w:hideMark/>
          </w:tcPr>
          <w:p w:rsidR="00134B51" w:rsidRPr="00134B51" w:rsidRDefault="00134B51" w:rsidP="00D5717A">
            <w:pPr>
              <w:jc w:val="center"/>
              <w:rPr>
                <w:rFonts w:ascii="Times New Roman" w:hAnsi="Times New Roman" w:cs="Times New Roman"/>
                <w:b/>
                <w:sz w:val="20"/>
                <w:szCs w:val="20"/>
              </w:rPr>
            </w:pPr>
            <w:r w:rsidRPr="00134B51">
              <w:rPr>
                <w:rFonts w:ascii="Segoe UI Symbol" w:eastAsia="MS Gothic" w:hAnsi="Segoe UI Symbol" w:cs="Segoe UI Symbol"/>
                <w:b/>
                <w:sz w:val="20"/>
                <w:szCs w:val="20"/>
              </w:rPr>
              <w:t>☒</w:t>
            </w:r>
          </w:p>
        </w:tc>
        <w:tc>
          <w:tcPr>
            <w:tcW w:w="1133" w:type="dxa"/>
            <w:tcBorders>
              <w:top w:val="nil"/>
              <w:left w:val="nil"/>
              <w:right w:val="nil"/>
            </w:tcBorders>
            <w:hideMark/>
          </w:tcPr>
          <w:p w:rsidR="00134B51" w:rsidRPr="00134B51" w:rsidRDefault="00134B51" w:rsidP="00D5717A">
            <w:pPr>
              <w:rPr>
                <w:rFonts w:ascii="Times New Roman" w:hAnsi="Times New Roman" w:cs="Times New Roman"/>
                <w:b/>
                <w:sz w:val="20"/>
                <w:szCs w:val="20"/>
              </w:rPr>
            </w:pPr>
            <w:r w:rsidRPr="00134B51">
              <w:rPr>
                <w:rFonts w:ascii="Times New Roman" w:hAnsi="Times New Roman" w:cs="Times New Roman"/>
                <w:b/>
                <w:sz w:val="20"/>
                <w:szCs w:val="20"/>
              </w:rPr>
              <w:t>Žiadne</w:t>
            </w:r>
          </w:p>
        </w:tc>
        <w:tc>
          <w:tcPr>
            <w:tcW w:w="547" w:type="dxa"/>
            <w:tcBorders>
              <w:top w:val="nil"/>
              <w:left w:val="nil"/>
              <w:right w:val="nil"/>
            </w:tcBorders>
            <w:hideMark/>
          </w:tcPr>
          <w:p w:rsidR="00134B51" w:rsidRPr="00134B51" w:rsidRDefault="00134B51" w:rsidP="00D5717A">
            <w:pPr>
              <w:jc w:val="center"/>
              <w:rPr>
                <w:rFonts w:ascii="Times New Roman" w:hAnsi="Times New Roman" w:cs="Times New Roman"/>
                <w:sz w:val="20"/>
                <w:szCs w:val="20"/>
              </w:rPr>
            </w:pPr>
            <w:r w:rsidRPr="00134B51">
              <w:rPr>
                <w:rFonts w:ascii="Segoe UI Symbol" w:eastAsia="MS Mincho" w:hAnsi="Segoe UI Symbol" w:cs="Segoe UI Symbol"/>
                <w:sz w:val="20"/>
                <w:szCs w:val="20"/>
              </w:rPr>
              <w:t>☐</w:t>
            </w:r>
          </w:p>
        </w:tc>
        <w:tc>
          <w:tcPr>
            <w:tcW w:w="1297" w:type="dxa"/>
            <w:tcBorders>
              <w:top w:val="nil"/>
              <w:left w:val="nil"/>
            </w:tcBorders>
            <w:hideMark/>
          </w:tcPr>
          <w:p w:rsidR="00134B51" w:rsidRPr="00134B51" w:rsidRDefault="00134B51" w:rsidP="00D5717A">
            <w:pPr>
              <w:ind w:left="54"/>
              <w:rPr>
                <w:rFonts w:ascii="Times New Roman" w:hAnsi="Times New Roman" w:cs="Times New Roman"/>
                <w:sz w:val="20"/>
                <w:szCs w:val="20"/>
              </w:rPr>
            </w:pPr>
            <w:r w:rsidRPr="00134B51">
              <w:rPr>
                <w:rFonts w:ascii="Times New Roman" w:hAnsi="Times New Roman" w:cs="Times New Roman"/>
                <w:sz w:val="20"/>
                <w:szCs w:val="20"/>
              </w:rPr>
              <w:t>Negatívne</w:t>
            </w:r>
          </w:p>
        </w:tc>
      </w:tr>
    </w:tbl>
    <w:p w:rsidR="00134B51" w:rsidRPr="00134B51" w:rsidRDefault="00134B51" w:rsidP="00134B51">
      <w:pPr>
        <w:ind w:right="141"/>
        <w:rPr>
          <w:rFonts w:ascii="Times New Roman" w:hAnsi="Times New Roman" w:cs="Times New Roman"/>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134B51" w:rsidRPr="00F44A0F" w:rsidTr="00F44A0F">
        <w:tc>
          <w:tcPr>
            <w:tcW w:w="9176" w:type="dxa"/>
            <w:tcBorders>
              <w:bottom w:val="nil"/>
            </w:tcBorders>
            <w:shd w:val="clear" w:color="auto" w:fill="E2E2E2"/>
            <w:hideMark/>
          </w:tcPr>
          <w:p w:rsidR="00134B51" w:rsidRPr="00F44A0F" w:rsidRDefault="00134B51" w:rsidP="00F44A0F">
            <w:pPr>
              <w:pStyle w:val="Odsekzoznamu"/>
              <w:numPr>
                <w:ilvl w:val="0"/>
                <w:numId w:val="23"/>
              </w:numPr>
              <w:contextualSpacing/>
              <w:rPr>
                <w:rFonts w:ascii="Times New Roman" w:hAnsi="Times New Roman"/>
                <w:b/>
                <w:sz w:val="22"/>
                <w:szCs w:val="22"/>
              </w:rPr>
            </w:pPr>
            <w:r w:rsidRPr="00F44A0F">
              <w:rPr>
                <w:rFonts w:ascii="Times New Roman" w:hAnsi="Times New Roman"/>
                <w:b/>
                <w:sz w:val="22"/>
                <w:szCs w:val="22"/>
              </w:rPr>
              <w:t>Poznámky</w:t>
            </w:r>
          </w:p>
        </w:tc>
      </w:tr>
      <w:tr w:rsidR="00134B51" w:rsidRPr="00F44A0F" w:rsidTr="00F44A0F">
        <w:trPr>
          <w:trHeight w:val="713"/>
        </w:trPr>
        <w:tc>
          <w:tcPr>
            <w:tcW w:w="9176" w:type="dxa"/>
            <w:tcBorders>
              <w:top w:val="nil"/>
              <w:bottom w:val="single" w:sz="4" w:space="0" w:color="FFFFFF"/>
            </w:tcBorders>
          </w:tcPr>
          <w:p w:rsidR="00134B51" w:rsidRPr="00F44A0F" w:rsidRDefault="00134B51" w:rsidP="00F44A0F">
            <w:pPr>
              <w:spacing w:after="0" w:line="240" w:lineRule="auto"/>
              <w:jc w:val="both"/>
              <w:rPr>
                <w:rFonts w:ascii="Times New Roman" w:hAnsi="Times New Roman" w:cs="Times New Roman"/>
                <w:u w:val="single"/>
              </w:rPr>
            </w:pPr>
          </w:p>
          <w:p w:rsidR="00134B51" w:rsidRPr="00F44A0F" w:rsidRDefault="00134B51" w:rsidP="00F44A0F">
            <w:pPr>
              <w:spacing w:after="0" w:line="240" w:lineRule="auto"/>
              <w:jc w:val="both"/>
              <w:rPr>
                <w:rFonts w:ascii="Times New Roman" w:hAnsi="Times New Roman" w:cs="Times New Roman"/>
                <w:color w:val="000000"/>
                <w:sz w:val="20"/>
                <w:szCs w:val="20"/>
              </w:rPr>
            </w:pPr>
            <w:r w:rsidRPr="00F44A0F">
              <w:rPr>
                <w:rFonts w:ascii="Times New Roman" w:hAnsi="Times New Roman" w:cs="Times New Roman"/>
                <w:sz w:val="20"/>
                <w:szCs w:val="20"/>
                <w:u w:val="single"/>
              </w:rPr>
              <w:t>Vplyvy na rozpočet verejnej správy</w:t>
            </w:r>
            <w:r w:rsidRPr="00F44A0F">
              <w:rPr>
                <w:rFonts w:ascii="Times New Roman" w:hAnsi="Times New Roman" w:cs="Times New Roman"/>
                <w:sz w:val="20"/>
                <w:szCs w:val="20"/>
              </w:rPr>
              <w:t xml:space="preserve"> – </w:t>
            </w:r>
            <w:r w:rsidRPr="00F44A0F">
              <w:rPr>
                <w:rFonts w:ascii="Times New Roman" w:hAnsi="Times New Roman" w:cs="Times New Roman"/>
                <w:i/>
                <w:color w:val="000000"/>
                <w:sz w:val="20"/>
                <w:szCs w:val="20"/>
              </w:rPr>
              <w:t xml:space="preserve">celkový vplyv na rozpočet útvarov sociálneho zabezpečenia a Vojenského úradu sociálneho zabezpečenia bude </w:t>
            </w:r>
            <w:r w:rsidRPr="00F44A0F">
              <w:rPr>
                <w:rFonts w:ascii="Times New Roman" w:hAnsi="Times New Roman" w:cs="Times New Roman"/>
                <w:i/>
                <w:sz w:val="20"/>
                <w:szCs w:val="20"/>
              </w:rPr>
              <w:t>pozitívny, z dôvodu zníženia výdavkov osobitných účtov na zvýšenie dôchodkových dávok</w:t>
            </w:r>
            <w:r w:rsidRPr="00F44A0F">
              <w:rPr>
                <w:rFonts w:ascii="Times New Roman" w:hAnsi="Times New Roman" w:cs="Times New Roman"/>
                <w:i/>
                <w:color w:val="FF0000"/>
                <w:sz w:val="20"/>
                <w:szCs w:val="20"/>
              </w:rPr>
              <w:t xml:space="preserve"> </w:t>
            </w:r>
            <w:r w:rsidRPr="00F44A0F">
              <w:rPr>
                <w:rFonts w:ascii="Times New Roman" w:hAnsi="Times New Roman" w:cs="Times New Roman"/>
                <w:i/>
                <w:sz w:val="20"/>
                <w:szCs w:val="20"/>
              </w:rPr>
              <w:t>výsluhového zabezpečenia</w:t>
            </w:r>
            <w:r w:rsidRPr="00F44A0F">
              <w:rPr>
                <w:rFonts w:ascii="Times New Roman" w:hAnsi="Times New Roman" w:cs="Times New Roman"/>
                <w:sz w:val="20"/>
                <w:szCs w:val="20"/>
              </w:rPr>
              <w:t>.</w:t>
            </w:r>
          </w:p>
          <w:p w:rsidR="00134B51" w:rsidRPr="00F44A0F" w:rsidRDefault="00134B51" w:rsidP="00F44A0F">
            <w:pPr>
              <w:spacing w:after="0" w:line="240" w:lineRule="auto"/>
              <w:jc w:val="both"/>
              <w:rPr>
                <w:rFonts w:ascii="Times New Roman" w:hAnsi="Times New Roman" w:cs="Times New Roman"/>
                <w:i/>
                <w:sz w:val="20"/>
                <w:szCs w:val="20"/>
              </w:rPr>
            </w:pPr>
            <w:r w:rsidRPr="00F44A0F">
              <w:rPr>
                <w:rFonts w:ascii="Times New Roman" w:hAnsi="Times New Roman" w:cs="Times New Roman"/>
                <w:sz w:val="20"/>
                <w:szCs w:val="20"/>
                <w:u w:val="single"/>
              </w:rPr>
              <w:t>Sociálne vplyvy</w:t>
            </w:r>
            <w:r w:rsidRPr="00F44A0F">
              <w:rPr>
                <w:rFonts w:ascii="Times New Roman" w:hAnsi="Times New Roman" w:cs="Times New Roman"/>
                <w:sz w:val="20"/>
                <w:szCs w:val="20"/>
              </w:rPr>
              <w:t xml:space="preserve"> – </w:t>
            </w:r>
            <w:r w:rsidRPr="00F44A0F">
              <w:rPr>
                <w:rFonts w:ascii="Times New Roman" w:hAnsi="Times New Roman" w:cs="Times New Roman"/>
                <w:i/>
                <w:sz w:val="20"/>
                <w:szCs w:val="20"/>
              </w:rPr>
              <w:t xml:space="preserve">pozitívny aj negatívny vplyv na výšku nominálnych hodnôt dôchodkových dávok výsluhového zabezpečenia u dotknutých subjektov. </w:t>
            </w:r>
          </w:p>
          <w:p w:rsidR="00134B51" w:rsidRPr="00F44A0F" w:rsidRDefault="00134B51" w:rsidP="00F44A0F">
            <w:pPr>
              <w:spacing w:after="0" w:line="240" w:lineRule="auto"/>
              <w:jc w:val="both"/>
              <w:rPr>
                <w:rFonts w:ascii="Times New Roman" w:hAnsi="Times New Roman" w:cs="Times New Roman"/>
                <w:i/>
              </w:rPr>
            </w:pPr>
            <w:r w:rsidRPr="00F44A0F">
              <w:rPr>
                <w:rFonts w:ascii="Times New Roman" w:hAnsi="Times New Roman" w:cs="Times New Roman"/>
                <w:i/>
                <w:sz w:val="20"/>
                <w:szCs w:val="20"/>
              </w:rPr>
              <w:t xml:space="preserve"> V skupine poberateľov výsluhových dôchodkov negatívne sociálne vplyvy sa týkajú tých poberateľov, ktorých doba trvania služobného pomeru je nižšia a suma výsluhového dôchodku, ak by bola zvyšovaná dôchodcovskou infláciou by sa zvýšila o vyššiu sumu ako sa zvýši podľa navrhovaného modelu zvyšovania výsluhových dôchodkov, kde sa do úvahy berie doba trvania služobného pomeru a nie výška výsluhového dôchodku.</w:t>
            </w:r>
          </w:p>
        </w:tc>
      </w:tr>
      <w:tr w:rsidR="00134B51" w:rsidRPr="00F44A0F" w:rsidTr="00F44A0F">
        <w:tc>
          <w:tcPr>
            <w:tcW w:w="9176" w:type="dxa"/>
            <w:tcBorders>
              <w:bottom w:val="single" w:sz="4" w:space="0" w:color="FFFFFF"/>
            </w:tcBorders>
            <w:shd w:val="clear" w:color="auto" w:fill="E2E2E2"/>
            <w:hideMark/>
          </w:tcPr>
          <w:p w:rsidR="00134B51" w:rsidRPr="00F44A0F" w:rsidRDefault="00134B51" w:rsidP="00F44A0F">
            <w:pPr>
              <w:pStyle w:val="Odsekzoznamu"/>
              <w:numPr>
                <w:ilvl w:val="0"/>
                <w:numId w:val="23"/>
              </w:numPr>
              <w:contextualSpacing/>
              <w:rPr>
                <w:rFonts w:ascii="Times New Roman" w:hAnsi="Times New Roman"/>
                <w:b/>
                <w:sz w:val="22"/>
                <w:szCs w:val="22"/>
              </w:rPr>
            </w:pPr>
            <w:r w:rsidRPr="00F44A0F">
              <w:rPr>
                <w:rFonts w:ascii="Times New Roman" w:hAnsi="Times New Roman"/>
                <w:b/>
                <w:sz w:val="22"/>
                <w:szCs w:val="22"/>
              </w:rPr>
              <w:t>Kontakt na spracovateľa</w:t>
            </w:r>
          </w:p>
        </w:tc>
      </w:tr>
      <w:tr w:rsidR="00134B51" w:rsidRPr="00F44A0F" w:rsidTr="00F44A0F">
        <w:trPr>
          <w:trHeight w:val="586"/>
        </w:trPr>
        <w:tc>
          <w:tcPr>
            <w:tcW w:w="9176" w:type="dxa"/>
            <w:tcBorders>
              <w:top w:val="single" w:sz="4" w:space="0" w:color="FFFFFF"/>
            </w:tcBorders>
            <w:shd w:val="clear" w:color="auto" w:fill="FFFFFF"/>
            <w:hideMark/>
          </w:tcPr>
          <w:p w:rsidR="00134B51" w:rsidRPr="00F44A0F" w:rsidRDefault="00134B51" w:rsidP="00F44A0F">
            <w:pPr>
              <w:spacing w:after="0" w:line="240" w:lineRule="auto"/>
              <w:rPr>
                <w:rFonts w:ascii="Times New Roman" w:hAnsi="Times New Roman" w:cs="Times New Roman"/>
                <w:sz w:val="20"/>
                <w:szCs w:val="20"/>
              </w:rPr>
            </w:pPr>
            <w:r w:rsidRPr="00F44A0F">
              <w:rPr>
                <w:rFonts w:ascii="Times New Roman" w:hAnsi="Times New Roman" w:cs="Times New Roman"/>
                <w:sz w:val="20"/>
                <w:szCs w:val="20"/>
              </w:rPr>
              <w:t xml:space="preserve">JUDr. Ivan </w:t>
            </w:r>
            <w:proofErr w:type="spellStart"/>
            <w:r w:rsidRPr="00F44A0F">
              <w:rPr>
                <w:rFonts w:ascii="Times New Roman" w:hAnsi="Times New Roman" w:cs="Times New Roman"/>
                <w:sz w:val="20"/>
                <w:szCs w:val="20"/>
              </w:rPr>
              <w:t>Fufaľ</w:t>
            </w:r>
            <w:proofErr w:type="spellEnd"/>
          </w:p>
          <w:p w:rsidR="00134B51" w:rsidRPr="00F44A0F" w:rsidRDefault="00BE178C" w:rsidP="00F44A0F">
            <w:pPr>
              <w:spacing w:after="0" w:line="240" w:lineRule="auto"/>
              <w:rPr>
                <w:rFonts w:ascii="Times New Roman" w:hAnsi="Times New Roman" w:cs="Times New Roman"/>
                <w:sz w:val="20"/>
                <w:szCs w:val="20"/>
              </w:rPr>
            </w:pPr>
            <w:hyperlink r:id="rId7" w:history="1">
              <w:r w:rsidR="00134B51" w:rsidRPr="00F44A0F">
                <w:rPr>
                  <w:rStyle w:val="Hypertextovprepojenie"/>
                  <w:rFonts w:ascii="Times New Roman" w:hAnsi="Times New Roman"/>
                  <w:sz w:val="20"/>
                  <w:szCs w:val="20"/>
                </w:rPr>
                <w:t>ivan.fufal@minv.sk</w:t>
              </w:r>
            </w:hyperlink>
          </w:p>
          <w:p w:rsidR="00134B51" w:rsidRPr="00F44A0F" w:rsidRDefault="00134B51" w:rsidP="00F44A0F">
            <w:pPr>
              <w:spacing w:after="0" w:line="240" w:lineRule="auto"/>
              <w:rPr>
                <w:rFonts w:ascii="Times New Roman" w:hAnsi="Times New Roman" w:cs="Times New Roman"/>
              </w:rPr>
            </w:pPr>
            <w:r w:rsidRPr="00F44A0F">
              <w:rPr>
                <w:rFonts w:ascii="Times New Roman" w:hAnsi="Times New Roman" w:cs="Times New Roman"/>
                <w:sz w:val="20"/>
                <w:szCs w:val="20"/>
              </w:rPr>
              <w:t>09610 56 800</w:t>
            </w:r>
          </w:p>
        </w:tc>
      </w:tr>
      <w:tr w:rsidR="00134B51" w:rsidRPr="00F44A0F" w:rsidTr="00F44A0F">
        <w:tc>
          <w:tcPr>
            <w:tcW w:w="9176" w:type="dxa"/>
            <w:tcBorders>
              <w:bottom w:val="single" w:sz="4" w:space="0" w:color="FFFFFF"/>
            </w:tcBorders>
            <w:shd w:val="clear" w:color="auto" w:fill="E2E2E2"/>
            <w:hideMark/>
          </w:tcPr>
          <w:p w:rsidR="00134B51" w:rsidRPr="00F44A0F" w:rsidRDefault="00134B51" w:rsidP="00F44A0F">
            <w:pPr>
              <w:pStyle w:val="Odsekzoznamu"/>
              <w:numPr>
                <w:ilvl w:val="0"/>
                <w:numId w:val="23"/>
              </w:numPr>
              <w:contextualSpacing/>
              <w:rPr>
                <w:rFonts w:ascii="Times New Roman" w:hAnsi="Times New Roman"/>
                <w:b/>
                <w:sz w:val="22"/>
                <w:szCs w:val="22"/>
              </w:rPr>
            </w:pPr>
            <w:r w:rsidRPr="00F44A0F">
              <w:rPr>
                <w:rFonts w:ascii="Times New Roman" w:hAnsi="Times New Roman"/>
                <w:b/>
                <w:sz w:val="22"/>
                <w:szCs w:val="22"/>
              </w:rPr>
              <w:t>Zdroje</w:t>
            </w:r>
          </w:p>
        </w:tc>
      </w:tr>
      <w:tr w:rsidR="00134B51" w:rsidRPr="00F44A0F" w:rsidTr="00F44A0F">
        <w:trPr>
          <w:trHeight w:val="401"/>
        </w:trPr>
        <w:tc>
          <w:tcPr>
            <w:tcW w:w="9176" w:type="dxa"/>
            <w:tcBorders>
              <w:top w:val="single" w:sz="4" w:space="0" w:color="FFFFFF"/>
            </w:tcBorders>
            <w:shd w:val="clear" w:color="auto" w:fill="FFFFFF"/>
            <w:hideMark/>
          </w:tcPr>
          <w:p w:rsidR="00134B51" w:rsidRPr="00F44A0F" w:rsidRDefault="00134B51" w:rsidP="00F44A0F">
            <w:pPr>
              <w:spacing w:after="0" w:line="240" w:lineRule="auto"/>
              <w:rPr>
                <w:rFonts w:ascii="Times New Roman" w:hAnsi="Times New Roman" w:cs="Times New Roman"/>
                <w:sz w:val="20"/>
                <w:szCs w:val="20"/>
              </w:rPr>
            </w:pPr>
            <w:r w:rsidRPr="00F44A0F">
              <w:rPr>
                <w:rFonts w:ascii="Times New Roman" w:hAnsi="Times New Roman" w:cs="Times New Roman"/>
              </w:rPr>
              <w:t xml:space="preserve"> </w:t>
            </w:r>
            <w:r w:rsidRPr="00F44A0F">
              <w:rPr>
                <w:rFonts w:ascii="Times New Roman" w:hAnsi="Times New Roman" w:cs="Times New Roman"/>
                <w:sz w:val="20"/>
                <w:szCs w:val="20"/>
              </w:rPr>
              <w:t xml:space="preserve">údaje útvarov sociálneho zabezpečenia a Vojenského úradu sociálneho zabezpečenia, </w:t>
            </w:r>
          </w:p>
          <w:p w:rsidR="00134B51" w:rsidRPr="00F44A0F" w:rsidRDefault="00134B51" w:rsidP="00F44A0F">
            <w:pPr>
              <w:spacing w:after="0" w:line="240" w:lineRule="auto"/>
              <w:rPr>
                <w:rFonts w:ascii="Times New Roman" w:hAnsi="Times New Roman" w:cs="Times New Roman"/>
                <w:sz w:val="20"/>
                <w:szCs w:val="20"/>
              </w:rPr>
            </w:pPr>
            <w:r w:rsidRPr="00F44A0F">
              <w:rPr>
                <w:rFonts w:ascii="Times New Roman" w:hAnsi="Times New Roman" w:cs="Times New Roman"/>
                <w:sz w:val="20"/>
                <w:szCs w:val="20"/>
              </w:rPr>
              <w:t xml:space="preserve"> údaje Sociálnej poisťovne o priemernej výške dôchodkových dávok ku dňu 30.06.2018</w:t>
            </w:r>
          </w:p>
          <w:p w:rsidR="00134B51" w:rsidRPr="00F44A0F" w:rsidRDefault="00134B51" w:rsidP="00F44A0F">
            <w:pPr>
              <w:spacing w:after="0" w:line="240" w:lineRule="auto"/>
              <w:rPr>
                <w:rFonts w:ascii="Times New Roman" w:hAnsi="Times New Roman" w:cs="Times New Roman"/>
                <w:sz w:val="20"/>
                <w:szCs w:val="20"/>
              </w:rPr>
            </w:pPr>
            <w:r w:rsidRPr="00F44A0F">
              <w:rPr>
                <w:rFonts w:ascii="Times New Roman" w:hAnsi="Times New Roman" w:cs="Times New Roman"/>
                <w:sz w:val="20"/>
                <w:szCs w:val="20"/>
              </w:rPr>
              <w:t xml:space="preserve"> Inštitút finančnej politiky - Makroekonomická prognóza 46. zasadnutie výboru pre makroekonomické  </w:t>
            </w:r>
          </w:p>
          <w:p w:rsidR="00134B51" w:rsidRPr="00F44A0F" w:rsidRDefault="00134B51" w:rsidP="00F44A0F">
            <w:pPr>
              <w:spacing w:after="0" w:line="240" w:lineRule="auto"/>
              <w:rPr>
                <w:rFonts w:ascii="Times New Roman" w:hAnsi="Times New Roman" w:cs="Times New Roman"/>
                <w:sz w:val="20"/>
                <w:szCs w:val="20"/>
              </w:rPr>
            </w:pPr>
            <w:r w:rsidRPr="00F44A0F">
              <w:rPr>
                <w:rFonts w:ascii="Times New Roman" w:hAnsi="Times New Roman" w:cs="Times New Roman"/>
                <w:sz w:val="20"/>
                <w:szCs w:val="20"/>
              </w:rPr>
              <w:t xml:space="preserve"> prognózy (september 2018) </w:t>
            </w:r>
          </w:p>
          <w:p w:rsidR="00134B51" w:rsidRPr="00F44A0F" w:rsidRDefault="00134B51" w:rsidP="00F44A0F">
            <w:pPr>
              <w:spacing w:after="0" w:line="240" w:lineRule="auto"/>
              <w:rPr>
                <w:rFonts w:ascii="Times New Roman" w:hAnsi="Times New Roman" w:cs="Times New Roman"/>
                <w:b/>
              </w:rPr>
            </w:pPr>
            <w:r w:rsidRPr="00F44A0F">
              <w:rPr>
                <w:rFonts w:ascii="Times New Roman" w:hAnsi="Times New Roman" w:cs="Times New Roman"/>
              </w:rPr>
              <w:t xml:space="preserve"> </w:t>
            </w:r>
          </w:p>
        </w:tc>
      </w:tr>
      <w:tr w:rsidR="00134B51" w:rsidRPr="00F44A0F" w:rsidTr="00F44A0F">
        <w:tc>
          <w:tcPr>
            <w:tcW w:w="9176" w:type="dxa"/>
            <w:tcBorders>
              <w:bottom w:val="single" w:sz="4" w:space="0" w:color="FFFFFF"/>
            </w:tcBorders>
            <w:shd w:val="clear" w:color="auto" w:fill="E2E2E2"/>
            <w:hideMark/>
          </w:tcPr>
          <w:p w:rsidR="00134B51" w:rsidRPr="00F44A0F" w:rsidRDefault="00134B51" w:rsidP="00F44A0F">
            <w:pPr>
              <w:pStyle w:val="Odsekzoznamu"/>
              <w:numPr>
                <w:ilvl w:val="0"/>
                <w:numId w:val="23"/>
              </w:numPr>
              <w:contextualSpacing/>
              <w:rPr>
                <w:rFonts w:ascii="Times New Roman" w:hAnsi="Times New Roman"/>
                <w:b/>
                <w:sz w:val="22"/>
                <w:szCs w:val="22"/>
              </w:rPr>
            </w:pPr>
            <w:r w:rsidRPr="00F44A0F">
              <w:rPr>
                <w:rFonts w:ascii="Times New Roman" w:hAnsi="Times New Roman"/>
                <w:b/>
                <w:sz w:val="22"/>
                <w:szCs w:val="22"/>
              </w:rPr>
              <w:t>Stanovisko Komisie pre posudzovanie vybraných vplyvov</w:t>
            </w:r>
          </w:p>
        </w:tc>
      </w:tr>
      <w:tr w:rsidR="00134B51" w:rsidRPr="00F44A0F" w:rsidTr="00F44A0F">
        <w:tc>
          <w:tcPr>
            <w:tcW w:w="9176" w:type="dxa"/>
            <w:tcBorders>
              <w:top w:val="single" w:sz="4" w:space="0" w:color="FFFFFF"/>
            </w:tcBorders>
            <w:shd w:val="clear" w:color="auto" w:fill="FFFFFF"/>
          </w:tcPr>
          <w:p w:rsidR="00134B51" w:rsidRPr="00F44A0F" w:rsidRDefault="00134B51" w:rsidP="00F44A0F">
            <w:pPr>
              <w:spacing w:after="0" w:line="240" w:lineRule="auto"/>
              <w:jc w:val="both"/>
              <w:rPr>
                <w:rFonts w:ascii="Times New Roman" w:hAnsi="Times New Roman" w:cs="Times New Roman"/>
                <w:i/>
                <w:sz w:val="20"/>
                <w:szCs w:val="20"/>
              </w:rPr>
            </w:pPr>
            <w:r w:rsidRPr="00F44A0F">
              <w:rPr>
                <w:rFonts w:ascii="Times New Roman" w:hAnsi="Times New Roman" w:cs="Times New Roman"/>
                <w:bCs/>
                <w:i/>
                <w:sz w:val="20"/>
                <w:szCs w:val="20"/>
              </w:rPr>
              <w:t>Stálej pracovnej komisii Legislatívnej rady vlády SR na posudzovanie</w:t>
            </w:r>
            <w:r w:rsidRPr="00F44A0F">
              <w:rPr>
                <w:rFonts w:ascii="Times New Roman" w:hAnsi="Times New Roman" w:cs="Times New Roman"/>
                <w:b/>
                <w:bCs/>
                <w:i/>
                <w:sz w:val="20"/>
                <w:szCs w:val="20"/>
              </w:rPr>
              <w:t xml:space="preserve"> </w:t>
            </w:r>
            <w:r w:rsidRPr="00F44A0F">
              <w:rPr>
                <w:rFonts w:ascii="Times New Roman" w:hAnsi="Times New Roman" w:cs="Times New Roman"/>
                <w:bCs/>
                <w:i/>
                <w:sz w:val="20"/>
                <w:szCs w:val="20"/>
              </w:rPr>
              <w:t>vybraných vplyvov bol</w:t>
            </w:r>
            <w:r w:rsidRPr="00F44A0F">
              <w:rPr>
                <w:rFonts w:ascii="Times New Roman" w:hAnsi="Times New Roman" w:cs="Times New Roman"/>
                <w:b/>
                <w:bCs/>
                <w:i/>
                <w:sz w:val="20"/>
                <w:szCs w:val="20"/>
              </w:rPr>
              <w:t xml:space="preserve"> </w:t>
            </w:r>
            <w:r w:rsidRPr="00F44A0F">
              <w:rPr>
                <w:rFonts w:ascii="Times New Roman" w:hAnsi="Times New Roman" w:cs="Times New Roman"/>
                <w:bCs/>
                <w:i/>
                <w:sz w:val="20"/>
                <w:szCs w:val="20"/>
              </w:rPr>
              <w:t xml:space="preserve">predložený materiál návrh zákona, </w:t>
            </w:r>
            <w:r w:rsidRPr="00F44A0F">
              <w:rPr>
                <w:rFonts w:ascii="Times New Roman" w:hAnsi="Times New Roman" w:cs="Times New Roman"/>
                <w:i/>
                <w:sz w:val="20"/>
                <w:szCs w:val="20"/>
              </w:rPr>
              <w:t>ktorým sa mení a dopĺňa zákon č. 328/2002 Z. z. o sociálnom zabezpečení policajtov a vojakov a o zmene a doplnení niektorých zákonov v znení neskorších predpisov so všetkými príslušnými náležitosťami na zaujatie stanoviska.</w:t>
            </w:r>
          </w:p>
          <w:p w:rsidR="00134B51" w:rsidRPr="00F44A0F" w:rsidRDefault="00134B51" w:rsidP="00F44A0F">
            <w:pPr>
              <w:tabs>
                <w:tab w:val="center" w:pos="6379"/>
              </w:tabs>
              <w:spacing w:after="0" w:line="240" w:lineRule="auto"/>
              <w:ind w:right="-2"/>
              <w:jc w:val="both"/>
              <w:rPr>
                <w:rFonts w:ascii="Times New Roman" w:hAnsi="Times New Roman" w:cs="Times New Roman"/>
                <w:b/>
                <w:bCs/>
                <w:i/>
                <w:sz w:val="20"/>
                <w:szCs w:val="20"/>
              </w:rPr>
            </w:pPr>
          </w:p>
          <w:p w:rsidR="00134B51" w:rsidRPr="00F44A0F" w:rsidRDefault="00134B51" w:rsidP="00F44A0F">
            <w:pPr>
              <w:tabs>
                <w:tab w:val="center" w:pos="6379"/>
              </w:tabs>
              <w:spacing w:after="0" w:line="240" w:lineRule="auto"/>
              <w:ind w:right="-2"/>
              <w:jc w:val="both"/>
              <w:rPr>
                <w:rFonts w:ascii="Times New Roman" w:hAnsi="Times New Roman" w:cs="Times New Roman"/>
                <w:bCs/>
                <w:i/>
                <w:sz w:val="20"/>
                <w:szCs w:val="20"/>
              </w:rPr>
            </w:pPr>
            <w:r w:rsidRPr="00F44A0F">
              <w:rPr>
                <w:rFonts w:ascii="Times New Roman" w:hAnsi="Times New Roman" w:cs="Times New Roman"/>
                <w:bCs/>
                <w:i/>
                <w:sz w:val="20"/>
                <w:szCs w:val="20"/>
              </w:rPr>
              <w:t>Komisia uplatnila k predloženému materiálu nasledovné pripomienky a odporúčania:</w:t>
            </w:r>
          </w:p>
          <w:p w:rsidR="00134B51" w:rsidRPr="00F44A0F" w:rsidRDefault="00134B51" w:rsidP="00F44A0F">
            <w:pPr>
              <w:tabs>
                <w:tab w:val="center" w:pos="6379"/>
              </w:tabs>
              <w:spacing w:after="0" w:line="240" w:lineRule="auto"/>
              <w:ind w:right="-2"/>
              <w:jc w:val="both"/>
              <w:rPr>
                <w:rFonts w:ascii="Times New Roman" w:hAnsi="Times New Roman" w:cs="Times New Roman"/>
                <w:bCs/>
                <w:i/>
                <w:sz w:val="20"/>
                <w:szCs w:val="20"/>
              </w:rPr>
            </w:pPr>
            <w:r w:rsidRPr="00F44A0F">
              <w:rPr>
                <w:rFonts w:ascii="Times New Roman" w:hAnsi="Times New Roman" w:cs="Times New Roman"/>
                <w:b/>
                <w:bCs/>
                <w:i/>
                <w:sz w:val="20"/>
                <w:szCs w:val="20"/>
              </w:rPr>
              <w:t>K doložke vybraných vplyvov</w:t>
            </w:r>
          </w:p>
          <w:p w:rsidR="00134B51" w:rsidRPr="00F44A0F" w:rsidRDefault="00134B51" w:rsidP="00F44A0F">
            <w:pPr>
              <w:tabs>
                <w:tab w:val="center" w:pos="6379"/>
              </w:tabs>
              <w:spacing w:after="0" w:line="240" w:lineRule="auto"/>
              <w:ind w:right="-2"/>
              <w:jc w:val="both"/>
              <w:rPr>
                <w:rFonts w:ascii="Times New Roman" w:hAnsi="Times New Roman" w:cs="Times New Roman"/>
                <w:bCs/>
                <w:i/>
                <w:sz w:val="20"/>
                <w:szCs w:val="20"/>
              </w:rPr>
            </w:pPr>
            <w:r w:rsidRPr="00F44A0F">
              <w:rPr>
                <w:rFonts w:ascii="Times New Roman" w:hAnsi="Times New Roman" w:cs="Times New Roman"/>
                <w:bCs/>
                <w:i/>
                <w:sz w:val="20"/>
                <w:szCs w:val="20"/>
              </w:rPr>
              <w:t>V doložke vybraných vplyvov, v bode 9 komisia považovala za potrebné označiť aj negatívne sociálne vplyvy, ktoré prináša predložený návrh zákona.  V časti 10. Poznámky  doložky vybraných vplyvov Komisia odporúča doplniť informáciu, ktorý vplyv prevažuje. Túto skutočnosť je zároveň potrebné zohľadniť úpravou a doplnením príslušného textu v predkladacej správe a vo všeobecnej časti dôvodovej správy</w:t>
            </w:r>
            <w:r w:rsidRPr="00F44A0F">
              <w:rPr>
                <w:rFonts w:ascii="Times New Roman" w:hAnsi="Times New Roman" w:cs="Times New Roman"/>
                <w:bCs/>
                <w:i/>
                <w:color w:val="44546A"/>
                <w:sz w:val="20"/>
                <w:szCs w:val="20"/>
              </w:rPr>
              <w:t xml:space="preserve">. </w:t>
            </w:r>
            <w:r w:rsidRPr="00F44A0F">
              <w:rPr>
                <w:rFonts w:ascii="Times New Roman" w:hAnsi="Times New Roman" w:cs="Times New Roman"/>
                <w:bCs/>
                <w:i/>
                <w:sz w:val="20"/>
                <w:szCs w:val="20"/>
              </w:rPr>
              <w:t xml:space="preserve">Ako odôvodnenie uviedla, že je potrebné zohľadniť aj skutočnosť, že predložený návrh zákona v porovnaní so súčasnou právnou úpravou v niektorých prípadoch znižuje príjmy dotknutých domácností, čo je zhodnotené aj v priloženej analýze sociálnych vplyvov. Podľa bodu 9.  časti II. Jednotnej metodiky na posudzovanie vybraných vplyvov v prípade vyznačenia pozitívnych alebo negatívnych vplyvov, resp. pozitívnych aj negatívnych vplyvov, sa vypracuje analýza príslušných vplyvov, ktorá bude obsahovať bližšie vysvetlenie a popis. Ak návrh predpokladá súčasne pozitívne vplyvy aj negatívne vplyvy na vybranú oblasť, môže predkladateľ uviesť do časti 10. Poznámky, ktorý vplyv prevažuje. </w:t>
            </w:r>
          </w:p>
          <w:p w:rsidR="0081319C" w:rsidRPr="00F44A0F" w:rsidRDefault="00134B51" w:rsidP="00F44A0F">
            <w:pPr>
              <w:tabs>
                <w:tab w:val="center" w:pos="6379"/>
              </w:tabs>
              <w:spacing w:after="0" w:line="240" w:lineRule="auto"/>
              <w:ind w:right="-2"/>
              <w:jc w:val="both"/>
              <w:rPr>
                <w:rFonts w:ascii="Times New Roman" w:hAnsi="Times New Roman" w:cs="Times New Roman"/>
                <w:b/>
                <w:bCs/>
                <w:i/>
                <w:sz w:val="20"/>
                <w:szCs w:val="20"/>
              </w:rPr>
            </w:pPr>
            <w:r w:rsidRPr="00F44A0F">
              <w:rPr>
                <w:rFonts w:ascii="Times New Roman" w:hAnsi="Times New Roman" w:cs="Times New Roman"/>
                <w:bCs/>
                <w:i/>
                <w:sz w:val="20"/>
                <w:szCs w:val="20"/>
              </w:rPr>
              <w:t>Vyhodnotenie: V doložke vybraných vplyvov v bode 9 sa  označili aj negatívne sociálne vplyvy a v časti 10 sa uviedlo, na akú skupinu poberateľov má negatívny vplyv dopad.</w:t>
            </w:r>
          </w:p>
          <w:p w:rsidR="002C7CDD" w:rsidRDefault="002C7CDD" w:rsidP="00F44A0F">
            <w:pPr>
              <w:tabs>
                <w:tab w:val="center" w:pos="6379"/>
              </w:tabs>
              <w:spacing w:after="0" w:line="240" w:lineRule="auto"/>
              <w:ind w:right="-2"/>
              <w:jc w:val="both"/>
              <w:rPr>
                <w:rFonts w:ascii="Times New Roman" w:hAnsi="Times New Roman" w:cs="Times New Roman"/>
                <w:b/>
                <w:bCs/>
                <w:i/>
                <w:sz w:val="20"/>
                <w:szCs w:val="20"/>
              </w:rPr>
            </w:pPr>
          </w:p>
          <w:p w:rsidR="002C7CDD" w:rsidRDefault="002C7CDD" w:rsidP="00F44A0F">
            <w:pPr>
              <w:tabs>
                <w:tab w:val="center" w:pos="6379"/>
              </w:tabs>
              <w:spacing w:after="0" w:line="240" w:lineRule="auto"/>
              <w:ind w:right="-2"/>
              <w:jc w:val="both"/>
              <w:rPr>
                <w:rFonts w:ascii="Times New Roman" w:hAnsi="Times New Roman" w:cs="Times New Roman"/>
                <w:b/>
                <w:bCs/>
                <w:i/>
                <w:sz w:val="20"/>
                <w:szCs w:val="20"/>
              </w:rPr>
            </w:pPr>
          </w:p>
          <w:p w:rsidR="00134B51" w:rsidRPr="00F44A0F" w:rsidRDefault="00134B51" w:rsidP="00F44A0F">
            <w:pPr>
              <w:tabs>
                <w:tab w:val="center" w:pos="6379"/>
              </w:tabs>
              <w:spacing w:after="0" w:line="240" w:lineRule="auto"/>
              <w:ind w:right="-2"/>
              <w:jc w:val="both"/>
              <w:rPr>
                <w:rFonts w:ascii="Times New Roman" w:hAnsi="Times New Roman" w:cs="Times New Roman"/>
                <w:bCs/>
                <w:i/>
                <w:sz w:val="20"/>
                <w:szCs w:val="20"/>
              </w:rPr>
            </w:pPr>
            <w:r w:rsidRPr="00F44A0F">
              <w:rPr>
                <w:rFonts w:ascii="Times New Roman" w:hAnsi="Times New Roman" w:cs="Times New Roman"/>
                <w:b/>
                <w:bCs/>
                <w:i/>
                <w:sz w:val="20"/>
                <w:szCs w:val="20"/>
              </w:rPr>
              <w:lastRenderedPageBreak/>
              <w:t>K vplyvom na rozpočet verejnej správy</w:t>
            </w:r>
          </w:p>
          <w:p w:rsidR="00134B51" w:rsidRPr="00F44A0F" w:rsidRDefault="00134B51" w:rsidP="00F44A0F">
            <w:pPr>
              <w:tabs>
                <w:tab w:val="center" w:pos="6379"/>
              </w:tabs>
              <w:spacing w:after="0" w:line="240" w:lineRule="auto"/>
              <w:ind w:right="-2"/>
              <w:jc w:val="both"/>
              <w:rPr>
                <w:rFonts w:ascii="Times New Roman" w:hAnsi="Times New Roman" w:cs="Times New Roman"/>
                <w:bCs/>
                <w:i/>
                <w:sz w:val="20"/>
                <w:szCs w:val="20"/>
              </w:rPr>
            </w:pPr>
            <w:r w:rsidRPr="00F44A0F">
              <w:rPr>
                <w:rFonts w:ascii="Times New Roman" w:hAnsi="Times New Roman" w:cs="Times New Roman"/>
                <w:bCs/>
                <w:i/>
                <w:sz w:val="20"/>
                <w:szCs w:val="20"/>
              </w:rPr>
              <w:t xml:space="preserve">Komisia berie na vedomie, že v rokoch 2019 až 2022 budú predmetné výdavky zabezpečené v rozpočte osobitných účtov príslušných rozpočtových kapitol, bez dodatočných požiadaviek na štátny rozpočet, a že možno očakávať, s výnimkou útvaru sociálneho zabezpečenia FR SR, pozitívny vplyv na tieto osobitné účty. </w:t>
            </w:r>
          </w:p>
          <w:p w:rsidR="00134B51" w:rsidRPr="00F44A0F" w:rsidRDefault="00134B51" w:rsidP="00F44A0F">
            <w:pPr>
              <w:tabs>
                <w:tab w:val="center" w:pos="6379"/>
              </w:tabs>
              <w:spacing w:after="0" w:line="240" w:lineRule="auto"/>
              <w:ind w:right="-2"/>
              <w:jc w:val="both"/>
              <w:rPr>
                <w:rFonts w:ascii="Times New Roman" w:hAnsi="Times New Roman" w:cs="Times New Roman"/>
                <w:bCs/>
                <w:i/>
                <w:sz w:val="20"/>
                <w:szCs w:val="20"/>
              </w:rPr>
            </w:pPr>
            <w:r w:rsidRPr="00F44A0F">
              <w:rPr>
                <w:rFonts w:ascii="Times New Roman" w:hAnsi="Times New Roman" w:cs="Times New Roman"/>
                <w:bCs/>
                <w:i/>
                <w:sz w:val="20"/>
                <w:szCs w:val="20"/>
              </w:rPr>
              <w:t>Zároveň však Komisia žiada do analýzy vplyvov doplniť predpoklady a výpočet vplyvov na verejné financie a kvantifikovať dlhodobý vplyv návrhu na verejné financie do roku 2070</w:t>
            </w:r>
            <w:r w:rsidRPr="00F44A0F">
              <w:rPr>
                <w:rFonts w:ascii="Times New Roman" w:hAnsi="Times New Roman" w:cs="Times New Roman"/>
                <w:b/>
                <w:bCs/>
                <w:i/>
                <w:sz w:val="20"/>
                <w:szCs w:val="20"/>
              </w:rPr>
              <w:t xml:space="preserve">. </w:t>
            </w:r>
            <w:r w:rsidRPr="00F44A0F">
              <w:rPr>
                <w:rFonts w:ascii="Times New Roman" w:hAnsi="Times New Roman" w:cs="Times New Roman"/>
                <w:bCs/>
                <w:i/>
                <w:sz w:val="20"/>
                <w:szCs w:val="20"/>
              </w:rPr>
              <w:t>Potreba vyčíslenia predmetných dlhodobých vplyvov vychádza z existencie fiškálneho dohľadu na európskej úrovni (pravidlá Paktu stability a rastu). Dlhodobé vplyvy reforiem dôchodkového systému vstupujú do indikátorov strednodobej a dlhodobej udržateľnosti. V materiáli sú uvedené zdroje, z ktorých sa pri kvantifikácii vplyvov vychádzalo. Samotný výpočet však chýba a návrh uvádza len finálne sumy, preto nie je možné overiť správnosť uvádzaných vplyvov. Návrh uvádza len krátkodobé vplyvy na verejné financie. Pri predlžujúcich sa kariérach je však pravdepodobné, že opatrenie bude mať z dlhodobého hľadiska negatívny vplyv na verejné financie a môže ohroziť dlhodobú udržateľnosť systému výsluhových dôchodkov.</w:t>
            </w:r>
          </w:p>
          <w:p w:rsidR="00134B51" w:rsidRPr="00F44A0F" w:rsidRDefault="00134B51" w:rsidP="00F44A0F">
            <w:pPr>
              <w:tabs>
                <w:tab w:val="center" w:pos="6379"/>
              </w:tabs>
              <w:spacing w:after="0" w:line="240" w:lineRule="auto"/>
              <w:ind w:right="-2"/>
              <w:jc w:val="both"/>
              <w:rPr>
                <w:rFonts w:ascii="Times New Roman" w:hAnsi="Times New Roman" w:cs="Times New Roman"/>
                <w:bCs/>
                <w:i/>
                <w:sz w:val="20"/>
                <w:szCs w:val="20"/>
              </w:rPr>
            </w:pPr>
            <w:r w:rsidRPr="00F44A0F">
              <w:rPr>
                <w:rFonts w:ascii="Times New Roman" w:hAnsi="Times New Roman" w:cs="Times New Roman"/>
                <w:bCs/>
                <w:i/>
                <w:sz w:val="20"/>
                <w:szCs w:val="20"/>
              </w:rPr>
              <w:t xml:space="preserve">V nadväznosti na vyššie uvedené Komisia žiadala prehodnotiť navrhovanú zmenu spôsobu výpočtu valorizácie výsluhových dôchodkov. Valorizácia o dôchodcovskú infláciu tak, ako ju predpokladá súčasné znenie zákona, neohrozuje dlhodobú udržateľnosť verejných financií. </w:t>
            </w:r>
          </w:p>
          <w:p w:rsidR="00134B51" w:rsidRPr="00F44A0F" w:rsidRDefault="00134B51" w:rsidP="00F44A0F">
            <w:pPr>
              <w:tabs>
                <w:tab w:val="center" w:pos="6379"/>
              </w:tabs>
              <w:spacing w:after="0" w:line="240" w:lineRule="auto"/>
              <w:ind w:right="-2"/>
              <w:jc w:val="both"/>
              <w:rPr>
                <w:rFonts w:ascii="Times New Roman" w:hAnsi="Times New Roman" w:cs="Times New Roman"/>
                <w:bCs/>
                <w:i/>
                <w:sz w:val="20"/>
                <w:szCs w:val="20"/>
              </w:rPr>
            </w:pPr>
            <w:r w:rsidRPr="00F44A0F">
              <w:rPr>
                <w:rFonts w:ascii="Times New Roman" w:hAnsi="Times New Roman" w:cs="Times New Roman"/>
                <w:bCs/>
                <w:i/>
                <w:sz w:val="20"/>
                <w:szCs w:val="20"/>
              </w:rPr>
              <w:t xml:space="preserve">V súlade s pripomienkou k valorizácii výsluhových dôchodkov Komisia požadovala prehodnotiť aj navrhovaný spôsob výpočtu valorizácie invalidných výsluhových dôchodkov a pozostalostných výsluhových dôchodkov. </w:t>
            </w:r>
          </w:p>
          <w:p w:rsidR="00134B51" w:rsidRPr="00F44A0F" w:rsidRDefault="00134B51" w:rsidP="00F44A0F">
            <w:pPr>
              <w:tabs>
                <w:tab w:val="center" w:pos="6379"/>
              </w:tabs>
              <w:spacing w:after="0" w:line="240" w:lineRule="auto"/>
              <w:ind w:right="-2"/>
              <w:jc w:val="both"/>
              <w:rPr>
                <w:rFonts w:ascii="Times New Roman" w:hAnsi="Times New Roman" w:cs="Times New Roman"/>
                <w:bCs/>
                <w:i/>
                <w:sz w:val="20"/>
                <w:szCs w:val="20"/>
              </w:rPr>
            </w:pPr>
            <w:r w:rsidRPr="00F44A0F">
              <w:rPr>
                <w:rFonts w:ascii="Times New Roman" w:hAnsi="Times New Roman" w:cs="Times New Roman"/>
                <w:bCs/>
                <w:i/>
                <w:sz w:val="20"/>
                <w:szCs w:val="20"/>
              </w:rPr>
              <w:t xml:space="preserve">Vyhodnotenie: Nový spôsob valorizácie dôchodkových dávok výsluhového zabezpečenia sa navrhuje len pre obdobie rokov 2019 až 2021. </w:t>
            </w:r>
          </w:p>
          <w:p w:rsidR="00134B51" w:rsidRPr="00F44A0F" w:rsidRDefault="00134B51" w:rsidP="00F44A0F">
            <w:pPr>
              <w:tabs>
                <w:tab w:val="center" w:pos="6379"/>
              </w:tabs>
              <w:spacing w:after="0" w:line="240" w:lineRule="auto"/>
              <w:ind w:right="-2"/>
              <w:jc w:val="both"/>
              <w:rPr>
                <w:rFonts w:ascii="Times New Roman" w:hAnsi="Times New Roman" w:cs="Times New Roman"/>
                <w:bCs/>
                <w:i/>
                <w:sz w:val="20"/>
                <w:szCs w:val="20"/>
              </w:rPr>
            </w:pPr>
            <w:r w:rsidRPr="00F44A0F">
              <w:rPr>
                <w:rFonts w:ascii="Times New Roman" w:hAnsi="Times New Roman" w:cs="Times New Roman"/>
                <w:b/>
                <w:bCs/>
                <w:i/>
                <w:sz w:val="20"/>
                <w:szCs w:val="20"/>
              </w:rPr>
              <w:t>K analýze sociálnych vplyvov, k bodu 4.1</w:t>
            </w:r>
          </w:p>
          <w:p w:rsidR="00134B51" w:rsidRPr="00F44A0F" w:rsidRDefault="00134B51" w:rsidP="00F44A0F">
            <w:pPr>
              <w:tabs>
                <w:tab w:val="center" w:pos="6379"/>
              </w:tabs>
              <w:spacing w:after="0" w:line="240" w:lineRule="auto"/>
              <w:ind w:right="-2"/>
              <w:jc w:val="both"/>
              <w:rPr>
                <w:rFonts w:ascii="Times New Roman" w:hAnsi="Times New Roman" w:cs="Times New Roman"/>
                <w:bCs/>
                <w:i/>
                <w:sz w:val="20"/>
                <w:szCs w:val="20"/>
              </w:rPr>
            </w:pPr>
            <w:r w:rsidRPr="00F44A0F">
              <w:rPr>
                <w:rFonts w:ascii="Times New Roman" w:hAnsi="Times New Roman" w:cs="Times New Roman"/>
                <w:bCs/>
                <w:i/>
                <w:sz w:val="20"/>
                <w:szCs w:val="20"/>
              </w:rPr>
              <w:t>V súvislosti so špecifikáciou návrhom dotknutých poberateľov dávok výsluhového zabezpečenia a vzhľadom k tomu, že podľa súčasného právneho stavu (valorizácia o dôchodcovskú infláciu)  by sa valorizácia dotknutých dávok odvíjala od ich aktuálne vyplácanej sumy; pričom analýza sociálnych vplyvov sa vykonáva porovnaním aktuálneho (nielen) právneho stavu s navrhovaným právnym stavom</w:t>
            </w:r>
            <w:r w:rsidRPr="00F44A0F">
              <w:rPr>
                <w:rFonts w:ascii="Times New Roman" w:hAnsi="Times New Roman" w:cs="Times New Roman"/>
                <w:bCs/>
                <w:i/>
                <w:color w:val="44546A"/>
                <w:sz w:val="20"/>
                <w:szCs w:val="20"/>
              </w:rPr>
              <w:t>;</w:t>
            </w:r>
            <w:r w:rsidRPr="00F44A0F">
              <w:rPr>
                <w:rFonts w:ascii="Times New Roman" w:hAnsi="Times New Roman" w:cs="Times New Roman"/>
                <w:bCs/>
                <w:i/>
                <w:sz w:val="20"/>
                <w:szCs w:val="20"/>
              </w:rPr>
              <w:t xml:space="preserve">  je potrebné doplniť  u poberateľov  výsluhového dôchodku aj údaj o priemernej dobe trvania služobného pomeru a o priemernej výške vyplácaného výsluhového dôchodku a u poberateľov  invalidného výsluhového dôchodku, vdovského výsluhového dôchodku, vdoveckého výsluhového dôchodku a sirotského výsluhového dôchodku  údaje o priemernej výške týchto dávok. </w:t>
            </w:r>
          </w:p>
          <w:p w:rsidR="00134B51" w:rsidRPr="00F44A0F" w:rsidRDefault="00134B51" w:rsidP="00F44A0F">
            <w:pPr>
              <w:tabs>
                <w:tab w:val="center" w:pos="6379"/>
              </w:tabs>
              <w:spacing w:after="0" w:line="240" w:lineRule="auto"/>
              <w:ind w:right="-2"/>
              <w:jc w:val="both"/>
              <w:rPr>
                <w:rFonts w:ascii="Times New Roman" w:hAnsi="Times New Roman" w:cs="Times New Roman"/>
                <w:bCs/>
                <w:i/>
                <w:sz w:val="20"/>
                <w:szCs w:val="20"/>
              </w:rPr>
            </w:pPr>
            <w:r w:rsidRPr="00F44A0F">
              <w:rPr>
                <w:rFonts w:ascii="Times New Roman" w:hAnsi="Times New Roman" w:cs="Times New Roman"/>
                <w:bCs/>
                <w:i/>
                <w:sz w:val="20"/>
                <w:szCs w:val="20"/>
              </w:rPr>
              <w:t xml:space="preserve">Vyhodnotenie: Nový spôsob valorizácie dôchodkových dávok výsluhového zabezpečenia sa navrhuje len pre obdobie rokov 2019 až 2021. </w:t>
            </w:r>
          </w:p>
          <w:p w:rsidR="00134B51" w:rsidRPr="00F44A0F" w:rsidRDefault="00134B51" w:rsidP="00F44A0F">
            <w:pPr>
              <w:spacing w:after="0" w:line="240" w:lineRule="auto"/>
              <w:jc w:val="both"/>
              <w:rPr>
                <w:rFonts w:ascii="Times New Roman" w:hAnsi="Times New Roman" w:cs="Times New Roman"/>
              </w:rPr>
            </w:pPr>
          </w:p>
        </w:tc>
      </w:tr>
    </w:tbl>
    <w:p w:rsidR="00134B51" w:rsidRDefault="00134B51" w:rsidP="00134B51">
      <w:pPr>
        <w:rPr>
          <w:b/>
        </w:rPr>
      </w:pPr>
    </w:p>
    <w:p w:rsidR="00134B51" w:rsidRDefault="00134B51" w:rsidP="00134B51">
      <w:pPr>
        <w:rPr>
          <w:b/>
        </w:rPr>
      </w:pPr>
    </w:p>
    <w:p w:rsidR="00134B51" w:rsidRDefault="00134B51" w:rsidP="00134B51"/>
    <w:p w:rsidR="00134B51" w:rsidRPr="00377F01" w:rsidRDefault="00134B51" w:rsidP="00134B51"/>
    <w:p w:rsidR="00236170" w:rsidRDefault="00236170" w:rsidP="00F83DD0">
      <w:pPr>
        <w:spacing w:after="0" w:line="240" w:lineRule="auto"/>
        <w:ind w:firstLine="709"/>
        <w:jc w:val="both"/>
        <w:rPr>
          <w:rFonts w:ascii="Times New Roman" w:hAnsi="Times New Roman" w:cs="Times New Roman"/>
          <w:b/>
          <w:bCs/>
          <w:sz w:val="24"/>
          <w:szCs w:val="24"/>
          <w:u w:val="single"/>
          <w:lang w:eastAsia="sk-SK"/>
        </w:rPr>
      </w:pPr>
    </w:p>
    <w:p w:rsidR="00134B51" w:rsidRPr="007D5748" w:rsidRDefault="00134B51" w:rsidP="00134B51">
      <w:pPr>
        <w:spacing w:after="0" w:line="240" w:lineRule="auto"/>
        <w:jc w:val="center"/>
        <w:rPr>
          <w:rFonts w:ascii="Times New Roman" w:hAnsi="Times New Roman"/>
          <w:b/>
          <w:bCs/>
          <w:sz w:val="28"/>
          <w:szCs w:val="28"/>
          <w:lang w:eastAsia="sk-SK"/>
        </w:rPr>
      </w:pPr>
      <w:r>
        <w:rPr>
          <w:rFonts w:ascii="Times New Roman" w:hAnsi="Times New Roman" w:cs="Times New Roman"/>
          <w:b/>
          <w:bCs/>
          <w:sz w:val="24"/>
          <w:szCs w:val="24"/>
          <w:u w:val="single"/>
          <w:lang w:eastAsia="sk-SK"/>
        </w:rPr>
        <w:br w:type="page"/>
      </w:r>
      <w:r w:rsidRPr="007D5748">
        <w:rPr>
          <w:rFonts w:ascii="Times New Roman" w:hAnsi="Times New Roman"/>
          <w:b/>
          <w:bCs/>
          <w:sz w:val="28"/>
          <w:szCs w:val="28"/>
          <w:lang w:eastAsia="sk-SK"/>
        </w:rPr>
        <w:lastRenderedPageBreak/>
        <w:t>Analýza vplyvov na rozpočet verejnej správy,</w:t>
      </w:r>
    </w:p>
    <w:p w:rsidR="00134B51" w:rsidRPr="007D5748" w:rsidRDefault="00134B51" w:rsidP="00134B51">
      <w:pPr>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134B51" w:rsidRDefault="00134B51" w:rsidP="00134B51">
      <w:pPr>
        <w:spacing w:after="0" w:line="240" w:lineRule="auto"/>
        <w:rPr>
          <w:rFonts w:ascii="Times New Roman" w:hAnsi="Times New Roman"/>
          <w:b/>
          <w:bCs/>
          <w:sz w:val="24"/>
          <w:szCs w:val="24"/>
          <w:lang w:eastAsia="sk-SK"/>
        </w:rPr>
      </w:pPr>
    </w:p>
    <w:p w:rsidR="00134B51" w:rsidRDefault="00134B51" w:rsidP="00134B51">
      <w:pPr>
        <w:spacing w:after="0" w:line="240" w:lineRule="auto"/>
        <w:rPr>
          <w:rFonts w:ascii="Times New Roman" w:hAnsi="Times New Roman"/>
          <w:b/>
          <w:bCs/>
          <w:sz w:val="24"/>
          <w:szCs w:val="24"/>
          <w:lang w:eastAsia="sk-SK"/>
        </w:rPr>
      </w:pPr>
      <w:r w:rsidRPr="00212894">
        <w:rPr>
          <w:rFonts w:ascii="Times New Roman" w:hAnsi="Times New Roman"/>
          <w:b/>
          <w:bCs/>
          <w:sz w:val="24"/>
          <w:szCs w:val="24"/>
          <w:lang w:eastAsia="sk-SK"/>
        </w:rPr>
        <w:t>2.1 Zhrnutie vplyvov na rozpočet verejnej správy v</w:t>
      </w:r>
      <w:r>
        <w:rPr>
          <w:rFonts w:ascii="Times New Roman" w:hAnsi="Times New Roman"/>
          <w:b/>
          <w:bCs/>
          <w:sz w:val="24"/>
          <w:szCs w:val="24"/>
          <w:lang w:eastAsia="sk-SK"/>
        </w:rPr>
        <w:t> </w:t>
      </w:r>
      <w:r w:rsidRPr="00212894">
        <w:rPr>
          <w:rFonts w:ascii="Times New Roman" w:hAnsi="Times New Roman"/>
          <w:b/>
          <w:bCs/>
          <w:sz w:val="24"/>
          <w:szCs w:val="24"/>
          <w:lang w:eastAsia="sk-SK"/>
        </w:rPr>
        <w:t>návrhu</w:t>
      </w:r>
    </w:p>
    <w:p w:rsidR="00134B51" w:rsidRPr="007D5748" w:rsidRDefault="00134B51" w:rsidP="00134B51">
      <w:pPr>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W w:w="14449" w:type="dxa"/>
        <w:tblInd w:w="55" w:type="dxa"/>
        <w:tblCellMar>
          <w:left w:w="70" w:type="dxa"/>
          <w:right w:w="70" w:type="dxa"/>
        </w:tblCellMar>
        <w:tblLook w:val="04A0" w:firstRow="1" w:lastRow="0" w:firstColumn="1" w:lastColumn="0" w:noHBand="0" w:noVBand="1"/>
      </w:tblPr>
      <w:tblGrid>
        <w:gridCol w:w="4835"/>
        <w:gridCol w:w="1134"/>
        <w:gridCol w:w="1215"/>
        <w:gridCol w:w="1215"/>
        <w:gridCol w:w="1215"/>
        <w:gridCol w:w="4835"/>
      </w:tblGrid>
      <w:tr w:rsidR="00134B51" w:rsidRPr="005C617E" w:rsidTr="00D5717A">
        <w:trPr>
          <w:gridAfter w:val="1"/>
          <w:wAfter w:w="4835" w:type="dxa"/>
          <w:trHeight w:val="392"/>
        </w:trPr>
        <w:tc>
          <w:tcPr>
            <w:tcW w:w="483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134B51" w:rsidRPr="005C617E" w:rsidRDefault="00134B51" w:rsidP="00D5717A">
            <w:pPr>
              <w:spacing w:after="0" w:line="240" w:lineRule="auto"/>
              <w:jc w:val="center"/>
              <w:rPr>
                <w:rFonts w:ascii="Arial Narrow" w:hAnsi="Arial Narrow"/>
                <w:b/>
                <w:bCs/>
                <w:color w:val="000000"/>
                <w:sz w:val="20"/>
                <w:szCs w:val="20"/>
                <w:lang w:eastAsia="sk-SK"/>
              </w:rPr>
            </w:pPr>
            <w:bookmarkStart w:id="0" w:name="RANGE!B42"/>
            <w:bookmarkEnd w:id="0"/>
            <w:r w:rsidRPr="005C617E">
              <w:rPr>
                <w:rFonts w:ascii="Arial Narrow" w:hAnsi="Arial Narrow"/>
                <w:b/>
                <w:bCs/>
                <w:color w:val="000000"/>
                <w:sz w:val="20"/>
                <w:szCs w:val="20"/>
                <w:lang w:eastAsia="sk-SK"/>
              </w:rPr>
              <w:t>Vplyvy na rozpočet verejnej správy</w:t>
            </w:r>
          </w:p>
        </w:tc>
        <w:tc>
          <w:tcPr>
            <w:tcW w:w="4779" w:type="dxa"/>
            <w:gridSpan w:val="4"/>
            <w:tcBorders>
              <w:top w:val="single" w:sz="8" w:space="0" w:color="auto"/>
              <w:left w:val="nil"/>
              <w:bottom w:val="single" w:sz="8" w:space="0" w:color="auto"/>
              <w:right w:val="single" w:sz="8" w:space="0" w:color="000000"/>
            </w:tcBorders>
            <w:shd w:val="clear" w:color="000000" w:fill="BFBFBF"/>
            <w:vAlign w:val="center"/>
            <w:hideMark/>
          </w:tcPr>
          <w:p w:rsidR="00134B51" w:rsidRDefault="00134B51" w:rsidP="00D5717A">
            <w:pPr>
              <w:spacing w:after="0" w:line="240" w:lineRule="auto"/>
              <w:jc w:val="center"/>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Vpl</w:t>
            </w:r>
            <w:r>
              <w:rPr>
                <w:rFonts w:ascii="Arial Narrow" w:hAnsi="Arial Narrow"/>
                <w:b/>
                <w:bCs/>
                <w:color w:val="000000"/>
                <w:sz w:val="20"/>
                <w:szCs w:val="20"/>
                <w:lang w:eastAsia="sk-SK"/>
              </w:rPr>
              <w:t xml:space="preserve">yv na rozpočet verejnej správy v eurách </w:t>
            </w:r>
          </w:p>
          <w:p w:rsidR="00134B51" w:rsidRPr="005C617E" w:rsidRDefault="00134B51" w:rsidP="00D5717A">
            <w:pPr>
              <w:spacing w:after="0" w:line="240" w:lineRule="auto"/>
              <w:jc w:val="center"/>
              <w:rPr>
                <w:rFonts w:ascii="Arial Narrow" w:hAnsi="Arial Narrow"/>
                <w:b/>
                <w:bCs/>
                <w:color w:val="000000"/>
                <w:sz w:val="20"/>
                <w:szCs w:val="20"/>
                <w:lang w:eastAsia="sk-SK"/>
              </w:rPr>
            </w:pPr>
            <w:r>
              <w:rPr>
                <w:rFonts w:ascii="Times New Roman" w:hAnsi="Times New Roman"/>
                <w:b/>
                <w:bCs/>
                <w:sz w:val="20"/>
                <w:szCs w:val="20"/>
                <w:lang w:eastAsia="sk-SK"/>
              </w:rPr>
              <w:t>(cash = ESA2010)</w:t>
            </w:r>
          </w:p>
        </w:tc>
      </w:tr>
      <w:tr w:rsidR="00134B51" w:rsidRPr="00B34AAB" w:rsidTr="00D5717A">
        <w:trPr>
          <w:gridAfter w:val="1"/>
          <w:wAfter w:w="4835" w:type="dxa"/>
          <w:trHeight w:val="62"/>
        </w:trPr>
        <w:tc>
          <w:tcPr>
            <w:tcW w:w="4835" w:type="dxa"/>
            <w:vMerge/>
            <w:tcBorders>
              <w:top w:val="single" w:sz="8" w:space="0" w:color="auto"/>
              <w:left w:val="single" w:sz="8" w:space="0" w:color="auto"/>
              <w:bottom w:val="single" w:sz="8" w:space="0" w:color="000000"/>
              <w:right w:val="single" w:sz="8" w:space="0" w:color="auto"/>
            </w:tcBorders>
            <w:vAlign w:val="center"/>
            <w:hideMark/>
          </w:tcPr>
          <w:p w:rsidR="00134B51" w:rsidRPr="005C617E" w:rsidRDefault="00134B51" w:rsidP="00D5717A">
            <w:pPr>
              <w:spacing w:after="0" w:line="240" w:lineRule="auto"/>
              <w:rPr>
                <w:rFonts w:ascii="Arial Narrow" w:hAnsi="Arial Narrow"/>
                <w:b/>
                <w:bCs/>
                <w:color w:val="000000"/>
                <w:sz w:val="20"/>
                <w:szCs w:val="20"/>
                <w:lang w:eastAsia="sk-SK"/>
              </w:rPr>
            </w:pPr>
          </w:p>
        </w:tc>
        <w:tc>
          <w:tcPr>
            <w:tcW w:w="1134" w:type="dxa"/>
            <w:tcBorders>
              <w:top w:val="nil"/>
              <w:left w:val="nil"/>
              <w:bottom w:val="single" w:sz="8" w:space="0" w:color="auto"/>
              <w:right w:val="single" w:sz="8" w:space="0" w:color="auto"/>
            </w:tcBorders>
            <w:shd w:val="clear" w:color="000000" w:fill="BFBFBF"/>
            <w:vAlign w:val="center"/>
            <w:hideMark/>
          </w:tcPr>
          <w:p w:rsidR="00134B51" w:rsidRPr="005C617E" w:rsidRDefault="00134B51" w:rsidP="00D5717A">
            <w:pPr>
              <w:spacing w:after="0" w:line="240" w:lineRule="auto"/>
              <w:jc w:val="center"/>
              <w:rPr>
                <w:rFonts w:ascii="Arial Narrow" w:hAnsi="Arial Narrow"/>
                <w:b/>
                <w:bCs/>
                <w:color w:val="000000"/>
                <w:sz w:val="20"/>
                <w:szCs w:val="20"/>
                <w:lang w:eastAsia="sk-SK"/>
              </w:rPr>
            </w:pPr>
            <w:r>
              <w:rPr>
                <w:rFonts w:ascii="Arial Narrow" w:hAnsi="Arial Narrow"/>
                <w:b/>
                <w:bCs/>
                <w:color w:val="000000"/>
                <w:sz w:val="20"/>
                <w:szCs w:val="20"/>
                <w:lang w:eastAsia="sk-SK"/>
              </w:rPr>
              <w:t>2019</w:t>
            </w:r>
          </w:p>
        </w:tc>
        <w:tc>
          <w:tcPr>
            <w:tcW w:w="1215" w:type="dxa"/>
            <w:tcBorders>
              <w:top w:val="nil"/>
              <w:left w:val="nil"/>
              <w:bottom w:val="single" w:sz="8" w:space="0" w:color="auto"/>
              <w:right w:val="single" w:sz="8" w:space="0" w:color="auto"/>
            </w:tcBorders>
            <w:shd w:val="clear" w:color="000000" w:fill="BFBFBF"/>
            <w:vAlign w:val="center"/>
            <w:hideMark/>
          </w:tcPr>
          <w:p w:rsidR="00134B51" w:rsidRPr="005C617E" w:rsidRDefault="00134B51" w:rsidP="00D5717A">
            <w:pPr>
              <w:spacing w:after="0" w:line="240" w:lineRule="auto"/>
              <w:jc w:val="center"/>
              <w:rPr>
                <w:rFonts w:ascii="Arial Narrow" w:hAnsi="Arial Narrow"/>
                <w:b/>
                <w:bCs/>
                <w:color w:val="000000"/>
                <w:sz w:val="20"/>
                <w:szCs w:val="20"/>
                <w:lang w:eastAsia="sk-SK"/>
              </w:rPr>
            </w:pPr>
            <w:r>
              <w:rPr>
                <w:rFonts w:ascii="Arial Narrow" w:hAnsi="Arial Narrow"/>
                <w:b/>
                <w:bCs/>
                <w:color w:val="000000"/>
                <w:sz w:val="20"/>
                <w:szCs w:val="20"/>
                <w:lang w:eastAsia="sk-SK"/>
              </w:rPr>
              <w:t>2020</w:t>
            </w:r>
          </w:p>
        </w:tc>
        <w:tc>
          <w:tcPr>
            <w:tcW w:w="1215" w:type="dxa"/>
            <w:tcBorders>
              <w:top w:val="nil"/>
              <w:left w:val="nil"/>
              <w:bottom w:val="single" w:sz="8" w:space="0" w:color="auto"/>
              <w:right w:val="single" w:sz="8" w:space="0" w:color="auto"/>
            </w:tcBorders>
            <w:shd w:val="clear" w:color="000000" w:fill="BFBFBF"/>
            <w:vAlign w:val="center"/>
            <w:hideMark/>
          </w:tcPr>
          <w:p w:rsidR="00134B51" w:rsidRPr="005C617E" w:rsidRDefault="00134B51" w:rsidP="00D5717A">
            <w:pPr>
              <w:spacing w:after="0" w:line="240" w:lineRule="auto"/>
              <w:jc w:val="center"/>
              <w:rPr>
                <w:rFonts w:ascii="Arial Narrow" w:hAnsi="Arial Narrow"/>
                <w:b/>
                <w:bCs/>
                <w:color w:val="000000"/>
                <w:sz w:val="20"/>
                <w:szCs w:val="20"/>
                <w:lang w:eastAsia="sk-SK"/>
              </w:rPr>
            </w:pPr>
            <w:r>
              <w:rPr>
                <w:rFonts w:ascii="Arial Narrow" w:hAnsi="Arial Narrow"/>
                <w:b/>
                <w:bCs/>
                <w:color w:val="000000"/>
                <w:sz w:val="20"/>
                <w:szCs w:val="20"/>
                <w:lang w:eastAsia="sk-SK"/>
              </w:rPr>
              <w:t>2021</w:t>
            </w:r>
          </w:p>
        </w:tc>
        <w:tc>
          <w:tcPr>
            <w:tcW w:w="1215" w:type="dxa"/>
            <w:tcBorders>
              <w:top w:val="nil"/>
              <w:left w:val="nil"/>
              <w:bottom w:val="single" w:sz="8" w:space="0" w:color="auto"/>
              <w:right w:val="single" w:sz="8" w:space="0" w:color="auto"/>
            </w:tcBorders>
            <w:shd w:val="clear" w:color="000000" w:fill="BFBFBF"/>
            <w:vAlign w:val="center"/>
            <w:hideMark/>
          </w:tcPr>
          <w:p w:rsidR="00134B51" w:rsidRPr="006C2381" w:rsidRDefault="00134B51" w:rsidP="00D5717A">
            <w:pPr>
              <w:spacing w:after="0" w:line="240" w:lineRule="auto"/>
              <w:jc w:val="center"/>
              <w:rPr>
                <w:rFonts w:ascii="Arial Narrow" w:hAnsi="Arial Narrow"/>
                <w:b/>
                <w:bCs/>
                <w:color w:val="000000"/>
                <w:sz w:val="20"/>
                <w:szCs w:val="20"/>
                <w:highlight w:val="yellow"/>
                <w:lang w:eastAsia="sk-SK"/>
              </w:rPr>
            </w:pPr>
            <w:r w:rsidRPr="006C2381">
              <w:rPr>
                <w:rFonts w:ascii="Arial Narrow" w:hAnsi="Arial Narrow"/>
                <w:b/>
                <w:bCs/>
                <w:color w:val="000000"/>
                <w:sz w:val="20"/>
                <w:szCs w:val="20"/>
                <w:lang w:eastAsia="sk-SK"/>
              </w:rPr>
              <w:t>2022</w:t>
            </w:r>
          </w:p>
        </w:tc>
      </w:tr>
      <w:tr w:rsidR="00134B51" w:rsidRPr="005C617E" w:rsidTr="00D5717A">
        <w:trPr>
          <w:gridAfter w:val="1"/>
          <w:wAfter w:w="4835" w:type="dxa"/>
          <w:trHeight w:val="232"/>
        </w:trPr>
        <w:tc>
          <w:tcPr>
            <w:tcW w:w="4835" w:type="dxa"/>
            <w:tcBorders>
              <w:top w:val="nil"/>
              <w:left w:val="single" w:sz="8" w:space="0" w:color="auto"/>
              <w:bottom w:val="single" w:sz="8" w:space="0" w:color="auto"/>
              <w:right w:val="single" w:sz="8" w:space="0" w:color="auto"/>
            </w:tcBorders>
            <w:shd w:val="clear" w:color="000000" w:fill="C0C0C0"/>
            <w:noWrap/>
            <w:vAlign w:val="center"/>
            <w:hideMark/>
          </w:tcPr>
          <w:p w:rsidR="00134B51" w:rsidRPr="005C617E" w:rsidRDefault="00134B51" w:rsidP="00D5717A">
            <w:pPr>
              <w:spacing w:after="0" w:line="240" w:lineRule="auto"/>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Príjmy verejnej správy celkom</w:t>
            </w:r>
          </w:p>
        </w:tc>
        <w:tc>
          <w:tcPr>
            <w:tcW w:w="1134" w:type="dxa"/>
            <w:tcBorders>
              <w:top w:val="nil"/>
              <w:left w:val="nil"/>
              <w:bottom w:val="single" w:sz="8" w:space="0" w:color="auto"/>
              <w:right w:val="single" w:sz="8" w:space="0" w:color="auto"/>
            </w:tcBorders>
            <w:shd w:val="clear" w:color="000000" w:fill="C0C0C0"/>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C0C0C0"/>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C0C0C0"/>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C0C0C0"/>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238"/>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color w:val="000000"/>
                <w:sz w:val="20"/>
                <w:szCs w:val="20"/>
                <w:lang w:eastAsia="sk-SK"/>
              </w:rPr>
            </w:pPr>
            <w:r w:rsidRPr="005C617E">
              <w:rPr>
                <w:rFonts w:ascii="Arial Narrow" w:hAnsi="Arial Narrow"/>
                <w:color w:val="000000"/>
                <w:sz w:val="20"/>
                <w:szCs w:val="20"/>
                <w:lang w:eastAsia="sk-SK"/>
              </w:rPr>
              <w:t>v tom: za každý subjekt verejnej správy zvlášť</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r>
      <w:tr w:rsidR="00134B51" w:rsidRPr="005C617E" w:rsidTr="00D5717A">
        <w:trPr>
          <w:gridAfter w:val="1"/>
          <w:wAfter w:w="4835" w:type="dxa"/>
          <w:trHeight w:val="188"/>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i/>
                <w:iCs/>
                <w:color w:val="000000"/>
                <w:sz w:val="20"/>
                <w:szCs w:val="20"/>
                <w:lang w:eastAsia="sk-SK"/>
              </w:rPr>
              <w:t xml:space="preserve">z toho:  </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 </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 </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 </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 </w:t>
            </w:r>
          </w:p>
        </w:tc>
      </w:tr>
      <w:tr w:rsidR="00134B51" w:rsidRPr="005C617E" w:rsidTr="00D5717A">
        <w:trPr>
          <w:gridAfter w:val="1"/>
          <w:wAfter w:w="4835" w:type="dxa"/>
          <w:trHeight w:val="189"/>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i/>
                <w:iCs/>
                <w:color w:val="000000"/>
                <w:sz w:val="20"/>
                <w:szCs w:val="20"/>
                <w:lang w:eastAsia="sk-SK"/>
              </w:rPr>
              <w:t>- vplyv na ŠR</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176"/>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ind w:firstLineChars="100" w:firstLine="200"/>
              <w:rPr>
                <w:rFonts w:ascii="Arial Narrow" w:hAnsi="Arial Narrow"/>
                <w:i/>
                <w:iCs/>
                <w:color w:val="000000"/>
                <w:sz w:val="20"/>
                <w:szCs w:val="20"/>
                <w:lang w:eastAsia="sk-SK"/>
              </w:rPr>
            </w:pPr>
            <w:r w:rsidRPr="005C617E">
              <w:rPr>
                <w:rFonts w:ascii="Arial Narrow" w:hAnsi="Arial Narrow"/>
                <w:i/>
                <w:iCs/>
                <w:color w:val="000000"/>
                <w:sz w:val="20"/>
                <w:szCs w:val="20"/>
                <w:lang w:eastAsia="sk-SK"/>
              </w:rPr>
              <w:t>Rozpočtové prostriedky</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224"/>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ind w:firstLineChars="100" w:firstLine="200"/>
              <w:rPr>
                <w:rFonts w:ascii="Arial Narrow" w:hAnsi="Arial Narrow"/>
                <w:i/>
                <w:iCs/>
                <w:color w:val="000000"/>
                <w:sz w:val="20"/>
                <w:szCs w:val="20"/>
                <w:lang w:eastAsia="sk-SK"/>
              </w:rPr>
            </w:pPr>
            <w:r w:rsidRPr="005C617E">
              <w:rPr>
                <w:rFonts w:ascii="Arial Narrow" w:hAnsi="Arial Narrow"/>
                <w:i/>
                <w:iCs/>
                <w:color w:val="000000"/>
                <w:sz w:val="20"/>
                <w:szCs w:val="20"/>
                <w:lang w:eastAsia="sk-SK"/>
              </w:rPr>
              <w:t>EÚ zdroje</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r>
      <w:tr w:rsidR="00134B51" w:rsidRPr="005C617E" w:rsidTr="00D5717A">
        <w:trPr>
          <w:gridAfter w:val="1"/>
          <w:wAfter w:w="4835" w:type="dxa"/>
          <w:trHeight w:val="172"/>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i/>
                <w:iCs/>
                <w:color w:val="000000"/>
                <w:sz w:val="20"/>
                <w:szCs w:val="20"/>
                <w:lang w:eastAsia="sk-SK"/>
              </w:rPr>
              <w:t>- vplyv na obce</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286"/>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i/>
                <w:iCs/>
                <w:color w:val="000000"/>
                <w:sz w:val="20"/>
                <w:szCs w:val="20"/>
                <w:lang w:eastAsia="sk-SK"/>
              </w:rPr>
              <w:t>- vplyv na vyššie územné celky</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280"/>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i/>
                <w:iCs/>
                <w:color w:val="000000"/>
                <w:sz w:val="20"/>
                <w:szCs w:val="20"/>
                <w:lang w:eastAsia="sk-SK"/>
              </w:rPr>
              <w:t xml:space="preserve">- </w:t>
            </w:r>
            <w:r>
              <w:rPr>
                <w:rFonts w:ascii="Arial Narrow" w:hAnsi="Arial Narrow"/>
                <w:b/>
                <w:bCs/>
                <w:i/>
                <w:iCs/>
                <w:color w:val="000000"/>
                <w:sz w:val="20"/>
                <w:szCs w:val="20"/>
                <w:lang w:eastAsia="sk-SK"/>
              </w:rPr>
              <w:t>vplyv na útvary sociálneho zabezpečenia</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r>
      <w:tr w:rsidR="00134B51" w:rsidRPr="00B34AAB" w:rsidTr="00D5717A">
        <w:trPr>
          <w:gridAfter w:val="1"/>
          <w:wAfter w:w="4835" w:type="dxa"/>
          <w:trHeight w:val="209"/>
        </w:trPr>
        <w:tc>
          <w:tcPr>
            <w:tcW w:w="4835" w:type="dxa"/>
            <w:tcBorders>
              <w:top w:val="nil"/>
              <w:left w:val="single" w:sz="8" w:space="0" w:color="auto"/>
              <w:bottom w:val="single" w:sz="8" w:space="0" w:color="auto"/>
              <w:right w:val="single" w:sz="8" w:space="0" w:color="auto"/>
            </w:tcBorders>
            <w:shd w:val="clear" w:color="000000" w:fill="C0C0C0"/>
            <w:noWrap/>
            <w:vAlign w:val="center"/>
            <w:hideMark/>
          </w:tcPr>
          <w:p w:rsidR="00134B51" w:rsidRPr="002E3848" w:rsidRDefault="00134B51" w:rsidP="00D5717A">
            <w:pPr>
              <w:spacing w:after="0" w:line="240" w:lineRule="auto"/>
              <w:rPr>
                <w:rFonts w:ascii="Arial Narrow" w:hAnsi="Arial Narrow"/>
                <w:b/>
                <w:bCs/>
                <w:sz w:val="20"/>
                <w:szCs w:val="20"/>
                <w:lang w:eastAsia="sk-SK"/>
              </w:rPr>
            </w:pPr>
            <w:r w:rsidRPr="002E3848">
              <w:rPr>
                <w:rFonts w:ascii="Arial Narrow" w:hAnsi="Arial Narrow"/>
                <w:b/>
                <w:bCs/>
                <w:sz w:val="20"/>
                <w:szCs w:val="20"/>
                <w:lang w:eastAsia="sk-SK"/>
              </w:rPr>
              <w:t>Výdavky verejnej správy celkom</w:t>
            </w:r>
          </w:p>
        </w:tc>
        <w:tc>
          <w:tcPr>
            <w:tcW w:w="1134" w:type="dxa"/>
            <w:tcBorders>
              <w:top w:val="nil"/>
              <w:left w:val="nil"/>
              <w:bottom w:val="single" w:sz="8" w:space="0" w:color="auto"/>
              <w:right w:val="single" w:sz="8" w:space="0" w:color="auto"/>
            </w:tcBorders>
            <w:shd w:val="clear" w:color="000000" w:fill="C0C0C0"/>
            <w:noWrap/>
            <w:vAlign w:val="bottom"/>
            <w:hideMark/>
          </w:tcPr>
          <w:p w:rsidR="00134B51" w:rsidRPr="00043018" w:rsidRDefault="00134B51" w:rsidP="00D5717A">
            <w:pPr>
              <w:spacing w:after="0" w:line="240" w:lineRule="auto"/>
              <w:jc w:val="right"/>
              <w:rPr>
                <w:rFonts w:ascii="Arial Narrow" w:hAnsi="Arial Narrow"/>
                <w:b/>
                <w:sz w:val="20"/>
                <w:szCs w:val="20"/>
              </w:rPr>
            </w:pPr>
            <w:r w:rsidRPr="00043018">
              <w:rPr>
                <w:rFonts w:ascii="Arial Narrow" w:hAnsi="Arial Narrow"/>
                <w:b/>
                <w:sz w:val="20"/>
                <w:szCs w:val="20"/>
              </w:rPr>
              <w:t xml:space="preserve">-1.153.606 </w:t>
            </w:r>
          </w:p>
        </w:tc>
        <w:tc>
          <w:tcPr>
            <w:tcW w:w="1215" w:type="dxa"/>
            <w:tcBorders>
              <w:top w:val="nil"/>
              <w:left w:val="nil"/>
              <w:bottom w:val="single" w:sz="8" w:space="0" w:color="auto"/>
              <w:right w:val="single" w:sz="8" w:space="0" w:color="auto"/>
            </w:tcBorders>
            <w:shd w:val="clear" w:color="000000" w:fill="C0C0C0"/>
            <w:noWrap/>
            <w:vAlign w:val="bottom"/>
            <w:hideMark/>
          </w:tcPr>
          <w:p w:rsidR="00134B51" w:rsidRPr="009E500F" w:rsidRDefault="00134B51" w:rsidP="00D5717A">
            <w:pPr>
              <w:spacing w:after="0" w:line="240" w:lineRule="auto"/>
              <w:jc w:val="right"/>
              <w:rPr>
                <w:rFonts w:ascii="Arial Narrow" w:hAnsi="Arial Narrow"/>
                <w:b/>
                <w:bCs/>
                <w:color w:val="FF0000"/>
                <w:sz w:val="20"/>
                <w:szCs w:val="20"/>
              </w:rPr>
            </w:pPr>
            <w:r>
              <w:rPr>
                <w:rFonts w:ascii="Arial Narrow" w:hAnsi="Arial Narrow"/>
                <w:b/>
                <w:bCs/>
                <w:sz w:val="20"/>
                <w:szCs w:val="20"/>
              </w:rPr>
              <w:t xml:space="preserve">-1.905.623 </w:t>
            </w:r>
          </w:p>
        </w:tc>
        <w:tc>
          <w:tcPr>
            <w:tcW w:w="1215" w:type="dxa"/>
            <w:tcBorders>
              <w:top w:val="nil"/>
              <w:left w:val="nil"/>
              <w:bottom w:val="single" w:sz="8" w:space="0" w:color="auto"/>
              <w:right w:val="single" w:sz="8" w:space="0" w:color="auto"/>
            </w:tcBorders>
            <w:shd w:val="clear" w:color="000000" w:fill="C0C0C0"/>
            <w:noWrap/>
            <w:vAlign w:val="bottom"/>
            <w:hideMark/>
          </w:tcPr>
          <w:p w:rsidR="00134B51" w:rsidRPr="0052345C" w:rsidRDefault="00134B51" w:rsidP="00D5717A">
            <w:pPr>
              <w:spacing w:after="0" w:line="240" w:lineRule="auto"/>
              <w:jc w:val="right"/>
              <w:rPr>
                <w:rFonts w:ascii="Arial Narrow" w:hAnsi="Arial Narrow"/>
                <w:b/>
                <w:bCs/>
                <w:color w:val="FF0000"/>
                <w:sz w:val="20"/>
                <w:szCs w:val="20"/>
              </w:rPr>
            </w:pPr>
            <w:r>
              <w:rPr>
                <w:rFonts w:ascii="Arial Narrow" w:hAnsi="Arial Narrow"/>
                <w:b/>
                <w:bCs/>
                <w:sz w:val="20"/>
                <w:szCs w:val="20"/>
              </w:rPr>
              <w:t xml:space="preserve">-1.472.653 </w:t>
            </w:r>
          </w:p>
        </w:tc>
        <w:tc>
          <w:tcPr>
            <w:tcW w:w="1215" w:type="dxa"/>
            <w:tcBorders>
              <w:top w:val="nil"/>
              <w:left w:val="nil"/>
              <w:bottom w:val="single" w:sz="8" w:space="0" w:color="auto"/>
              <w:right w:val="single" w:sz="8" w:space="0" w:color="auto"/>
            </w:tcBorders>
            <w:shd w:val="clear" w:color="000000" w:fill="C0C0C0"/>
            <w:noWrap/>
            <w:vAlign w:val="bottom"/>
          </w:tcPr>
          <w:p w:rsidR="00134B51" w:rsidRPr="006C2381" w:rsidRDefault="00134B51" w:rsidP="00D5717A">
            <w:pPr>
              <w:spacing w:after="0" w:line="240" w:lineRule="auto"/>
              <w:jc w:val="right"/>
              <w:rPr>
                <w:rFonts w:ascii="Arial Narrow" w:hAnsi="Arial Narrow"/>
                <w:b/>
                <w:bCs/>
                <w:color w:val="FF0000"/>
                <w:sz w:val="20"/>
                <w:szCs w:val="20"/>
                <w:highlight w:val="yellow"/>
              </w:rPr>
            </w:pPr>
            <w:r w:rsidRPr="006C2381">
              <w:rPr>
                <w:rFonts w:ascii="Arial Narrow" w:hAnsi="Arial Narrow"/>
                <w:b/>
                <w:bCs/>
                <w:sz w:val="20"/>
                <w:szCs w:val="20"/>
              </w:rPr>
              <w:t>0</w:t>
            </w:r>
            <w:r w:rsidRPr="006C2381">
              <w:rPr>
                <w:rFonts w:ascii="Arial Narrow" w:hAnsi="Arial Narrow"/>
                <w:b/>
                <w:bCs/>
                <w:sz w:val="20"/>
                <w:szCs w:val="20"/>
                <w:highlight w:val="yellow"/>
              </w:rPr>
              <w:t xml:space="preserve"> </w:t>
            </w:r>
          </w:p>
        </w:tc>
      </w:tr>
      <w:tr w:rsidR="00134B51" w:rsidRPr="005C617E" w:rsidTr="00D5717A">
        <w:trPr>
          <w:gridAfter w:val="1"/>
          <w:wAfter w:w="4835" w:type="dxa"/>
          <w:trHeight w:val="163"/>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color w:val="000000"/>
                <w:sz w:val="20"/>
                <w:szCs w:val="20"/>
                <w:lang w:eastAsia="sk-SK"/>
              </w:rPr>
            </w:pPr>
            <w:r w:rsidRPr="005C617E">
              <w:rPr>
                <w:rFonts w:ascii="Arial Narrow" w:hAnsi="Arial Narrow"/>
                <w:color w:val="000000"/>
                <w:sz w:val="20"/>
                <w:szCs w:val="20"/>
                <w:lang w:eastAsia="sk-SK"/>
              </w:rPr>
              <w:t>v tom: za každý subjekt verejnej správy / program zvlášť</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r>
      <w:tr w:rsidR="00134B51" w:rsidRPr="005C617E" w:rsidTr="00D5717A">
        <w:trPr>
          <w:gridAfter w:val="1"/>
          <w:wAfter w:w="4835" w:type="dxa"/>
          <w:trHeight w:val="60"/>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i/>
                <w:iCs/>
                <w:color w:val="000000"/>
                <w:sz w:val="20"/>
                <w:szCs w:val="20"/>
                <w:lang w:eastAsia="sk-SK"/>
              </w:rPr>
              <w:t xml:space="preserve">z toho: </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 </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 </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 </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 </w:t>
            </w:r>
          </w:p>
        </w:tc>
      </w:tr>
      <w:tr w:rsidR="00134B51" w:rsidRPr="005C617E" w:rsidTr="00D5717A">
        <w:trPr>
          <w:gridAfter w:val="1"/>
          <w:wAfter w:w="4835" w:type="dxa"/>
          <w:trHeight w:val="371"/>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i/>
                <w:iCs/>
                <w:color w:val="000000"/>
                <w:sz w:val="20"/>
                <w:szCs w:val="20"/>
                <w:lang w:eastAsia="sk-SK"/>
              </w:rPr>
              <w:t xml:space="preserve">- vplyv na ŠR </w:t>
            </w:r>
          </w:p>
        </w:tc>
        <w:tc>
          <w:tcPr>
            <w:tcW w:w="1134" w:type="dxa"/>
            <w:tcBorders>
              <w:top w:val="nil"/>
              <w:left w:val="nil"/>
              <w:bottom w:val="single" w:sz="8" w:space="0" w:color="auto"/>
              <w:right w:val="single" w:sz="8" w:space="0" w:color="auto"/>
            </w:tcBorders>
            <w:noWrap/>
            <w:vAlign w:val="bottom"/>
            <w:hideMark/>
          </w:tcPr>
          <w:p w:rsidR="00134B51" w:rsidRPr="00507678" w:rsidRDefault="00134B51" w:rsidP="00D5717A">
            <w:pPr>
              <w:spacing w:after="0" w:line="240" w:lineRule="auto"/>
              <w:jc w:val="right"/>
              <w:rPr>
                <w:rFonts w:ascii="Arial Narrow" w:hAnsi="Arial Narrow"/>
                <w:bCs/>
                <w:color w:val="000000"/>
                <w:sz w:val="20"/>
                <w:szCs w:val="20"/>
                <w:lang w:eastAsia="sk-SK"/>
              </w:rPr>
            </w:pPr>
            <w:r>
              <w:rPr>
                <w:rFonts w:ascii="Arial Narrow" w:hAnsi="Arial Narrow"/>
                <w:bCs/>
                <w:color w:val="000000"/>
                <w:sz w:val="20"/>
                <w:szCs w:val="20"/>
                <w:lang w:eastAsia="sk-SK"/>
              </w:rPr>
              <w:t>0</w:t>
            </w:r>
          </w:p>
        </w:tc>
        <w:tc>
          <w:tcPr>
            <w:tcW w:w="1215" w:type="dxa"/>
            <w:tcBorders>
              <w:top w:val="nil"/>
              <w:left w:val="nil"/>
              <w:bottom w:val="single" w:sz="8" w:space="0" w:color="auto"/>
              <w:right w:val="single" w:sz="8" w:space="0" w:color="auto"/>
            </w:tcBorders>
            <w:noWrap/>
            <w:vAlign w:val="bottom"/>
          </w:tcPr>
          <w:p w:rsidR="00134B51" w:rsidRPr="00507678" w:rsidRDefault="00134B51" w:rsidP="00D5717A">
            <w:pPr>
              <w:spacing w:after="0" w:line="240" w:lineRule="auto"/>
              <w:jc w:val="right"/>
              <w:rPr>
                <w:rFonts w:ascii="Arial Narrow" w:hAnsi="Arial Narrow"/>
                <w:bCs/>
                <w:color w:val="000000"/>
                <w:sz w:val="20"/>
                <w:szCs w:val="20"/>
                <w:lang w:eastAsia="sk-SK"/>
              </w:rPr>
            </w:pPr>
            <w:r>
              <w:rPr>
                <w:rFonts w:ascii="Arial Narrow" w:hAnsi="Arial Narrow"/>
                <w:bCs/>
                <w:color w:val="000000"/>
                <w:sz w:val="20"/>
                <w:szCs w:val="20"/>
                <w:lang w:eastAsia="sk-SK"/>
              </w:rPr>
              <w:t>0</w:t>
            </w:r>
          </w:p>
        </w:tc>
        <w:tc>
          <w:tcPr>
            <w:tcW w:w="1215" w:type="dxa"/>
            <w:tcBorders>
              <w:top w:val="nil"/>
              <w:left w:val="nil"/>
              <w:bottom w:val="single" w:sz="8" w:space="0" w:color="auto"/>
              <w:right w:val="single" w:sz="8" w:space="0" w:color="auto"/>
            </w:tcBorders>
            <w:noWrap/>
            <w:vAlign w:val="bottom"/>
          </w:tcPr>
          <w:p w:rsidR="00134B51" w:rsidRPr="00507678" w:rsidRDefault="00134B51" w:rsidP="00D5717A">
            <w:pPr>
              <w:spacing w:after="0" w:line="240" w:lineRule="auto"/>
              <w:jc w:val="right"/>
              <w:rPr>
                <w:rFonts w:ascii="Arial Narrow" w:hAnsi="Arial Narrow"/>
                <w:bCs/>
                <w:color w:val="000000"/>
                <w:sz w:val="20"/>
                <w:szCs w:val="20"/>
                <w:lang w:eastAsia="sk-SK"/>
              </w:rPr>
            </w:pPr>
            <w:r>
              <w:rPr>
                <w:rFonts w:ascii="Arial Narrow" w:hAnsi="Arial Narrow"/>
                <w:bCs/>
                <w:color w:val="000000"/>
                <w:sz w:val="20"/>
                <w:szCs w:val="20"/>
                <w:lang w:eastAsia="sk-SK"/>
              </w:rPr>
              <w:t>0</w:t>
            </w:r>
          </w:p>
        </w:tc>
        <w:tc>
          <w:tcPr>
            <w:tcW w:w="1215" w:type="dxa"/>
            <w:tcBorders>
              <w:top w:val="nil"/>
              <w:left w:val="nil"/>
              <w:bottom w:val="single" w:sz="8" w:space="0" w:color="auto"/>
              <w:right w:val="single" w:sz="8" w:space="0" w:color="auto"/>
            </w:tcBorders>
            <w:noWrap/>
            <w:vAlign w:val="bottom"/>
          </w:tcPr>
          <w:p w:rsidR="00134B51" w:rsidRPr="00507678" w:rsidRDefault="00134B51" w:rsidP="00D5717A">
            <w:pPr>
              <w:spacing w:after="0" w:line="240" w:lineRule="auto"/>
              <w:jc w:val="right"/>
              <w:rPr>
                <w:rFonts w:ascii="Arial Narrow" w:hAnsi="Arial Narrow"/>
                <w:bCs/>
                <w:color w:val="000000"/>
                <w:sz w:val="20"/>
                <w:szCs w:val="20"/>
                <w:lang w:eastAsia="sk-SK"/>
              </w:rPr>
            </w:pPr>
            <w:r>
              <w:rPr>
                <w:rFonts w:ascii="Arial Narrow" w:hAnsi="Arial Narrow"/>
                <w:bCs/>
                <w:color w:val="000000"/>
                <w:sz w:val="20"/>
                <w:szCs w:val="20"/>
                <w:lang w:eastAsia="sk-SK"/>
              </w:rPr>
              <w:t>0</w:t>
            </w:r>
          </w:p>
        </w:tc>
      </w:tr>
      <w:tr w:rsidR="00134B51" w:rsidRPr="005C617E" w:rsidTr="00D5717A">
        <w:trPr>
          <w:gridAfter w:val="1"/>
          <w:wAfter w:w="4835" w:type="dxa"/>
          <w:trHeight w:val="330"/>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ind w:firstLineChars="100" w:firstLine="200"/>
              <w:rPr>
                <w:rFonts w:ascii="Arial Narrow" w:hAnsi="Arial Narrow"/>
                <w:i/>
                <w:iCs/>
                <w:color w:val="000000"/>
                <w:sz w:val="20"/>
                <w:szCs w:val="20"/>
                <w:lang w:eastAsia="sk-SK"/>
              </w:rPr>
            </w:pPr>
            <w:r w:rsidRPr="005C617E">
              <w:rPr>
                <w:rFonts w:ascii="Arial Narrow" w:hAnsi="Arial Narrow"/>
                <w:i/>
                <w:iCs/>
                <w:color w:val="000000"/>
                <w:sz w:val="20"/>
                <w:szCs w:val="20"/>
                <w:lang w:eastAsia="sk-SK"/>
              </w:rPr>
              <w:t>Rozpočtové prostriedky</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Cs/>
                <w:color w:val="000000"/>
                <w:sz w:val="20"/>
                <w:szCs w:val="20"/>
                <w:lang w:eastAsia="sk-SK"/>
              </w:rPr>
            </w:pPr>
            <w:r w:rsidRPr="005C617E">
              <w:rPr>
                <w:rFonts w:ascii="Arial Narrow" w:hAnsi="Arial Narrow"/>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tcPr>
          <w:p w:rsidR="00134B51" w:rsidRPr="005C617E" w:rsidRDefault="00134B51" w:rsidP="00D5717A">
            <w:pPr>
              <w:spacing w:after="0" w:line="240" w:lineRule="auto"/>
              <w:jc w:val="right"/>
              <w:rPr>
                <w:rFonts w:ascii="Arial Narrow" w:hAnsi="Arial Narrow"/>
                <w:bCs/>
                <w:color w:val="000000"/>
                <w:sz w:val="20"/>
                <w:szCs w:val="20"/>
                <w:lang w:eastAsia="sk-SK"/>
              </w:rPr>
            </w:pPr>
            <w:r w:rsidRPr="005C617E">
              <w:rPr>
                <w:rFonts w:ascii="Arial Narrow" w:hAnsi="Arial Narrow"/>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tcPr>
          <w:p w:rsidR="00134B51" w:rsidRPr="005C617E" w:rsidRDefault="00134B51" w:rsidP="00D5717A">
            <w:pPr>
              <w:spacing w:after="0" w:line="240" w:lineRule="auto"/>
              <w:jc w:val="right"/>
              <w:rPr>
                <w:rFonts w:ascii="Arial Narrow" w:hAnsi="Arial Narrow"/>
                <w:bCs/>
                <w:color w:val="000000"/>
                <w:sz w:val="20"/>
                <w:szCs w:val="20"/>
                <w:lang w:eastAsia="sk-SK"/>
              </w:rPr>
            </w:pPr>
            <w:r w:rsidRPr="005C617E">
              <w:rPr>
                <w:rFonts w:ascii="Arial Narrow" w:hAnsi="Arial Narrow"/>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tcPr>
          <w:p w:rsidR="00134B51" w:rsidRPr="005C617E" w:rsidRDefault="00134B51" w:rsidP="00D5717A">
            <w:pPr>
              <w:spacing w:after="0" w:line="240" w:lineRule="auto"/>
              <w:jc w:val="right"/>
              <w:rPr>
                <w:rFonts w:ascii="Arial Narrow" w:hAnsi="Arial Narrow"/>
                <w:bCs/>
                <w:color w:val="000000"/>
                <w:sz w:val="20"/>
                <w:szCs w:val="20"/>
                <w:lang w:eastAsia="sk-SK"/>
              </w:rPr>
            </w:pPr>
            <w:r w:rsidRPr="005C617E">
              <w:rPr>
                <w:rFonts w:ascii="Arial Narrow" w:hAnsi="Arial Narrow"/>
                <w:bCs/>
                <w:color w:val="000000"/>
                <w:sz w:val="20"/>
                <w:szCs w:val="20"/>
                <w:lang w:eastAsia="sk-SK"/>
              </w:rPr>
              <w:t>0</w:t>
            </w:r>
          </w:p>
        </w:tc>
      </w:tr>
      <w:tr w:rsidR="00134B51" w:rsidRPr="005C617E" w:rsidTr="00D5717A">
        <w:trPr>
          <w:gridAfter w:val="1"/>
          <w:wAfter w:w="4835" w:type="dxa"/>
          <w:trHeight w:val="256"/>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i/>
                <w:iCs/>
                <w:color w:val="000000"/>
                <w:sz w:val="20"/>
                <w:szCs w:val="20"/>
                <w:lang w:eastAsia="sk-SK"/>
              </w:rPr>
            </w:pPr>
            <w:r w:rsidRPr="005C617E">
              <w:rPr>
                <w:rFonts w:ascii="Arial Narrow" w:hAnsi="Arial Narrow"/>
                <w:i/>
                <w:iCs/>
                <w:color w:val="000000"/>
                <w:sz w:val="20"/>
                <w:szCs w:val="20"/>
                <w:lang w:eastAsia="sk-SK"/>
              </w:rPr>
              <w:t xml:space="preserve">    EÚ zdroje</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r>
      <w:tr w:rsidR="00134B51" w:rsidRPr="005C617E" w:rsidTr="00D5717A">
        <w:trPr>
          <w:gridAfter w:val="1"/>
          <w:wAfter w:w="4835" w:type="dxa"/>
          <w:trHeight w:val="259"/>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i/>
                <w:iCs/>
                <w:color w:val="000000"/>
                <w:sz w:val="20"/>
                <w:szCs w:val="20"/>
                <w:lang w:eastAsia="sk-SK"/>
              </w:rPr>
            </w:pPr>
            <w:r w:rsidRPr="005C617E">
              <w:rPr>
                <w:rFonts w:ascii="Arial Narrow" w:hAnsi="Arial Narrow"/>
                <w:i/>
                <w:iCs/>
                <w:color w:val="000000"/>
                <w:sz w:val="20"/>
                <w:szCs w:val="20"/>
                <w:lang w:eastAsia="sk-SK"/>
              </w:rPr>
              <w:t xml:space="preserve">    spolufinancovanie</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color w:val="000000"/>
                <w:sz w:val="20"/>
                <w:szCs w:val="20"/>
                <w:lang w:eastAsia="sk-SK"/>
              </w:rPr>
            </w:pPr>
            <w:r w:rsidRPr="005C617E">
              <w:rPr>
                <w:rFonts w:ascii="Arial Narrow" w:hAnsi="Arial Narrow"/>
                <w:color w:val="000000"/>
                <w:sz w:val="20"/>
                <w:szCs w:val="20"/>
                <w:lang w:eastAsia="sk-SK"/>
              </w:rPr>
              <w:t>0</w:t>
            </w:r>
          </w:p>
        </w:tc>
      </w:tr>
      <w:tr w:rsidR="00134B51" w:rsidRPr="005C617E" w:rsidTr="00D5717A">
        <w:trPr>
          <w:gridAfter w:val="1"/>
          <w:wAfter w:w="4835" w:type="dxa"/>
          <w:trHeight w:val="164"/>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i/>
                <w:iCs/>
                <w:color w:val="000000"/>
                <w:sz w:val="20"/>
                <w:szCs w:val="20"/>
                <w:lang w:eastAsia="sk-SK"/>
              </w:rPr>
              <w:t>- vplyv na obce</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Cs/>
                <w:color w:val="000000"/>
                <w:sz w:val="20"/>
                <w:szCs w:val="20"/>
                <w:lang w:eastAsia="sk-SK"/>
              </w:rPr>
            </w:pPr>
            <w:r w:rsidRPr="005C617E">
              <w:rPr>
                <w:rFonts w:ascii="Arial Narrow" w:hAnsi="Arial Narrow"/>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Cs/>
                <w:color w:val="000000"/>
                <w:sz w:val="20"/>
                <w:szCs w:val="20"/>
                <w:lang w:eastAsia="sk-SK"/>
              </w:rPr>
            </w:pPr>
            <w:r w:rsidRPr="005C617E">
              <w:rPr>
                <w:rFonts w:ascii="Arial Narrow" w:hAnsi="Arial Narrow"/>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Cs/>
                <w:color w:val="000000"/>
                <w:sz w:val="20"/>
                <w:szCs w:val="20"/>
                <w:lang w:eastAsia="sk-SK"/>
              </w:rPr>
            </w:pPr>
            <w:r w:rsidRPr="005C617E">
              <w:rPr>
                <w:rFonts w:ascii="Arial Narrow" w:hAnsi="Arial Narrow"/>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Cs/>
                <w:color w:val="000000"/>
                <w:sz w:val="20"/>
                <w:szCs w:val="20"/>
                <w:lang w:eastAsia="sk-SK"/>
              </w:rPr>
            </w:pPr>
            <w:r w:rsidRPr="005C617E">
              <w:rPr>
                <w:rFonts w:ascii="Arial Narrow" w:hAnsi="Arial Narrow"/>
                <w:bCs/>
                <w:color w:val="000000"/>
                <w:sz w:val="20"/>
                <w:szCs w:val="20"/>
                <w:lang w:eastAsia="sk-SK"/>
              </w:rPr>
              <w:t>0</w:t>
            </w:r>
          </w:p>
        </w:tc>
      </w:tr>
      <w:tr w:rsidR="00134B51" w:rsidRPr="005C617E" w:rsidTr="00D5717A">
        <w:trPr>
          <w:gridAfter w:val="1"/>
          <w:wAfter w:w="4835" w:type="dxa"/>
          <w:trHeight w:val="197"/>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i/>
                <w:iCs/>
                <w:color w:val="000000"/>
                <w:sz w:val="20"/>
                <w:szCs w:val="20"/>
                <w:lang w:eastAsia="sk-SK"/>
              </w:rPr>
              <w:t>- vplyv na vyššie územné celky</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Cs/>
                <w:color w:val="000000"/>
                <w:sz w:val="20"/>
                <w:szCs w:val="20"/>
                <w:lang w:eastAsia="sk-SK"/>
              </w:rPr>
            </w:pPr>
            <w:r w:rsidRPr="005C617E">
              <w:rPr>
                <w:rFonts w:ascii="Arial Narrow" w:hAnsi="Arial Narrow"/>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Cs/>
                <w:color w:val="000000"/>
                <w:sz w:val="20"/>
                <w:szCs w:val="20"/>
                <w:lang w:eastAsia="sk-SK"/>
              </w:rPr>
            </w:pPr>
            <w:r w:rsidRPr="005C617E">
              <w:rPr>
                <w:rFonts w:ascii="Arial Narrow" w:hAnsi="Arial Narrow"/>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Cs/>
                <w:color w:val="000000"/>
                <w:sz w:val="20"/>
                <w:szCs w:val="20"/>
                <w:lang w:eastAsia="sk-SK"/>
              </w:rPr>
            </w:pPr>
            <w:r w:rsidRPr="005C617E">
              <w:rPr>
                <w:rFonts w:ascii="Arial Narrow" w:hAnsi="Arial Narrow"/>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Cs/>
                <w:color w:val="000000"/>
                <w:sz w:val="20"/>
                <w:szCs w:val="20"/>
                <w:lang w:eastAsia="sk-SK"/>
              </w:rPr>
            </w:pPr>
            <w:r w:rsidRPr="005C617E">
              <w:rPr>
                <w:rFonts w:ascii="Arial Narrow" w:hAnsi="Arial Narrow"/>
                <w:bCs/>
                <w:color w:val="000000"/>
                <w:sz w:val="20"/>
                <w:szCs w:val="20"/>
                <w:lang w:eastAsia="sk-SK"/>
              </w:rPr>
              <w:t>0</w:t>
            </w:r>
          </w:p>
        </w:tc>
      </w:tr>
      <w:tr w:rsidR="00134B51" w:rsidRPr="006C0049" w:rsidTr="00D5717A">
        <w:trPr>
          <w:gridAfter w:val="1"/>
          <w:wAfter w:w="4835" w:type="dxa"/>
          <w:trHeight w:val="330"/>
        </w:trPr>
        <w:tc>
          <w:tcPr>
            <w:tcW w:w="4835" w:type="dxa"/>
            <w:tcBorders>
              <w:top w:val="nil"/>
              <w:left w:val="single" w:sz="8" w:space="0" w:color="auto"/>
              <w:bottom w:val="single" w:sz="8" w:space="0" w:color="auto"/>
              <w:right w:val="single" w:sz="8" w:space="0" w:color="auto"/>
            </w:tcBorders>
            <w:noWrap/>
            <w:vAlign w:val="center"/>
            <w:hideMark/>
          </w:tcPr>
          <w:p w:rsidR="00134B51" w:rsidRPr="002E3848" w:rsidRDefault="00134B51" w:rsidP="00D5717A">
            <w:pPr>
              <w:spacing w:after="0" w:line="240" w:lineRule="auto"/>
              <w:rPr>
                <w:rFonts w:ascii="Arial Narrow" w:hAnsi="Arial Narrow"/>
                <w:b/>
                <w:bCs/>
                <w:i/>
                <w:iCs/>
                <w:sz w:val="20"/>
                <w:szCs w:val="20"/>
                <w:lang w:eastAsia="sk-SK"/>
              </w:rPr>
            </w:pPr>
            <w:r w:rsidRPr="002E3848">
              <w:rPr>
                <w:rFonts w:ascii="Arial Narrow" w:hAnsi="Arial Narrow"/>
                <w:b/>
                <w:bCs/>
                <w:i/>
                <w:iCs/>
                <w:sz w:val="20"/>
                <w:szCs w:val="20"/>
                <w:lang w:eastAsia="sk-SK"/>
              </w:rPr>
              <w:t>- vplyv na útvary sociálneho zabezpečenia a Vojenský úrad sociálneho zabezpečenia</w:t>
            </w:r>
          </w:p>
        </w:tc>
        <w:tc>
          <w:tcPr>
            <w:tcW w:w="1134" w:type="dxa"/>
            <w:tcBorders>
              <w:top w:val="nil"/>
              <w:left w:val="nil"/>
              <w:bottom w:val="single" w:sz="8" w:space="0" w:color="auto"/>
              <w:right w:val="single" w:sz="8" w:space="0" w:color="auto"/>
            </w:tcBorders>
            <w:noWrap/>
            <w:vAlign w:val="bottom"/>
            <w:hideMark/>
          </w:tcPr>
          <w:p w:rsidR="00134B51" w:rsidRPr="00043018" w:rsidRDefault="00134B51" w:rsidP="00D5717A">
            <w:pPr>
              <w:spacing w:after="0" w:line="240" w:lineRule="auto"/>
              <w:jc w:val="right"/>
              <w:rPr>
                <w:rFonts w:ascii="Arial Narrow" w:hAnsi="Arial Narrow"/>
                <w:b/>
                <w:sz w:val="20"/>
                <w:szCs w:val="20"/>
              </w:rPr>
            </w:pPr>
            <w:r w:rsidRPr="00043018">
              <w:rPr>
                <w:rFonts w:ascii="Arial Narrow" w:hAnsi="Arial Narrow"/>
                <w:b/>
                <w:sz w:val="20"/>
                <w:szCs w:val="20"/>
              </w:rPr>
              <w:t>-1.153.606</w:t>
            </w:r>
            <w:r>
              <w:rPr>
                <w:rFonts w:ascii="Arial Narrow" w:hAnsi="Arial Narrow"/>
                <w:b/>
                <w:sz w:val="20"/>
                <w:szCs w:val="20"/>
              </w:rPr>
              <w:t xml:space="preserve"> </w:t>
            </w:r>
          </w:p>
        </w:tc>
        <w:tc>
          <w:tcPr>
            <w:tcW w:w="1215" w:type="dxa"/>
            <w:tcBorders>
              <w:top w:val="nil"/>
              <w:left w:val="nil"/>
              <w:bottom w:val="single" w:sz="8" w:space="0" w:color="auto"/>
              <w:right w:val="single" w:sz="8" w:space="0" w:color="auto"/>
            </w:tcBorders>
            <w:noWrap/>
            <w:vAlign w:val="bottom"/>
            <w:hideMark/>
          </w:tcPr>
          <w:p w:rsidR="00134B51" w:rsidRPr="009E500F" w:rsidRDefault="00134B51" w:rsidP="00D5717A">
            <w:pPr>
              <w:spacing w:after="0" w:line="240" w:lineRule="auto"/>
              <w:jc w:val="right"/>
              <w:rPr>
                <w:rFonts w:ascii="Arial Narrow" w:hAnsi="Arial Narrow"/>
                <w:b/>
                <w:bCs/>
                <w:color w:val="FF0000"/>
                <w:sz w:val="20"/>
                <w:szCs w:val="20"/>
              </w:rPr>
            </w:pPr>
            <w:r>
              <w:rPr>
                <w:rFonts w:ascii="Arial Narrow" w:hAnsi="Arial Narrow"/>
                <w:b/>
                <w:bCs/>
                <w:sz w:val="20"/>
                <w:szCs w:val="20"/>
              </w:rPr>
              <w:t xml:space="preserve">-1.905.623 </w:t>
            </w:r>
          </w:p>
        </w:tc>
        <w:tc>
          <w:tcPr>
            <w:tcW w:w="1215" w:type="dxa"/>
            <w:tcBorders>
              <w:top w:val="nil"/>
              <w:left w:val="nil"/>
              <w:bottom w:val="single" w:sz="8" w:space="0" w:color="auto"/>
              <w:right w:val="single" w:sz="8" w:space="0" w:color="auto"/>
            </w:tcBorders>
            <w:noWrap/>
            <w:vAlign w:val="bottom"/>
            <w:hideMark/>
          </w:tcPr>
          <w:p w:rsidR="00134B51" w:rsidRPr="0052345C" w:rsidRDefault="00134B51" w:rsidP="00D5717A">
            <w:pPr>
              <w:spacing w:after="0" w:line="240" w:lineRule="auto"/>
              <w:jc w:val="right"/>
              <w:rPr>
                <w:rFonts w:ascii="Arial Narrow" w:hAnsi="Arial Narrow"/>
                <w:b/>
                <w:bCs/>
                <w:color w:val="FF0000"/>
                <w:sz w:val="20"/>
                <w:szCs w:val="20"/>
              </w:rPr>
            </w:pPr>
            <w:r>
              <w:rPr>
                <w:rFonts w:ascii="Arial Narrow" w:hAnsi="Arial Narrow"/>
                <w:b/>
                <w:bCs/>
                <w:sz w:val="20"/>
                <w:szCs w:val="20"/>
              </w:rPr>
              <w:t xml:space="preserve">-1.472.653 </w:t>
            </w:r>
          </w:p>
        </w:tc>
        <w:tc>
          <w:tcPr>
            <w:tcW w:w="1215" w:type="dxa"/>
            <w:tcBorders>
              <w:top w:val="nil"/>
              <w:left w:val="nil"/>
              <w:bottom w:val="single" w:sz="8" w:space="0" w:color="auto"/>
              <w:right w:val="single" w:sz="8" w:space="0" w:color="auto"/>
            </w:tcBorders>
            <w:noWrap/>
            <w:vAlign w:val="bottom"/>
            <w:hideMark/>
          </w:tcPr>
          <w:p w:rsidR="00134B51" w:rsidRPr="006C2381" w:rsidRDefault="00134B51" w:rsidP="00D5717A">
            <w:pPr>
              <w:spacing w:after="0" w:line="240" w:lineRule="auto"/>
              <w:jc w:val="right"/>
              <w:rPr>
                <w:rFonts w:ascii="Arial Narrow" w:hAnsi="Arial Narrow"/>
                <w:b/>
                <w:bCs/>
                <w:color w:val="FF0000"/>
                <w:sz w:val="20"/>
                <w:szCs w:val="20"/>
              </w:rPr>
            </w:pPr>
            <w:r w:rsidRPr="006C2381">
              <w:rPr>
                <w:rFonts w:ascii="Arial Narrow" w:hAnsi="Arial Narrow"/>
                <w:b/>
                <w:bCs/>
                <w:sz w:val="20"/>
                <w:szCs w:val="20"/>
              </w:rPr>
              <w:t xml:space="preserve">0 </w:t>
            </w:r>
          </w:p>
        </w:tc>
      </w:tr>
      <w:tr w:rsidR="00134B51" w:rsidRPr="005C617E" w:rsidTr="00D5717A">
        <w:trPr>
          <w:gridAfter w:val="1"/>
          <w:wAfter w:w="4835" w:type="dxa"/>
          <w:trHeight w:val="154"/>
        </w:trPr>
        <w:tc>
          <w:tcPr>
            <w:tcW w:w="4835" w:type="dxa"/>
            <w:tcBorders>
              <w:top w:val="nil"/>
              <w:left w:val="single" w:sz="8" w:space="0" w:color="auto"/>
              <w:bottom w:val="single" w:sz="8" w:space="0" w:color="auto"/>
              <w:right w:val="single" w:sz="8" w:space="0" w:color="auto"/>
            </w:tcBorders>
            <w:shd w:val="clear" w:color="000000" w:fill="BFBFBF"/>
            <w:noWrap/>
            <w:vAlign w:val="center"/>
          </w:tcPr>
          <w:p w:rsidR="00134B51" w:rsidRPr="00926679" w:rsidRDefault="00134B51" w:rsidP="00D5717A">
            <w:pPr>
              <w:spacing w:after="0" w:line="240" w:lineRule="auto"/>
              <w:rPr>
                <w:rFonts w:ascii="Arial Narrow" w:hAnsi="Arial Narrow"/>
                <w:bCs/>
                <w:i/>
                <w:iCs/>
                <w:color w:val="000000"/>
                <w:sz w:val="20"/>
                <w:szCs w:val="20"/>
                <w:lang w:eastAsia="sk-SK"/>
              </w:rPr>
            </w:pPr>
            <w:r w:rsidRPr="005C617E">
              <w:rPr>
                <w:rFonts w:ascii="Arial Narrow" w:hAnsi="Arial Narrow"/>
                <w:b/>
                <w:bCs/>
                <w:color w:val="000000"/>
                <w:sz w:val="20"/>
                <w:szCs w:val="20"/>
                <w:lang w:eastAsia="sk-SK"/>
              </w:rPr>
              <w:t xml:space="preserve">Vplyv na počet zamestnancov </w:t>
            </w:r>
          </w:p>
        </w:tc>
        <w:tc>
          <w:tcPr>
            <w:tcW w:w="1134" w:type="dxa"/>
            <w:tcBorders>
              <w:top w:val="nil"/>
              <w:left w:val="nil"/>
              <w:bottom w:val="single" w:sz="8" w:space="0" w:color="auto"/>
              <w:right w:val="single" w:sz="8" w:space="0" w:color="auto"/>
            </w:tcBorders>
            <w:shd w:val="clear" w:color="000000" w:fill="BFBFBF"/>
            <w:noWrap/>
            <w:vAlign w:val="center"/>
          </w:tcPr>
          <w:p w:rsidR="00134B51" w:rsidRDefault="00134B51" w:rsidP="00D5717A">
            <w:pPr>
              <w:spacing w:after="0" w:line="240" w:lineRule="auto"/>
              <w:jc w:val="right"/>
              <w:rPr>
                <w:rFonts w:ascii="Arial Narrow" w:hAnsi="Arial Narrow"/>
                <w:color w:val="000000"/>
                <w:sz w:val="20"/>
                <w:szCs w:val="20"/>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BFBFBF"/>
            <w:noWrap/>
            <w:vAlign w:val="center"/>
          </w:tcPr>
          <w:p w:rsidR="00134B51" w:rsidRPr="00695C65" w:rsidRDefault="00134B51" w:rsidP="00D5717A">
            <w:pPr>
              <w:spacing w:after="0" w:line="240" w:lineRule="auto"/>
              <w:jc w:val="right"/>
              <w:rPr>
                <w:rFonts w:ascii="Arial Narrow" w:hAnsi="Arial Narrow"/>
                <w:bCs/>
                <w:color w:val="000000"/>
                <w:sz w:val="20"/>
                <w:szCs w:val="20"/>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BFBFBF"/>
            <w:noWrap/>
            <w:vAlign w:val="center"/>
          </w:tcPr>
          <w:p w:rsidR="00134B51" w:rsidRPr="00695C65" w:rsidRDefault="00134B51" w:rsidP="00D5717A">
            <w:pPr>
              <w:spacing w:after="0" w:line="240" w:lineRule="auto"/>
              <w:jc w:val="right"/>
              <w:rPr>
                <w:rFonts w:ascii="Arial Narrow" w:hAnsi="Arial Narrow"/>
                <w:bCs/>
                <w:color w:val="000000"/>
                <w:sz w:val="20"/>
                <w:szCs w:val="20"/>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BFBFBF"/>
            <w:noWrap/>
            <w:vAlign w:val="center"/>
          </w:tcPr>
          <w:p w:rsidR="00134B51" w:rsidRPr="00695C65" w:rsidRDefault="00134B51" w:rsidP="00D5717A">
            <w:pPr>
              <w:spacing w:after="0" w:line="240" w:lineRule="auto"/>
              <w:jc w:val="right"/>
              <w:rPr>
                <w:rFonts w:ascii="Arial Narrow" w:hAnsi="Arial Narrow"/>
                <w:bCs/>
                <w:color w:val="000000"/>
                <w:sz w:val="20"/>
                <w:szCs w:val="20"/>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230"/>
        </w:trPr>
        <w:tc>
          <w:tcPr>
            <w:tcW w:w="4835" w:type="dxa"/>
            <w:tcBorders>
              <w:top w:val="nil"/>
              <w:left w:val="single" w:sz="8" w:space="0" w:color="auto"/>
              <w:bottom w:val="single" w:sz="8" w:space="0" w:color="auto"/>
              <w:right w:val="single" w:sz="8" w:space="0" w:color="auto"/>
            </w:tcBorders>
            <w:noWrap/>
            <w:vAlign w:val="center"/>
          </w:tcPr>
          <w:p w:rsidR="00134B51" w:rsidRPr="00926679" w:rsidRDefault="00134B51" w:rsidP="00D5717A">
            <w:pPr>
              <w:spacing w:after="0" w:line="240" w:lineRule="auto"/>
              <w:rPr>
                <w:rFonts w:ascii="Arial Narrow" w:hAnsi="Arial Narrow"/>
                <w:bCs/>
                <w:i/>
                <w:iCs/>
                <w:color w:val="000000"/>
                <w:sz w:val="20"/>
                <w:szCs w:val="20"/>
                <w:lang w:eastAsia="sk-SK"/>
              </w:rPr>
            </w:pPr>
            <w:r w:rsidRPr="005C617E">
              <w:rPr>
                <w:rFonts w:ascii="Arial Narrow" w:hAnsi="Arial Narrow"/>
                <w:b/>
                <w:bCs/>
                <w:i/>
                <w:iCs/>
                <w:color w:val="000000"/>
                <w:sz w:val="20"/>
                <w:szCs w:val="20"/>
                <w:lang w:eastAsia="sk-SK"/>
              </w:rPr>
              <w:t>- vplyv na ŠR</w:t>
            </w:r>
          </w:p>
        </w:tc>
        <w:tc>
          <w:tcPr>
            <w:tcW w:w="1134" w:type="dxa"/>
            <w:tcBorders>
              <w:top w:val="nil"/>
              <w:left w:val="nil"/>
              <w:bottom w:val="single" w:sz="8" w:space="0" w:color="auto"/>
              <w:right w:val="single" w:sz="8" w:space="0" w:color="auto"/>
            </w:tcBorders>
            <w:noWrap/>
            <w:vAlign w:val="center"/>
          </w:tcPr>
          <w:p w:rsidR="00134B51" w:rsidRDefault="00134B51" w:rsidP="00D5717A">
            <w:pPr>
              <w:spacing w:after="0" w:line="240" w:lineRule="auto"/>
              <w:jc w:val="right"/>
              <w:rPr>
                <w:rFonts w:ascii="Arial Narrow" w:hAnsi="Arial Narrow"/>
                <w:color w:val="000000"/>
                <w:sz w:val="20"/>
                <w:szCs w:val="20"/>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tcPr>
          <w:p w:rsidR="00134B51" w:rsidRPr="00695C65" w:rsidRDefault="00134B51" w:rsidP="00D5717A">
            <w:pPr>
              <w:spacing w:after="0" w:line="240" w:lineRule="auto"/>
              <w:jc w:val="right"/>
              <w:rPr>
                <w:rFonts w:ascii="Arial Narrow" w:hAnsi="Arial Narrow"/>
                <w:bCs/>
                <w:color w:val="000000"/>
                <w:sz w:val="20"/>
                <w:szCs w:val="20"/>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tcPr>
          <w:p w:rsidR="00134B51" w:rsidRPr="00695C65" w:rsidRDefault="00134B51" w:rsidP="00D5717A">
            <w:pPr>
              <w:spacing w:after="0" w:line="240" w:lineRule="auto"/>
              <w:jc w:val="right"/>
              <w:rPr>
                <w:rFonts w:ascii="Arial Narrow" w:hAnsi="Arial Narrow"/>
                <w:bCs/>
                <w:color w:val="000000"/>
                <w:sz w:val="20"/>
                <w:szCs w:val="20"/>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tcPr>
          <w:p w:rsidR="00134B51" w:rsidRPr="00695C65" w:rsidRDefault="00134B51" w:rsidP="00D5717A">
            <w:pPr>
              <w:spacing w:after="0" w:line="240" w:lineRule="auto"/>
              <w:jc w:val="right"/>
              <w:rPr>
                <w:rFonts w:ascii="Arial Narrow" w:hAnsi="Arial Narrow"/>
                <w:bCs/>
                <w:color w:val="000000"/>
                <w:sz w:val="20"/>
                <w:szCs w:val="20"/>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163"/>
        </w:trPr>
        <w:tc>
          <w:tcPr>
            <w:tcW w:w="4835" w:type="dxa"/>
            <w:tcBorders>
              <w:top w:val="nil"/>
              <w:left w:val="single" w:sz="8" w:space="0" w:color="auto"/>
              <w:bottom w:val="single" w:sz="8" w:space="0" w:color="auto"/>
              <w:right w:val="single" w:sz="8" w:space="0" w:color="auto"/>
            </w:tcBorders>
            <w:noWrap/>
            <w:vAlign w:val="center"/>
          </w:tcPr>
          <w:p w:rsidR="00134B51" w:rsidRPr="00926679" w:rsidRDefault="00134B51" w:rsidP="00D5717A">
            <w:pPr>
              <w:spacing w:after="0" w:line="240" w:lineRule="auto"/>
              <w:rPr>
                <w:rFonts w:ascii="Arial Narrow" w:hAnsi="Arial Narrow"/>
                <w:bCs/>
                <w:i/>
                <w:iCs/>
                <w:color w:val="000000"/>
                <w:sz w:val="20"/>
                <w:szCs w:val="20"/>
                <w:lang w:eastAsia="sk-SK"/>
              </w:rPr>
            </w:pPr>
            <w:r w:rsidRPr="005C617E">
              <w:rPr>
                <w:rFonts w:ascii="Arial Narrow" w:hAnsi="Arial Narrow"/>
                <w:b/>
                <w:bCs/>
                <w:i/>
                <w:iCs/>
                <w:color w:val="000000"/>
                <w:sz w:val="20"/>
                <w:szCs w:val="20"/>
                <w:lang w:eastAsia="sk-SK"/>
              </w:rPr>
              <w:t>- vplyv na obce</w:t>
            </w:r>
          </w:p>
        </w:tc>
        <w:tc>
          <w:tcPr>
            <w:tcW w:w="1134" w:type="dxa"/>
            <w:tcBorders>
              <w:top w:val="nil"/>
              <w:left w:val="nil"/>
              <w:bottom w:val="single" w:sz="8" w:space="0" w:color="auto"/>
              <w:right w:val="single" w:sz="8" w:space="0" w:color="auto"/>
            </w:tcBorders>
            <w:noWrap/>
            <w:vAlign w:val="center"/>
          </w:tcPr>
          <w:p w:rsidR="00134B51" w:rsidRDefault="00134B51" w:rsidP="00D5717A">
            <w:pPr>
              <w:spacing w:after="0" w:line="240" w:lineRule="auto"/>
              <w:jc w:val="right"/>
              <w:rPr>
                <w:rFonts w:ascii="Arial Narrow" w:hAnsi="Arial Narrow"/>
                <w:color w:val="000000"/>
                <w:sz w:val="20"/>
                <w:szCs w:val="20"/>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tcPr>
          <w:p w:rsidR="00134B51" w:rsidRPr="00695C65" w:rsidRDefault="00134B51" w:rsidP="00D5717A">
            <w:pPr>
              <w:spacing w:after="0" w:line="240" w:lineRule="auto"/>
              <w:jc w:val="right"/>
              <w:rPr>
                <w:rFonts w:ascii="Arial Narrow" w:hAnsi="Arial Narrow"/>
                <w:bCs/>
                <w:color w:val="000000"/>
                <w:sz w:val="20"/>
                <w:szCs w:val="20"/>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tcPr>
          <w:p w:rsidR="00134B51" w:rsidRPr="00695C65" w:rsidRDefault="00134B51" w:rsidP="00D5717A">
            <w:pPr>
              <w:spacing w:after="0" w:line="240" w:lineRule="auto"/>
              <w:jc w:val="right"/>
              <w:rPr>
                <w:rFonts w:ascii="Arial Narrow" w:hAnsi="Arial Narrow"/>
                <w:bCs/>
                <w:color w:val="000000"/>
                <w:sz w:val="20"/>
                <w:szCs w:val="20"/>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tcPr>
          <w:p w:rsidR="00134B51" w:rsidRPr="00695C65" w:rsidRDefault="00134B51" w:rsidP="00D5717A">
            <w:pPr>
              <w:spacing w:after="0" w:line="240" w:lineRule="auto"/>
              <w:jc w:val="right"/>
              <w:rPr>
                <w:rFonts w:ascii="Arial Narrow" w:hAnsi="Arial Narrow"/>
                <w:bCs/>
                <w:color w:val="000000"/>
                <w:sz w:val="20"/>
                <w:szCs w:val="20"/>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216"/>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color w:val="000000"/>
                <w:sz w:val="20"/>
                <w:szCs w:val="20"/>
                <w:lang w:eastAsia="sk-SK"/>
              </w:rPr>
            </w:pPr>
            <w:r w:rsidRPr="005C617E">
              <w:rPr>
                <w:rFonts w:ascii="Arial Narrow" w:hAnsi="Arial Narrow"/>
                <w:b/>
                <w:bCs/>
                <w:i/>
                <w:iCs/>
                <w:color w:val="000000"/>
                <w:sz w:val="20"/>
                <w:szCs w:val="20"/>
                <w:lang w:eastAsia="sk-SK"/>
              </w:rPr>
              <w:t>- vplyv na vyššie územné celky</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154"/>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i/>
                <w:iCs/>
                <w:color w:val="000000"/>
                <w:sz w:val="20"/>
                <w:szCs w:val="20"/>
                <w:lang w:eastAsia="sk-SK"/>
              </w:rPr>
              <w:t>- vplyv na ostatné subjekty verejnej správy</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262"/>
        </w:trPr>
        <w:tc>
          <w:tcPr>
            <w:tcW w:w="4835" w:type="dxa"/>
            <w:tcBorders>
              <w:top w:val="nil"/>
              <w:left w:val="single" w:sz="8" w:space="0" w:color="auto"/>
              <w:bottom w:val="single" w:sz="8" w:space="0" w:color="auto"/>
              <w:right w:val="single" w:sz="8" w:space="0" w:color="auto"/>
            </w:tcBorders>
            <w:shd w:val="clear" w:color="000000" w:fill="BFBFBF"/>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color w:val="000000"/>
                <w:sz w:val="20"/>
                <w:szCs w:val="20"/>
                <w:lang w:eastAsia="sk-SK"/>
              </w:rPr>
              <w:t>Vplyv na mzdové výdavky</w:t>
            </w:r>
          </w:p>
        </w:tc>
        <w:tc>
          <w:tcPr>
            <w:tcW w:w="1134" w:type="dxa"/>
            <w:tcBorders>
              <w:top w:val="nil"/>
              <w:left w:val="nil"/>
              <w:bottom w:val="single" w:sz="8" w:space="0" w:color="auto"/>
              <w:right w:val="single" w:sz="8" w:space="0" w:color="auto"/>
            </w:tcBorders>
            <w:shd w:val="clear" w:color="000000" w:fill="BFBFBF"/>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BFBFBF"/>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BFBFBF"/>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BFBFBF"/>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265"/>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i/>
                <w:iCs/>
                <w:color w:val="000000"/>
                <w:sz w:val="20"/>
                <w:szCs w:val="20"/>
                <w:lang w:eastAsia="sk-SK"/>
              </w:rPr>
              <w:t>- vplyv na ŠR</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179"/>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i/>
                <w:iCs/>
                <w:color w:val="000000"/>
                <w:sz w:val="20"/>
                <w:szCs w:val="20"/>
                <w:lang w:eastAsia="sk-SK"/>
              </w:rPr>
              <w:t>- vplyv na obce</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112"/>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color w:val="000000"/>
                <w:sz w:val="20"/>
                <w:szCs w:val="20"/>
                <w:lang w:eastAsia="sk-SK"/>
              </w:rPr>
            </w:pPr>
            <w:r w:rsidRPr="005C617E">
              <w:rPr>
                <w:rFonts w:ascii="Arial Narrow" w:hAnsi="Arial Narrow"/>
                <w:b/>
                <w:bCs/>
                <w:i/>
                <w:iCs/>
                <w:color w:val="000000"/>
                <w:sz w:val="20"/>
                <w:szCs w:val="20"/>
                <w:lang w:eastAsia="sk-SK"/>
              </w:rPr>
              <w:t>- vplyv na vyššie územné celky</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245"/>
        </w:trPr>
        <w:tc>
          <w:tcPr>
            <w:tcW w:w="4835" w:type="dxa"/>
            <w:tcBorders>
              <w:top w:val="nil"/>
              <w:left w:val="single" w:sz="8" w:space="0" w:color="auto"/>
              <w:bottom w:val="single" w:sz="8" w:space="0" w:color="auto"/>
              <w:right w:val="single" w:sz="8" w:space="0" w:color="auto"/>
            </w:tcBorders>
            <w:noWrap/>
            <w:vAlign w:val="center"/>
            <w:hideMark/>
          </w:tcPr>
          <w:p w:rsidR="00134B51" w:rsidRPr="005C617E" w:rsidRDefault="00134B51" w:rsidP="00D5717A">
            <w:pPr>
              <w:spacing w:after="0" w:line="240" w:lineRule="auto"/>
              <w:rPr>
                <w:rFonts w:ascii="Arial Narrow" w:hAnsi="Arial Narrow"/>
                <w:b/>
                <w:bCs/>
                <w:i/>
                <w:iCs/>
                <w:color w:val="000000"/>
                <w:sz w:val="20"/>
                <w:szCs w:val="20"/>
                <w:lang w:eastAsia="sk-SK"/>
              </w:rPr>
            </w:pPr>
            <w:r w:rsidRPr="005C617E">
              <w:rPr>
                <w:rFonts w:ascii="Arial Narrow" w:hAnsi="Arial Narrow"/>
                <w:b/>
                <w:bCs/>
                <w:i/>
                <w:iCs/>
                <w:color w:val="000000"/>
                <w:sz w:val="20"/>
                <w:szCs w:val="20"/>
                <w:lang w:eastAsia="sk-SK"/>
              </w:rPr>
              <w:t>- vplyv na ostatné subjekty verejnej správy</w:t>
            </w:r>
          </w:p>
        </w:tc>
        <w:tc>
          <w:tcPr>
            <w:tcW w:w="1134"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noWrap/>
            <w:vAlign w:val="center"/>
            <w:hideMark/>
          </w:tcPr>
          <w:p w:rsidR="00134B51" w:rsidRPr="005C617E" w:rsidRDefault="00134B51" w:rsidP="00D5717A">
            <w:pPr>
              <w:spacing w:after="0" w:line="240" w:lineRule="auto"/>
              <w:jc w:val="right"/>
              <w:rPr>
                <w:rFonts w:ascii="Arial Narrow" w:hAnsi="Arial Narrow"/>
                <w:b/>
                <w:bCs/>
                <w:color w:val="000000"/>
                <w:sz w:val="20"/>
                <w:szCs w:val="20"/>
                <w:lang w:eastAsia="sk-SK"/>
              </w:rPr>
            </w:pPr>
            <w:r w:rsidRPr="005C617E">
              <w:rPr>
                <w:rFonts w:ascii="Arial Narrow" w:hAnsi="Arial Narrow"/>
                <w:b/>
                <w:bCs/>
                <w:color w:val="000000"/>
                <w:sz w:val="20"/>
                <w:szCs w:val="20"/>
                <w:lang w:eastAsia="sk-SK"/>
              </w:rPr>
              <w:t>0</w:t>
            </w:r>
          </w:p>
        </w:tc>
      </w:tr>
      <w:tr w:rsidR="00134B51" w:rsidRPr="00134B51" w:rsidTr="00D5717A">
        <w:trPr>
          <w:gridAfter w:val="1"/>
          <w:wAfter w:w="4835" w:type="dxa"/>
          <w:trHeight w:val="262"/>
        </w:trPr>
        <w:tc>
          <w:tcPr>
            <w:tcW w:w="4835" w:type="dxa"/>
            <w:tcBorders>
              <w:top w:val="single" w:sz="8" w:space="0" w:color="auto"/>
              <w:left w:val="single" w:sz="8" w:space="0" w:color="auto"/>
              <w:bottom w:val="single" w:sz="4" w:space="0" w:color="auto"/>
              <w:right w:val="single" w:sz="8" w:space="0" w:color="auto"/>
            </w:tcBorders>
            <w:shd w:val="clear" w:color="000000" w:fill="C0C0C0"/>
            <w:noWrap/>
            <w:vAlign w:val="center"/>
            <w:hideMark/>
          </w:tcPr>
          <w:p w:rsidR="00134B51" w:rsidRPr="00134B51" w:rsidRDefault="00134B51" w:rsidP="00D5717A">
            <w:pPr>
              <w:spacing w:after="0" w:line="240" w:lineRule="auto"/>
              <w:rPr>
                <w:rFonts w:ascii="Arial Narrow" w:hAnsi="Arial Narrow"/>
                <w:b/>
                <w:bCs/>
                <w:i/>
                <w:iCs/>
                <w:color w:val="000000"/>
                <w:sz w:val="20"/>
                <w:szCs w:val="20"/>
                <w:lang w:eastAsia="sk-SK"/>
              </w:rPr>
            </w:pPr>
            <w:r w:rsidRPr="00134B51">
              <w:rPr>
                <w:rFonts w:ascii="Arial Narrow" w:hAnsi="Arial Narrow"/>
                <w:b/>
                <w:bCs/>
                <w:color w:val="000000"/>
                <w:sz w:val="20"/>
                <w:szCs w:val="20"/>
                <w:lang w:eastAsia="sk-SK"/>
              </w:rPr>
              <w:t>Financovanie zabezpečené v rozpočte</w:t>
            </w:r>
          </w:p>
        </w:tc>
        <w:tc>
          <w:tcPr>
            <w:tcW w:w="1134" w:type="dxa"/>
            <w:tcBorders>
              <w:top w:val="single" w:sz="8" w:space="0" w:color="auto"/>
              <w:left w:val="nil"/>
              <w:bottom w:val="single" w:sz="4" w:space="0" w:color="auto"/>
              <w:right w:val="single" w:sz="8" w:space="0" w:color="auto"/>
            </w:tcBorders>
            <w:shd w:val="clear" w:color="000000" w:fill="C0C0C0"/>
            <w:noWrap/>
            <w:vAlign w:val="bottom"/>
            <w:hideMark/>
          </w:tcPr>
          <w:p w:rsidR="00134B51" w:rsidRPr="00043018" w:rsidRDefault="00134B51" w:rsidP="00D5717A">
            <w:pPr>
              <w:spacing w:after="0" w:line="240" w:lineRule="auto"/>
              <w:jc w:val="right"/>
              <w:rPr>
                <w:rFonts w:ascii="Arial Narrow" w:hAnsi="Arial Narrow"/>
                <w:b/>
                <w:sz w:val="20"/>
                <w:szCs w:val="20"/>
              </w:rPr>
            </w:pPr>
            <w:r w:rsidRPr="00043018">
              <w:rPr>
                <w:rFonts w:ascii="Arial Narrow" w:hAnsi="Arial Narrow"/>
                <w:b/>
                <w:sz w:val="20"/>
                <w:szCs w:val="20"/>
              </w:rPr>
              <w:t xml:space="preserve">-1.153.606 </w:t>
            </w:r>
          </w:p>
        </w:tc>
        <w:tc>
          <w:tcPr>
            <w:tcW w:w="1215" w:type="dxa"/>
            <w:tcBorders>
              <w:top w:val="single" w:sz="8" w:space="0" w:color="auto"/>
              <w:left w:val="nil"/>
              <w:bottom w:val="single" w:sz="4" w:space="0" w:color="auto"/>
              <w:right w:val="single" w:sz="8" w:space="0" w:color="auto"/>
            </w:tcBorders>
            <w:shd w:val="clear" w:color="000000" w:fill="C0C0C0"/>
            <w:noWrap/>
            <w:vAlign w:val="bottom"/>
            <w:hideMark/>
          </w:tcPr>
          <w:p w:rsidR="00134B51" w:rsidRPr="00043018" w:rsidRDefault="00134B51" w:rsidP="00D5717A">
            <w:pPr>
              <w:spacing w:after="0" w:line="240" w:lineRule="auto"/>
              <w:jc w:val="right"/>
              <w:rPr>
                <w:rFonts w:ascii="Arial Narrow" w:hAnsi="Arial Narrow"/>
                <w:b/>
                <w:bCs/>
                <w:sz w:val="20"/>
                <w:szCs w:val="20"/>
              </w:rPr>
            </w:pPr>
            <w:r w:rsidRPr="00043018">
              <w:rPr>
                <w:rFonts w:ascii="Arial Narrow" w:hAnsi="Arial Narrow"/>
                <w:b/>
                <w:bCs/>
                <w:sz w:val="20"/>
                <w:szCs w:val="20"/>
              </w:rPr>
              <w:t xml:space="preserve">-1.905.623 </w:t>
            </w:r>
          </w:p>
        </w:tc>
        <w:tc>
          <w:tcPr>
            <w:tcW w:w="1215" w:type="dxa"/>
            <w:tcBorders>
              <w:top w:val="single" w:sz="8" w:space="0" w:color="auto"/>
              <w:left w:val="nil"/>
              <w:bottom w:val="single" w:sz="4" w:space="0" w:color="auto"/>
              <w:right w:val="single" w:sz="8" w:space="0" w:color="auto"/>
            </w:tcBorders>
            <w:shd w:val="clear" w:color="000000" w:fill="C0C0C0"/>
            <w:noWrap/>
            <w:vAlign w:val="bottom"/>
            <w:hideMark/>
          </w:tcPr>
          <w:p w:rsidR="00134B51" w:rsidRPr="00E13E5C" w:rsidRDefault="00134B51" w:rsidP="00D5717A">
            <w:pPr>
              <w:spacing w:after="0" w:line="240" w:lineRule="auto"/>
              <w:jc w:val="right"/>
              <w:rPr>
                <w:rFonts w:ascii="Arial Narrow" w:hAnsi="Arial Narrow"/>
                <w:b/>
                <w:bCs/>
                <w:sz w:val="20"/>
                <w:szCs w:val="20"/>
              </w:rPr>
            </w:pPr>
            <w:r w:rsidRPr="00E13E5C">
              <w:rPr>
                <w:rFonts w:ascii="Arial Narrow" w:hAnsi="Arial Narrow"/>
                <w:b/>
                <w:bCs/>
                <w:sz w:val="20"/>
                <w:szCs w:val="20"/>
              </w:rPr>
              <w:t>-</w:t>
            </w:r>
            <w:r>
              <w:rPr>
                <w:rFonts w:ascii="Arial Narrow" w:hAnsi="Arial Narrow"/>
                <w:b/>
                <w:bCs/>
                <w:sz w:val="20"/>
                <w:szCs w:val="20"/>
              </w:rPr>
              <w:t xml:space="preserve">1.472.653 </w:t>
            </w:r>
          </w:p>
        </w:tc>
        <w:tc>
          <w:tcPr>
            <w:tcW w:w="1215" w:type="dxa"/>
            <w:tcBorders>
              <w:top w:val="single" w:sz="8" w:space="0" w:color="auto"/>
              <w:left w:val="nil"/>
              <w:bottom w:val="single" w:sz="4" w:space="0" w:color="auto"/>
              <w:right w:val="single" w:sz="8" w:space="0" w:color="auto"/>
            </w:tcBorders>
            <w:shd w:val="clear" w:color="000000" w:fill="C0C0C0"/>
            <w:noWrap/>
            <w:vAlign w:val="bottom"/>
            <w:hideMark/>
          </w:tcPr>
          <w:p w:rsidR="00134B51" w:rsidRPr="006C2381" w:rsidRDefault="00134B51" w:rsidP="00D5717A">
            <w:pPr>
              <w:spacing w:after="0" w:line="240" w:lineRule="auto"/>
              <w:jc w:val="right"/>
              <w:rPr>
                <w:rFonts w:ascii="Arial Narrow" w:hAnsi="Arial Narrow"/>
                <w:b/>
                <w:bCs/>
                <w:sz w:val="20"/>
                <w:szCs w:val="20"/>
              </w:rPr>
            </w:pPr>
            <w:r w:rsidRPr="006C2381">
              <w:rPr>
                <w:rFonts w:ascii="Arial Narrow" w:hAnsi="Arial Narrow"/>
                <w:b/>
                <w:bCs/>
                <w:sz w:val="20"/>
                <w:szCs w:val="20"/>
              </w:rPr>
              <w:t xml:space="preserve">0 </w:t>
            </w:r>
          </w:p>
        </w:tc>
      </w:tr>
      <w:tr w:rsidR="00134B51" w:rsidRPr="005C617E" w:rsidTr="00D5717A">
        <w:trPr>
          <w:gridAfter w:val="1"/>
          <w:wAfter w:w="4835" w:type="dxa"/>
          <w:trHeight w:val="414"/>
        </w:trPr>
        <w:tc>
          <w:tcPr>
            <w:tcW w:w="4835" w:type="dxa"/>
            <w:tcBorders>
              <w:top w:val="nil"/>
              <w:left w:val="single" w:sz="8" w:space="0" w:color="auto"/>
              <w:bottom w:val="single" w:sz="8" w:space="0" w:color="auto"/>
              <w:right w:val="single" w:sz="8" w:space="0" w:color="auto"/>
            </w:tcBorders>
            <w:noWrap/>
            <w:vAlign w:val="center"/>
            <w:hideMark/>
          </w:tcPr>
          <w:p w:rsidR="00134B51" w:rsidRDefault="00134B51" w:rsidP="00D5717A">
            <w:pPr>
              <w:spacing w:after="0" w:line="240" w:lineRule="auto"/>
              <w:rPr>
                <w:rFonts w:ascii="Arial Narrow" w:hAnsi="Arial Narrow"/>
                <w:sz w:val="20"/>
                <w:szCs w:val="20"/>
                <w:lang w:eastAsia="sk-SK"/>
              </w:rPr>
            </w:pPr>
            <w:r w:rsidRPr="002E3848">
              <w:rPr>
                <w:rFonts w:ascii="Arial Narrow" w:hAnsi="Arial Narrow"/>
                <w:sz w:val="20"/>
                <w:szCs w:val="20"/>
                <w:lang w:eastAsia="sk-SK"/>
              </w:rPr>
              <w:t xml:space="preserve">z toho vplyv na </w:t>
            </w:r>
          </w:p>
          <w:p w:rsidR="00134B51" w:rsidRPr="002E3848" w:rsidRDefault="00134B51" w:rsidP="00D5717A">
            <w:pPr>
              <w:spacing w:after="0" w:line="240" w:lineRule="auto"/>
              <w:rPr>
                <w:rFonts w:ascii="Arial Narrow" w:hAnsi="Arial Narrow"/>
                <w:b/>
                <w:bCs/>
                <w:i/>
                <w:iCs/>
                <w:sz w:val="20"/>
                <w:szCs w:val="20"/>
                <w:lang w:eastAsia="sk-SK"/>
              </w:rPr>
            </w:pPr>
            <w:r w:rsidRPr="002E3848">
              <w:rPr>
                <w:rFonts w:ascii="Arial Narrow" w:hAnsi="Arial Narrow"/>
                <w:sz w:val="20"/>
                <w:szCs w:val="20"/>
                <w:lang w:eastAsia="sk-SK"/>
              </w:rPr>
              <w:t xml:space="preserve">útvar sociálneho zabezpečenia </w:t>
            </w:r>
            <w:r>
              <w:rPr>
                <w:rFonts w:ascii="Arial Narrow" w:hAnsi="Arial Narrow"/>
                <w:sz w:val="20"/>
                <w:szCs w:val="20"/>
                <w:lang w:eastAsia="sk-SK"/>
              </w:rPr>
              <w:t>MV SR, SIS</w:t>
            </w:r>
          </w:p>
        </w:tc>
        <w:tc>
          <w:tcPr>
            <w:tcW w:w="1134" w:type="dxa"/>
            <w:tcBorders>
              <w:top w:val="nil"/>
              <w:left w:val="single" w:sz="4" w:space="0" w:color="auto"/>
              <w:bottom w:val="single" w:sz="4" w:space="0" w:color="auto"/>
              <w:right w:val="single" w:sz="4" w:space="0" w:color="auto"/>
            </w:tcBorders>
            <w:noWrap/>
            <w:vAlign w:val="bottom"/>
            <w:hideMark/>
          </w:tcPr>
          <w:p w:rsidR="00134B51" w:rsidRPr="00043018" w:rsidRDefault="00134B51" w:rsidP="00D5717A">
            <w:pPr>
              <w:spacing w:after="0" w:line="240" w:lineRule="auto"/>
              <w:jc w:val="right"/>
              <w:rPr>
                <w:rFonts w:ascii="Arial Narrow" w:hAnsi="Arial Narrow"/>
                <w:sz w:val="20"/>
                <w:szCs w:val="20"/>
              </w:rPr>
            </w:pPr>
            <w:r w:rsidRPr="00043018">
              <w:rPr>
                <w:rFonts w:ascii="Arial Narrow" w:hAnsi="Arial Narrow"/>
                <w:sz w:val="20"/>
                <w:szCs w:val="20"/>
              </w:rPr>
              <w:t xml:space="preserve">- 445.263 </w:t>
            </w:r>
          </w:p>
        </w:tc>
        <w:tc>
          <w:tcPr>
            <w:tcW w:w="1215" w:type="dxa"/>
            <w:tcBorders>
              <w:top w:val="nil"/>
              <w:left w:val="nil"/>
              <w:bottom w:val="single" w:sz="4" w:space="0" w:color="auto"/>
              <w:right w:val="single" w:sz="4" w:space="0" w:color="auto"/>
            </w:tcBorders>
            <w:noWrap/>
            <w:vAlign w:val="bottom"/>
          </w:tcPr>
          <w:p w:rsidR="00134B51" w:rsidRPr="00043018" w:rsidRDefault="00134B51" w:rsidP="00D5717A">
            <w:pPr>
              <w:spacing w:after="0" w:line="240" w:lineRule="auto"/>
              <w:jc w:val="right"/>
              <w:rPr>
                <w:rFonts w:ascii="Arial Narrow" w:hAnsi="Arial Narrow"/>
                <w:bCs/>
                <w:sz w:val="20"/>
                <w:szCs w:val="20"/>
                <w:lang w:eastAsia="sk-SK"/>
              </w:rPr>
            </w:pPr>
            <w:r w:rsidRPr="00043018">
              <w:rPr>
                <w:rFonts w:ascii="Arial Narrow" w:hAnsi="Arial Narrow"/>
                <w:bCs/>
                <w:sz w:val="20"/>
                <w:szCs w:val="20"/>
              </w:rPr>
              <w:t xml:space="preserve">- 735.710 </w:t>
            </w:r>
          </w:p>
        </w:tc>
        <w:tc>
          <w:tcPr>
            <w:tcW w:w="1215" w:type="dxa"/>
            <w:tcBorders>
              <w:top w:val="nil"/>
              <w:left w:val="nil"/>
              <w:bottom w:val="single" w:sz="4" w:space="0" w:color="auto"/>
              <w:right w:val="single" w:sz="4" w:space="0" w:color="auto"/>
            </w:tcBorders>
            <w:noWrap/>
            <w:vAlign w:val="bottom"/>
          </w:tcPr>
          <w:p w:rsidR="00134B51" w:rsidRPr="00E13E5C" w:rsidRDefault="00134B51" w:rsidP="00D5717A">
            <w:pPr>
              <w:spacing w:after="0" w:line="240" w:lineRule="auto"/>
              <w:jc w:val="right"/>
              <w:rPr>
                <w:rFonts w:ascii="Arial Narrow" w:hAnsi="Arial Narrow"/>
                <w:bCs/>
                <w:sz w:val="20"/>
                <w:szCs w:val="20"/>
                <w:lang w:eastAsia="sk-SK"/>
              </w:rPr>
            </w:pPr>
            <w:r w:rsidRPr="00E13E5C">
              <w:rPr>
                <w:rFonts w:ascii="Arial Narrow" w:hAnsi="Arial Narrow"/>
                <w:bCs/>
                <w:sz w:val="20"/>
                <w:szCs w:val="20"/>
              </w:rPr>
              <w:t xml:space="preserve">- 606.024 </w:t>
            </w:r>
          </w:p>
        </w:tc>
        <w:tc>
          <w:tcPr>
            <w:tcW w:w="1215" w:type="dxa"/>
            <w:tcBorders>
              <w:top w:val="nil"/>
              <w:left w:val="nil"/>
              <w:bottom w:val="single" w:sz="4" w:space="0" w:color="auto"/>
              <w:right w:val="single" w:sz="4" w:space="0" w:color="auto"/>
            </w:tcBorders>
            <w:noWrap/>
            <w:vAlign w:val="bottom"/>
          </w:tcPr>
          <w:p w:rsidR="00134B51" w:rsidRPr="006C2381" w:rsidRDefault="00134B51" w:rsidP="00D5717A">
            <w:pPr>
              <w:spacing w:after="0" w:line="240" w:lineRule="auto"/>
              <w:jc w:val="right"/>
              <w:rPr>
                <w:rFonts w:ascii="Arial Narrow" w:hAnsi="Arial Narrow"/>
                <w:bCs/>
                <w:sz w:val="20"/>
                <w:szCs w:val="20"/>
                <w:lang w:eastAsia="sk-SK"/>
              </w:rPr>
            </w:pPr>
            <w:r w:rsidRPr="006C2381">
              <w:rPr>
                <w:rFonts w:ascii="Arial Narrow" w:hAnsi="Arial Narrow"/>
                <w:bCs/>
                <w:sz w:val="20"/>
                <w:szCs w:val="20"/>
              </w:rPr>
              <w:t>0</w:t>
            </w:r>
          </w:p>
        </w:tc>
      </w:tr>
      <w:tr w:rsidR="00134B51" w:rsidRPr="005C617E" w:rsidTr="00D5717A">
        <w:trPr>
          <w:gridAfter w:val="1"/>
          <w:wAfter w:w="4835" w:type="dxa"/>
          <w:trHeight w:val="360"/>
        </w:trPr>
        <w:tc>
          <w:tcPr>
            <w:tcW w:w="4835" w:type="dxa"/>
            <w:tcBorders>
              <w:top w:val="nil"/>
              <w:left w:val="single" w:sz="8" w:space="0" w:color="auto"/>
              <w:bottom w:val="single" w:sz="8" w:space="0" w:color="auto"/>
              <w:right w:val="single" w:sz="8" w:space="0" w:color="auto"/>
            </w:tcBorders>
            <w:vAlign w:val="center"/>
          </w:tcPr>
          <w:p w:rsidR="00134B51" w:rsidRDefault="00134B51" w:rsidP="00D5717A">
            <w:pPr>
              <w:spacing w:after="0" w:line="240" w:lineRule="auto"/>
              <w:rPr>
                <w:rFonts w:ascii="Arial Narrow" w:hAnsi="Arial Narrow"/>
                <w:sz w:val="20"/>
                <w:szCs w:val="20"/>
                <w:lang w:eastAsia="sk-SK"/>
              </w:rPr>
            </w:pPr>
            <w:r>
              <w:rPr>
                <w:rFonts w:ascii="Arial Narrow" w:hAnsi="Arial Narrow"/>
                <w:sz w:val="20"/>
                <w:szCs w:val="20"/>
                <w:lang w:eastAsia="sk-SK"/>
              </w:rPr>
              <w:t>útvar sociálneho zabezpečenia ZVJS</w:t>
            </w:r>
            <w:r w:rsidRPr="007E04E0">
              <w:rPr>
                <w:rFonts w:ascii="Arial Narrow" w:hAnsi="Arial Narrow"/>
                <w:strike/>
                <w:sz w:val="20"/>
                <w:szCs w:val="20"/>
                <w:lang w:eastAsia="sk-SK"/>
              </w:rPr>
              <w:t xml:space="preserve"> </w:t>
            </w:r>
          </w:p>
        </w:tc>
        <w:tc>
          <w:tcPr>
            <w:tcW w:w="1134" w:type="dxa"/>
            <w:tcBorders>
              <w:top w:val="nil"/>
              <w:left w:val="single" w:sz="4" w:space="0" w:color="auto"/>
              <w:bottom w:val="single" w:sz="4" w:space="0" w:color="auto"/>
              <w:right w:val="single" w:sz="4" w:space="0" w:color="auto"/>
            </w:tcBorders>
            <w:noWrap/>
            <w:vAlign w:val="bottom"/>
          </w:tcPr>
          <w:p w:rsidR="00134B51" w:rsidRPr="00043018" w:rsidRDefault="00134B51" w:rsidP="00D5717A">
            <w:pPr>
              <w:spacing w:after="0" w:line="240" w:lineRule="auto"/>
              <w:jc w:val="right"/>
              <w:rPr>
                <w:rFonts w:ascii="Arial Narrow" w:hAnsi="Arial Narrow"/>
                <w:sz w:val="20"/>
                <w:szCs w:val="20"/>
              </w:rPr>
            </w:pPr>
            <w:r w:rsidRPr="00043018">
              <w:rPr>
                <w:rFonts w:ascii="Arial Narrow" w:hAnsi="Arial Narrow"/>
                <w:sz w:val="20"/>
                <w:szCs w:val="20"/>
              </w:rPr>
              <w:t xml:space="preserve">- 79.292 </w:t>
            </w:r>
          </w:p>
        </w:tc>
        <w:tc>
          <w:tcPr>
            <w:tcW w:w="1215" w:type="dxa"/>
            <w:tcBorders>
              <w:top w:val="nil"/>
              <w:left w:val="nil"/>
              <w:bottom w:val="single" w:sz="4" w:space="0" w:color="auto"/>
              <w:right w:val="single" w:sz="4" w:space="0" w:color="auto"/>
            </w:tcBorders>
            <w:noWrap/>
            <w:vAlign w:val="bottom"/>
          </w:tcPr>
          <w:p w:rsidR="00134B51" w:rsidRPr="00043018" w:rsidRDefault="00134B51" w:rsidP="00D5717A">
            <w:pPr>
              <w:spacing w:after="0" w:line="240" w:lineRule="auto"/>
              <w:jc w:val="right"/>
              <w:rPr>
                <w:rFonts w:ascii="Arial Narrow" w:hAnsi="Arial Narrow"/>
                <w:bCs/>
                <w:sz w:val="20"/>
                <w:szCs w:val="20"/>
              </w:rPr>
            </w:pPr>
            <w:r w:rsidRPr="00043018">
              <w:rPr>
                <w:rFonts w:ascii="Arial Narrow" w:hAnsi="Arial Narrow"/>
                <w:bCs/>
                <w:sz w:val="20"/>
                <w:szCs w:val="20"/>
              </w:rPr>
              <w:t xml:space="preserve">- 113.721 </w:t>
            </w:r>
          </w:p>
        </w:tc>
        <w:tc>
          <w:tcPr>
            <w:tcW w:w="1215" w:type="dxa"/>
            <w:tcBorders>
              <w:top w:val="nil"/>
              <w:left w:val="nil"/>
              <w:bottom w:val="single" w:sz="4" w:space="0" w:color="auto"/>
              <w:right w:val="single" w:sz="4" w:space="0" w:color="auto"/>
            </w:tcBorders>
            <w:noWrap/>
            <w:vAlign w:val="bottom"/>
          </w:tcPr>
          <w:p w:rsidR="00134B51" w:rsidRPr="00E13E5C" w:rsidRDefault="00134B51" w:rsidP="00D5717A">
            <w:pPr>
              <w:spacing w:after="0" w:line="240" w:lineRule="auto"/>
              <w:jc w:val="right"/>
              <w:rPr>
                <w:rFonts w:ascii="Arial Narrow" w:hAnsi="Arial Narrow"/>
                <w:bCs/>
                <w:sz w:val="20"/>
                <w:szCs w:val="20"/>
              </w:rPr>
            </w:pPr>
            <w:r w:rsidRPr="00E13E5C">
              <w:rPr>
                <w:rFonts w:ascii="Arial Narrow" w:hAnsi="Arial Narrow"/>
                <w:bCs/>
                <w:sz w:val="20"/>
                <w:szCs w:val="20"/>
              </w:rPr>
              <w:t>- 60.400</w:t>
            </w:r>
          </w:p>
        </w:tc>
        <w:tc>
          <w:tcPr>
            <w:tcW w:w="1215" w:type="dxa"/>
            <w:tcBorders>
              <w:top w:val="nil"/>
              <w:left w:val="nil"/>
              <w:bottom w:val="single" w:sz="4" w:space="0" w:color="auto"/>
              <w:right w:val="single" w:sz="4" w:space="0" w:color="auto"/>
            </w:tcBorders>
            <w:noWrap/>
            <w:vAlign w:val="bottom"/>
          </w:tcPr>
          <w:p w:rsidR="00134B51" w:rsidRPr="006C2381" w:rsidRDefault="00134B51" w:rsidP="00D5717A">
            <w:pPr>
              <w:spacing w:after="0" w:line="240" w:lineRule="auto"/>
              <w:jc w:val="right"/>
              <w:rPr>
                <w:rFonts w:ascii="Arial Narrow" w:hAnsi="Arial Narrow"/>
                <w:bCs/>
                <w:sz w:val="20"/>
                <w:szCs w:val="20"/>
              </w:rPr>
            </w:pPr>
            <w:r w:rsidRPr="006C2381">
              <w:rPr>
                <w:rFonts w:ascii="Arial Narrow" w:hAnsi="Arial Narrow"/>
                <w:bCs/>
                <w:sz w:val="20"/>
                <w:szCs w:val="20"/>
              </w:rPr>
              <w:t xml:space="preserve">0 </w:t>
            </w:r>
          </w:p>
        </w:tc>
      </w:tr>
      <w:tr w:rsidR="00134B51" w:rsidRPr="005C617E" w:rsidTr="00D5717A">
        <w:trPr>
          <w:gridAfter w:val="1"/>
          <w:wAfter w:w="4835" w:type="dxa"/>
          <w:trHeight w:val="360"/>
        </w:trPr>
        <w:tc>
          <w:tcPr>
            <w:tcW w:w="4835" w:type="dxa"/>
            <w:tcBorders>
              <w:top w:val="nil"/>
              <w:left w:val="single" w:sz="8" w:space="0" w:color="auto"/>
              <w:bottom w:val="single" w:sz="8" w:space="0" w:color="auto"/>
              <w:right w:val="single" w:sz="8" w:space="0" w:color="auto"/>
            </w:tcBorders>
            <w:vAlign w:val="center"/>
          </w:tcPr>
          <w:p w:rsidR="00134B51" w:rsidRDefault="00134B51" w:rsidP="00D5717A">
            <w:pPr>
              <w:spacing w:after="0" w:line="240" w:lineRule="auto"/>
              <w:rPr>
                <w:rFonts w:ascii="Arial Narrow" w:hAnsi="Arial Narrow"/>
                <w:sz w:val="20"/>
                <w:szCs w:val="20"/>
                <w:lang w:eastAsia="sk-SK"/>
              </w:rPr>
            </w:pPr>
            <w:r>
              <w:rPr>
                <w:rFonts w:ascii="Arial Narrow" w:hAnsi="Arial Narrow"/>
                <w:sz w:val="20"/>
                <w:szCs w:val="20"/>
                <w:lang w:eastAsia="sk-SK"/>
              </w:rPr>
              <w:t>útvar sociálneho zabezpečenia NBÚ</w:t>
            </w:r>
          </w:p>
        </w:tc>
        <w:tc>
          <w:tcPr>
            <w:tcW w:w="1134" w:type="dxa"/>
            <w:tcBorders>
              <w:top w:val="nil"/>
              <w:left w:val="single" w:sz="4" w:space="0" w:color="auto"/>
              <w:bottom w:val="single" w:sz="4" w:space="0" w:color="auto"/>
              <w:right w:val="single" w:sz="4" w:space="0" w:color="auto"/>
            </w:tcBorders>
            <w:noWrap/>
            <w:vAlign w:val="bottom"/>
          </w:tcPr>
          <w:p w:rsidR="00134B51" w:rsidRPr="00043018" w:rsidRDefault="00134B51" w:rsidP="00D5717A">
            <w:pPr>
              <w:spacing w:after="0" w:line="240" w:lineRule="auto"/>
              <w:jc w:val="right"/>
              <w:rPr>
                <w:rFonts w:ascii="Arial Narrow" w:hAnsi="Arial Narrow"/>
                <w:sz w:val="20"/>
                <w:szCs w:val="20"/>
              </w:rPr>
            </w:pPr>
            <w:r w:rsidRPr="00043018">
              <w:rPr>
                <w:rFonts w:ascii="Arial Narrow" w:hAnsi="Arial Narrow"/>
                <w:sz w:val="20"/>
                <w:szCs w:val="20"/>
              </w:rPr>
              <w:t xml:space="preserve">- 5.375 </w:t>
            </w:r>
          </w:p>
        </w:tc>
        <w:tc>
          <w:tcPr>
            <w:tcW w:w="1215" w:type="dxa"/>
            <w:tcBorders>
              <w:top w:val="nil"/>
              <w:left w:val="nil"/>
              <w:bottom w:val="single" w:sz="4" w:space="0" w:color="auto"/>
              <w:right w:val="single" w:sz="4" w:space="0" w:color="auto"/>
            </w:tcBorders>
            <w:noWrap/>
            <w:vAlign w:val="bottom"/>
          </w:tcPr>
          <w:p w:rsidR="00134B51" w:rsidRPr="00043018" w:rsidRDefault="00134B51" w:rsidP="00D5717A">
            <w:pPr>
              <w:spacing w:after="0" w:line="240" w:lineRule="auto"/>
              <w:jc w:val="right"/>
              <w:rPr>
                <w:rFonts w:ascii="Arial Narrow" w:hAnsi="Arial Narrow"/>
                <w:bCs/>
                <w:sz w:val="20"/>
                <w:szCs w:val="20"/>
              </w:rPr>
            </w:pPr>
            <w:r w:rsidRPr="00043018">
              <w:rPr>
                <w:rFonts w:ascii="Arial Narrow" w:hAnsi="Arial Narrow"/>
                <w:bCs/>
                <w:sz w:val="20"/>
                <w:szCs w:val="20"/>
              </w:rPr>
              <w:t xml:space="preserve">- 10.211 </w:t>
            </w:r>
          </w:p>
        </w:tc>
        <w:tc>
          <w:tcPr>
            <w:tcW w:w="1215" w:type="dxa"/>
            <w:tcBorders>
              <w:top w:val="nil"/>
              <w:left w:val="nil"/>
              <w:bottom w:val="single" w:sz="4" w:space="0" w:color="auto"/>
              <w:right w:val="single" w:sz="4" w:space="0" w:color="auto"/>
            </w:tcBorders>
            <w:noWrap/>
            <w:vAlign w:val="bottom"/>
          </w:tcPr>
          <w:p w:rsidR="00134B51" w:rsidRPr="00E13E5C" w:rsidRDefault="00134B51" w:rsidP="00D5717A">
            <w:pPr>
              <w:spacing w:after="0" w:line="240" w:lineRule="auto"/>
              <w:jc w:val="right"/>
              <w:rPr>
                <w:rFonts w:ascii="Arial Narrow" w:hAnsi="Arial Narrow"/>
                <w:bCs/>
                <w:sz w:val="20"/>
                <w:szCs w:val="20"/>
              </w:rPr>
            </w:pPr>
            <w:r w:rsidRPr="00E13E5C">
              <w:rPr>
                <w:rFonts w:ascii="Arial Narrow" w:hAnsi="Arial Narrow"/>
                <w:bCs/>
                <w:sz w:val="20"/>
                <w:szCs w:val="20"/>
              </w:rPr>
              <w:t>- 6.528</w:t>
            </w:r>
            <w:r>
              <w:rPr>
                <w:rFonts w:ascii="Arial Narrow" w:hAnsi="Arial Narrow"/>
                <w:bCs/>
                <w:sz w:val="20"/>
                <w:szCs w:val="20"/>
              </w:rPr>
              <w:t xml:space="preserve"> </w:t>
            </w:r>
          </w:p>
        </w:tc>
        <w:tc>
          <w:tcPr>
            <w:tcW w:w="1215" w:type="dxa"/>
            <w:tcBorders>
              <w:top w:val="nil"/>
              <w:left w:val="nil"/>
              <w:bottom w:val="single" w:sz="4" w:space="0" w:color="auto"/>
              <w:right w:val="single" w:sz="4" w:space="0" w:color="auto"/>
            </w:tcBorders>
            <w:noWrap/>
            <w:vAlign w:val="bottom"/>
          </w:tcPr>
          <w:p w:rsidR="00134B51" w:rsidRPr="006C2381" w:rsidRDefault="00134B51" w:rsidP="00D5717A">
            <w:pPr>
              <w:spacing w:after="0" w:line="240" w:lineRule="auto"/>
              <w:jc w:val="right"/>
              <w:rPr>
                <w:rFonts w:ascii="Arial Narrow" w:hAnsi="Arial Narrow"/>
                <w:bCs/>
                <w:sz w:val="20"/>
                <w:szCs w:val="20"/>
              </w:rPr>
            </w:pPr>
            <w:r w:rsidRPr="006C2381">
              <w:rPr>
                <w:rFonts w:ascii="Arial Narrow" w:hAnsi="Arial Narrow"/>
                <w:bCs/>
                <w:sz w:val="20"/>
                <w:szCs w:val="20"/>
              </w:rPr>
              <w:t xml:space="preserve">0 </w:t>
            </w:r>
          </w:p>
        </w:tc>
      </w:tr>
      <w:tr w:rsidR="00134B51" w:rsidRPr="005C617E" w:rsidTr="00D5717A">
        <w:trPr>
          <w:gridAfter w:val="1"/>
          <w:wAfter w:w="4835" w:type="dxa"/>
          <w:trHeight w:val="360"/>
        </w:trPr>
        <w:tc>
          <w:tcPr>
            <w:tcW w:w="4835" w:type="dxa"/>
            <w:tcBorders>
              <w:top w:val="nil"/>
              <w:left w:val="single" w:sz="8" w:space="0" w:color="auto"/>
              <w:bottom w:val="single" w:sz="8" w:space="0" w:color="auto"/>
              <w:right w:val="single" w:sz="8" w:space="0" w:color="auto"/>
            </w:tcBorders>
            <w:vAlign w:val="center"/>
          </w:tcPr>
          <w:p w:rsidR="00134B51" w:rsidRDefault="00134B51" w:rsidP="00D5717A">
            <w:pPr>
              <w:spacing w:after="0" w:line="240" w:lineRule="auto"/>
              <w:rPr>
                <w:rFonts w:ascii="Arial Narrow" w:hAnsi="Arial Narrow"/>
                <w:sz w:val="20"/>
                <w:szCs w:val="20"/>
                <w:lang w:eastAsia="sk-SK"/>
              </w:rPr>
            </w:pPr>
            <w:r>
              <w:rPr>
                <w:rFonts w:ascii="Arial Narrow" w:hAnsi="Arial Narrow"/>
                <w:sz w:val="20"/>
                <w:szCs w:val="20"/>
                <w:lang w:eastAsia="sk-SK"/>
              </w:rPr>
              <w:t>útvar sociálneho zabezpečenia FR SR</w:t>
            </w:r>
          </w:p>
        </w:tc>
        <w:tc>
          <w:tcPr>
            <w:tcW w:w="1134" w:type="dxa"/>
            <w:tcBorders>
              <w:top w:val="nil"/>
              <w:left w:val="single" w:sz="4" w:space="0" w:color="auto"/>
              <w:bottom w:val="single" w:sz="4" w:space="0" w:color="auto"/>
              <w:right w:val="single" w:sz="4" w:space="0" w:color="auto"/>
            </w:tcBorders>
            <w:noWrap/>
            <w:vAlign w:val="bottom"/>
          </w:tcPr>
          <w:p w:rsidR="00134B51" w:rsidRPr="00043018" w:rsidRDefault="00134B51" w:rsidP="00D5717A">
            <w:pPr>
              <w:spacing w:after="0" w:line="240" w:lineRule="auto"/>
              <w:jc w:val="right"/>
              <w:rPr>
                <w:rFonts w:ascii="Arial Narrow" w:hAnsi="Arial Narrow"/>
                <w:sz w:val="20"/>
                <w:szCs w:val="20"/>
              </w:rPr>
            </w:pPr>
            <w:r w:rsidRPr="00043018">
              <w:rPr>
                <w:rFonts w:ascii="Arial Narrow" w:hAnsi="Arial Narrow"/>
                <w:sz w:val="20"/>
                <w:szCs w:val="20"/>
              </w:rPr>
              <w:t xml:space="preserve">11.112 </w:t>
            </w:r>
          </w:p>
        </w:tc>
        <w:tc>
          <w:tcPr>
            <w:tcW w:w="1215" w:type="dxa"/>
            <w:tcBorders>
              <w:top w:val="nil"/>
              <w:left w:val="nil"/>
              <w:bottom w:val="single" w:sz="4" w:space="0" w:color="auto"/>
              <w:right w:val="single" w:sz="4" w:space="0" w:color="auto"/>
            </w:tcBorders>
            <w:noWrap/>
            <w:vAlign w:val="bottom"/>
          </w:tcPr>
          <w:p w:rsidR="00134B51" w:rsidRPr="00043018" w:rsidRDefault="00134B51" w:rsidP="00D5717A">
            <w:pPr>
              <w:spacing w:after="0" w:line="240" w:lineRule="auto"/>
              <w:jc w:val="right"/>
              <w:rPr>
                <w:rFonts w:ascii="Arial Narrow" w:hAnsi="Arial Narrow"/>
                <w:bCs/>
                <w:sz w:val="20"/>
                <w:szCs w:val="20"/>
              </w:rPr>
            </w:pPr>
            <w:r w:rsidRPr="00043018">
              <w:rPr>
                <w:rFonts w:ascii="Arial Narrow" w:hAnsi="Arial Narrow"/>
                <w:bCs/>
                <w:sz w:val="20"/>
                <w:szCs w:val="20"/>
              </w:rPr>
              <w:t>3</w:t>
            </w:r>
            <w:r>
              <w:rPr>
                <w:rFonts w:ascii="Arial Narrow" w:hAnsi="Arial Narrow"/>
                <w:bCs/>
                <w:sz w:val="20"/>
                <w:szCs w:val="20"/>
              </w:rPr>
              <w:t xml:space="preserve">5.588 </w:t>
            </w:r>
          </w:p>
        </w:tc>
        <w:tc>
          <w:tcPr>
            <w:tcW w:w="1215" w:type="dxa"/>
            <w:tcBorders>
              <w:top w:val="nil"/>
              <w:left w:val="nil"/>
              <w:bottom w:val="single" w:sz="4" w:space="0" w:color="auto"/>
              <w:right w:val="single" w:sz="4" w:space="0" w:color="auto"/>
            </w:tcBorders>
            <w:noWrap/>
            <w:vAlign w:val="bottom"/>
          </w:tcPr>
          <w:p w:rsidR="00134B51" w:rsidRPr="00E13E5C" w:rsidRDefault="00134B51" w:rsidP="00D5717A">
            <w:pPr>
              <w:spacing w:after="0" w:line="240" w:lineRule="auto"/>
              <w:jc w:val="right"/>
              <w:rPr>
                <w:rFonts w:ascii="Arial Narrow" w:hAnsi="Arial Narrow"/>
                <w:bCs/>
                <w:sz w:val="20"/>
                <w:szCs w:val="20"/>
              </w:rPr>
            </w:pPr>
            <w:r w:rsidRPr="00E13E5C">
              <w:rPr>
                <w:rFonts w:ascii="Arial Narrow" w:hAnsi="Arial Narrow"/>
                <w:bCs/>
                <w:sz w:val="20"/>
                <w:szCs w:val="20"/>
              </w:rPr>
              <w:t>75.911</w:t>
            </w:r>
            <w:r>
              <w:rPr>
                <w:rFonts w:ascii="Arial Narrow" w:hAnsi="Arial Narrow"/>
                <w:bCs/>
                <w:sz w:val="20"/>
                <w:szCs w:val="20"/>
              </w:rPr>
              <w:t xml:space="preserve"> </w:t>
            </w:r>
          </w:p>
        </w:tc>
        <w:tc>
          <w:tcPr>
            <w:tcW w:w="1215" w:type="dxa"/>
            <w:tcBorders>
              <w:top w:val="nil"/>
              <w:left w:val="nil"/>
              <w:bottom w:val="single" w:sz="4" w:space="0" w:color="auto"/>
              <w:right w:val="single" w:sz="4" w:space="0" w:color="auto"/>
            </w:tcBorders>
            <w:noWrap/>
            <w:vAlign w:val="bottom"/>
          </w:tcPr>
          <w:p w:rsidR="00134B51" w:rsidRPr="006C2381" w:rsidRDefault="00134B51" w:rsidP="00D5717A">
            <w:pPr>
              <w:spacing w:after="0" w:line="240" w:lineRule="auto"/>
              <w:jc w:val="right"/>
              <w:rPr>
                <w:rFonts w:ascii="Arial Narrow" w:hAnsi="Arial Narrow"/>
                <w:bCs/>
                <w:sz w:val="20"/>
                <w:szCs w:val="20"/>
              </w:rPr>
            </w:pPr>
            <w:r w:rsidRPr="006C2381">
              <w:rPr>
                <w:rFonts w:ascii="Arial Narrow" w:hAnsi="Arial Narrow"/>
                <w:bCs/>
                <w:sz w:val="20"/>
                <w:szCs w:val="20"/>
              </w:rPr>
              <w:t xml:space="preserve">0 </w:t>
            </w:r>
          </w:p>
        </w:tc>
      </w:tr>
      <w:tr w:rsidR="00134B51" w:rsidRPr="005C617E" w:rsidTr="00D5717A">
        <w:trPr>
          <w:trHeight w:val="360"/>
        </w:trPr>
        <w:tc>
          <w:tcPr>
            <w:tcW w:w="4835" w:type="dxa"/>
            <w:tcBorders>
              <w:top w:val="nil"/>
              <w:left w:val="single" w:sz="8" w:space="0" w:color="auto"/>
              <w:bottom w:val="single" w:sz="8" w:space="0" w:color="auto"/>
              <w:right w:val="single" w:sz="8" w:space="0" w:color="auto"/>
            </w:tcBorders>
            <w:vAlign w:val="center"/>
          </w:tcPr>
          <w:p w:rsidR="00134B51" w:rsidRDefault="00134B51" w:rsidP="00D5717A">
            <w:pPr>
              <w:spacing w:after="0" w:line="240" w:lineRule="auto"/>
              <w:rPr>
                <w:rFonts w:ascii="Arial Narrow" w:hAnsi="Arial Narrow"/>
                <w:sz w:val="20"/>
                <w:szCs w:val="20"/>
                <w:lang w:eastAsia="sk-SK"/>
              </w:rPr>
            </w:pPr>
            <w:r>
              <w:rPr>
                <w:rFonts w:ascii="Arial Narrow" w:hAnsi="Arial Narrow"/>
                <w:sz w:val="20"/>
                <w:szCs w:val="20"/>
                <w:lang w:eastAsia="sk-SK"/>
              </w:rPr>
              <w:t xml:space="preserve">Vojenský úrad sociálneho zabezpečenia </w:t>
            </w:r>
          </w:p>
        </w:tc>
        <w:tc>
          <w:tcPr>
            <w:tcW w:w="1134" w:type="dxa"/>
            <w:tcBorders>
              <w:top w:val="nil"/>
              <w:left w:val="single" w:sz="4" w:space="0" w:color="auto"/>
              <w:bottom w:val="single" w:sz="4" w:space="0" w:color="auto"/>
              <w:right w:val="single" w:sz="4" w:space="0" w:color="auto"/>
            </w:tcBorders>
            <w:noWrap/>
            <w:vAlign w:val="bottom"/>
          </w:tcPr>
          <w:p w:rsidR="00134B51" w:rsidRPr="00043018" w:rsidRDefault="00134B51" w:rsidP="00D5717A">
            <w:pPr>
              <w:spacing w:after="0" w:line="240" w:lineRule="auto"/>
              <w:jc w:val="right"/>
              <w:rPr>
                <w:rFonts w:ascii="Arial Narrow" w:hAnsi="Arial Narrow"/>
                <w:sz w:val="20"/>
                <w:szCs w:val="20"/>
              </w:rPr>
            </w:pPr>
            <w:r w:rsidRPr="00043018">
              <w:rPr>
                <w:rFonts w:ascii="Arial Narrow" w:hAnsi="Arial Narrow"/>
                <w:sz w:val="20"/>
                <w:szCs w:val="20"/>
              </w:rPr>
              <w:t xml:space="preserve">- 634.788 </w:t>
            </w:r>
          </w:p>
        </w:tc>
        <w:tc>
          <w:tcPr>
            <w:tcW w:w="1215" w:type="dxa"/>
            <w:tcBorders>
              <w:top w:val="nil"/>
              <w:left w:val="nil"/>
              <w:bottom w:val="single" w:sz="4" w:space="0" w:color="auto"/>
              <w:right w:val="single" w:sz="4" w:space="0" w:color="auto"/>
            </w:tcBorders>
            <w:noWrap/>
            <w:vAlign w:val="bottom"/>
          </w:tcPr>
          <w:p w:rsidR="00134B51" w:rsidRPr="00043018" w:rsidRDefault="00134B51" w:rsidP="00D5717A">
            <w:pPr>
              <w:spacing w:after="0" w:line="240" w:lineRule="auto"/>
              <w:jc w:val="right"/>
              <w:rPr>
                <w:rFonts w:ascii="Arial Narrow" w:hAnsi="Arial Narrow"/>
                <w:bCs/>
                <w:sz w:val="20"/>
                <w:szCs w:val="20"/>
              </w:rPr>
            </w:pPr>
            <w:r w:rsidRPr="00043018">
              <w:rPr>
                <w:rFonts w:ascii="Arial Narrow" w:hAnsi="Arial Narrow"/>
                <w:bCs/>
                <w:sz w:val="20"/>
                <w:szCs w:val="20"/>
              </w:rPr>
              <w:t>- 1.081.569</w:t>
            </w:r>
            <w:r>
              <w:rPr>
                <w:rFonts w:ascii="Arial Narrow" w:hAnsi="Arial Narrow"/>
                <w:bCs/>
                <w:sz w:val="20"/>
                <w:szCs w:val="20"/>
              </w:rPr>
              <w:t xml:space="preserve"> </w:t>
            </w:r>
          </w:p>
        </w:tc>
        <w:tc>
          <w:tcPr>
            <w:tcW w:w="1215" w:type="dxa"/>
            <w:tcBorders>
              <w:top w:val="nil"/>
              <w:left w:val="nil"/>
              <w:bottom w:val="single" w:sz="4" w:space="0" w:color="auto"/>
              <w:right w:val="single" w:sz="4" w:space="0" w:color="auto"/>
            </w:tcBorders>
            <w:noWrap/>
            <w:vAlign w:val="bottom"/>
          </w:tcPr>
          <w:p w:rsidR="00134B51" w:rsidRPr="00E13E5C" w:rsidRDefault="00134B51" w:rsidP="00D5717A">
            <w:pPr>
              <w:spacing w:after="0" w:line="240" w:lineRule="auto"/>
              <w:jc w:val="right"/>
              <w:rPr>
                <w:rFonts w:ascii="Arial Narrow" w:hAnsi="Arial Narrow"/>
                <w:bCs/>
                <w:sz w:val="20"/>
                <w:szCs w:val="20"/>
              </w:rPr>
            </w:pPr>
            <w:r w:rsidRPr="00E13E5C">
              <w:rPr>
                <w:rFonts w:ascii="Arial Narrow" w:hAnsi="Arial Narrow"/>
                <w:bCs/>
                <w:sz w:val="20"/>
                <w:szCs w:val="20"/>
              </w:rPr>
              <w:t>- 875.612</w:t>
            </w:r>
            <w:r>
              <w:rPr>
                <w:rFonts w:ascii="Arial Narrow" w:hAnsi="Arial Narrow"/>
                <w:bCs/>
                <w:sz w:val="20"/>
                <w:szCs w:val="20"/>
              </w:rPr>
              <w:t xml:space="preserve"> </w:t>
            </w:r>
          </w:p>
        </w:tc>
        <w:tc>
          <w:tcPr>
            <w:tcW w:w="1215" w:type="dxa"/>
            <w:tcBorders>
              <w:top w:val="nil"/>
              <w:left w:val="nil"/>
              <w:bottom w:val="single" w:sz="4" w:space="0" w:color="auto"/>
              <w:right w:val="single" w:sz="4" w:space="0" w:color="auto"/>
            </w:tcBorders>
            <w:noWrap/>
            <w:vAlign w:val="bottom"/>
          </w:tcPr>
          <w:p w:rsidR="00134B51" w:rsidRPr="006C2381" w:rsidRDefault="00134B51" w:rsidP="00D5717A">
            <w:pPr>
              <w:spacing w:after="0" w:line="240" w:lineRule="auto"/>
              <w:jc w:val="right"/>
              <w:rPr>
                <w:rFonts w:ascii="Arial Narrow" w:hAnsi="Arial Narrow"/>
                <w:bCs/>
                <w:sz w:val="20"/>
                <w:szCs w:val="20"/>
              </w:rPr>
            </w:pPr>
            <w:r w:rsidRPr="006C2381">
              <w:rPr>
                <w:rFonts w:ascii="Arial Narrow" w:hAnsi="Arial Narrow"/>
                <w:bCs/>
                <w:sz w:val="20"/>
                <w:szCs w:val="20"/>
              </w:rPr>
              <w:t xml:space="preserve">0 </w:t>
            </w:r>
          </w:p>
        </w:tc>
        <w:tc>
          <w:tcPr>
            <w:tcW w:w="4835" w:type="dxa"/>
            <w:vAlign w:val="center"/>
          </w:tcPr>
          <w:p w:rsidR="00134B51" w:rsidRDefault="00134B51" w:rsidP="00D5717A">
            <w:pPr>
              <w:spacing w:after="0" w:line="240" w:lineRule="auto"/>
              <w:rPr>
                <w:rFonts w:ascii="Arial Narrow" w:hAnsi="Arial Narrow"/>
                <w:sz w:val="20"/>
                <w:szCs w:val="20"/>
                <w:lang w:eastAsia="sk-SK"/>
              </w:rPr>
            </w:pPr>
          </w:p>
        </w:tc>
      </w:tr>
      <w:tr w:rsidR="00134B51" w:rsidRPr="005C617E" w:rsidTr="00D5717A">
        <w:trPr>
          <w:gridAfter w:val="1"/>
          <w:wAfter w:w="4835" w:type="dxa"/>
          <w:trHeight w:val="301"/>
        </w:trPr>
        <w:tc>
          <w:tcPr>
            <w:tcW w:w="4835" w:type="dxa"/>
            <w:tcBorders>
              <w:top w:val="nil"/>
              <w:left w:val="single" w:sz="8" w:space="0" w:color="auto"/>
              <w:bottom w:val="single" w:sz="8" w:space="0" w:color="auto"/>
              <w:right w:val="single" w:sz="8" w:space="0" w:color="auto"/>
            </w:tcBorders>
            <w:shd w:val="clear" w:color="000000" w:fill="BFBFBF"/>
            <w:noWrap/>
            <w:vAlign w:val="center"/>
          </w:tcPr>
          <w:p w:rsidR="00134B51" w:rsidRPr="002E3848" w:rsidRDefault="00134B51" w:rsidP="00D5717A">
            <w:pPr>
              <w:spacing w:after="0" w:line="240" w:lineRule="auto"/>
              <w:rPr>
                <w:rFonts w:ascii="Arial Narrow" w:hAnsi="Arial Narrow"/>
                <w:sz w:val="20"/>
                <w:szCs w:val="20"/>
                <w:lang w:eastAsia="sk-SK"/>
              </w:rPr>
            </w:pPr>
            <w:r w:rsidRPr="002E3848">
              <w:rPr>
                <w:rFonts w:ascii="Arial Narrow" w:hAnsi="Arial Narrow"/>
                <w:sz w:val="20"/>
                <w:szCs w:val="20"/>
                <w:lang w:eastAsia="sk-SK"/>
              </w:rPr>
              <w:t>financovanie zabezpečené v rozpočte útvarov sociálneho zabezpečenia a Vojenského úradu sociálneho zabezpečenia</w:t>
            </w:r>
          </w:p>
        </w:tc>
        <w:tc>
          <w:tcPr>
            <w:tcW w:w="1134" w:type="dxa"/>
            <w:tcBorders>
              <w:top w:val="nil"/>
              <w:left w:val="nil"/>
              <w:bottom w:val="single" w:sz="8" w:space="0" w:color="auto"/>
              <w:right w:val="single" w:sz="8" w:space="0" w:color="auto"/>
            </w:tcBorders>
            <w:shd w:val="clear" w:color="000000" w:fill="BFBFBF"/>
            <w:noWrap/>
            <w:vAlign w:val="bottom"/>
          </w:tcPr>
          <w:p w:rsidR="00134B51" w:rsidRPr="00043018" w:rsidRDefault="00134B51" w:rsidP="00D5717A">
            <w:pPr>
              <w:spacing w:after="0" w:line="240" w:lineRule="auto"/>
              <w:jc w:val="right"/>
              <w:rPr>
                <w:rFonts w:ascii="Arial Narrow" w:hAnsi="Arial Narrow"/>
                <w:b/>
                <w:sz w:val="20"/>
                <w:szCs w:val="20"/>
              </w:rPr>
            </w:pPr>
            <w:r w:rsidRPr="00043018">
              <w:rPr>
                <w:rFonts w:ascii="Arial Narrow" w:hAnsi="Arial Narrow"/>
                <w:b/>
                <w:sz w:val="20"/>
                <w:szCs w:val="20"/>
              </w:rPr>
              <w:t>-1.</w:t>
            </w:r>
            <w:r>
              <w:rPr>
                <w:rFonts w:ascii="Arial Narrow" w:hAnsi="Arial Narrow"/>
                <w:b/>
                <w:sz w:val="20"/>
                <w:szCs w:val="20"/>
              </w:rPr>
              <w:t>153</w:t>
            </w:r>
            <w:r w:rsidRPr="00043018">
              <w:rPr>
                <w:rFonts w:ascii="Arial Narrow" w:hAnsi="Arial Narrow"/>
                <w:b/>
                <w:sz w:val="20"/>
                <w:szCs w:val="20"/>
              </w:rPr>
              <w:t>.</w:t>
            </w:r>
            <w:r>
              <w:rPr>
                <w:rFonts w:ascii="Arial Narrow" w:hAnsi="Arial Narrow"/>
                <w:b/>
                <w:sz w:val="20"/>
                <w:szCs w:val="20"/>
              </w:rPr>
              <w:t>606</w:t>
            </w:r>
            <w:r w:rsidRPr="00043018">
              <w:rPr>
                <w:rFonts w:ascii="Arial Narrow" w:hAnsi="Arial Narrow"/>
                <w:b/>
                <w:sz w:val="20"/>
                <w:szCs w:val="20"/>
              </w:rPr>
              <w:t xml:space="preserve"> </w:t>
            </w:r>
          </w:p>
        </w:tc>
        <w:tc>
          <w:tcPr>
            <w:tcW w:w="1215" w:type="dxa"/>
            <w:tcBorders>
              <w:top w:val="nil"/>
              <w:left w:val="nil"/>
              <w:bottom w:val="single" w:sz="8" w:space="0" w:color="auto"/>
              <w:right w:val="single" w:sz="8" w:space="0" w:color="auto"/>
            </w:tcBorders>
            <w:shd w:val="clear" w:color="000000" w:fill="BFBFBF"/>
            <w:noWrap/>
            <w:vAlign w:val="bottom"/>
          </w:tcPr>
          <w:p w:rsidR="00134B51" w:rsidRPr="00043018" w:rsidRDefault="00134B51" w:rsidP="00D5717A">
            <w:pPr>
              <w:spacing w:after="0" w:line="240" w:lineRule="auto"/>
              <w:jc w:val="right"/>
              <w:rPr>
                <w:rFonts w:ascii="Arial Narrow" w:hAnsi="Arial Narrow"/>
                <w:b/>
                <w:bCs/>
                <w:sz w:val="20"/>
                <w:szCs w:val="20"/>
              </w:rPr>
            </w:pPr>
            <w:r w:rsidRPr="00043018">
              <w:rPr>
                <w:rFonts w:ascii="Arial Narrow" w:hAnsi="Arial Narrow"/>
                <w:b/>
                <w:bCs/>
                <w:sz w:val="20"/>
                <w:szCs w:val="20"/>
              </w:rPr>
              <w:t>-</w:t>
            </w:r>
            <w:r>
              <w:rPr>
                <w:rFonts w:ascii="Arial Narrow" w:hAnsi="Arial Narrow"/>
                <w:b/>
                <w:bCs/>
                <w:sz w:val="20"/>
                <w:szCs w:val="20"/>
              </w:rPr>
              <w:t xml:space="preserve">1.905.623 </w:t>
            </w:r>
          </w:p>
        </w:tc>
        <w:tc>
          <w:tcPr>
            <w:tcW w:w="1215" w:type="dxa"/>
            <w:tcBorders>
              <w:top w:val="nil"/>
              <w:left w:val="nil"/>
              <w:bottom w:val="single" w:sz="8" w:space="0" w:color="auto"/>
              <w:right w:val="single" w:sz="8" w:space="0" w:color="auto"/>
            </w:tcBorders>
            <w:shd w:val="clear" w:color="000000" w:fill="BFBFBF"/>
            <w:noWrap/>
            <w:vAlign w:val="bottom"/>
          </w:tcPr>
          <w:p w:rsidR="00134B51" w:rsidRPr="00E13E5C" w:rsidRDefault="00134B51" w:rsidP="00D5717A">
            <w:pPr>
              <w:spacing w:after="0" w:line="240" w:lineRule="auto"/>
              <w:jc w:val="right"/>
              <w:rPr>
                <w:rFonts w:ascii="Arial Narrow" w:hAnsi="Arial Narrow"/>
                <w:b/>
                <w:bCs/>
                <w:sz w:val="20"/>
                <w:szCs w:val="20"/>
              </w:rPr>
            </w:pPr>
            <w:r>
              <w:rPr>
                <w:rFonts w:ascii="Arial Narrow" w:hAnsi="Arial Narrow"/>
                <w:b/>
                <w:bCs/>
                <w:sz w:val="20"/>
                <w:szCs w:val="20"/>
              </w:rPr>
              <w:t xml:space="preserve">-1.472.653 </w:t>
            </w:r>
          </w:p>
        </w:tc>
        <w:tc>
          <w:tcPr>
            <w:tcW w:w="1215" w:type="dxa"/>
            <w:tcBorders>
              <w:top w:val="nil"/>
              <w:left w:val="nil"/>
              <w:bottom w:val="single" w:sz="8" w:space="0" w:color="auto"/>
              <w:right w:val="single" w:sz="8" w:space="0" w:color="auto"/>
            </w:tcBorders>
            <w:shd w:val="clear" w:color="000000" w:fill="BFBFBF"/>
            <w:noWrap/>
            <w:vAlign w:val="bottom"/>
          </w:tcPr>
          <w:p w:rsidR="00134B51" w:rsidRPr="006C2381" w:rsidRDefault="00134B51" w:rsidP="00D5717A">
            <w:pPr>
              <w:spacing w:after="0" w:line="240" w:lineRule="auto"/>
              <w:jc w:val="right"/>
              <w:rPr>
                <w:rFonts w:ascii="Arial Narrow" w:hAnsi="Arial Narrow"/>
                <w:b/>
                <w:bCs/>
                <w:sz w:val="20"/>
                <w:szCs w:val="20"/>
              </w:rPr>
            </w:pPr>
            <w:r w:rsidRPr="006C2381">
              <w:rPr>
                <w:rFonts w:ascii="Arial Narrow" w:hAnsi="Arial Narrow"/>
                <w:b/>
                <w:bCs/>
                <w:sz w:val="20"/>
                <w:szCs w:val="20"/>
              </w:rPr>
              <w:t xml:space="preserve">0 </w:t>
            </w:r>
          </w:p>
        </w:tc>
      </w:tr>
      <w:tr w:rsidR="00134B51" w:rsidRPr="005C617E" w:rsidTr="00D5717A">
        <w:trPr>
          <w:gridAfter w:val="1"/>
          <w:wAfter w:w="4835" w:type="dxa"/>
          <w:trHeight w:val="315"/>
        </w:trPr>
        <w:tc>
          <w:tcPr>
            <w:tcW w:w="4835" w:type="dxa"/>
            <w:tcBorders>
              <w:top w:val="nil"/>
              <w:left w:val="single" w:sz="8" w:space="0" w:color="auto"/>
              <w:bottom w:val="single" w:sz="8" w:space="0" w:color="auto"/>
              <w:right w:val="single" w:sz="8" w:space="0" w:color="auto"/>
            </w:tcBorders>
            <w:shd w:val="clear" w:color="000000" w:fill="A6A6A6"/>
            <w:noWrap/>
            <w:vAlign w:val="center"/>
          </w:tcPr>
          <w:p w:rsidR="00134B51" w:rsidRPr="005C617E" w:rsidRDefault="00134B51" w:rsidP="00D5717A">
            <w:pPr>
              <w:spacing w:after="0" w:line="240" w:lineRule="auto"/>
              <w:rPr>
                <w:rFonts w:ascii="Arial Narrow" w:hAnsi="Arial Narrow"/>
                <w:color w:val="000000"/>
                <w:sz w:val="20"/>
                <w:szCs w:val="20"/>
                <w:lang w:eastAsia="sk-SK"/>
              </w:rPr>
            </w:pPr>
            <w:r w:rsidRPr="005C617E">
              <w:rPr>
                <w:rFonts w:ascii="Arial Narrow" w:hAnsi="Arial Narrow"/>
                <w:b/>
                <w:bCs/>
                <w:color w:val="000000"/>
                <w:sz w:val="20"/>
                <w:szCs w:val="20"/>
                <w:lang w:eastAsia="sk-SK"/>
              </w:rPr>
              <w:t>Iné ako rozpočtové zdroje</w:t>
            </w:r>
          </w:p>
        </w:tc>
        <w:tc>
          <w:tcPr>
            <w:tcW w:w="1134" w:type="dxa"/>
            <w:tcBorders>
              <w:top w:val="nil"/>
              <w:left w:val="nil"/>
              <w:bottom w:val="single" w:sz="8" w:space="0" w:color="auto"/>
              <w:right w:val="single" w:sz="8" w:space="0" w:color="auto"/>
            </w:tcBorders>
            <w:shd w:val="clear" w:color="000000" w:fill="A6A6A6"/>
            <w:noWrap/>
            <w:vAlign w:val="center"/>
            <w:hideMark/>
          </w:tcPr>
          <w:p w:rsidR="00134B51" w:rsidRPr="00232363" w:rsidRDefault="00134B51" w:rsidP="00D5717A">
            <w:pPr>
              <w:spacing w:after="0" w:line="240" w:lineRule="auto"/>
              <w:jc w:val="right"/>
              <w:rPr>
                <w:rFonts w:ascii="Arial Narrow" w:hAnsi="Arial Narrow"/>
                <w:bCs/>
                <w:color w:val="000000"/>
                <w:sz w:val="20"/>
                <w:szCs w:val="20"/>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A6A6A6"/>
            <w:noWrap/>
            <w:vAlign w:val="center"/>
            <w:hideMark/>
          </w:tcPr>
          <w:p w:rsidR="00134B51" w:rsidRPr="00232363" w:rsidRDefault="00134B51" w:rsidP="00D5717A">
            <w:pPr>
              <w:spacing w:after="0" w:line="240" w:lineRule="auto"/>
              <w:jc w:val="right"/>
              <w:rPr>
                <w:rFonts w:ascii="Arial Narrow" w:hAnsi="Arial Narrow"/>
                <w:bCs/>
                <w:color w:val="000000"/>
                <w:sz w:val="20"/>
                <w:szCs w:val="20"/>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A6A6A6"/>
            <w:noWrap/>
            <w:vAlign w:val="center"/>
            <w:hideMark/>
          </w:tcPr>
          <w:p w:rsidR="00134B51" w:rsidRPr="00232363" w:rsidRDefault="00134B51" w:rsidP="00D5717A">
            <w:pPr>
              <w:spacing w:after="0" w:line="240" w:lineRule="auto"/>
              <w:jc w:val="right"/>
              <w:rPr>
                <w:rFonts w:ascii="Arial Narrow" w:hAnsi="Arial Narrow"/>
                <w:bCs/>
                <w:color w:val="000000"/>
                <w:sz w:val="20"/>
                <w:szCs w:val="20"/>
              </w:rPr>
            </w:pPr>
            <w:r w:rsidRPr="005C617E">
              <w:rPr>
                <w:rFonts w:ascii="Arial Narrow" w:hAnsi="Arial Narrow"/>
                <w:b/>
                <w:bCs/>
                <w:color w:val="000000"/>
                <w:sz w:val="20"/>
                <w:szCs w:val="20"/>
                <w:lang w:eastAsia="sk-SK"/>
              </w:rPr>
              <w:t>0</w:t>
            </w:r>
          </w:p>
        </w:tc>
        <w:tc>
          <w:tcPr>
            <w:tcW w:w="1215" w:type="dxa"/>
            <w:tcBorders>
              <w:top w:val="nil"/>
              <w:left w:val="nil"/>
              <w:bottom w:val="single" w:sz="8" w:space="0" w:color="auto"/>
              <w:right w:val="single" w:sz="8" w:space="0" w:color="auto"/>
            </w:tcBorders>
            <w:shd w:val="clear" w:color="000000" w:fill="A6A6A6"/>
            <w:noWrap/>
            <w:vAlign w:val="center"/>
            <w:hideMark/>
          </w:tcPr>
          <w:p w:rsidR="00134B51" w:rsidRPr="00232363" w:rsidRDefault="00134B51" w:rsidP="00D5717A">
            <w:pPr>
              <w:spacing w:after="0" w:line="240" w:lineRule="auto"/>
              <w:jc w:val="right"/>
              <w:rPr>
                <w:rFonts w:ascii="Arial Narrow" w:hAnsi="Arial Narrow"/>
                <w:bCs/>
                <w:color w:val="000000"/>
                <w:sz w:val="20"/>
                <w:szCs w:val="20"/>
              </w:rPr>
            </w:pPr>
            <w:r w:rsidRPr="005C617E">
              <w:rPr>
                <w:rFonts w:ascii="Arial Narrow" w:hAnsi="Arial Narrow"/>
                <w:b/>
                <w:bCs/>
                <w:color w:val="000000"/>
                <w:sz w:val="20"/>
                <w:szCs w:val="20"/>
                <w:lang w:eastAsia="sk-SK"/>
              </w:rPr>
              <w:t>0</w:t>
            </w:r>
          </w:p>
        </w:tc>
      </w:tr>
      <w:tr w:rsidR="00134B51" w:rsidRPr="005C617E" w:rsidTr="00D5717A">
        <w:trPr>
          <w:gridAfter w:val="1"/>
          <w:wAfter w:w="4835" w:type="dxa"/>
          <w:trHeight w:val="315"/>
        </w:trPr>
        <w:tc>
          <w:tcPr>
            <w:tcW w:w="4835" w:type="dxa"/>
            <w:tcBorders>
              <w:top w:val="nil"/>
              <w:left w:val="single" w:sz="8" w:space="0" w:color="auto"/>
              <w:bottom w:val="single" w:sz="8" w:space="0" w:color="auto"/>
              <w:right w:val="single" w:sz="8" w:space="0" w:color="auto"/>
            </w:tcBorders>
            <w:shd w:val="clear" w:color="000000" w:fill="A6A6A6"/>
            <w:noWrap/>
            <w:vAlign w:val="center"/>
          </w:tcPr>
          <w:p w:rsidR="00134B51" w:rsidRPr="005C617E" w:rsidRDefault="00134B51" w:rsidP="00D5717A">
            <w:pPr>
              <w:spacing w:after="0" w:line="240" w:lineRule="auto"/>
              <w:rPr>
                <w:rFonts w:ascii="Arial Narrow" w:hAnsi="Arial Narrow"/>
                <w:color w:val="000000"/>
                <w:sz w:val="20"/>
                <w:szCs w:val="20"/>
                <w:lang w:eastAsia="sk-SK"/>
              </w:rPr>
            </w:pPr>
            <w:r w:rsidRPr="005C617E">
              <w:rPr>
                <w:rFonts w:ascii="Arial Narrow" w:hAnsi="Arial Narrow"/>
                <w:b/>
                <w:bCs/>
                <w:color w:val="000000"/>
                <w:sz w:val="20"/>
                <w:szCs w:val="20"/>
                <w:lang w:eastAsia="sk-SK"/>
              </w:rPr>
              <w:t>Rozpočtovo nekrytý vplyv / úspora</w:t>
            </w:r>
          </w:p>
        </w:tc>
        <w:tc>
          <w:tcPr>
            <w:tcW w:w="1134" w:type="dxa"/>
            <w:tcBorders>
              <w:top w:val="nil"/>
              <w:left w:val="nil"/>
              <w:bottom w:val="single" w:sz="8" w:space="0" w:color="auto"/>
              <w:right w:val="single" w:sz="8" w:space="0" w:color="auto"/>
            </w:tcBorders>
            <w:shd w:val="clear" w:color="000000" w:fill="A6A6A6"/>
            <w:noWrap/>
            <w:vAlign w:val="center"/>
          </w:tcPr>
          <w:p w:rsidR="00134B51" w:rsidRPr="005C617E" w:rsidRDefault="00134B51" w:rsidP="00D5717A">
            <w:pPr>
              <w:spacing w:after="0" w:line="240" w:lineRule="auto"/>
              <w:jc w:val="right"/>
              <w:rPr>
                <w:rFonts w:ascii="Arial Narrow" w:hAnsi="Arial Narrow"/>
                <w:b/>
                <w:bCs/>
                <w:color w:val="000000"/>
                <w:sz w:val="20"/>
                <w:szCs w:val="20"/>
                <w:lang w:eastAsia="sk-SK"/>
              </w:rPr>
            </w:pPr>
          </w:p>
        </w:tc>
        <w:tc>
          <w:tcPr>
            <w:tcW w:w="1215" w:type="dxa"/>
            <w:tcBorders>
              <w:top w:val="nil"/>
              <w:left w:val="nil"/>
              <w:bottom w:val="single" w:sz="8" w:space="0" w:color="auto"/>
              <w:right w:val="single" w:sz="8" w:space="0" w:color="auto"/>
            </w:tcBorders>
            <w:shd w:val="clear" w:color="000000" w:fill="A6A6A6"/>
            <w:noWrap/>
            <w:vAlign w:val="center"/>
          </w:tcPr>
          <w:p w:rsidR="00134B51" w:rsidRPr="005C617E" w:rsidRDefault="00134B51" w:rsidP="00D5717A">
            <w:pPr>
              <w:spacing w:after="0" w:line="240" w:lineRule="auto"/>
              <w:jc w:val="right"/>
              <w:rPr>
                <w:rFonts w:ascii="Arial Narrow" w:hAnsi="Arial Narrow"/>
                <w:b/>
                <w:bCs/>
                <w:color w:val="000000"/>
                <w:sz w:val="20"/>
                <w:szCs w:val="20"/>
                <w:lang w:eastAsia="sk-SK"/>
              </w:rPr>
            </w:pPr>
          </w:p>
        </w:tc>
        <w:tc>
          <w:tcPr>
            <w:tcW w:w="1215" w:type="dxa"/>
            <w:tcBorders>
              <w:top w:val="nil"/>
              <w:left w:val="nil"/>
              <w:bottom w:val="single" w:sz="8" w:space="0" w:color="auto"/>
              <w:right w:val="single" w:sz="8" w:space="0" w:color="auto"/>
            </w:tcBorders>
            <w:shd w:val="clear" w:color="000000" w:fill="A6A6A6"/>
            <w:noWrap/>
            <w:vAlign w:val="center"/>
          </w:tcPr>
          <w:p w:rsidR="00134B51" w:rsidRPr="005C617E" w:rsidRDefault="00134B51" w:rsidP="00D5717A">
            <w:pPr>
              <w:spacing w:after="0" w:line="240" w:lineRule="auto"/>
              <w:jc w:val="right"/>
              <w:rPr>
                <w:rFonts w:ascii="Arial Narrow" w:hAnsi="Arial Narrow"/>
                <w:b/>
                <w:bCs/>
                <w:color w:val="000000"/>
                <w:sz w:val="20"/>
                <w:szCs w:val="20"/>
                <w:lang w:eastAsia="sk-SK"/>
              </w:rPr>
            </w:pPr>
          </w:p>
        </w:tc>
        <w:tc>
          <w:tcPr>
            <w:tcW w:w="1215" w:type="dxa"/>
            <w:tcBorders>
              <w:top w:val="nil"/>
              <w:left w:val="nil"/>
              <w:bottom w:val="single" w:sz="8" w:space="0" w:color="auto"/>
              <w:right w:val="single" w:sz="8" w:space="0" w:color="auto"/>
            </w:tcBorders>
            <w:shd w:val="clear" w:color="000000" w:fill="A6A6A6"/>
            <w:noWrap/>
            <w:vAlign w:val="center"/>
          </w:tcPr>
          <w:p w:rsidR="00134B51" w:rsidRPr="005C617E" w:rsidRDefault="00134B51" w:rsidP="00D5717A">
            <w:pPr>
              <w:spacing w:after="0" w:line="240" w:lineRule="auto"/>
              <w:jc w:val="right"/>
              <w:rPr>
                <w:rFonts w:ascii="Arial Narrow" w:hAnsi="Arial Narrow"/>
                <w:b/>
                <w:bCs/>
                <w:color w:val="000000"/>
                <w:sz w:val="20"/>
                <w:szCs w:val="20"/>
                <w:lang w:eastAsia="sk-SK"/>
              </w:rPr>
            </w:pPr>
          </w:p>
        </w:tc>
      </w:tr>
    </w:tbl>
    <w:p w:rsidR="00134B51" w:rsidRDefault="00134B51" w:rsidP="00134B51">
      <w:pPr>
        <w:spacing w:line="240" w:lineRule="auto"/>
        <w:rPr>
          <w:rFonts w:ascii="Times New Roman" w:hAnsi="Times New Roman"/>
          <w:b/>
          <w:bCs/>
          <w:sz w:val="24"/>
          <w:szCs w:val="24"/>
          <w:lang w:eastAsia="sk-SK"/>
        </w:rPr>
      </w:pPr>
      <w:r>
        <w:rPr>
          <w:rFonts w:ascii="Times New Roman" w:hAnsi="Times New Roman"/>
          <w:b/>
          <w:bCs/>
          <w:sz w:val="24"/>
          <w:szCs w:val="24"/>
          <w:lang w:eastAsia="sk-SK"/>
        </w:rPr>
        <w:br w:type="page"/>
      </w:r>
    </w:p>
    <w:p w:rsidR="00134B51" w:rsidRPr="007D5748" w:rsidRDefault="00134B51" w:rsidP="00134B51">
      <w:pPr>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134B51" w:rsidRPr="007D5748" w:rsidRDefault="00134B51" w:rsidP="00134B51">
      <w:pPr>
        <w:spacing w:after="0" w:line="240" w:lineRule="auto"/>
        <w:jc w:val="both"/>
        <w:rPr>
          <w:rFonts w:ascii="Times New Roman" w:hAnsi="Times New Roman"/>
          <w:b/>
          <w:bCs/>
          <w:sz w:val="12"/>
          <w:szCs w:val="24"/>
          <w:lang w:eastAsia="sk-SK"/>
        </w:rPr>
      </w:pPr>
    </w:p>
    <w:p w:rsidR="00134B51" w:rsidRPr="00134B51" w:rsidRDefault="00134B51" w:rsidP="00134B51">
      <w:pPr>
        <w:pBdr>
          <w:top w:val="single" w:sz="4" w:space="1" w:color="auto"/>
          <w:left w:val="single" w:sz="4" w:space="4" w:color="auto"/>
          <w:bottom w:val="single" w:sz="4" w:space="0" w:color="auto"/>
          <w:right w:val="single" w:sz="4" w:space="0" w:color="auto"/>
        </w:pBdr>
        <w:spacing w:after="0" w:line="240" w:lineRule="auto"/>
        <w:jc w:val="both"/>
        <w:rPr>
          <w:rFonts w:ascii="Times New Roman" w:hAnsi="Times New Roman"/>
          <w:bCs/>
          <w:color w:val="000000"/>
          <w:sz w:val="24"/>
          <w:szCs w:val="24"/>
          <w:lang w:eastAsia="sk-SK"/>
        </w:rPr>
      </w:pPr>
      <w:r w:rsidRPr="00134B51">
        <w:rPr>
          <w:rFonts w:ascii="Times New Roman" w:hAnsi="Times New Roman"/>
          <w:bCs/>
          <w:color w:val="000000"/>
          <w:sz w:val="24"/>
          <w:szCs w:val="24"/>
          <w:lang w:eastAsia="sk-SK"/>
        </w:rPr>
        <w:t xml:space="preserve">Predložený návrh nového modelu zvyšovania dávok </w:t>
      </w:r>
      <w:r w:rsidRPr="00AC78AA">
        <w:rPr>
          <w:rFonts w:ascii="Times New Roman" w:hAnsi="Times New Roman"/>
          <w:sz w:val="24"/>
          <w:szCs w:val="24"/>
        </w:rPr>
        <w:t>výsluhového dôchodku,</w:t>
      </w:r>
      <w:r w:rsidRPr="0091414A">
        <w:rPr>
          <w:rFonts w:ascii="Times New Roman" w:hAnsi="Times New Roman"/>
          <w:sz w:val="24"/>
          <w:szCs w:val="24"/>
        </w:rPr>
        <w:t xml:space="preserve"> </w:t>
      </w:r>
      <w:r w:rsidRPr="008E093A">
        <w:rPr>
          <w:rFonts w:ascii="Times New Roman" w:hAnsi="Times New Roman"/>
          <w:sz w:val="24"/>
          <w:szCs w:val="24"/>
        </w:rPr>
        <w:t>invalidného výsluhového dôchodku,</w:t>
      </w:r>
      <w:r w:rsidRPr="00AC78AA">
        <w:rPr>
          <w:rFonts w:ascii="Times New Roman" w:hAnsi="Times New Roman"/>
          <w:sz w:val="24"/>
          <w:szCs w:val="24"/>
        </w:rPr>
        <w:t xml:space="preserve"> vdovského výsluhového dôchodku, vdoveckého výsluhového dôchodku, a sirotského výsluhového dôchodku (ďalej len „dôchodková dávka výsluhového zabezpečenia“)</w:t>
      </w:r>
      <w:r>
        <w:rPr>
          <w:rFonts w:ascii="Times New Roman" w:hAnsi="Times New Roman"/>
          <w:sz w:val="24"/>
          <w:szCs w:val="24"/>
        </w:rPr>
        <w:t xml:space="preserve"> v rokoch 2019 až 2021</w:t>
      </w:r>
      <w:r w:rsidRPr="00AC78AA">
        <w:rPr>
          <w:rFonts w:ascii="Times New Roman" w:hAnsi="Times New Roman"/>
          <w:bCs/>
          <w:sz w:val="24"/>
          <w:szCs w:val="24"/>
          <w:lang w:eastAsia="sk-SK"/>
        </w:rPr>
        <w:t>,</w:t>
      </w:r>
      <w:r w:rsidRPr="00134B51">
        <w:rPr>
          <w:rFonts w:ascii="Times New Roman" w:hAnsi="Times New Roman"/>
          <w:bCs/>
          <w:color w:val="000000"/>
          <w:sz w:val="24"/>
          <w:szCs w:val="24"/>
          <w:lang w:eastAsia="sk-SK"/>
        </w:rPr>
        <w:t xml:space="preserve"> oproti existujúcemu právnemu stavu zakladá zníženie výdavkov osobitných účtov</w:t>
      </w:r>
      <w:r w:rsidRPr="00F470A1">
        <w:rPr>
          <w:rFonts w:ascii="Times New Roman" w:hAnsi="Times New Roman"/>
          <w:sz w:val="24"/>
          <w:szCs w:val="24"/>
          <w:lang w:eastAsia="sk-SK"/>
        </w:rPr>
        <w:t xml:space="preserve"> </w:t>
      </w:r>
      <w:r w:rsidRPr="008E093A">
        <w:rPr>
          <w:rFonts w:ascii="Times New Roman" w:hAnsi="Times New Roman"/>
          <w:sz w:val="24"/>
          <w:szCs w:val="24"/>
          <w:lang w:eastAsia="sk-SK"/>
        </w:rPr>
        <w:t xml:space="preserve">útvarov sociálneho zabezpečenia </w:t>
      </w:r>
      <w:r w:rsidRPr="008E093A">
        <w:rPr>
          <w:rFonts w:ascii="Times New Roman" w:hAnsi="Times New Roman"/>
          <w:sz w:val="24"/>
          <w:szCs w:val="24"/>
        </w:rPr>
        <w:t>Ministerstva vnútra SR, Slovenskej informačnej služby, Národného bezpečnostného úradu, Zboru väzenskej a justičnej stráže</w:t>
      </w:r>
      <w:r w:rsidRPr="008E093A">
        <w:rPr>
          <w:rFonts w:ascii="Times New Roman" w:hAnsi="Times New Roman"/>
          <w:sz w:val="24"/>
          <w:szCs w:val="24"/>
          <w:lang w:eastAsia="sk-SK"/>
        </w:rPr>
        <w:t xml:space="preserve"> (ďalej len „útvar</w:t>
      </w:r>
      <w:r w:rsidR="002A14F7">
        <w:rPr>
          <w:rFonts w:ascii="Times New Roman" w:hAnsi="Times New Roman"/>
          <w:sz w:val="24"/>
          <w:szCs w:val="24"/>
          <w:lang w:eastAsia="sk-SK"/>
        </w:rPr>
        <w:t>y</w:t>
      </w:r>
      <w:r w:rsidRPr="008E093A">
        <w:rPr>
          <w:rFonts w:ascii="Times New Roman" w:hAnsi="Times New Roman"/>
          <w:sz w:val="24"/>
          <w:szCs w:val="24"/>
          <w:lang w:eastAsia="sk-SK"/>
        </w:rPr>
        <w:t xml:space="preserve"> sociálneho zabezpečenia“) a Vojenského úradu sociálneho zabezpečenia</w:t>
      </w:r>
      <w:r w:rsidRPr="00134B51">
        <w:rPr>
          <w:rFonts w:ascii="Times New Roman" w:hAnsi="Times New Roman"/>
          <w:bCs/>
          <w:color w:val="000000"/>
          <w:sz w:val="24"/>
          <w:szCs w:val="24"/>
          <w:lang w:eastAsia="sk-SK"/>
        </w:rPr>
        <w:t xml:space="preserve">, z ktorých sa realizuje výplata dávok výsluhového zabezpečenia. Existujúci právny stav zvyšovania dôchodkových dávok výsluhového zabezpečenia je viazaný na tzv. dôchodcovskú infláciu. Výdavky na výplatu dôchodkových dávok výsluhového zabezpečenia dotknutej skupiny poberateľov budú zabezpečené v rozpočte osobitných účtov príslušných rozpočtových kapitol, </w:t>
      </w:r>
      <w:r w:rsidRPr="00134B51">
        <w:rPr>
          <w:rFonts w:ascii="Times New Roman" w:hAnsi="Times New Roman"/>
          <w:b/>
          <w:bCs/>
          <w:color w:val="000000"/>
          <w:sz w:val="24"/>
          <w:szCs w:val="24"/>
          <w:lang w:eastAsia="sk-SK"/>
        </w:rPr>
        <w:t>bez dodatočných požiadaviek na štátny rozpočet</w:t>
      </w:r>
      <w:r w:rsidRPr="00134B51">
        <w:rPr>
          <w:rFonts w:ascii="Times New Roman" w:hAnsi="Times New Roman"/>
          <w:bCs/>
          <w:color w:val="000000"/>
          <w:sz w:val="24"/>
          <w:szCs w:val="24"/>
          <w:lang w:eastAsia="sk-SK"/>
        </w:rPr>
        <w:t>.</w:t>
      </w:r>
    </w:p>
    <w:p w:rsidR="00134B51" w:rsidRDefault="00134B51" w:rsidP="00134B51">
      <w:pPr>
        <w:spacing w:after="0" w:line="240" w:lineRule="auto"/>
        <w:rPr>
          <w:rFonts w:ascii="Times New Roman" w:hAnsi="Times New Roman"/>
          <w:b/>
          <w:bCs/>
          <w:sz w:val="24"/>
          <w:szCs w:val="24"/>
          <w:lang w:eastAsia="sk-SK"/>
        </w:rPr>
      </w:pPr>
    </w:p>
    <w:p w:rsidR="00134B51" w:rsidRPr="007D5748" w:rsidRDefault="00134B51" w:rsidP="00134B51">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134B51" w:rsidRDefault="00134B51" w:rsidP="00134B51">
      <w:pPr>
        <w:spacing w:after="0" w:line="240" w:lineRule="auto"/>
        <w:rPr>
          <w:rFonts w:ascii="Times New Roman" w:hAnsi="Times New Roman"/>
          <w:sz w:val="24"/>
          <w:szCs w:val="24"/>
          <w:lang w:eastAsia="sk-SK"/>
        </w:rPr>
      </w:pPr>
    </w:p>
    <w:p w:rsidR="00134B51" w:rsidRPr="006C0270" w:rsidRDefault="00134B51" w:rsidP="00134B51">
      <w:pPr>
        <w:spacing w:after="0" w:line="240" w:lineRule="auto"/>
        <w:ind w:firstLine="708"/>
        <w:jc w:val="both"/>
        <w:rPr>
          <w:rFonts w:ascii="Times New Roman" w:hAnsi="Times New Roman"/>
          <w:sz w:val="24"/>
          <w:szCs w:val="24"/>
          <w:lang w:eastAsia="sk-SK"/>
        </w:rPr>
      </w:pPr>
      <w:r w:rsidRPr="006C0270">
        <w:rPr>
          <w:rFonts w:ascii="Times New Roman" w:hAnsi="Times New Roman"/>
          <w:sz w:val="24"/>
          <w:szCs w:val="24"/>
          <w:lang w:eastAsia="sk-SK"/>
        </w:rPr>
        <w:t xml:space="preserve">Návrh </w:t>
      </w:r>
      <w:r>
        <w:rPr>
          <w:rFonts w:ascii="Times New Roman" w:hAnsi="Times New Roman"/>
          <w:sz w:val="24"/>
          <w:szCs w:val="24"/>
          <w:lang w:eastAsia="sk-SK"/>
        </w:rPr>
        <w:t xml:space="preserve">zvýšenia </w:t>
      </w:r>
      <w:r w:rsidRPr="00AC78AA">
        <w:rPr>
          <w:rFonts w:ascii="Times New Roman" w:hAnsi="Times New Roman"/>
          <w:sz w:val="24"/>
          <w:szCs w:val="24"/>
          <w:lang w:eastAsia="sk-SK"/>
        </w:rPr>
        <w:t>dôchodkových</w:t>
      </w:r>
      <w:r>
        <w:rPr>
          <w:rFonts w:ascii="Times New Roman" w:hAnsi="Times New Roman"/>
          <w:sz w:val="24"/>
          <w:szCs w:val="24"/>
          <w:lang w:eastAsia="sk-SK"/>
        </w:rPr>
        <w:t xml:space="preserve"> dávok výsluhového zabezpečenia v rokoch 2019 až 2021 o pevnú sumu </w:t>
      </w:r>
      <w:r w:rsidRPr="006C0270">
        <w:rPr>
          <w:rFonts w:ascii="Times New Roman" w:hAnsi="Times New Roman"/>
          <w:sz w:val="24"/>
          <w:szCs w:val="24"/>
          <w:lang w:eastAsia="sk-SK"/>
        </w:rPr>
        <w:t>pre stanovený okruh poberateľov.</w:t>
      </w:r>
    </w:p>
    <w:p w:rsidR="00134B51" w:rsidRPr="007D5748" w:rsidRDefault="00134B51" w:rsidP="00134B51">
      <w:pPr>
        <w:spacing w:after="0" w:line="240" w:lineRule="auto"/>
        <w:ind w:firstLine="708"/>
        <w:jc w:val="both"/>
        <w:rPr>
          <w:rFonts w:ascii="Times New Roman" w:hAnsi="Times New Roman"/>
          <w:sz w:val="24"/>
          <w:szCs w:val="24"/>
          <w:lang w:eastAsia="sk-SK"/>
        </w:rPr>
      </w:pPr>
    </w:p>
    <w:p w:rsidR="00134B51" w:rsidRDefault="00134B51" w:rsidP="00134B51">
      <w:pPr>
        <w:spacing w:after="0" w:line="240" w:lineRule="auto"/>
        <w:jc w:val="both"/>
        <w:rPr>
          <w:rFonts w:ascii="Times New Roman" w:hAnsi="Times New Roman"/>
          <w:b/>
          <w:bCs/>
          <w:sz w:val="24"/>
          <w:szCs w:val="24"/>
          <w:lang w:eastAsia="sk-SK"/>
        </w:rPr>
      </w:pPr>
      <w:r>
        <w:rPr>
          <w:rFonts w:ascii="Times New Roman" w:hAnsi="Times New Roman"/>
          <w:b/>
          <w:bCs/>
          <w:sz w:val="24"/>
          <w:szCs w:val="24"/>
          <w:lang w:eastAsia="sk-SK"/>
        </w:rPr>
        <w:t>2.2.1. Popis návrhu:</w:t>
      </w:r>
    </w:p>
    <w:p w:rsidR="00134B51" w:rsidRPr="009E2092" w:rsidRDefault="00134B51" w:rsidP="00134B51">
      <w:pPr>
        <w:spacing w:after="0" w:line="240" w:lineRule="auto"/>
        <w:jc w:val="both"/>
        <w:rPr>
          <w:rFonts w:ascii="Times New Roman" w:hAnsi="Times New Roman"/>
          <w:sz w:val="24"/>
          <w:szCs w:val="24"/>
          <w:lang w:eastAsia="sk-SK"/>
        </w:rPr>
      </w:pPr>
    </w:p>
    <w:p w:rsidR="00134B51" w:rsidRDefault="00134B51" w:rsidP="00134B51">
      <w:pPr>
        <w:spacing w:after="0" w:line="240" w:lineRule="auto"/>
        <w:ind w:firstLine="709"/>
        <w:jc w:val="both"/>
        <w:rPr>
          <w:rFonts w:ascii="Times New Roman" w:hAnsi="Times New Roman"/>
          <w:sz w:val="24"/>
          <w:szCs w:val="24"/>
          <w:lang w:eastAsia="sk-SK"/>
        </w:rPr>
      </w:pPr>
      <w:r w:rsidRPr="009E2092">
        <w:rPr>
          <w:rFonts w:ascii="Times New Roman" w:hAnsi="Times New Roman"/>
          <w:sz w:val="24"/>
          <w:szCs w:val="24"/>
        </w:rPr>
        <w:t xml:space="preserve"> </w:t>
      </w:r>
      <w:r w:rsidRPr="00E85F72">
        <w:rPr>
          <w:rFonts w:ascii="Times New Roman" w:hAnsi="Times New Roman"/>
          <w:sz w:val="24"/>
          <w:szCs w:val="24"/>
          <w:lang w:eastAsia="sk-SK"/>
        </w:rPr>
        <w:t>Predmetom návrhu</w:t>
      </w:r>
      <w:r>
        <w:rPr>
          <w:rFonts w:ascii="Times New Roman" w:hAnsi="Times New Roman"/>
          <w:sz w:val="24"/>
          <w:szCs w:val="24"/>
          <w:lang w:eastAsia="sk-SK"/>
        </w:rPr>
        <w:t xml:space="preserve"> zákona je stanovenie nového mechanizmu zvýšenia</w:t>
      </w:r>
      <w:r w:rsidRPr="00C52FB2">
        <w:rPr>
          <w:rFonts w:ascii="Times New Roman" w:hAnsi="Times New Roman"/>
          <w:color w:val="FF0000"/>
          <w:sz w:val="24"/>
          <w:szCs w:val="24"/>
          <w:lang w:eastAsia="sk-SK"/>
        </w:rPr>
        <w:t xml:space="preserve"> </w:t>
      </w:r>
      <w:r w:rsidRPr="00AC78AA">
        <w:rPr>
          <w:rFonts w:ascii="Times New Roman" w:hAnsi="Times New Roman"/>
          <w:sz w:val="24"/>
          <w:szCs w:val="24"/>
          <w:lang w:eastAsia="sk-SK"/>
        </w:rPr>
        <w:t xml:space="preserve">dôchodkových </w:t>
      </w:r>
      <w:r>
        <w:rPr>
          <w:rFonts w:ascii="Times New Roman" w:hAnsi="Times New Roman"/>
          <w:sz w:val="24"/>
          <w:szCs w:val="24"/>
          <w:lang w:eastAsia="sk-SK"/>
        </w:rPr>
        <w:t xml:space="preserve">dávok výsluhového zabezpečenia v rokoch 2019 až 2021 </w:t>
      </w:r>
      <w:r w:rsidRPr="00E85F72">
        <w:rPr>
          <w:rFonts w:ascii="Times New Roman" w:hAnsi="Times New Roman"/>
          <w:sz w:val="24"/>
          <w:szCs w:val="24"/>
          <w:lang w:eastAsia="sk-SK"/>
        </w:rPr>
        <w:t xml:space="preserve">pre stanovený okruh poberateľov. </w:t>
      </w:r>
      <w:r>
        <w:rPr>
          <w:rFonts w:ascii="Times New Roman" w:hAnsi="Times New Roman"/>
          <w:sz w:val="24"/>
          <w:szCs w:val="24"/>
          <w:lang w:eastAsia="sk-SK"/>
        </w:rPr>
        <w:t xml:space="preserve">Pokiaľ ide o výsluhový dôchodok, tento sa v rokoch 2019 až 2021 zvýši pevnou sumou, ktorá sa zistí v závislosti od pevnej sumy 2 % priemernej </w:t>
      </w:r>
      <w:r w:rsidRPr="00AC78AA">
        <w:rPr>
          <w:rFonts w:ascii="Times New Roman" w:hAnsi="Times New Roman"/>
          <w:sz w:val="24"/>
          <w:szCs w:val="24"/>
          <w:lang w:eastAsia="sk-SK"/>
        </w:rPr>
        <w:t>mesačnej</w:t>
      </w:r>
      <w:r>
        <w:rPr>
          <w:rFonts w:ascii="Times New Roman" w:hAnsi="Times New Roman"/>
          <w:sz w:val="24"/>
          <w:szCs w:val="24"/>
          <w:lang w:eastAsia="sk-SK"/>
        </w:rPr>
        <w:t xml:space="preserve"> sumy starobného dôchodku vykázanej Sociálnou poisťovňou 30. jún</w:t>
      </w:r>
      <w:r w:rsidR="00F856A5">
        <w:rPr>
          <w:rFonts w:ascii="Times New Roman" w:hAnsi="Times New Roman"/>
          <w:sz w:val="24"/>
          <w:szCs w:val="24"/>
          <w:lang w:eastAsia="sk-SK"/>
        </w:rPr>
        <w:t>u</w:t>
      </w:r>
      <w:r>
        <w:rPr>
          <w:rFonts w:ascii="Times New Roman" w:hAnsi="Times New Roman"/>
          <w:sz w:val="24"/>
          <w:szCs w:val="24"/>
          <w:lang w:eastAsia="sk-SK"/>
        </w:rPr>
        <w:t xml:space="preserve"> kalendárneho roka, </w:t>
      </w:r>
      <w:r w:rsidRPr="00AC78AA">
        <w:rPr>
          <w:rFonts w:ascii="Times New Roman" w:hAnsi="Times New Roman"/>
          <w:sz w:val="24"/>
          <w:szCs w:val="24"/>
          <w:lang w:eastAsia="sk-SK"/>
        </w:rPr>
        <w:t>ktorý predchádza kalendárnemu roku, v ktorom sa zvyšovanie vykonáva</w:t>
      </w:r>
      <w:r>
        <w:rPr>
          <w:rFonts w:ascii="Times New Roman" w:hAnsi="Times New Roman"/>
          <w:sz w:val="24"/>
          <w:szCs w:val="24"/>
          <w:lang w:eastAsia="sk-SK"/>
        </w:rPr>
        <w:t xml:space="preserve"> a od celkovej doby trvania služobného pomeru; </w:t>
      </w:r>
      <w:r w:rsidRPr="007E04E0">
        <w:rPr>
          <w:rFonts w:ascii="Times New Roman" w:hAnsi="Times New Roman"/>
          <w:sz w:val="24"/>
          <w:szCs w:val="24"/>
          <w:lang w:eastAsia="sk-SK"/>
        </w:rPr>
        <w:t xml:space="preserve">pozostalostné </w:t>
      </w:r>
      <w:r w:rsidRPr="00E4050F">
        <w:rPr>
          <w:rFonts w:ascii="Times New Roman" w:hAnsi="Times New Roman"/>
          <w:sz w:val="24"/>
          <w:szCs w:val="24"/>
          <w:lang w:eastAsia="sk-SK"/>
        </w:rPr>
        <w:t>dôchodkové dávky</w:t>
      </w:r>
      <w:r>
        <w:rPr>
          <w:rFonts w:ascii="Times New Roman" w:hAnsi="Times New Roman"/>
          <w:sz w:val="24"/>
          <w:szCs w:val="24"/>
          <w:lang w:eastAsia="sk-SK"/>
        </w:rPr>
        <w:t>, a to vdovský výsluhový dôchodok, vdovecký výsluhový dôchodok a sirotský výsluhový dôchodok sa v rokoch 2019 až 2021 zvýšia stanovenou jednotnou pevnou sumou, ktorá </w:t>
      </w:r>
      <w:r w:rsidRPr="00AC78AA">
        <w:rPr>
          <w:rFonts w:ascii="Times New Roman" w:hAnsi="Times New Roman"/>
          <w:sz w:val="24"/>
          <w:szCs w:val="24"/>
          <w:lang w:eastAsia="sk-SK"/>
        </w:rPr>
        <w:t>predstavuje</w:t>
      </w:r>
      <w:r>
        <w:rPr>
          <w:rFonts w:ascii="Times New Roman" w:hAnsi="Times New Roman"/>
          <w:sz w:val="24"/>
          <w:szCs w:val="24"/>
          <w:lang w:eastAsia="sk-SK"/>
        </w:rPr>
        <w:t xml:space="preserve"> 2% priemernej </w:t>
      </w:r>
      <w:r w:rsidRPr="00AC78AA">
        <w:rPr>
          <w:rFonts w:ascii="Times New Roman" w:hAnsi="Times New Roman"/>
          <w:sz w:val="24"/>
          <w:szCs w:val="24"/>
          <w:lang w:eastAsia="sk-SK"/>
        </w:rPr>
        <w:t>mesačnej</w:t>
      </w:r>
      <w:r>
        <w:rPr>
          <w:rFonts w:ascii="Times New Roman" w:hAnsi="Times New Roman"/>
          <w:sz w:val="24"/>
          <w:szCs w:val="24"/>
          <w:lang w:eastAsia="sk-SK"/>
        </w:rPr>
        <w:t xml:space="preserve"> sumy starobného dôchodku. </w:t>
      </w:r>
      <w:r w:rsidRPr="00AC78AA">
        <w:rPr>
          <w:rFonts w:ascii="Times New Roman" w:hAnsi="Times New Roman"/>
          <w:sz w:val="24"/>
          <w:szCs w:val="24"/>
          <w:lang w:eastAsia="sk-SK"/>
        </w:rPr>
        <w:t>Rovnaký</w:t>
      </w:r>
      <w:r>
        <w:rPr>
          <w:rFonts w:ascii="Times New Roman" w:hAnsi="Times New Roman"/>
          <w:sz w:val="24"/>
          <w:szCs w:val="24"/>
          <w:lang w:eastAsia="sk-SK"/>
        </w:rPr>
        <w:t xml:space="preserve"> postup zvýšenia v rokoch 2019 až 2021 je zvolený aj u poberateľov invalidného výsluhového dôchodku. </w:t>
      </w:r>
    </w:p>
    <w:p w:rsidR="00134B51" w:rsidRDefault="00134B51" w:rsidP="00134B51">
      <w:pPr>
        <w:spacing w:after="0" w:line="240" w:lineRule="auto"/>
        <w:ind w:firstLine="709"/>
        <w:jc w:val="both"/>
        <w:rPr>
          <w:rFonts w:ascii="Times New Roman" w:hAnsi="Times New Roman"/>
          <w:sz w:val="24"/>
          <w:szCs w:val="24"/>
          <w:lang w:eastAsia="sk-SK"/>
        </w:rPr>
      </w:pPr>
    </w:p>
    <w:p w:rsidR="00134B51" w:rsidRDefault="00134B51" w:rsidP="00134B51">
      <w:pPr>
        <w:spacing w:after="0" w:line="240" w:lineRule="auto"/>
        <w:ind w:firstLine="709"/>
        <w:jc w:val="both"/>
        <w:rPr>
          <w:rFonts w:ascii="Times New Roman" w:hAnsi="Times New Roman"/>
          <w:sz w:val="24"/>
          <w:szCs w:val="24"/>
          <w:lang w:eastAsia="sk-SK"/>
        </w:rPr>
      </w:pPr>
      <w:r>
        <w:rPr>
          <w:rFonts w:ascii="Times New Roman" w:hAnsi="Times New Roman"/>
          <w:sz w:val="24"/>
          <w:szCs w:val="24"/>
          <w:lang w:eastAsia="sk-SK"/>
        </w:rPr>
        <w:t xml:space="preserve">Zmena mechanizmu zvýšenia dôchodkových dávok výsluhového zabezpečenia v rokoch 2019 až 2021 má pozitívny vplyv na dlhodobú udržateľnosť osobitného systému sociálneho zabezpečenia s poukázaním na tú skutočnosť, že je naviazaná práve na skutočnú dobu trvania služobného pomeru, čo znamená, že dochádza k stabilizácií osobitného systému sociálneho zabezpečenia spolu s prijatými opatreniami z roku 2013. Je potrebné uviesť, že na zvýšenie dôchodkovej dávky výsluhového zabezpečenia, a to výsluhového dôchodku, ktorý je nosnou dávkou osobitného systému sociálneho zabezpečenia, je rozhodujúca skutočná doba trvania služobného pomeru a nie aktuálne vyplácaná suma výsluhového dôchodku, čo znamená, že poberateľovi s nižšou sumou výsluhového dôchodku a dlhšou dobou trvania služobného pomeru sa výsluhový dôchodok zvýši vyššou sumou, ako poberateľovi výsluhového dôchodku, ktorému je vyplácaný výsluhový dôchodok vo vyššej sume, ale s kratšou dobou trvania služobného pomeru. </w:t>
      </w:r>
    </w:p>
    <w:p w:rsidR="00134B51" w:rsidRDefault="00134B51" w:rsidP="00134B51">
      <w:pPr>
        <w:spacing w:after="0" w:line="240" w:lineRule="auto"/>
        <w:ind w:firstLine="709"/>
        <w:jc w:val="both"/>
        <w:rPr>
          <w:rFonts w:ascii="Times New Roman" w:hAnsi="Times New Roman"/>
          <w:sz w:val="24"/>
          <w:szCs w:val="24"/>
          <w:lang w:eastAsia="sk-SK"/>
        </w:rPr>
      </w:pPr>
    </w:p>
    <w:p w:rsidR="00134B51" w:rsidRDefault="00134B51" w:rsidP="00134B51">
      <w:pPr>
        <w:spacing w:after="0" w:line="240" w:lineRule="auto"/>
        <w:ind w:firstLine="709"/>
        <w:jc w:val="both"/>
        <w:rPr>
          <w:rFonts w:ascii="Times New Roman" w:hAnsi="Times New Roman"/>
          <w:sz w:val="24"/>
          <w:szCs w:val="24"/>
          <w:lang w:eastAsia="sk-SK"/>
        </w:rPr>
      </w:pPr>
      <w:r w:rsidRPr="00FF28DA">
        <w:rPr>
          <w:rFonts w:ascii="Times New Roman" w:hAnsi="Times New Roman"/>
          <w:sz w:val="24"/>
          <w:szCs w:val="24"/>
          <w:lang w:eastAsia="sk-SK"/>
        </w:rPr>
        <w:t xml:space="preserve">Priemerná doba trvania služobného pomeru v rámci osobitného účtu napr. </w:t>
      </w:r>
      <w:r>
        <w:rPr>
          <w:rFonts w:ascii="Times New Roman" w:hAnsi="Times New Roman"/>
          <w:sz w:val="24"/>
          <w:szCs w:val="24"/>
          <w:lang w:eastAsia="sk-SK"/>
        </w:rPr>
        <w:t xml:space="preserve">útvaru sociálneho zabezpečenia </w:t>
      </w:r>
      <w:r w:rsidRPr="00FF28DA">
        <w:rPr>
          <w:rFonts w:ascii="Times New Roman" w:hAnsi="Times New Roman"/>
          <w:sz w:val="24"/>
          <w:szCs w:val="24"/>
          <w:lang w:eastAsia="sk-SK"/>
        </w:rPr>
        <w:t>Ministerstva vnútra SR</w:t>
      </w:r>
      <w:r>
        <w:rPr>
          <w:rFonts w:ascii="Times New Roman" w:hAnsi="Times New Roman"/>
          <w:sz w:val="24"/>
          <w:szCs w:val="24"/>
          <w:lang w:eastAsia="sk-SK"/>
        </w:rPr>
        <w:t xml:space="preserve"> a Vojenského úradu sociálneho zabezpečenia </w:t>
      </w:r>
      <w:r w:rsidRPr="00FF28DA">
        <w:rPr>
          <w:rFonts w:ascii="Times New Roman" w:hAnsi="Times New Roman"/>
          <w:sz w:val="24"/>
          <w:szCs w:val="24"/>
          <w:lang w:eastAsia="sk-SK"/>
        </w:rPr>
        <w:t>je od roku 2014 v</w:t>
      </w:r>
      <w:r>
        <w:rPr>
          <w:rFonts w:ascii="Times New Roman" w:hAnsi="Times New Roman"/>
          <w:sz w:val="24"/>
          <w:szCs w:val="24"/>
          <w:lang w:eastAsia="sk-SK"/>
        </w:rPr>
        <w:t> </w:t>
      </w:r>
      <w:r w:rsidRPr="00FF28DA">
        <w:rPr>
          <w:rFonts w:ascii="Times New Roman" w:hAnsi="Times New Roman"/>
          <w:sz w:val="24"/>
          <w:szCs w:val="24"/>
          <w:lang w:eastAsia="sk-SK"/>
        </w:rPr>
        <w:t>rozsahu</w:t>
      </w:r>
      <w:r>
        <w:rPr>
          <w:rFonts w:ascii="Times New Roman" w:hAnsi="Times New Roman"/>
          <w:sz w:val="24"/>
          <w:szCs w:val="24"/>
          <w:lang w:eastAsia="sk-SK"/>
        </w:rPr>
        <w:t xml:space="preserve"> cca</w:t>
      </w:r>
      <w:r w:rsidRPr="00FF28DA">
        <w:rPr>
          <w:rFonts w:ascii="Times New Roman" w:hAnsi="Times New Roman"/>
          <w:sz w:val="24"/>
          <w:szCs w:val="24"/>
          <w:lang w:eastAsia="sk-SK"/>
        </w:rPr>
        <w:t xml:space="preserve"> 24 rokov </w:t>
      </w:r>
      <w:r>
        <w:rPr>
          <w:rFonts w:ascii="Times New Roman" w:hAnsi="Times New Roman"/>
          <w:sz w:val="24"/>
          <w:szCs w:val="24"/>
          <w:lang w:eastAsia="sk-SK"/>
        </w:rPr>
        <w:t>a</w:t>
      </w:r>
      <w:r w:rsidRPr="00FF28DA">
        <w:rPr>
          <w:rFonts w:ascii="Times New Roman" w:hAnsi="Times New Roman"/>
          <w:sz w:val="24"/>
          <w:szCs w:val="24"/>
          <w:lang w:eastAsia="sk-SK"/>
        </w:rPr>
        <w:t xml:space="preserve"> po prijatí navrhovaného mechanizmu zvýšenia dôchodkovej dávky výsluhového zabezpečenia, a to výsluhové</w:t>
      </w:r>
      <w:r>
        <w:rPr>
          <w:rFonts w:ascii="Times New Roman" w:hAnsi="Times New Roman"/>
          <w:sz w:val="24"/>
          <w:szCs w:val="24"/>
          <w:lang w:eastAsia="sk-SK"/>
        </w:rPr>
        <w:t>ho dôchodku, nepredpokladá sa v</w:t>
      </w:r>
      <w:r w:rsidRPr="00FF28DA">
        <w:rPr>
          <w:rFonts w:ascii="Times New Roman" w:hAnsi="Times New Roman"/>
          <w:sz w:val="24"/>
          <w:szCs w:val="24"/>
          <w:lang w:eastAsia="sk-SK"/>
        </w:rPr>
        <w:t xml:space="preserve"> rokoch </w:t>
      </w:r>
      <w:r>
        <w:rPr>
          <w:rFonts w:ascii="Times New Roman" w:hAnsi="Times New Roman"/>
          <w:sz w:val="24"/>
          <w:szCs w:val="24"/>
          <w:lang w:eastAsia="sk-SK"/>
        </w:rPr>
        <w:t xml:space="preserve">2019 až 2021 jej </w:t>
      </w:r>
      <w:r w:rsidRPr="00FF28DA">
        <w:rPr>
          <w:rFonts w:ascii="Times New Roman" w:hAnsi="Times New Roman"/>
          <w:sz w:val="24"/>
          <w:szCs w:val="24"/>
          <w:lang w:eastAsia="sk-SK"/>
        </w:rPr>
        <w:t>zvýšenie.</w:t>
      </w:r>
      <w:r>
        <w:rPr>
          <w:rFonts w:ascii="Times New Roman" w:hAnsi="Times New Roman"/>
          <w:sz w:val="24"/>
          <w:szCs w:val="24"/>
          <w:lang w:eastAsia="sk-SK"/>
        </w:rPr>
        <w:t xml:space="preserve"> </w:t>
      </w:r>
    </w:p>
    <w:p w:rsidR="00134B51" w:rsidRDefault="00134B51" w:rsidP="00134B51">
      <w:pPr>
        <w:spacing w:after="0" w:line="240" w:lineRule="auto"/>
        <w:ind w:firstLine="709"/>
        <w:jc w:val="both"/>
        <w:rPr>
          <w:rFonts w:ascii="Times New Roman" w:hAnsi="Times New Roman"/>
          <w:color w:val="FF0000"/>
          <w:sz w:val="24"/>
          <w:szCs w:val="24"/>
          <w:lang w:eastAsia="sk-SK"/>
        </w:rPr>
      </w:pPr>
    </w:p>
    <w:p w:rsidR="00134B51" w:rsidRPr="006C2381" w:rsidRDefault="00134B51" w:rsidP="00134B51">
      <w:pPr>
        <w:tabs>
          <w:tab w:val="left" w:pos="9214"/>
        </w:tabs>
        <w:spacing w:after="0" w:line="240" w:lineRule="auto"/>
        <w:ind w:firstLine="709"/>
        <w:jc w:val="both"/>
        <w:rPr>
          <w:rFonts w:ascii="Times New Roman" w:hAnsi="Times New Roman"/>
          <w:sz w:val="24"/>
          <w:szCs w:val="24"/>
          <w:lang w:eastAsia="sk-SK"/>
        </w:rPr>
      </w:pPr>
      <w:r>
        <w:rPr>
          <w:rFonts w:ascii="Times New Roman" w:hAnsi="Times New Roman"/>
          <w:sz w:val="24"/>
          <w:szCs w:val="24"/>
          <w:lang w:eastAsia="sk-SK"/>
        </w:rPr>
        <w:t xml:space="preserve">Ak </w:t>
      </w:r>
      <w:r w:rsidRPr="001D4B30">
        <w:rPr>
          <w:rFonts w:ascii="Times New Roman" w:hAnsi="Times New Roman"/>
          <w:sz w:val="24"/>
          <w:szCs w:val="24"/>
          <w:lang w:eastAsia="sk-SK"/>
        </w:rPr>
        <w:t>priemerná výška starobného dôchodku vykázaná Soci</w:t>
      </w:r>
      <w:r>
        <w:rPr>
          <w:rFonts w:ascii="Times New Roman" w:hAnsi="Times New Roman"/>
          <w:sz w:val="24"/>
          <w:szCs w:val="24"/>
          <w:lang w:eastAsia="sk-SK"/>
        </w:rPr>
        <w:t>álnou poisťovňou ku dňu 30. júnu</w:t>
      </w:r>
      <w:r w:rsidRPr="001D4B30">
        <w:rPr>
          <w:rFonts w:ascii="Times New Roman" w:hAnsi="Times New Roman"/>
          <w:sz w:val="24"/>
          <w:szCs w:val="24"/>
          <w:lang w:eastAsia="sk-SK"/>
        </w:rPr>
        <w:t xml:space="preserve"> </w:t>
      </w:r>
      <w:r w:rsidRPr="001D4B30">
        <w:rPr>
          <w:rFonts w:ascii="Times New Roman" w:hAnsi="Times New Roman"/>
          <w:sz w:val="24"/>
          <w:szCs w:val="24"/>
        </w:rPr>
        <w:t>kalendárneho roka, ktorý predchádza príslušnému kalendárnemu roku</w:t>
      </w:r>
      <w:r w:rsidRPr="001D4B30">
        <w:rPr>
          <w:rFonts w:ascii="Times New Roman" w:hAnsi="Times New Roman"/>
          <w:sz w:val="24"/>
          <w:szCs w:val="24"/>
          <w:lang w:eastAsia="sk-SK"/>
        </w:rPr>
        <w:t xml:space="preserve"> </w:t>
      </w:r>
      <w:r w:rsidRPr="00E4050F">
        <w:rPr>
          <w:rFonts w:ascii="Times New Roman" w:hAnsi="Times New Roman"/>
          <w:sz w:val="24"/>
          <w:szCs w:val="24"/>
          <w:lang w:eastAsia="sk-SK"/>
        </w:rPr>
        <w:t>predstavuje sumu</w:t>
      </w:r>
      <w:r>
        <w:rPr>
          <w:rFonts w:ascii="Times New Roman" w:hAnsi="Times New Roman"/>
          <w:sz w:val="24"/>
          <w:szCs w:val="24"/>
          <w:lang w:eastAsia="sk-SK"/>
        </w:rPr>
        <w:t xml:space="preserve"> </w:t>
      </w:r>
      <w:r w:rsidRPr="00E4050F">
        <w:rPr>
          <w:rFonts w:ascii="Times New Roman" w:hAnsi="Times New Roman"/>
          <w:sz w:val="24"/>
          <w:szCs w:val="24"/>
          <w:lang w:eastAsia="sk-SK"/>
        </w:rPr>
        <w:lastRenderedPageBreak/>
        <w:t>do</w:t>
      </w:r>
      <w:r w:rsidR="001B5D49">
        <w:rPr>
          <w:rFonts w:ascii="Times New Roman" w:hAnsi="Times New Roman"/>
          <w:sz w:val="24"/>
          <w:szCs w:val="24"/>
          <w:lang w:eastAsia="sk-SK"/>
        </w:rPr>
        <w:t> </w:t>
      </w:r>
      <w:r w:rsidRPr="001D4B30">
        <w:rPr>
          <w:rFonts w:ascii="Times New Roman" w:hAnsi="Times New Roman"/>
          <w:sz w:val="24"/>
          <w:szCs w:val="24"/>
          <w:lang w:eastAsia="sk-SK"/>
        </w:rPr>
        <w:t>450,00</w:t>
      </w:r>
      <w:r w:rsidR="00367FA1">
        <w:rPr>
          <w:rFonts w:ascii="Times New Roman" w:hAnsi="Times New Roman"/>
          <w:sz w:val="24"/>
          <w:szCs w:val="24"/>
          <w:lang w:eastAsia="sk-SK"/>
        </w:rPr>
        <w:t> </w:t>
      </w:r>
      <w:r w:rsidRPr="00E4050F">
        <w:rPr>
          <w:rFonts w:ascii="Times New Roman" w:hAnsi="Times New Roman"/>
          <w:sz w:val="24"/>
          <w:szCs w:val="24"/>
          <w:lang w:eastAsia="sk-SK"/>
        </w:rPr>
        <w:t>eur</w:t>
      </w:r>
      <w:r w:rsidRPr="001D4B30">
        <w:rPr>
          <w:rFonts w:ascii="Times New Roman" w:hAnsi="Times New Roman"/>
          <w:sz w:val="24"/>
          <w:szCs w:val="24"/>
          <w:lang w:eastAsia="sk-SK"/>
        </w:rPr>
        <w:t xml:space="preserve">, </w:t>
      </w:r>
      <w:r>
        <w:rPr>
          <w:rFonts w:ascii="Times New Roman" w:hAnsi="Times New Roman"/>
          <w:sz w:val="24"/>
          <w:szCs w:val="24"/>
          <w:lang w:eastAsia="sk-SK"/>
        </w:rPr>
        <w:t xml:space="preserve">tak </w:t>
      </w:r>
      <w:r w:rsidRPr="001D4B30">
        <w:rPr>
          <w:rFonts w:ascii="Times New Roman" w:hAnsi="Times New Roman"/>
          <w:sz w:val="24"/>
          <w:szCs w:val="24"/>
          <w:lang w:eastAsia="sk-SK"/>
        </w:rPr>
        <w:t xml:space="preserve">2 % pevná suma použitá do vzorca na výpočet sumy zvýšenia </w:t>
      </w:r>
      <w:r w:rsidRPr="00B6197B">
        <w:rPr>
          <w:rFonts w:ascii="Times New Roman" w:hAnsi="Times New Roman"/>
          <w:sz w:val="24"/>
          <w:szCs w:val="24"/>
          <w:lang w:eastAsia="sk-SK"/>
        </w:rPr>
        <w:t>predstavuje</w:t>
      </w:r>
      <w:r>
        <w:rPr>
          <w:rFonts w:ascii="Times New Roman" w:hAnsi="Times New Roman"/>
          <w:sz w:val="24"/>
          <w:szCs w:val="24"/>
          <w:lang w:eastAsia="sk-SK"/>
        </w:rPr>
        <w:t xml:space="preserve"> </w:t>
      </w:r>
      <w:r w:rsidRPr="001D4B30">
        <w:rPr>
          <w:rFonts w:ascii="Times New Roman" w:hAnsi="Times New Roman"/>
          <w:sz w:val="24"/>
          <w:szCs w:val="24"/>
          <w:lang w:eastAsia="sk-SK"/>
        </w:rPr>
        <w:t>9,00</w:t>
      </w:r>
      <w:r w:rsidR="001B5D49">
        <w:rPr>
          <w:rFonts w:ascii="Times New Roman" w:hAnsi="Times New Roman"/>
          <w:sz w:val="24"/>
          <w:szCs w:val="24"/>
          <w:lang w:eastAsia="sk-SK"/>
        </w:rPr>
        <w:t> </w:t>
      </w:r>
      <w:r w:rsidRPr="00E4050F">
        <w:rPr>
          <w:rFonts w:ascii="Times New Roman" w:hAnsi="Times New Roman"/>
          <w:sz w:val="24"/>
          <w:szCs w:val="24"/>
          <w:lang w:eastAsia="sk-SK"/>
        </w:rPr>
        <w:t>eur. Pri vykázanej sume</w:t>
      </w:r>
      <w:r>
        <w:rPr>
          <w:rFonts w:ascii="Times New Roman" w:hAnsi="Times New Roman"/>
          <w:sz w:val="24"/>
          <w:szCs w:val="24"/>
          <w:lang w:eastAsia="sk-SK"/>
        </w:rPr>
        <w:t xml:space="preserve"> </w:t>
      </w:r>
      <w:r w:rsidRPr="001D4B30">
        <w:rPr>
          <w:rFonts w:ascii="Times New Roman" w:hAnsi="Times New Roman"/>
          <w:sz w:val="24"/>
          <w:szCs w:val="24"/>
          <w:lang w:eastAsia="sk-SK"/>
        </w:rPr>
        <w:t xml:space="preserve">od 450,01 </w:t>
      </w:r>
      <w:r w:rsidRPr="00E4050F">
        <w:rPr>
          <w:rFonts w:ascii="Times New Roman" w:hAnsi="Times New Roman"/>
          <w:sz w:val="24"/>
          <w:szCs w:val="24"/>
          <w:lang w:eastAsia="sk-SK"/>
        </w:rPr>
        <w:t>eur</w:t>
      </w:r>
      <w:r w:rsidRPr="001D4B30">
        <w:rPr>
          <w:rFonts w:ascii="Times New Roman" w:hAnsi="Times New Roman"/>
          <w:sz w:val="24"/>
          <w:szCs w:val="24"/>
          <w:lang w:eastAsia="sk-SK"/>
        </w:rPr>
        <w:t xml:space="preserve"> do sumy 500,00</w:t>
      </w:r>
      <w:r>
        <w:rPr>
          <w:rFonts w:ascii="Times New Roman" w:hAnsi="Times New Roman"/>
          <w:sz w:val="24"/>
          <w:szCs w:val="24"/>
          <w:lang w:eastAsia="sk-SK"/>
        </w:rPr>
        <w:t xml:space="preserve"> </w:t>
      </w:r>
      <w:r w:rsidRPr="00E4050F">
        <w:rPr>
          <w:rFonts w:ascii="Times New Roman" w:hAnsi="Times New Roman"/>
          <w:sz w:val="24"/>
          <w:szCs w:val="24"/>
          <w:lang w:eastAsia="sk-SK"/>
        </w:rPr>
        <w:t>eur</w:t>
      </w:r>
      <w:r w:rsidRPr="001D4B30">
        <w:rPr>
          <w:rFonts w:ascii="Times New Roman" w:hAnsi="Times New Roman"/>
          <w:sz w:val="24"/>
          <w:szCs w:val="24"/>
          <w:lang w:eastAsia="sk-SK"/>
        </w:rPr>
        <w:t>, 2 % pevná suma použitá do vzorca na výpočet sumy zvýšenia predstavuje 10,00</w:t>
      </w:r>
      <w:r>
        <w:rPr>
          <w:rFonts w:ascii="Times New Roman" w:hAnsi="Times New Roman"/>
          <w:sz w:val="24"/>
          <w:szCs w:val="24"/>
          <w:lang w:eastAsia="sk-SK"/>
        </w:rPr>
        <w:t xml:space="preserve"> </w:t>
      </w:r>
      <w:r w:rsidRPr="00E4050F">
        <w:rPr>
          <w:rFonts w:ascii="Times New Roman" w:hAnsi="Times New Roman"/>
          <w:sz w:val="24"/>
          <w:szCs w:val="24"/>
          <w:lang w:eastAsia="sk-SK"/>
        </w:rPr>
        <w:t>eur</w:t>
      </w:r>
      <w:r w:rsidRPr="001D4B30">
        <w:rPr>
          <w:rFonts w:ascii="Times New Roman" w:hAnsi="Times New Roman"/>
          <w:sz w:val="24"/>
          <w:szCs w:val="24"/>
          <w:lang w:eastAsia="sk-SK"/>
        </w:rPr>
        <w:t>. Z uvedeného vyplýva, že za predpokladu zvyšovania priemernej sumy starobného dôchodku v </w:t>
      </w:r>
      <w:r w:rsidRPr="00E4050F">
        <w:rPr>
          <w:rFonts w:ascii="Times New Roman" w:hAnsi="Times New Roman"/>
          <w:sz w:val="24"/>
          <w:szCs w:val="24"/>
          <w:lang w:eastAsia="sk-SK"/>
        </w:rPr>
        <w:t>tendencii</w:t>
      </w:r>
      <w:r>
        <w:rPr>
          <w:rFonts w:ascii="Times New Roman" w:hAnsi="Times New Roman"/>
          <w:sz w:val="24"/>
          <w:szCs w:val="24"/>
          <w:lang w:eastAsia="sk-SK"/>
        </w:rPr>
        <w:t>, aká je aj v súčasnej dobe</w:t>
      </w:r>
      <w:r w:rsidRPr="001D4B30">
        <w:rPr>
          <w:rFonts w:ascii="Times New Roman" w:hAnsi="Times New Roman"/>
          <w:sz w:val="24"/>
          <w:szCs w:val="24"/>
          <w:lang w:eastAsia="sk-SK"/>
        </w:rPr>
        <w:t xml:space="preserve"> </w:t>
      </w:r>
      <w:r>
        <w:rPr>
          <w:rFonts w:ascii="Times New Roman" w:hAnsi="Times New Roman"/>
          <w:sz w:val="24"/>
          <w:szCs w:val="24"/>
          <w:lang w:eastAsia="sk-SK"/>
        </w:rPr>
        <w:t>(</w:t>
      </w:r>
      <w:r w:rsidRPr="001D4B30">
        <w:rPr>
          <w:rFonts w:ascii="Times New Roman" w:hAnsi="Times New Roman"/>
          <w:sz w:val="24"/>
          <w:szCs w:val="24"/>
          <w:lang w:eastAsia="sk-SK"/>
        </w:rPr>
        <w:t xml:space="preserve">v období roku 2017 bola 2 % suma starobného dôchodku zaokrúhlená na najbližší desať eurocent smerom nahor vo výške 8,20 </w:t>
      </w:r>
      <w:r w:rsidRPr="00E4050F">
        <w:rPr>
          <w:rFonts w:ascii="Times New Roman" w:hAnsi="Times New Roman"/>
          <w:sz w:val="24"/>
          <w:szCs w:val="24"/>
          <w:lang w:eastAsia="sk-SK"/>
        </w:rPr>
        <w:t>eur</w:t>
      </w:r>
      <w:r w:rsidRPr="001D4B30">
        <w:rPr>
          <w:rFonts w:ascii="Times New Roman" w:hAnsi="Times New Roman"/>
          <w:sz w:val="24"/>
          <w:szCs w:val="24"/>
          <w:lang w:eastAsia="sk-SK"/>
        </w:rPr>
        <w:t xml:space="preserve">, v roku 2018 v sume 8,40 </w:t>
      </w:r>
      <w:r w:rsidRPr="00E4050F">
        <w:rPr>
          <w:rFonts w:ascii="Times New Roman" w:hAnsi="Times New Roman"/>
          <w:sz w:val="24"/>
          <w:szCs w:val="24"/>
          <w:lang w:eastAsia="sk-SK"/>
        </w:rPr>
        <w:t>eur</w:t>
      </w:r>
      <w:r w:rsidRPr="001D4B30">
        <w:rPr>
          <w:rFonts w:ascii="Times New Roman" w:hAnsi="Times New Roman"/>
          <w:sz w:val="24"/>
          <w:szCs w:val="24"/>
          <w:lang w:eastAsia="sk-SK"/>
        </w:rPr>
        <w:t xml:space="preserve"> a v roku 2019 v sume 8,70 </w:t>
      </w:r>
      <w:r w:rsidRPr="00E4050F">
        <w:rPr>
          <w:rFonts w:ascii="Times New Roman" w:hAnsi="Times New Roman"/>
          <w:sz w:val="24"/>
          <w:szCs w:val="24"/>
          <w:lang w:eastAsia="sk-SK"/>
        </w:rPr>
        <w:t>eur)</w:t>
      </w:r>
      <w:r w:rsidRPr="001D4B30">
        <w:rPr>
          <w:rFonts w:ascii="Times New Roman" w:hAnsi="Times New Roman"/>
          <w:sz w:val="24"/>
          <w:szCs w:val="24"/>
          <w:lang w:eastAsia="sk-SK"/>
        </w:rPr>
        <w:t xml:space="preserve">, 2 % priemerná suma starobného dôchodku použitá na výpočet sumy zvýšenia bude 9,00 </w:t>
      </w:r>
      <w:r w:rsidRPr="00E4050F">
        <w:rPr>
          <w:rFonts w:ascii="Times New Roman" w:hAnsi="Times New Roman"/>
          <w:sz w:val="24"/>
          <w:szCs w:val="24"/>
          <w:lang w:eastAsia="sk-SK"/>
        </w:rPr>
        <w:t>eur</w:t>
      </w:r>
      <w:r>
        <w:rPr>
          <w:rFonts w:ascii="Times New Roman" w:hAnsi="Times New Roman"/>
          <w:sz w:val="24"/>
          <w:szCs w:val="24"/>
          <w:lang w:eastAsia="sk-SK"/>
        </w:rPr>
        <w:t xml:space="preserve"> </w:t>
      </w:r>
      <w:r w:rsidRPr="001D4B30">
        <w:rPr>
          <w:rFonts w:ascii="Times New Roman" w:hAnsi="Times New Roman"/>
          <w:sz w:val="24"/>
          <w:szCs w:val="24"/>
          <w:lang w:eastAsia="sk-SK"/>
        </w:rPr>
        <w:t xml:space="preserve">v období rokov 2019 až 2020. </w:t>
      </w:r>
      <w:r w:rsidRPr="006C2381">
        <w:rPr>
          <w:rFonts w:ascii="Times New Roman" w:hAnsi="Times New Roman"/>
          <w:sz w:val="24"/>
          <w:szCs w:val="24"/>
          <w:lang w:eastAsia="sk-SK"/>
        </w:rPr>
        <w:t>V rok</w:t>
      </w:r>
      <w:r>
        <w:rPr>
          <w:rFonts w:ascii="Times New Roman" w:hAnsi="Times New Roman"/>
          <w:sz w:val="24"/>
          <w:szCs w:val="24"/>
          <w:lang w:eastAsia="sk-SK"/>
        </w:rPr>
        <w:t>u</w:t>
      </w:r>
      <w:r w:rsidRPr="006C2381">
        <w:rPr>
          <w:rFonts w:ascii="Times New Roman" w:hAnsi="Times New Roman"/>
          <w:sz w:val="24"/>
          <w:szCs w:val="24"/>
          <w:lang w:eastAsia="sk-SK"/>
        </w:rPr>
        <w:t xml:space="preserve"> </w:t>
      </w:r>
      <w:r>
        <w:rPr>
          <w:rFonts w:ascii="Times New Roman" w:hAnsi="Times New Roman"/>
          <w:sz w:val="24"/>
          <w:szCs w:val="24"/>
          <w:lang w:eastAsia="sk-SK"/>
        </w:rPr>
        <w:t xml:space="preserve">2021 </w:t>
      </w:r>
      <w:r w:rsidRPr="006C2381">
        <w:rPr>
          <w:rFonts w:ascii="Times New Roman" w:hAnsi="Times New Roman"/>
          <w:sz w:val="24"/>
          <w:szCs w:val="24"/>
          <w:lang w:eastAsia="sk-SK"/>
        </w:rPr>
        <w:t>sa predpokladá</w:t>
      </w:r>
      <w:r w:rsidR="00D3664E">
        <w:rPr>
          <w:rFonts w:ascii="Times New Roman" w:hAnsi="Times New Roman"/>
          <w:sz w:val="24"/>
          <w:szCs w:val="24"/>
          <w:lang w:eastAsia="sk-SK"/>
        </w:rPr>
        <w:t>, že</w:t>
      </w:r>
      <w:r w:rsidRPr="006C2381">
        <w:rPr>
          <w:rFonts w:ascii="Times New Roman" w:hAnsi="Times New Roman"/>
          <w:sz w:val="24"/>
          <w:szCs w:val="24"/>
          <w:lang w:eastAsia="sk-SK"/>
        </w:rPr>
        <w:t xml:space="preserve"> 2 % priemerná suma starobného dôchodku, t.</w:t>
      </w:r>
      <w:r w:rsidR="009852DB">
        <w:rPr>
          <w:rFonts w:ascii="Times New Roman" w:hAnsi="Times New Roman"/>
          <w:sz w:val="24"/>
          <w:szCs w:val="24"/>
          <w:lang w:eastAsia="sk-SK"/>
        </w:rPr>
        <w:t xml:space="preserve"> </w:t>
      </w:r>
      <w:r w:rsidRPr="006C2381">
        <w:rPr>
          <w:rFonts w:ascii="Times New Roman" w:hAnsi="Times New Roman"/>
          <w:sz w:val="24"/>
          <w:szCs w:val="24"/>
          <w:lang w:eastAsia="sk-SK"/>
        </w:rPr>
        <w:t>j. suma použitá na výpočet sumy zvýšenia, bude predstavovať sumu 10,00 eur, a to vzhľadom na predpokladané zvýšenie priemernej sumy starobného dôchodku nad 450,00 eur do 500,00 eur.</w:t>
      </w:r>
    </w:p>
    <w:p w:rsidR="00134B51" w:rsidRDefault="00134B51" w:rsidP="00134B51">
      <w:pPr>
        <w:spacing w:after="0" w:line="240" w:lineRule="auto"/>
        <w:ind w:firstLine="709"/>
        <w:jc w:val="both"/>
        <w:rPr>
          <w:rFonts w:ascii="Times New Roman" w:hAnsi="Times New Roman"/>
          <w:color w:val="FF0000"/>
          <w:sz w:val="24"/>
          <w:szCs w:val="24"/>
          <w:lang w:eastAsia="sk-SK"/>
        </w:rPr>
      </w:pPr>
    </w:p>
    <w:p w:rsidR="00134B51" w:rsidRPr="00AD5212" w:rsidRDefault="00134B51" w:rsidP="00134B51">
      <w:pPr>
        <w:spacing w:after="0" w:line="240" w:lineRule="auto"/>
        <w:ind w:firstLine="709"/>
        <w:jc w:val="both"/>
        <w:rPr>
          <w:rFonts w:ascii="Times New Roman" w:hAnsi="Times New Roman"/>
          <w:sz w:val="24"/>
          <w:szCs w:val="24"/>
          <w:lang w:eastAsia="sk-SK"/>
        </w:rPr>
      </w:pPr>
      <w:r w:rsidRPr="00E4050F">
        <w:rPr>
          <w:rFonts w:ascii="Times New Roman" w:hAnsi="Times New Roman"/>
          <w:sz w:val="24"/>
          <w:szCs w:val="24"/>
          <w:lang w:eastAsia="sk-SK"/>
        </w:rPr>
        <w:t>Pri súčasnom nastavení zvyšovania dôchodkových dávok výsluhového zabezpečenia tzv. dôchodcovskou infláciou, by napr. v rámci osobitného účtu Ministerstva vnútra SR náklady na ich zvýšenie predstavovali v roku 2019 sumu 2.154.471 eur, v roku 2020 sumu 4.154.126 eur, v roku 2021 sumu 4.300.119 eur a v rámci osobitného účtu Vojenského úradu sociálneho zabezpečenia by predmetné zvýšenie predstavovalo v roku 2019 sumu 2.035.040 eur, v roku 2020 sumu 3.882.073 eur</w:t>
      </w:r>
      <w:r w:rsidR="00543E6F">
        <w:rPr>
          <w:rFonts w:ascii="Times New Roman" w:hAnsi="Times New Roman"/>
          <w:sz w:val="24"/>
          <w:szCs w:val="24"/>
          <w:lang w:eastAsia="sk-SK"/>
        </w:rPr>
        <w:t xml:space="preserve"> a</w:t>
      </w:r>
      <w:r w:rsidRPr="00E4050F">
        <w:rPr>
          <w:rFonts w:ascii="Times New Roman" w:hAnsi="Times New Roman"/>
          <w:sz w:val="24"/>
          <w:szCs w:val="24"/>
          <w:lang w:eastAsia="sk-SK"/>
        </w:rPr>
        <w:t xml:space="preserve"> v roku 2021 sumu 3.900.854 eur</w:t>
      </w:r>
      <w:r>
        <w:rPr>
          <w:rFonts w:ascii="Times New Roman" w:hAnsi="Times New Roman"/>
          <w:sz w:val="24"/>
          <w:szCs w:val="24"/>
          <w:lang w:eastAsia="sk-SK"/>
        </w:rPr>
        <w:t>.</w:t>
      </w:r>
    </w:p>
    <w:p w:rsidR="00134B51" w:rsidRPr="00AD5212" w:rsidRDefault="00134B51" w:rsidP="00134B51">
      <w:pPr>
        <w:spacing w:after="0" w:line="240" w:lineRule="auto"/>
        <w:ind w:firstLine="709"/>
        <w:jc w:val="both"/>
        <w:rPr>
          <w:rFonts w:ascii="Times New Roman" w:hAnsi="Times New Roman"/>
          <w:sz w:val="24"/>
          <w:szCs w:val="24"/>
          <w:lang w:eastAsia="sk-SK"/>
        </w:rPr>
      </w:pPr>
      <w:r w:rsidRPr="00E4050F">
        <w:rPr>
          <w:rFonts w:ascii="Times New Roman" w:hAnsi="Times New Roman"/>
          <w:sz w:val="24"/>
          <w:szCs w:val="24"/>
          <w:lang w:eastAsia="sk-SK"/>
        </w:rPr>
        <w:t>Navrhovaný nový mechanizmus zvýšenia dôchodkových dávok výsluhového zabezpečenia napr. v rámci osobitného účtu Ministerstva vnútra SR predstavuje náklady v roku 2019 v sume 1.709.208 eur, v roku 2020 v sume 3.418.416 eur, v roku 2021 v sume 3.694.095 eur a v rámci osobitného účtu Vojenského úradu sociálneho zabezpečenia predstavuje náklady v roku 2019 v sume 1.400.252 eur, v roku 2020 v sume 2.800.504 eur</w:t>
      </w:r>
      <w:r w:rsidR="00BE34C5">
        <w:rPr>
          <w:rFonts w:ascii="Times New Roman" w:hAnsi="Times New Roman"/>
          <w:sz w:val="24"/>
          <w:szCs w:val="24"/>
          <w:lang w:eastAsia="sk-SK"/>
        </w:rPr>
        <w:t xml:space="preserve"> a</w:t>
      </w:r>
      <w:r w:rsidRPr="00E4050F">
        <w:rPr>
          <w:rFonts w:ascii="Times New Roman" w:hAnsi="Times New Roman"/>
          <w:sz w:val="24"/>
          <w:szCs w:val="24"/>
          <w:lang w:eastAsia="sk-SK"/>
        </w:rPr>
        <w:t xml:space="preserve">  v roku 2021 v sume 3.025.242 eur</w:t>
      </w:r>
      <w:r>
        <w:rPr>
          <w:rFonts w:ascii="Times New Roman" w:hAnsi="Times New Roman"/>
          <w:sz w:val="24"/>
          <w:szCs w:val="24"/>
          <w:lang w:eastAsia="sk-SK"/>
        </w:rPr>
        <w:t>.</w:t>
      </w:r>
    </w:p>
    <w:p w:rsidR="00134B51" w:rsidRDefault="00134B51" w:rsidP="00134B51">
      <w:pPr>
        <w:spacing w:after="0" w:line="240" w:lineRule="auto"/>
        <w:ind w:firstLine="709"/>
        <w:jc w:val="both"/>
        <w:rPr>
          <w:rFonts w:ascii="Times New Roman" w:hAnsi="Times New Roman"/>
          <w:color w:val="FF0000"/>
          <w:sz w:val="24"/>
          <w:szCs w:val="24"/>
          <w:lang w:eastAsia="sk-SK"/>
        </w:rPr>
      </w:pPr>
    </w:p>
    <w:p w:rsidR="00134B51" w:rsidRDefault="00134B51" w:rsidP="00134B51">
      <w:pPr>
        <w:spacing w:after="0" w:line="240" w:lineRule="auto"/>
        <w:rPr>
          <w:rFonts w:ascii="Times New Roman" w:hAnsi="Times New Roman"/>
          <w:b/>
          <w:bCs/>
          <w:sz w:val="24"/>
          <w:szCs w:val="24"/>
          <w:lang w:eastAsia="sk-SK"/>
        </w:rPr>
      </w:pPr>
    </w:p>
    <w:p w:rsidR="00134B51" w:rsidRPr="007D5748" w:rsidRDefault="00134B51" w:rsidP="00134B51">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134B51" w:rsidRPr="007D5748" w:rsidRDefault="00134B51" w:rsidP="00134B51">
      <w:pPr>
        <w:spacing w:after="0" w:line="240" w:lineRule="auto"/>
        <w:rPr>
          <w:rFonts w:ascii="Times New Roman" w:hAnsi="Times New Roman"/>
          <w:sz w:val="24"/>
          <w:szCs w:val="24"/>
          <w:lang w:eastAsia="sk-SK"/>
        </w:rPr>
      </w:pPr>
    </w:p>
    <w:p w:rsidR="00134B51" w:rsidRPr="007D5748" w:rsidRDefault="00134B51" w:rsidP="00134B51">
      <w:pPr>
        <w:spacing w:after="0" w:line="240" w:lineRule="auto"/>
        <w:rPr>
          <w:rFonts w:ascii="Times New Roman" w:hAnsi="Times New Roman"/>
          <w:sz w:val="24"/>
          <w:szCs w:val="24"/>
          <w:lang w:eastAsia="sk-SK"/>
        </w:rPr>
      </w:pPr>
      <w:r w:rsidRPr="007D5748">
        <w:rPr>
          <w:rFonts w:ascii="Times New Roman" w:hAnsi="Times New Roman"/>
          <w:b/>
          <w:sz w:val="24"/>
          <w:szCs w:val="24"/>
          <w:bdr w:val="single" w:sz="4" w:space="0" w:color="auto"/>
          <w:lang w:eastAsia="sk-SK"/>
        </w:rPr>
        <w:t xml:space="preserve"> </w:t>
      </w:r>
      <w:r>
        <w:rPr>
          <w:rFonts w:ascii="Times New Roman" w:hAnsi="Times New Roman"/>
          <w:b/>
          <w:sz w:val="24"/>
          <w:szCs w:val="24"/>
          <w:bdr w:val="single" w:sz="4" w:space="0" w:color="auto"/>
          <w:lang w:eastAsia="sk-SK"/>
        </w:rPr>
        <w:t>x</w:t>
      </w:r>
      <w:r w:rsidRPr="007D5748">
        <w:rPr>
          <w:rFonts w:ascii="Times New Roman" w:hAnsi="Times New Roman"/>
          <w:b/>
          <w:sz w:val="24"/>
          <w:szCs w:val="24"/>
          <w:bdr w:val="single" w:sz="4" w:space="0" w:color="auto"/>
          <w:lang w:eastAsia="sk-SK"/>
        </w:rPr>
        <w:t xml:space="preserve"> </w:t>
      </w:r>
      <w:r>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rsidR="00134B51" w:rsidRPr="007D5748" w:rsidRDefault="00134B51" w:rsidP="00134B51">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 xml:space="preserve">   </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rsidR="00134B51" w:rsidRPr="007D5748" w:rsidRDefault="00134B51" w:rsidP="00134B51">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nová služba alebo nariadenie (alebo ich zrušenie)</w:t>
      </w:r>
    </w:p>
    <w:p w:rsidR="00134B51" w:rsidRPr="007D5748" w:rsidRDefault="00134B51" w:rsidP="00134B51">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rsidR="00134B51" w:rsidRPr="007D5748" w:rsidRDefault="00134B51" w:rsidP="00134B51">
      <w:pPr>
        <w:spacing w:after="0" w:line="240" w:lineRule="auto"/>
        <w:rPr>
          <w:rFonts w:ascii="Times New Roman" w:hAnsi="Times New Roman"/>
          <w:sz w:val="24"/>
          <w:szCs w:val="24"/>
          <w:lang w:eastAsia="sk-SK"/>
        </w:rPr>
      </w:pPr>
      <w:r>
        <w:rPr>
          <w:rFonts w:ascii="Times New Roman" w:hAnsi="Times New Roman"/>
          <w:sz w:val="24"/>
          <w:szCs w:val="24"/>
          <w:bdr w:val="single" w:sz="4" w:space="0" w:color="auto"/>
          <w:lang w:eastAsia="sk-SK"/>
        </w:rPr>
        <w:t xml:space="preserve">    </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iné </w:t>
      </w:r>
    </w:p>
    <w:p w:rsidR="00134B51" w:rsidRPr="007D5748" w:rsidRDefault="00134B51" w:rsidP="00134B51">
      <w:pPr>
        <w:spacing w:after="0" w:line="240" w:lineRule="auto"/>
        <w:rPr>
          <w:rFonts w:ascii="Times New Roman" w:hAnsi="Times New Roman"/>
          <w:sz w:val="24"/>
          <w:szCs w:val="24"/>
          <w:lang w:eastAsia="sk-SK"/>
        </w:rPr>
      </w:pPr>
    </w:p>
    <w:p w:rsidR="00134B51" w:rsidRPr="009E2092" w:rsidRDefault="00134B51" w:rsidP="00134B51">
      <w:pPr>
        <w:spacing w:after="0" w:line="240" w:lineRule="auto"/>
        <w:rPr>
          <w:rFonts w:ascii="Times New Roman" w:hAnsi="Times New Roman"/>
          <w:sz w:val="24"/>
          <w:szCs w:val="24"/>
          <w:lang w:eastAsia="sk-SK"/>
        </w:rPr>
      </w:pPr>
      <w:r w:rsidRPr="009E2092">
        <w:rPr>
          <w:rFonts w:ascii="Times New Roman" w:hAnsi="Times New Roman"/>
          <w:b/>
          <w:bCs/>
          <w:sz w:val="24"/>
          <w:szCs w:val="24"/>
          <w:lang w:eastAsia="sk-SK"/>
        </w:rPr>
        <w:t>2.2.3. Predpoklady vývoja objemu aktivít:</w:t>
      </w:r>
    </w:p>
    <w:p w:rsidR="00134B51" w:rsidRDefault="00134B51" w:rsidP="00134B51">
      <w:pPr>
        <w:spacing w:after="0" w:line="240" w:lineRule="auto"/>
        <w:rPr>
          <w:rFonts w:ascii="Times New Roman" w:hAnsi="Times New Roman"/>
          <w:sz w:val="24"/>
          <w:szCs w:val="24"/>
          <w:highlight w:val="yellow"/>
          <w:lang w:eastAsia="sk-SK"/>
        </w:rPr>
      </w:pPr>
    </w:p>
    <w:p w:rsidR="00134B51" w:rsidRPr="00045303" w:rsidRDefault="00134B51" w:rsidP="00134B51">
      <w:pPr>
        <w:ind w:firstLine="708"/>
        <w:jc w:val="both"/>
        <w:rPr>
          <w:rFonts w:ascii="Times New Roman" w:hAnsi="Times New Roman"/>
          <w:sz w:val="24"/>
          <w:szCs w:val="24"/>
          <w:lang w:eastAsia="sk-SK"/>
        </w:rPr>
      </w:pPr>
      <w:r w:rsidRPr="00C21587">
        <w:rPr>
          <w:rFonts w:ascii="Times New Roman" w:hAnsi="Times New Roman"/>
          <w:sz w:val="24"/>
          <w:szCs w:val="24"/>
          <w:lang w:eastAsia="sk-SK"/>
        </w:rPr>
        <w:t xml:space="preserve">Výdavky súvisiace s implementáciou navrhovaných zmien budú finančne kryté v rámci </w:t>
      </w:r>
      <w:r>
        <w:rPr>
          <w:rFonts w:ascii="Times New Roman" w:hAnsi="Times New Roman"/>
          <w:sz w:val="24"/>
          <w:szCs w:val="24"/>
          <w:lang w:eastAsia="sk-SK"/>
        </w:rPr>
        <w:t>osobitných účtov útvarov sociálneho zabezpečenia a Vojenského úradu sociálneho zabezpečenia.</w:t>
      </w:r>
      <w:r w:rsidRPr="00C21587">
        <w:rPr>
          <w:rFonts w:ascii="Times New Roman" w:hAnsi="Times New Roman"/>
          <w:sz w:val="24"/>
          <w:szCs w:val="24"/>
          <w:lang w:eastAsia="sk-SK"/>
        </w:rPr>
        <w:t xml:space="preserve"> </w:t>
      </w:r>
    </w:p>
    <w:p w:rsidR="00AE673A" w:rsidRPr="001C7640" w:rsidRDefault="00AE673A" w:rsidP="00AE673A">
      <w:pPr>
        <w:spacing w:after="0" w:line="240" w:lineRule="auto"/>
        <w:jc w:val="right"/>
        <w:rPr>
          <w:rFonts w:ascii="Times New Roman" w:hAnsi="Times New Roman"/>
          <w:sz w:val="20"/>
          <w:szCs w:val="20"/>
          <w:highlight w:val="yellow"/>
          <w:lang w:eastAsia="sk-SK"/>
        </w:rPr>
      </w:pPr>
      <w:r>
        <w:rPr>
          <w:rFonts w:ascii="Times New Roman" w:hAnsi="Times New Roman"/>
          <w:sz w:val="20"/>
          <w:szCs w:val="20"/>
          <w:lang w:eastAsia="sk-SK"/>
        </w:rPr>
        <w:t xml:space="preserve">       </w:t>
      </w:r>
      <w:r w:rsidR="00134B51" w:rsidRPr="00F77641">
        <w:rPr>
          <w:rFonts w:ascii="Times New Roman" w:hAnsi="Times New Roman"/>
          <w:sz w:val="20"/>
          <w:szCs w:val="20"/>
          <w:lang w:eastAsia="sk-SK"/>
        </w:rPr>
        <w:t>Tabuľka č. 2</w:t>
      </w:r>
      <w:r w:rsidR="00134B51" w:rsidRPr="001C7640">
        <w:rPr>
          <w:rFonts w:ascii="Times New Roman" w:hAnsi="Times New Roman"/>
          <w:sz w:val="20"/>
          <w:szCs w:val="20"/>
          <w:highlight w:val="yellow"/>
          <w:lang w:eastAsia="sk-SK"/>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134B51" w:rsidRPr="001C7640" w:rsidTr="00AE673A">
        <w:trPr>
          <w:cantSplit/>
          <w:trHeight w:val="70"/>
        </w:trPr>
        <w:tc>
          <w:tcPr>
            <w:tcW w:w="4530" w:type="dxa"/>
            <w:vMerge w:val="restart"/>
            <w:shd w:val="clear" w:color="auto" w:fill="BFBFBF"/>
            <w:vAlign w:val="center"/>
          </w:tcPr>
          <w:p w:rsidR="00134B51" w:rsidRPr="00F77641" w:rsidRDefault="00134B51" w:rsidP="00D5717A">
            <w:pPr>
              <w:autoSpaceDE w:val="0"/>
              <w:autoSpaceDN w:val="0"/>
              <w:adjustRightInd w:val="0"/>
              <w:spacing w:after="0" w:line="240" w:lineRule="auto"/>
              <w:jc w:val="center"/>
              <w:rPr>
                <w:rFonts w:ascii="Times New Roman" w:hAnsi="Times New Roman"/>
                <w:b/>
                <w:bCs/>
                <w:sz w:val="24"/>
                <w:szCs w:val="24"/>
                <w:lang w:eastAsia="sk-SK"/>
              </w:rPr>
            </w:pPr>
            <w:r w:rsidRPr="00F77641">
              <w:rPr>
                <w:rFonts w:ascii="Times New Roman" w:hAnsi="Times New Roman"/>
                <w:b/>
                <w:bCs/>
                <w:sz w:val="24"/>
                <w:szCs w:val="24"/>
                <w:lang w:eastAsia="sk-SK"/>
              </w:rPr>
              <w:t>Objem aktivít</w:t>
            </w:r>
          </w:p>
        </w:tc>
        <w:tc>
          <w:tcPr>
            <w:tcW w:w="4536" w:type="dxa"/>
            <w:gridSpan w:val="4"/>
            <w:shd w:val="clear" w:color="auto" w:fill="BFBFBF"/>
            <w:vAlign w:val="center"/>
          </w:tcPr>
          <w:p w:rsidR="00134B51" w:rsidRPr="00F77641" w:rsidRDefault="00134B51" w:rsidP="00D5717A">
            <w:pPr>
              <w:autoSpaceDE w:val="0"/>
              <w:autoSpaceDN w:val="0"/>
              <w:adjustRightInd w:val="0"/>
              <w:spacing w:after="0" w:line="240" w:lineRule="auto"/>
              <w:jc w:val="center"/>
              <w:rPr>
                <w:rFonts w:ascii="Times New Roman" w:hAnsi="Times New Roman"/>
                <w:b/>
                <w:bCs/>
                <w:sz w:val="24"/>
                <w:szCs w:val="24"/>
                <w:lang w:eastAsia="sk-SK"/>
              </w:rPr>
            </w:pPr>
            <w:r w:rsidRPr="00F77641">
              <w:rPr>
                <w:rFonts w:ascii="Times New Roman" w:hAnsi="Times New Roman"/>
                <w:b/>
                <w:bCs/>
                <w:sz w:val="24"/>
                <w:szCs w:val="24"/>
                <w:lang w:eastAsia="sk-SK"/>
              </w:rPr>
              <w:t>Odhadované objemy</w:t>
            </w:r>
          </w:p>
        </w:tc>
      </w:tr>
      <w:tr w:rsidR="00134B51" w:rsidRPr="001C7640" w:rsidTr="00AE673A">
        <w:trPr>
          <w:cantSplit/>
          <w:trHeight w:val="70"/>
        </w:trPr>
        <w:tc>
          <w:tcPr>
            <w:tcW w:w="4530" w:type="dxa"/>
            <w:vMerge/>
            <w:shd w:val="clear" w:color="auto" w:fill="BFBFBF"/>
          </w:tcPr>
          <w:p w:rsidR="00134B51" w:rsidRPr="00F77641" w:rsidRDefault="00134B51" w:rsidP="00D5717A">
            <w:pPr>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vAlign w:val="center"/>
          </w:tcPr>
          <w:p w:rsidR="00134B51" w:rsidRPr="00F77641" w:rsidRDefault="00134B51" w:rsidP="00D5717A">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134" w:type="dxa"/>
            <w:shd w:val="clear" w:color="auto" w:fill="BFBFBF"/>
            <w:vAlign w:val="center"/>
          </w:tcPr>
          <w:p w:rsidR="00134B51" w:rsidRPr="00F77641" w:rsidRDefault="00134B51" w:rsidP="00D5717A">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134" w:type="dxa"/>
            <w:shd w:val="clear" w:color="auto" w:fill="BFBFBF"/>
            <w:vAlign w:val="center"/>
          </w:tcPr>
          <w:p w:rsidR="00134B51" w:rsidRPr="00F77641" w:rsidRDefault="00134B51" w:rsidP="00D5717A">
            <w:pPr>
              <w:autoSpaceDE w:val="0"/>
              <w:autoSpaceDN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c>
          <w:tcPr>
            <w:tcW w:w="1134" w:type="dxa"/>
            <w:shd w:val="clear" w:color="auto" w:fill="BFBFBF"/>
            <w:vAlign w:val="center"/>
          </w:tcPr>
          <w:p w:rsidR="00134B51" w:rsidRPr="006C2381" w:rsidRDefault="00134B51" w:rsidP="00D5717A">
            <w:pPr>
              <w:autoSpaceDE w:val="0"/>
              <w:autoSpaceDN w:val="0"/>
              <w:adjustRightInd w:val="0"/>
              <w:spacing w:after="0" w:line="240" w:lineRule="auto"/>
              <w:jc w:val="center"/>
              <w:rPr>
                <w:rFonts w:ascii="Times New Roman" w:hAnsi="Times New Roman"/>
                <w:b/>
                <w:bCs/>
                <w:sz w:val="24"/>
                <w:szCs w:val="24"/>
                <w:lang w:eastAsia="sk-SK"/>
              </w:rPr>
            </w:pPr>
            <w:r w:rsidRPr="006C2381">
              <w:rPr>
                <w:rFonts w:ascii="Times New Roman" w:hAnsi="Times New Roman"/>
                <w:b/>
                <w:bCs/>
                <w:sz w:val="24"/>
                <w:szCs w:val="24"/>
                <w:lang w:eastAsia="sk-SK"/>
              </w:rPr>
              <w:t>2022</w:t>
            </w:r>
          </w:p>
        </w:tc>
      </w:tr>
      <w:tr w:rsidR="00134B51" w:rsidRPr="001C7640" w:rsidTr="00AE673A">
        <w:trPr>
          <w:trHeight w:val="70"/>
        </w:trPr>
        <w:tc>
          <w:tcPr>
            <w:tcW w:w="4530" w:type="dxa"/>
          </w:tcPr>
          <w:p w:rsidR="00134B51" w:rsidRPr="00F77641" w:rsidRDefault="00134B51" w:rsidP="00D5717A">
            <w:pPr>
              <w:autoSpaceDE w:val="0"/>
              <w:autoSpaceDN w:val="0"/>
              <w:adjustRightInd w:val="0"/>
              <w:spacing w:after="0" w:line="240" w:lineRule="auto"/>
              <w:rPr>
                <w:rFonts w:ascii="Times New Roman" w:hAnsi="Times New Roman"/>
                <w:color w:val="000000"/>
                <w:sz w:val="24"/>
                <w:szCs w:val="24"/>
                <w:lang w:eastAsia="sk-SK"/>
              </w:rPr>
            </w:pPr>
            <w:r w:rsidRPr="00F77641">
              <w:rPr>
                <w:rFonts w:ascii="Times New Roman" w:hAnsi="Times New Roman"/>
                <w:color w:val="000000"/>
                <w:sz w:val="24"/>
                <w:szCs w:val="24"/>
                <w:lang w:eastAsia="sk-SK"/>
              </w:rPr>
              <w:t>Indikátor ABC</w:t>
            </w:r>
          </w:p>
        </w:tc>
        <w:tc>
          <w:tcPr>
            <w:tcW w:w="1134" w:type="dxa"/>
          </w:tcPr>
          <w:p w:rsidR="00134B51" w:rsidRPr="00F77641" w:rsidRDefault="00134B51" w:rsidP="00D5717A">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134B51" w:rsidRPr="00F77641" w:rsidRDefault="00134B51" w:rsidP="00D5717A">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134B51" w:rsidRPr="00F77641" w:rsidRDefault="00134B51" w:rsidP="00D5717A">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134B51" w:rsidRPr="00F77641" w:rsidRDefault="00134B51" w:rsidP="00D5717A">
            <w:pPr>
              <w:autoSpaceDE w:val="0"/>
              <w:autoSpaceDN w:val="0"/>
              <w:adjustRightInd w:val="0"/>
              <w:spacing w:after="0" w:line="240" w:lineRule="auto"/>
              <w:jc w:val="right"/>
              <w:rPr>
                <w:rFonts w:ascii="Times New Roman" w:hAnsi="Times New Roman"/>
                <w:color w:val="000000"/>
                <w:sz w:val="24"/>
                <w:szCs w:val="24"/>
                <w:lang w:eastAsia="sk-SK"/>
              </w:rPr>
            </w:pPr>
          </w:p>
        </w:tc>
      </w:tr>
      <w:tr w:rsidR="00134B51" w:rsidRPr="001C7640" w:rsidTr="00AE673A">
        <w:trPr>
          <w:trHeight w:val="70"/>
        </w:trPr>
        <w:tc>
          <w:tcPr>
            <w:tcW w:w="4530" w:type="dxa"/>
          </w:tcPr>
          <w:p w:rsidR="00134B51" w:rsidRPr="00F77641" w:rsidRDefault="00134B51" w:rsidP="00D5717A">
            <w:pPr>
              <w:autoSpaceDE w:val="0"/>
              <w:autoSpaceDN w:val="0"/>
              <w:adjustRightInd w:val="0"/>
              <w:spacing w:after="0" w:line="240" w:lineRule="auto"/>
              <w:rPr>
                <w:rFonts w:ascii="Times New Roman" w:hAnsi="Times New Roman"/>
                <w:color w:val="000000"/>
                <w:sz w:val="24"/>
                <w:szCs w:val="24"/>
                <w:lang w:eastAsia="sk-SK"/>
              </w:rPr>
            </w:pPr>
            <w:r w:rsidRPr="00F77641">
              <w:rPr>
                <w:rFonts w:ascii="Times New Roman" w:hAnsi="Times New Roman"/>
                <w:color w:val="000000"/>
                <w:sz w:val="24"/>
                <w:szCs w:val="24"/>
                <w:lang w:eastAsia="sk-SK"/>
              </w:rPr>
              <w:t>Indikátor KLM</w:t>
            </w:r>
          </w:p>
        </w:tc>
        <w:tc>
          <w:tcPr>
            <w:tcW w:w="1134" w:type="dxa"/>
          </w:tcPr>
          <w:p w:rsidR="00134B51" w:rsidRPr="00F77641" w:rsidRDefault="00134B51" w:rsidP="00D5717A">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134B51" w:rsidRPr="00F77641" w:rsidRDefault="00134B51" w:rsidP="00D5717A">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134B51" w:rsidRPr="00F77641" w:rsidRDefault="00134B51" w:rsidP="00D5717A">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134B51" w:rsidRPr="00F77641" w:rsidRDefault="00134B51" w:rsidP="00D5717A">
            <w:pPr>
              <w:autoSpaceDE w:val="0"/>
              <w:autoSpaceDN w:val="0"/>
              <w:adjustRightInd w:val="0"/>
              <w:spacing w:after="0" w:line="240" w:lineRule="auto"/>
              <w:jc w:val="right"/>
              <w:rPr>
                <w:rFonts w:ascii="Times New Roman" w:hAnsi="Times New Roman"/>
                <w:color w:val="000000"/>
                <w:sz w:val="24"/>
                <w:szCs w:val="24"/>
                <w:lang w:eastAsia="sk-SK"/>
              </w:rPr>
            </w:pPr>
          </w:p>
        </w:tc>
      </w:tr>
      <w:tr w:rsidR="00134B51" w:rsidRPr="007D5748" w:rsidTr="00AE673A">
        <w:trPr>
          <w:trHeight w:val="70"/>
        </w:trPr>
        <w:tc>
          <w:tcPr>
            <w:tcW w:w="4530" w:type="dxa"/>
          </w:tcPr>
          <w:p w:rsidR="00134B51" w:rsidRPr="00F77641" w:rsidRDefault="00134B51" w:rsidP="00D5717A">
            <w:pPr>
              <w:autoSpaceDE w:val="0"/>
              <w:autoSpaceDN w:val="0"/>
              <w:adjustRightInd w:val="0"/>
              <w:spacing w:after="0" w:line="240" w:lineRule="auto"/>
              <w:rPr>
                <w:rFonts w:ascii="Times New Roman" w:hAnsi="Times New Roman"/>
                <w:color w:val="000000"/>
                <w:sz w:val="24"/>
                <w:szCs w:val="24"/>
                <w:lang w:eastAsia="sk-SK"/>
              </w:rPr>
            </w:pPr>
            <w:r w:rsidRPr="00F77641">
              <w:rPr>
                <w:rFonts w:ascii="Times New Roman" w:hAnsi="Times New Roman"/>
                <w:color w:val="000000"/>
                <w:sz w:val="24"/>
                <w:szCs w:val="24"/>
                <w:lang w:eastAsia="sk-SK"/>
              </w:rPr>
              <w:t>Indikátor XYZ</w:t>
            </w:r>
          </w:p>
        </w:tc>
        <w:tc>
          <w:tcPr>
            <w:tcW w:w="1134" w:type="dxa"/>
          </w:tcPr>
          <w:p w:rsidR="00134B51" w:rsidRPr="00F77641" w:rsidRDefault="00134B51" w:rsidP="00D5717A">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134B51" w:rsidRPr="00F77641" w:rsidRDefault="00134B51" w:rsidP="00D5717A">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134B51" w:rsidRPr="00F77641" w:rsidRDefault="00134B51" w:rsidP="00D5717A">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134B51" w:rsidRPr="00F77641" w:rsidRDefault="00134B51" w:rsidP="00D5717A">
            <w:pPr>
              <w:autoSpaceDE w:val="0"/>
              <w:autoSpaceDN w:val="0"/>
              <w:adjustRightInd w:val="0"/>
              <w:spacing w:after="0" w:line="240" w:lineRule="auto"/>
              <w:jc w:val="right"/>
              <w:rPr>
                <w:rFonts w:ascii="Times New Roman" w:hAnsi="Times New Roman"/>
                <w:color w:val="000000"/>
                <w:sz w:val="24"/>
                <w:szCs w:val="24"/>
                <w:lang w:eastAsia="sk-SK"/>
              </w:rPr>
            </w:pPr>
          </w:p>
        </w:tc>
      </w:tr>
    </w:tbl>
    <w:p w:rsidR="00134B51" w:rsidRPr="007D5748" w:rsidRDefault="00134B51" w:rsidP="00134B51">
      <w:pPr>
        <w:spacing w:after="0" w:line="240" w:lineRule="auto"/>
        <w:rPr>
          <w:rFonts w:ascii="Times New Roman" w:hAnsi="Times New Roman"/>
          <w:sz w:val="24"/>
          <w:szCs w:val="24"/>
          <w:lang w:eastAsia="sk-SK"/>
        </w:rPr>
      </w:pPr>
    </w:p>
    <w:p w:rsidR="00134B51" w:rsidRPr="007D5748" w:rsidRDefault="00134B51" w:rsidP="00134B51">
      <w:pPr>
        <w:spacing w:after="0" w:line="240" w:lineRule="auto"/>
        <w:rPr>
          <w:rFonts w:ascii="Times New Roman" w:hAnsi="Times New Roman"/>
          <w:sz w:val="24"/>
          <w:szCs w:val="24"/>
          <w:lang w:eastAsia="sk-SK"/>
        </w:rPr>
      </w:pPr>
    </w:p>
    <w:p w:rsidR="00134B51" w:rsidRPr="007D5748" w:rsidRDefault="00134B51" w:rsidP="00134B51">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2.2.4. Výpočty vplyvov na verejné financie</w:t>
      </w:r>
    </w:p>
    <w:p w:rsidR="00134B51" w:rsidRDefault="00134B51" w:rsidP="00134B51">
      <w:pPr>
        <w:autoSpaceDE w:val="0"/>
        <w:autoSpaceDN w:val="0"/>
        <w:adjustRightInd w:val="0"/>
        <w:spacing w:after="0" w:line="240" w:lineRule="auto"/>
        <w:jc w:val="both"/>
        <w:rPr>
          <w:rFonts w:ascii="Times New Roman" w:hAnsi="Times New Roman"/>
          <w:bCs/>
        </w:rPr>
      </w:pPr>
    </w:p>
    <w:p w:rsidR="00134B51" w:rsidRPr="00830DA4" w:rsidRDefault="00134B51" w:rsidP="00134B51">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Pri </w:t>
      </w:r>
      <w:r w:rsidRPr="00D16082">
        <w:rPr>
          <w:rFonts w:ascii="Times New Roman" w:hAnsi="Times New Roman"/>
          <w:sz w:val="24"/>
          <w:szCs w:val="24"/>
        </w:rPr>
        <w:t>kvantifikácii</w:t>
      </w:r>
      <w:r w:rsidRPr="005B64F4">
        <w:rPr>
          <w:rFonts w:ascii="Times New Roman" w:hAnsi="Times New Roman"/>
          <w:sz w:val="24"/>
          <w:szCs w:val="24"/>
        </w:rPr>
        <w:t xml:space="preserve"> vplyvov na verejné financie sa vychádzalo z platného znenia zákona </w:t>
      </w:r>
      <w:r>
        <w:rPr>
          <w:rFonts w:ascii="Times New Roman" w:hAnsi="Times New Roman"/>
          <w:sz w:val="24"/>
          <w:szCs w:val="24"/>
        </w:rPr>
        <w:t>č.</w:t>
      </w:r>
      <w:r w:rsidR="00C07046">
        <w:rPr>
          <w:rFonts w:ascii="Times New Roman" w:hAnsi="Times New Roman"/>
          <w:sz w:val="24"/>
          <w:szCs w:val="24"/>
        </w:rPr>
        <w:t> </w:t>
      </w:r>
      <w:r>
        <w:rPr>
          <w:rFonts w:ascii="Times New Roman" w:hAnsi="Times New Roman"/>
          <w:sz w:val="24"/>
          <w:szCs w:val="24"/>
        </w:rPr>
        <w:t>328/2002 Z. z.</w:t>
      </w:r>
      <w:r w:rsidRPr="005B64F4">
        <w:rPr>
          <w:rFonts w:ascii="Times New Roman" w:hAnsi="Times New Roman"/>
          <w:bCs/>
          <w:sz w:val="24"/>
          <w:szCs w:val="24"/>
        </w:rPr>
        <w:t xml:space="preserve"> </w:t>
      </w:r>
      <w:r w:rsidRPr="00830DA4">
        <w:rPr>
          <w:rFonts w:ascii="Times New Roman" w:hAnsi="Times New Roman"/>
          <w:bCs/>
          <w:sz w:val="24"/>
          <w:szCs w:val="24"/>
        </w:rPr>
        <w:t>o sociálnom zabezpečení policajtov a vojakov a o zmene a doplnení niektorých zákonov v znení neskorších predpisov</w:t>
      </w:r>
      <w:r>
        <w:rPr>
          <w:rFonts w:ascii="Times New Roman" w:hAnsi="Times New Roman"/>
          <w:sz w:val="24"/>
          <w:szCs w:val="24"/>
        </w:rPr>
        <w:t xml:space="preserve"> </w:t>
      </w:r>
      <w:r w:rsidRPr="00F470A1">
        <w:rPr>
          <w:rFonts w:ascii="Times New Roman" w:hAnsi="Times New Roman"/>
          <w:bCs/>
          <w:sz w:val="24"/>
          <w:szCs w:val="24"/>
        </w:rPr>
        <w:t>(ďalej len „zákon č. 328/2002 Z. z.“)</w:t>
      </w:r>
      <w:r>
        <w:rPr>
          <w:rFonts w:ascii="Times New Roman" w:hAnsi="Times New Roman"/>
          <w:bCs/>
          <w:sz w:val="24"/>
          <w:szCs w:val="24"/>
        </w:rPr>
        <w:t>,</w:t>
      </w:r>
      <w:r w:rsidRPr="00830DA4">
        <w:rPr>
          <w:rFonts w:ascii="Times New Roman" w:hAnsi="Times New Roman"/>
          <w:bCs/>
          <w:sz w:val="24"/>
          <w:szCs w:val="24"/>
        </w:rPr>
        <w:t xml:space="preserve"> </w:t>
      </w:r>
      <w:r>
        <w:rPr>
          <w:rFonts w:ascii="Times New Roman" w:hAnsi="Times New Roman"/>
          <w:bCs/>
          <w:sz w:val="24"/>
          <w:szCs w:val="24"/>
        </w:rPr>
        <w:t>k</w:t>
      </w:r>
      <w:r w:rsidRPr="005B64F4">
        <w:rPr>
          <w:rFonts w:ascii="Times New Roman" w:hAnsi="Times New Roman"/>
          <w:sz w:val="24"/>
          <w:szCs w:val="24"/>
        </w:rPr>
        <w:t xml:space="preserve">torým by sa </w:t>
      </w:r>
      <w:r w:rsidRPr="001A029A">
        <w:rPr>
          <w:rFonts w:ascii="Times New Roman" w:hAnsi="Times New Roman"/>
          <w:sz w:val="24"/>
          <w:szCs w:val="24"/>
        </w:rPr>
        <w:t>dôchodkové</w:t>
      </w:r>
      <w:r>
        <w:rPr>
          <w:rFonts w:ascii="Times New Roman" w:hAnsi="Times New Roman"/>
          <w:sz w:val="24"/>
          <w:szCs w:val="24"/>
        </w:rPr>
        <w:t xml:space="preserve"> </w:t>
      </w:r>
      <w:r w:rsidRPr="005B64F4">
        <w:rPr>
          <w:rFonts w:ascii="Times New Roman" w:hAnsi="Times New Roman"/>
          <w:sz w:val="24"/>
          <w:szCs w:val="24"/>
        </w:rPr>
        <w:t>dávky výsluhového zabezpečenia od 01.07.201</w:t>
      </w:r>
      <w:r>
        <w:rPr>
          <w:rFonts w:ascii="Times New Roman" w:hAnsi="Times New Roman"/>
          <w:sz w:val="24"/>
          <w:szCs w:val="24"/>
        </w:rPr>
        <w:t>9</w:t>
      </w:r>
      <w:r w:rsidRPr="005B64F4">
        <w:rPr>
          <w:rFonts w:ascii="Times New Roman" w:hAnsi="Times New Roman"/>
          <w:sz w:val="24"/>
          <w:szCs w:val="24"/>
        </w:rPr>
        <w:t xml:space="preserve"> zvyšovali o tzv. dôchodcovskú</w:t>
      </w:r>
      <w:r>
        <w:rPr>
          <w:rFonts w:ascii="Times New Roman" w:hAnsi="Times New Roman"/>
          <w:sz w:val="24"/>
          <w:szCs w:val="24"/>
        </w:rPr>
        <w:t xml:space="preserve"> infláciu. N</w:t>
      </w:r>
      <w:r w:rsidRPr="00830DA4">
        <w:rPr>
          <w:rFonts w:ascii="Times New Roman" w:hAnsi="Times New Roman"/>
          <w:bCs/>
          <w:sz w:val="24"/>
          <w:szCs w:val="24"/>
        </w:rPr>
        <w:t xml:space="preserve">ávrh zákona, ktorým sa mení a dopĺňa zákon č. 328/2002 Z. z. </w:t>
      </w:r>
      <w:r w:rsidRPr="00830DA4">
        <w:rPr>
          <w:rFonts w:ascii="Times New Roman" w:hAnsi="Times New Roman"/>
          <w:sz w:val="24"/>
          <w:szCs w:val="24"/>
        </w:rPr>
        <w:t xml:space="preserve">má priamy vplyv na </w:t>
      </w:r>
      <w:r>
        <w:rPr>
          <w:rFonts w:ascii="Times New Roman" w:hAnsi="Times New Roman"/>
          <w:sz w:val="24"/>
          <w:szCs w:val="24"/>
        </w:rPr>
        <w:t>osobitný účet</w:t>
      </w:r>
      <w:r w:rsidRPr="00830DA4">
        <w:rPr>
          <w:rFonts w:ascii="Times New Roman" w:hAnsi="Times New Roman"/>
          <w:sz w:val="24"/>
          <w:szCs w:val="24"/>
        </w:rPr>
        <w:t xml:space="preserve"> </w:t>
      </w:r>
      <w:r w:rsidRPr="00830DA4">
        <w:rPr>
          <w:rFonts w:ascii="Times New Roman" w:hAnsi="Times New Roman"/>
          <w:sz w:val="24"/>
          <w:szCs w:val="24"/>
        </w:rPr>
        <w:lastRenderedPageBreak/>
        <w:t>útvarov sociálneho zabezpečenia a Vojenský úrad sociálneho zabezpečenia v rokoch 201</w:t>
      </w:r>
      <w:r>
        <w:rPr>
          <w:rFonts w:ascii="Times New Roman" w:hAnsi="Times New Roman"/>
          <w:sz w:val="24"/>
          <w:szCs w:val="24"/>
        </w:rPr>
        <w:t xml:space="preserve">9 až 2021 </w:t>
      </w:r>
      <w:r w:rsidRPr="001A029A">
        <w:rPr>
          <w:rFonts w:ascii="Times New Roman" w:hAnsi="Times New Roman"/>
          <w:sz w:val="24"/>
          <w:szCs w:val="24"/>
        </w:rPr>
        <w:t>s</w:t>
      </w:r>
      <w:r>
        <w:rPr>
          <w:rFonts w:ascii="Times New Roman" w:hAnsi="Times New Roman"/>
          <w:sz w:val="24"/>
          <w:szCs w:val="24"/>
        </w:rPr>
        <w:t xml:space="preserve"> tým, že znižuje ich výdavky, </w:t>
      </w:r>
      <w:r w:rsidRPr="00D16082">
        <w:rPr>
          <w:rFonts w:ascii="Times New Roman" w:hAnsi="Times New Roman"/>
          <w:sz w:val="24"/>
          <w:szCs w:val="24"/>
        </w:rPr>
        <w:t>s výnimkou útvaru sociálneho zabezpečenia Finančného riaditeľstva SR</w:t>
      </w:r>
      <w:r>
        <w:rPr>
          <w:rFonts w:ascii="Times New Roman" w:hAnsi="Times New Roman"/>
          <w:sz w:val="24"/>
          <w:szCs w:val="24"/>
        </w:rPr>
        <w:t>.</w:t>
      </w:r>
      <w:r w:rsidRPr="00830DA4">
        <w:rPr>
          <w:rFonts w:ascii="Times New Roman" w:hAnsi="Times New Roman"/>
          <w:sz w:val="24"/>
          <w:szCs w:val="24"/>
        </w:rPr>
        <w:t xml:space="preserve"> Kvantifikácia </w:t>
      </w:r>
      <w:r>
        <w:rPr>
          <w:rFonts w:ascii="Times New Roman" w:hAnsi="Times New Roman"/>
          <w:sz w:val="24"/>
          <w:szCs w:val="24"/>
        </w:rPr>
        <w:t xml:space="preserve">oproti existujúcemu právnemu stavu </w:t>
      </w:r>
      <w:r w:rsidRPr="00830DA4">
        <w:rPr>
          <w:rFonts w:ascii="Times New Roman" w:hAnsi="Times New Roman"/>
          <w:sz w:val="24"/>
          <w:szCs w:val="24"/>
        </w:rPr>
        <w:t xml:space="preserve">predpokladá </w:t>
      </w:r>
      <w:r>
        <w:rPr>
          <w:rFonts w:ascii="Times New Roman" w:hAnsi="Times New Roman"/>
          <w:sz w:val="24"/>
          <w:szCs w:val="24"/>
        </w:rPr>
        <w:t>pozitívny</w:t>
      </w:r>
      <w:r w:rsidRPr="00830DA4">
        <w:rPr>
          <w:rFonts w:ascii="Times New Roman" w:hAnsi="Times New Roman"/>
          <w:sz w:val="24"/>
          <w:szCs w:val="24"/>
        </w:rPr>
        <w:t xml:space="preserve"> vplyv na </w:t>
      </w:r>
      <w:r>
        <w:rPr>
          <w:rFonts w:ascii="Times New Roman" w:hAnsi="Times New Roman"/>
          <w:sz w:val="24"/>
          <w:szCs w:val="24"/>
        </w:rPr>
        <w:t>osobitný účet</w:t>
      </w:r>
      <w:r w:rsidRPr="00830DA4">
        <w:rPr>
          <w:rFonts w:ascii="Times New Roman" w:hAnsi="Times New Roman"/>
          <w:sz w:val="24"/>
          <w:szCs w:val="24"/>
        </w:rPr>
        <w:t xml:space="preserve"> útvarov sociálneho zabezpečenia a Vojenský úrad sociálneho zabezpečenia</w:t>
      </w:r>
      <w:r>
        <w:rPr>
          <w:rFonts w:ascii="Times New Roman" w:hAnsi="Times New Roman"/>
          <w:sz w:val="24"/>
          <w:szCs w:val="24"/>
        </w:rPr>
        <w:t xml:space="preserve"> </w:t>
      </w:r>
      <w:r w:rsidRPr="00830DA4">
        <w:rPr>
          <w:rFonts w:ascii="Times New Roman" w:hAnsi="Times New Roman"/>
          <w:sz w:val="24"/>
          <w:szCs w:val="24"/>
        </w:rPr>
        <w:t>na úrovni</w:t>
      </w:r>
      <w:r>
        <w:rPr>
          <w:rFonts w:ascii="Times New Roman" w:hAnsi="Times New Roman"/>
          <w:sz w:val="24"/>
          <w:szCs w:val="24"/>
        </w:rPr>
        <w:t xml:space="preserve"> </w:t>
      </w:r>
      <w:proofErr w:type="spellStart"/>
      <w:r>
        <w:rPr>
          <w:rFonts w:ascii="Times New Roman" w:hAnsi="Times New Roman"/>
          <w:sz w:val="24"/>
          <w:szCs w:val="24"/>
        </w:rPr>
        <w:t>napr</w:t>
      </w:r>
      <w:proofErr w:type="spellEnd"/>
      <w:r w:rsidRPr="00830DA4">
        <w:rPr>
          <w:rFonts w:ascii="Times New Roman" w:hAnsi="Times New Roman"/>
          <w:sz w:val="24"/>
          <w:szCs w:val="24"/>
        </w:rPr>
        <w:t>:</w:t>
      </w:r>
    </w:p>
    <w:p w:rsidR="00134B51" w:rsidRDefault="00134B51" w:rsidP="00134B51">
      <w:pPr>
        <w:autoSpaceDE w:val="0"/>
        <w:autoSpaceDN w:val="0"/>
        <w:adjustRightInd w:val="0"/>
        <w:spacing w:after="0" w:line="240" w:lineRule="auto"/>
        <w:jc w:val="both"/>
        <w:rPr>
          <w:rFonts w:ascii="Times New Roman" w:hAnsi="Times New Roman"/>
          <w:sz w:val="24"/>
          <w:szCs w:val="24"/>
        </w:rPr>
      </w:pPr>
    </w:p>
    <w:p w:rsidR="00134B51" w:rsidRPr="006C5AA1" w:rsidRDefault="00134B51" w:rsidP="00134B51">
      <w:pPr>
        <w:autoSpaceDE w:val="0"/>
        <w:autoSpaceDN w:val="0"/>
        <w:adjustRightInd w:val="0"/>
        <w:spacing w:after="0" w:line="240" w:lineRule="auto"/>
        <w:ind w:left="284" w:hanging="284"/>
        <w:jc w:val="both"/>
        <w:rPr>
          <w:rFonts w:ascii="Times New Roman" w:hAnsi="Times New Roman"/>
          <w:sz w:val="24"/>
          <w:szCs w:val="24"/>
        </w:rPr>
      </w:pPr>
      <w:r w:rsidRPr="006C5AA1">
        <w:rPr>
          <w:rFonts w:ascii="Times New Roman" w:hAnsi="Times New Roman"/>
          <w:sz w:val="24"/>
          <w:szCs w:val="24"/>
        </w:rPr>
        <w:t>1) Vojenský úrad sociálneho zabezpečenia cca  634.788 eur v roku 2019</w:t>
      </w:r>
      <w:r w:rsidR="00344561">
        <w:rPr>
          <w:rFonts w:ascii="Times New Roman" w:hAnsi="Times New Roman"/>
          <w:sz w:val="24"/>
          <w:szCs w:val="24"/>
        </w:rPr>
        <w:t>,</w:t>
      </w:r>
      <w:r w:rsidRPr="006C5AA1">
        <w:rPr>
          <w:rFonts w:ascii="Times New Roman" w:hAnsi="Times New Roman"/>
          <w:sz w:val="24"/>
          <w:szCs w:val="24"/>
        </w:rPr>
        <w:t xml:space="preserve"> cca  1.081.569 e</w:t>
      </w:r>
      <w:r w:rsidR="0055116B">
        <w:rPr>
          <w:rFonts w:ascii="Times New Roman" w:hAnsi="Times New Roman"/>
          <w:sz w:val="24"/>
          <w:szCs w:val="24"/>
        </w:rPr>
        <w:t>ur v roku 2020, cca 875.612 eur</w:t>
      </w:r>
      <w:r w:rsidRPr="006C5AA1">
        <w:rPr>
          <w:rFonts w:ascii="Times New Roman" w:hAnsi="Times New Roman"/>
          <w:sz w:val="24"/>
          <w:szCs w:val="24"/>
        </w:rPr>
        <w:t xml:space="preserve"> v roku 2021,</w:t>
      </w:r>
    </w:p>
    <w:p w:rsidR="00134B51" w:rsidRPr="00A82033" w:rsidRDefault="00134B51" w:rsidP="00134B51">
      <w:pPr>
        <w:autoSpaceDE w:val="0"/>
        <w:autoSpaceDN w:val="0"/>
        <w:adjustRightInd w:val="0"/>
        <w:spacing w:after="0" w:line="240" w:lineRule="auto"/>
        <w:ind w:left="284" w:hanging="284"/>
        <w:jc w:val="both"/>
        <w:rPr>
          <w:rFonts w:ascii="Times New Roman" w:hAnsi="Times New Roman"/>
          <w:color w:val="FF0000"/>
          <w:sz w:val="24"/>
          <w:szCs w:val="24"/>
        </w:rPr>
      </w:pPr>
    </w:p>
    <w:p w:rsidR="00134B51" w:rsidRPr="00983FC5" w:rsidRDefault="00134B51" w:rsidP="00134B51">
      <w:pPr>
        <w:autoSpaceDE w:val="0"/>
        <w:autoSpaceDN w:val="0"/>
        <w:adjustRightInd w:val="0"/>
        <w:spacing w:after="0" w:line="240" w:lineRule="auto"/>
        <w:ind w:left="284" w:hanging="284"/>
        <w:jc w:val="both"/>
        <w:rPr>
          <w:rFonts w:ascii="Times New Roman" w:hAnsi="Times New Roman"/>
          <w:sz w:val="24"/>
          <w:szCs w:val="24"/>
        </w:rPr>
      </w:pPr>
      <w:r w:rsidRPr="00983FC5">
        <w:rPr>
          <w:rFonts w:ascii="Times New Roman" w:hAnsi="Times New Roman"/>
          <w:sz w:val="24"/>
          <w:szCs w:val="24"/>
        </w:rPr>
        <w:t>2) útvar sociálneho zabezpečenia Zboru väzenskej a justičnej stráže cca 79.292 eur v roku 2019</w:t>
      </w:r>
      <w:r w:rsidR="00852C51">
        <w:rPr>
          <w:rFonts w:ascii="Times New Roman" w:hAnsi="Times New Roman"/>
          <w:sz w:val="24"/>
          <w:szCs w:val="24"/>
        </w:rPr>
        <w:t>,</w:t>
      </w:r>
      <w:r w:rsidRPr="00983FC5">
        <w:rPr>
          <w:rFonts w:ascii="Times New Roman" w:hAnsi="Times New Roman"/>
          <w:sz w:val="24"/>
          <w:szCs w:val="24"/>
        </w:rPr>
        <w:t xml:space="preserve"> cca 113.721 eur v roku 2020, cca 60.400 eur</w:t>
      </w:r>
      <w:r w:rsidR="008C77BF">
        <w:rPr>
          <w:rFonts w:ascii="Times New Roman" w:hAnsi="Times New Roman"/>
          <w:sz w:val="24"/>
          <w:szCs w:val="24"/>
        </w:rPr>
        <w:t xml:space="preserve"> </w:t>
      </w:r>
      <w:r w:rsidRPr="00983FC5">
        <w:rPr>
          <w:rFonts w:ascii="Times New Roman" w:hAnsi="Times New Roman"/>
          <w:sz w:val="24"/>
          <w:szCs w:val="24"/>
        </w:rPr>
        <w:t>v roku 202</w:t>
      </w:r>
      <w:r>
        <w:rPr>
          <w:rFonts w:ascii="Times New Roman" w:hAnsi="Times New Roman"/>
          <w:sz w:val="24"/>
          <w:szCs w:val="24"/>
        </w:rPr>
        <w:t>1,</w:t>
      </w:r>
    </w:p>
    <w:p w:rsidR="00134B51" w:rsidRPr="00A82033" w:rsidRDefault="00134B51" w:rsidP="00134B51">
      <w:pPr>
        <w:autoSpaceDE w:val="0"/>
        <w:autoSpaceDN w:val="0"/>
        <w:adjustRightInd w:val="0"/>
        <w:spacing w:after="0" w:line="240" w:lineRule="auto"/>
        <w:ind w:left="284" w:hanging="284"/>
        <w:jc w:val="both"/>
        <w:rPr>
          <w:rFonts w:ascii="Times New Roman" w:hAnsi="Times New Roman"/>
          <w:color w:val="FF0000"/>
          <w:sz w:val="24"/>
          <w:szCs w:val="24"/>
        </w:rPr>
      </w:pPr>
    </w:p>
    <w:p w:rsidR="00134B51" w:rsidRPr="006C5AA1" w:rsidRDefault="00134B51" w:rsidP="00134B51">
      <w:pPr>
        <w:autoSpaceDE w:val="0"/>
        <w:autoSpaceDN w:val="0"/>
        <w:adjustRightInd w:val="0"/>
        <w:spacing w:after="0" w:line="240" w:lineRule="auto"/>
        <w:ind w:left="284" w:hanging="284"/>
        <w:jc w:val="both"/>
        <w:rPr>
          <w:rFonts w:ascii="Times New Roman" w:hAnsi="Times New Roman"/>
          <w:sz w:val="24"/>
          <w:szCs w:val="24"/>
        </w:rPr>
      </w:pPr>
      <w:r w:rsidRPr="006C5AA1">
        <w:rPr>
          <w:rFonts w:ascii="Times New Roman" w:hAnsi="Times New Roman"/>
          <w:sz w:val="24"/>
          <w:szCs w:val="24"/>
        </w:rPr>
        <w:t>3) útvar sociálneho zabezpečenia MV SR a SIS cca 445.263 eur v roku 2019</w:t>
      </w:r>
      <w:r w:rsidR="008C77BF">
        <w:rPr>
          <w:rFonts w:ascii="Times New Roman" w:hAnsi="Times New Roman"/>
          <w:sz w:val="24"/>
          <w:szCs w:val="24"/>
        </w:rPr>
        <w:t>,</w:t>
      </w:r>
      <w:r w:rsidRPr="006C5AA1">
        <w:rPr>
          <w:rFonts w:ascii="Times New Roman" w:hAnsi="Times New Roman"/>
          <w:sz w:val="24"/>
          <w:szCs w:val="24"/>
        </w:rPr>
        <w:t xml:space="preserve"> cca 735.710 eur v roku 2020, cca </w:t>
      </w:r>
      <w:r>
        <w:rPr>
          <w:rFonts w:ascii="Times New Roman" w:hAnsi="Times New Roman"/>
          <w:sz w:val="24"/>
          <w:szCs w:val="24"/>
        </w:rPr>
        <w:t>606.024 eur v roku 2021.</w:t>
      </w:r>
    </w:p>
    <w:p w:rsidR="00134B51" w:rsidRDefault="00134B51" w:rsidP="00134B51">
      <w:pPr>
        <w:autoSpaceDE w:val="0"/>
        <w:autoSpaceDN w:val="0"/>
        <w:adjustRightInd w:val="0"/>
        <w:spacing w:after="0" w:line="240" w:lineRule="auto"/>
        <w:ind w:left="284" w:hanging="284"/>
        <w:jc w:val="both"/>
        <w:rPr>
          <w:rFonts w:ascii="Times New Roman" w:hAnsi="Times New Roman"/>
          <w:sz w:val="24"/>
          <w:szCs w:val="24"/>
        </w:rPr>
      </w:pPr>
    </w:p>
    <w:p w:rsidR="00134B51" w:rsidRDefault="00134B51" w:rsidP="00134B51">
      <w:pPr>
        <w:autoSpaceDE w:val="0"/>
        <w:autoSpaceDN w:val="0"/>
        <w:adjustRightInd w:val="0"/>
        <w:spacing w:after="0" w:line="240" w:lineRule="auto"/>
        <w:ind w:left="284" w:hanging="284"/>
        <w:jc w:val="both"/>
        <w:rPr>
          <w:rFonts w:ascii="Times New Roman" w:hAnsi="Times New Roman"/>
        </w:rPr>
      </w:pPr>
    </w:p>
    <w:p w:rsidR="00134B51" w:rsidRPr="00631D94" w:rsidRDefault="00134B51" w:rsidP="00134B51">
      <w:pPr>
        <w:spacing w:after="0" w:line="240" w:lineRule="auto"/>
        <w:rPr>
          <w:rFonts w:ascii="Times New Roman" w:hAnsi="Times New Roman" w:cs="Verdana"/>
          <w:b/>
          <w:bCs/>
          <w:iCs/>
          <w:sz w:val="24"/>
          <w:szCs w:val="24"/>
        </w:rPr>
      </w:pPr>
      <w:r w:rsidRPr="00631D94">
        <w:rPr>
          <w:rFonts w:ascii="Times New Roman" w:hAnsi="Times New Roman" w:cs="Verdana"/>
          <w:b/>
          <w:bCs/>
          <w:iCs/>
          <w:sz w:val="24"/>
          <w:szCs w:val="24"/>
        </w:rPr>
        <w:t>2.2.4.1</w:t>
      </w:r>
      <w:r>
        <w:rPr>
          <w:rFonts w:ascii="Times New Roman" w:hAnsi="Times New Roman" w:cs="Verdana"/>
          <w:b/>
          <w:bCs/>
          <w:iCs/>
          <w:sz w:val="24"/>
          <w:szCs w:val="24"/>
        </w:rPr>
        <w:t xml:space="preserve"> Kvantifikácia príjmov</w:t>
      </w:r>
    </w:p>
    <w:p w:rsidR="00134B51" w:rsidRDefault="00134B51" w:rsidP="00134B51">
      <w:pPr>
        <w:spacing w:after="0" w:line="240" w:lineRule="auto"/>
        <w:jc w:val="both"/>
        <w:rPr>
          <w:rFonts w:ascii="Times New Roman" w:hAnsi="Times New Roman"/>
          <w:sz w:val="24"/>
          <w:szCs w:val="24"/>
          <w:lang w:eastAsia="sk-SK"/>
        </w:rPr>
      </w:pPr>
    </w:p>
    <w:p w:rsidR="00134B51" w:rsidRDefault="00134B51" w:rsidP="00134B51">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Predmetný </w:t>
      </w:r>
      <w:r>
        <w:rPr>
          <w:rFonts w:ascii="Times New Roman" w:hAnsi="Times New Roman"/>
          <w:sz w:val="24"/>
          <w:szCs w:val="24"/>
        </w:rPr>
        <w:t>n</w:t>
      </w:r>
      <w:r w:rsidRPr="009E2092">
        <w:rPr>
          <w:rFonts w:ascii="Times New Roman" w:hAnsi="Times New Roman"/>
          <w:sz w:val="24"/>
          <w:szCs w:val="24"/>
        </w:rPr>
        <w:t xml:space="preserve">ávrh zákona, ktorým sa </w:t>
      </w:r>
      <w:r>
        <w:rPr>
          <w:rFonts w:ascii="Times New Roman" w:hAnsi="Times New Roman"/>
          <w:sz w:val="24"/>
          <w:szCs w:val="24"/>
        </w:rPr>
        <w:t xml:space="preserve">mení a </w:t>
      </w:r>
      <w:r w:rsidRPr="009E2092">
        <w:rPr>
          <w:rFonts w:ascii="Times New Roman" w:hAnsi="Times New Roman"/>
          <w:sz w:val="24"/>
          <w:szCs w:val="24"/>
        </w:rPr>
        <w:t xml:space="preserve">dopĺňa zákon č. </w:t>
      </w:r>
      <w:r>
        <w:rPr>
          <w:rFonts w:ascii="Times New Roman" w:hAnsi="Times New Roman"/>
          <w:sz w:val="24"/>
          <w:szCs w:val="24"/>
        </w:rPr>
        <w:t>328</w:t>
      </w:r>
      <w:r w:rsidRPr="009E2092">
        <w:rPr>
          <w:rFonts w:ascii="Times New Roman" w:hAnsi="Times New Roman"/>
          <w:sz w:val="24"/>
          <w:szCs w:val="24"/>
        </w:rPr>
        <w:t>/</w:t>
      </w:r>
      <w:r>
        <w:rPr>
          <w:rFonts w:ascii="Times New Roman" w:hAnsi="Times New Roman"/>
          <w:sz w:val="24"/>
          <w:szCs w:val="24"/>
        </w:rPr>
        <w:t>2002</w:t>
      </w:r>
      <w:r w:rsidRPr="009E2092">
        <w:rPr>
          <w:rFonts w:ascii="Times New Roman" w:hAnsi="Times New Roman"/>
          <w:sz w:val="24"/>
          <w:szCs w:val="24"/>
        </w:rPr>
        <w:t xml:space="preserve"> Z. z.</w:t>
      </w:r>
      <w:r>
        <w:rPr>
          <w:rFonts w:ascii="Times New Roman" w:hAnsi="Times New Roman"/>
          <w:sz w:val="24"/>
          <w:szCs w:val="24"/>
        </w:rPr>
        <w:t xml:space="preserve"> </w:t>
      </w:r>
      <w:r w:rsidRPr="00631D94">
        <w:rPr>
          <w:rFonts w:ascii="Times New Roman" w:hAnsi="Times New Roman"/>
          <w:sz w:val="24"/>
          <w:szCs w:val="24"/>
          <w:lang w:eastAsia="sk-SK"/>
        </w:rPr>
        <w:t>nemá vplyv</w:t>
      </w:r>
      <w:r>
        <w:rPr>
          <w:rFonts w:ascii="Times New Roman" w:hAnsi="Times New Roman"/>
          <w:sz w:val="24"/>
          <w:szCs w:val="24"/>
          <w:lang w:eastAsia="sk-SK"/>
        </w:rPr>
        <w:t xml:space="preserve"> na príjmy útvarov sociálneho zabezpečenia a Vojenský úrad sociálneho zabezpečenia</w:t>
      </w:r>
      <w:r w:rsidRPr="00631D94">
        <w:rPr>
          <w:rFonts w:ascii="Times New Roman" w:hAnsi="Times New Roman"/>
          <w:sz w:val="24"/>
          <w:szCs w:val="24"/>
          <w:lang w:eastAsia="sk-SK"/>
        </w:rPr>
        <w:t xml:space="preserve"> (nezvyšuje ich, ale ani ich neznižuje)</w:t>
      </w:r>
      <w:r>
        <w:rPr>
          <w:rFonts w:ascii="Times New Roman" w:hAnsi="Times New Roman"/>
          <w:sz w:val="24"/>
          <w:szCs w:val="24"/>
          <w:lang w:eastAsia="sk-SK"/>
        </w:rPr>
        <w:t xml:space="preserve"> v rokoch 2019 až 2021</w:t>
      </w:r>
      <w:r w:rsidRPr="00631D94">
        <w:rPr>
          <w:rFonts w:ascii="Times New Roman" w:hAnsi="Times New Roman"/>
          <w:sz w:val="24"/>
          <w:szCs w:val="24"/>
          <w:lang w:eastAsia="sk-SK"/>
        </w:rPr>
        <w:t>.</w:t>
      </w:r>
    </w:p>
    <w:p w:rsidR="00134B51" w:rsidRDefault="00134B51" w:rsidP="00134B51">
      <w:pPr>
        <w:spacing w:after="0" w:line="240" w:lineRule="auto"/>
        <w:ind w:firstLine="708"/>
        <w:jc w:val="both"/>
        <w:rPr>
          <w:rFonts w:ascii="Times New Roman" w:hAnsi="Times New Roman"/>
          <w:sz w:val="24"/>
          <w:szCs w:val="24"/>
          <w:lang w:eastAsia="sk-SK"/>
        </w:rPr>
      </w:pPr>
    </w:p>
    <w:p w:rsidR="00134B51" w:rsidRPr="00E14014" w:rsidRDefault="00AE673A" w:rsidP="00AE673A">
      <w:pPr>
        <w:spacing w:after="0" w:line="240" w:lineRule="auto"/>
        <w:rPr>
          <w:rFonts w:ascii="Times New Roman" w:hAnsi="Times New Roman"/>
          <w:sz w:val="20"/>
          <w:szCs w:val="20"/>
          <w:lang w:eastAsia="sk-SK"/>
        </w:rPr>
      </w:pPr>
      <w:r>
        <w:rPr>
          <w:rFonts w:ascii="Times New Roman" w:hAnsi="Times New Roman"/>
          <w:sz w:val="20"/>
          <w:szCs w:val="20"/>
          <w:lang w:eastAsia="sk-SK"/>
        </w:rPr>
        <w:t xml:space="preserve">   </w:t>
      </w:r>
      <w:r>
        <w:rPr>
          <w:rFonts w:ascii="Times New Roman" w:hAnsi="Times New Roman"/>
          <w:sz w:val="20"/>
          <w:szCs w:val="20"/>
          <w:lang w:eastAsia="sk-SK"/>
        </w:rPr>
        <w:tab/>
      </w:r>
      <w:r>
        <w:rPr>
          <w:rFonts w:ascii="Times New Roman" w:hAnsi="Times New Roman"/>
          <w:sz w:val="20"/>
          <w:szCs w:val="20"/>
          <w:lang w:eastAsia="sk-SK"/>
        </w:rPr>
        <w:tab/>
      </w:r>
      <w:r>
        <w:rPr>
          <w:rFonts w:ascii="Times New Roman" w:hAnsi="Times New Roman"/>
          <w:sz w:val="20"/>
          <w:szCs w:val="20"/>
          <w:lang w:eastAsia="sk-SK"/>
        </w:rPr>
        <w:tab/>
      </w:r>
      <w:r>
        <w:rPr>
          <w:rFonts w:ascii="Times New Roman" w:hAnsi="Times New Roman"/>
          <w:sz w:val="20"/>
          <w:szCs w:val="20"/>
          <w:lang w:eastAsia="sk-SK"/>
        </w:rPr>
        <w:tab/>
      </w:r>
      <w:r>
        <w:rPr>
          <w:rFonts w:ascii="Times New Roman" w:hAnsi="Times New Roman"/>
          <w:sz w:val="20"/>
          <w:szCs w:val="20"/>
          <w:lang w:eastAsia="sk-SK"/>
        </w:rPr>
        <w:tab/>
      </w:r>
      <w:r>
        <w:rPr>
          <w:rFonts w:ascii="Times New Roman" w:hAnsi="Times New Roman"/>
          <w:sz w:val="20"/>
          <w:szCs w:val="20"/>
          <w:lang w:eastAsia="sk-SK"/>
        </w:rPr>
        <w:tab/>
      </w:r>
      <w:r>
        <w:rPr>
          <w:rFonts w:ascii="Times New Roman" w:hAnsi="Times New Roman"/>
          <w:sz w:val="20"/>
          <w:szCs w:val="20"/>
          <w:lang w:eastAsia="sk-SK"/>
        </w:rPr>
        <w:tab/>
      </w:r>
      <w:r>
        <w:rPr>
          <w:rFonts w:ascii="Times New Roman" w:hAnsi="Times New Roman"/>
          <w:sz w:val="20"/>
          <w:szCs w:val="20"/>
          <w:lang w:eastAsia="sk-SK"/>
        </w:rPr>
        <w:tab/>
      </w:r>
      <w:r>
        <w:rPr>
          <w:rFonts w:ascii="Times New Roman" w:hAnsi="Times New Roman"/>
          <w:sz w:val="20"/>
          <w:szCs w:val="20"/>
          <w:lang w:eastAsia="sk-SK"/>
        </w:rPr>
        <w:tab/>
      </w:r>
      <w:r>
        <w:rPr>
          <w:rFonts w:ascii="Times New Roman" w:hAnsi="Times New Roman"/>
          <w:sz w:val="20"/>
          <w:szCs w:val="20"/>
          <w:lang w:eastAsia="sk-SK"/>
        </w:rPr>
        <w:tab/>
        <w:t xml:space="preserve">                   </w:t>
      </w:r>
      <w:r w:rsidR="00134B51" w:rsidRPr="00AE673A">
        <w:rPr>
          <w:rFonts w:ascii="Times New Roman" w:hAnsi="Times New Roman"/>
          <w:sz w:val="20"/>
          <w:szCs w:val="20"/>
          <w:lang w:eastAsia="sk-SK"/>
        </w:rPr>
        <w:t>Tabuľka č. 3</w:t>
      </w:r>
    </w:p>
    <w:tbl>
      <w:tblPr>
        <w:tblW w:w="9142" w:type="dxa"/>
        <w:tblInd w:w="212" w:type="dxa"/>
        <w:tblCellMar>
          <w:left w:w="70" w:type="dxa"/>
          <w:right w:w="70" w:type="dxa"/>
        </w:tblCellMar>
        <w:tblLook w:val="0000" w:firstRow="0" w:lastRow="0" w:firstColumn="0" w:lastColumn="0" w:noHBand="0" w:noVBand="0"/>
      </w:tblPr>
      <w:tblGrid>
        <w:gridCol w:w="3614"/>
        <w:gridCol w:w="1134"/>
        <w:gridCol w:w="992"/>
        <w:gridCol w:w="993"/>
        <w:gridCol w:w="1134"/>
        <w:gridCol w:w="1275"/>
      </w:tblGrid>
      <w:tr w:rsidR="00134B51" w:rsidRPr="007D5748" w:rsidTr="00AE673A">
        <w:trPr>
          <w:trHeight w:val="255"/>
        </w:trPr>
        <w:tc>
          <w:tcPr>
            <w:tcW w:w="361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134B51" w:rsidRPr="007D5748" w:rsidRDefault="00134B51" w:rsidP="00D5717A">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Príjmy (v eurách)</w:t>
            </w:r>
          </w:p>
        </w:tc>
        <w:tc>
          <w:tcPr>
            <w:tcW w:w="4253" w:type="dxa"/>
            <w:gridSpan w:val="4"/>
            <w:tcBorders>
              <w:top w:val="single" w:sz="4" w:space="0" w:color="auto"/>
              <w:left w:val="nil"/>
              <w:bottom w:val="single" w:sz="4" w:space="0" w:color="auto"/>
              <w:right w:val="single" w:sz="4" w:space="0" w:color="auto"/>
            </w:tcBorders>
            <w:shd w:val="clear" w:color="auto" w:fill="BFBFBF"/>
          </w:tcPr>
          <w:p w:rsidR="00134B51" w:rsidRPr="007D5748" w:rsidRDefault="00134B51" w:rsidP="00D5717A">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134B51" w:rsidRPr="007D5748" w:rsidRDefault="00134B51" w:rsidP="00D5717A">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134B51" w:rsidRPr="007D5748" w:rsidTr="00AE673A">
        <w:trPr>
          <w:trHeight w:val="255"/>
        </w:trPr>
        <w:tc>
          <w:tcPr>
            <w:tcW w:w="3614" w:type="dxa"/>
            <w:vMerge/>
            <w:tcBorders>
              <w:top w:val="single" w:sz="4" w:space="0" w:color="auto"/>
              <w:left w:val="single" w:sz="4" w:space="0" w:color="auto"/>
              <w:bottom w:val="single" w:sz="4" w:space="0" w:color="auto"/>
              <w:right w:val="single" w:sz="4" w:space="0" w:color="auto"/>
            </w:tcBorders>
            <w:vAlign w:val="center"/>
          </w:tcPr>
          <w:p w:rsidR="00134B51" w:rsidRPr="007D5748" w:rsidRDefault="00134B51" w:rsidP="00D5717A">
            <w:pPr>
              <w:spacing w:after="0" w:line="240" w:lineRule="auto"/>
              <w:rPr>
                <w:rFonts w:ascii="Times New Roman" w:hAnsi="Times New Roman"/>
                <w:b/>
                <w:bCs/>
                <w:color w:val="FFFFFF"/>
                <w:sz w:val="24"/>
                <w:szCs w:val="24"/>
                <w:lang w:eastAsia="sk-SK"/>
              </w:rPr>
            </w:pPr>
          </w:p>
        </w:tc>
        <w:tc>
          <w:tcPr>
            <w:tcW w:w="1134" w:type="dxa"/>
            <w:tcBorders>
              <w:top w:val="nil"/>
              <w:left w:val="nil"/>
              <w:bottom w:val="single" w:sz="4" w:space="0" w:color="auto"/>
              <w:right w:val="single" w:sz="4" w:space="0" w:color="auto"/>
            </w:tcBorders>
            <w:shd w:val="clear" w:color="auto" w:fill="BFBFBF"/>
            <w:vAlign w:val="center"/>
          </w:tcPr>
          <w:p w:rsidR="00134B51" w:rsidRPr="007D5748" w:rsidRDefault="00134B51" w:rsidP="00D5717A">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2019</w:t>
            </w:r>
          </w:p>
        </w:tc>
        <w:tc>
          <w:tcPr>
            <w:tcW w:w="992" w:type="dxa"/>
            <w:tcBorders>
              <w:top w:val="nil"/>
              <w:left w:val="nil"/>
              <w:bottom w:val="single" w:sz="4" w:space="0" w:color="auto"/>
              <w:right w:val="single" w:sz="4" w:space="0" w:color="auto"/>
            </w:tcBorders>
            <w:shd w:val="clear" w:color="auto" w:fill="BFBFBF"/>
            <w:vAlign w:val="center"/>
          </w:tcPr>
          <w:p w:rsidR="00134B51" w:rsidRPr="007D5748" w:rsidRDefault="00134B51" w:rsidP="00D5717A">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2020</w:t>
            </w:r>
          </w:p>
        </w:tc>
        <w:tc>
          <w:tcPr>
            <w:tcW w:w="993" w:type="dxa"/>
            <w:tcBorders>
              <w:top w:val="nil"/>
              <w:left w:val="nil"/>
              <w:bottom w:val="single" w:sz="4" w:space="0" w:color="auto"/>
              <w:right w:val="single" w:sz="4" w:space="0" w:color="auto"/>
            </w:tcBorders>
            <w:shd w:val="clear" w:color="auto" w:fill="BFBFBF"/>
            <w:vAlign w:val="center"/>
          </w:tcPr>
          <w:p w:rsidR="00134B51" w:rsidRPr="007D5748" w:rsidRDefault="00134B51" w:rsidP="00D5717A">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2021</w:t>
            </w:r>
          </w:p>
        </w:tc>
        <w:tc>
          <w:tcPr>
            <w:tcW w:w="1134" w:type="dxa"/>
            <w:tcBorders>
              <w:top w:val="nil"/>
              <w:left w:val="nil"/>
              <w:bottom w:val="single" w:sz="4" w:space="0" w:color="auto"/>
              <w:right w:val="single" w:sz="4" w:space="0" w:color="auto"/>
            </w:tcBorders>
            <w:shd w:val="clear" w:color="auto" w:fill="BFBFBF"/>
            <w:vAlign w:val="center"/>
          </w:tcPr>
          <w:p w:rsidR="00134B51" w:rsidRPr="006C2381" w:rsidRDefault="00134B51" w:rsidP="00D5717A">
            <w:pPr>
              <w:spacing w:after="0" w:line="240" w:lineRule="auto"/>
              <w:jc w:val="right"/>
              <w:rPr>
                <w:rFonts w:ascii="Times New Roman" w:hAnsi="Times New Roman"/>
                <w:b/>
                <w:bCs/>
                <w:sz w:val="24"/>
                <w:szCs w:val="24"/>
                <w:lang w:eastAsia="sk-SK"/>
              </w:rPr>
            </w:pPr>
            <w:r w:rsidRPr="006C2381">
              <w:rPr>
                <w:rFonts w:ascii="Times New Roman" w:hAnsi="Times New Roman"/>
                <w:b/>
                <w:bCs/>
                <w:sz w:val="24"/>
                <w:szCs w:val="24"/>
                <w:lang w:eastAsia="sk-SK"/>
              </w:rPr>
              <w:t>2022</w:t>
            </w:r>
          </w:p>
        </w:tc>
        <w:tc>
          <w:tcPr>
            <w:tcW w:w="1275" w:type="dxa"/>
            <w:vMerge/>
            <w:tcBorders>
              <w:top w:val="single" w:sz="4" w:space="0" w:color="auto"/>
              <w:left w:val="single" w:sz="4" w:space="0" w:color="auto"/>
              <w:bottom w:val="single" w:sz="4" w:space="0" w:color="auto"/>
              <w:right w:val="single" w:sz="4" w:space="0" w:color="auto"/>
            </w:tcBorders>
            <w:vAlign w:val="center"/>
          </w:tcPr>
          <w:p w:rsidR="00134B51" w:rsidRPr="00B34AAB" w:rsidRDefault="00134B51" w:rsidP="00D5717A">
            <w:pPr>
              <w:spacing w:after="0" w:line="240" w:lineRule="auto"/>
              <w:rPr>
                <w:rFonts w:ascii="Times New Roman" w:hAnsi="Times New Roman"/>
                <w:b/>
                <w:bCs/>
                <w:strike/>
                <w:color w:val="FFFFFF"/>
                <w:sz w:val="24"/>
                <w:szCs w:val="24"/>
                <w:lang w:eastAsia="sk-SK"/>
              </w:rPr>
            </w:pPr>
          </w:p>
        </w:tc>
      </w:tr>
      <w:tr w:rsidR="00134B51" w:rsidRPr="007D5748" w:rsidTr="00AE673A">
        <w:trPr>
          <w:trHeight w:val="255"/>
        </w:trPr>
        <w:tc>
          <w:tcPr>
            <w:tcW w:w="3614" w:type="dxa"/>
            <w:tcBorders>
              <w:top w:val="nil"/>
              <w:left w:val="single" w:sz="4" w:space="0" w:color="auto"/>
              <w:bottom w:val="single" w:sz="4" w:space="0" w:color="auto"/>
              <w:right w:val="single" w:sz="4" w:space="0" w:color="auto"/>
            </w:tcBorders>
          </w:tcPr>
          <w:p w:rsidR="00134B51" w:rsidRPr="00E14014" w:rsidRDefault="00134B51" w:rsidP="00D5717A">
            <w:pPr>
              <w:spacing w:after="0" w:line="240" w:lineRule="auto"/>
              <w:rPr>
                <w:rFonts w:ascii="Times New Roman" w:hAnsi="Times New Roman"/>
                <w:bCs/>
                <w:sz w:val="24"/>
                <w:szCs w:val="24"/>
                <w:vertAlign w:val="superscript"/>
                <w:lang w:eastAsia="sk-SK"/>
              </w:rPr>
            </w:pPr>
            <w:r w:rsidRPr="00E14014">
              <w:rPr>
                <w:rFonts w:ascii="Times New Roman" w:hAnsi="Times New Roman"/>
                <w:bCs/>
                <w:sz w:val="24"/>
                <w:szCs w:val="24"/>
                <w:lang w:eastAsia="sk-SK"/>
              </w:rPr>
              <w:t>Daňové príjmy (100)</w:t>
            </w:r>
          </w:p>
        </w:tc>
        <w:tc>
          <w:tcPr>
            <w:tcW w:w="1134" w:type="dxa"/>
            <w:tcBorders>
              <w:top w:val="nil"/>
              <w:left w:val="nil"/>
              <w:bottom w:val="single" w:sz="4" w:space="0" w:color="auto"/>
              <w:right w:val="single" w:sz="4" w:space="0" w:color="auto"/>
            </w:tcBorders>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0</w:t>
            </w:r>
          </w:p>
        </w:tc>
        <w:tc>
          <w:tcPr>
            <w:tcW w:w="992" w:type="dxa"/>
            <w:tcBorders>
              <w:top w:val="nil"/>
              <w:left w:val="nil"/>
              <w:bottom w:val="single" w:sz="4" w:space="0" w:color="auto"/>
              <w:right w:val="single" w:sz="4" w:space="0" w:color="auto"/>
            </w:tcBorders>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0</w:t>
            </w:r>
          </w:p>
        </w:tc>
        <w:tc>
          <w:tcPr>
            <w:tcW w:w="993" w:type="dxa"/>
            <w:tcBorders>
              <w:top w:val="nil"/>
              <w:left w:val="nil"/>
              <w:bottom w:val="single" w:sz="4" w:space="0" w:color="auto"/>
              <w:right w:val="single" w:sz="4" w:space="0" w:color="auto"/>
            </w:tcBorders>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0</w:t>
            </w:r>
          </w:p>
        </w:tc>
        <w:tc>
          <w:tcPr>
            <w:tcW w:w="1134" w:type="dxa"/>
            <w:tcBorders>
              <w:top w:val="nil"/>
              <w:left w:val="nil"/>
              <w:bottom w:val="single" w:sz="4" w:space="0" w:color="auto"/>
              <w:right w:val="single" w:sz="4" w:space="0" w:color="auto"/>
            </w:tcBorders>
            <w:vAlign w:val="center"/>
          </w:tcPr>
          <w:p w:rsidR="00134B51" w:rsidRPr="006C2381" w:rsidRDefault="00134B51" w:rsidP="00D5717A">
            <w:pPr>
              <w:spacing w:after="0" w:line="240" w:lineRule="auto"/>
              <w:jc w:val="right"/>
              <w:rPr>
                <w:rFonts w:ascii="Times New Roman" w:hAnsi="Times New Roman"/>
                <w:bCs/>
                <w:sz w:val="24"/>
                <w:szCs w:val="24"/>
                <w:lang w:eastAsia="sk-SK"/>
              </w:rPr>
            </w:pPr>
            <w:r w:rsidRPr="006C2381">
              <w:rPr>
                <w:rFonts w:ascii="Times New Roman" w:hAnsi="Times New Roman"/>
                <w:bCs/>
                <w:sz w:val="24"/>
                <w:szCs w:val="24"/>
                <w:lang w:eastAsia="sk-SK"/>
              </w:rPr>
              <w:t>0</w:t>
            </w:r>
          </w:p>
        </w:tc>
        <w:tc>
          <w:tcPr>
            <w:tcW w:w="1275" w:type="dxa"/>
            <w:tcBorders>
              <w:top w:val="nil"/>
              <w:left w:val="nil"/>
              <w:bottom w:val="single" w:sz="4" w:space="0" w:color="auto"/>
              <w:right w:val="single" w:sz="4" w:space="0" w:color="auto"/>
            </w:tcBorders>
            <w:noWrap/>
            <w:vAlign w:val="bottom"/>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3614" w:type="dxa"/>
            <w:tcBorders>
              <w:top w:val="nil"/>
              <w:left w:val="single" w:sz="4" w:space="0" w:color="auto"/>
              <w:bottom w:val="single" w:sz="4" w:space="0" w:color="auto"/>
              <w:right w:val="single" w:sz="4" w:space="0" w:color="auto"/>
            </w:tcBorders>
          </w:tcPr>
          <w:p w:rsidR="00134B51" w:rsidRPr="00E14014" w:rsidRDefault="00134B51" w:rsidP="00D5717A">
            <w:pPr>
              <w:spacing w:after="0" w:line="240" w:lineRule="auto"/>
              <w:rPr>
                <w:rFonts w:ascii="Times New Roman" w:hAnsi="Times New Roman"/>
                <w:bCs/>
                <w:sz w:val="24"/>
                <w:szCs w:val="24"/>
                <w:lang w:eastAsia="sk-SK"/>
              </w:rPr>
            </w:pPr>
            <w:r w:rsidRPr="00E14014">
              <w:rPr>
                <w:rFonts w:ascii="Times New Roman" w:hAnsi="Times New Roman"/>
                <w:bCs/>
                <w:sz w:val="24"/>
                <w:szCs w:val="24"/>
                <w:lang w:eastAsia="sk-SK"/>
              </w:rPr>
              <w:t>Nedaňové príjmy (200)</w:t>
            </w:r>
          </w:p>
        </w:tc>
        <w:tc>
          <w:tcPr>
            <w:tcW w:w="1134" w:type="dxa"/>
            <w:tcBorders>
              <w:top w:val="nil"/>
              <w:left w:val="nil"/>
              <w:bottom w:val="single" w:sz="4" w:space="0" w:color="auto"/>
              <w:right w:val="single" w:sz="4" w:space="0" w:color="auto"/>
            </w:tcBorders>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0</w:t>
            </w:r>
          </w:p>
        </w:tc>
        <w:tc>
          <w:tcPr>
            <w:tcW w:w="992" w:type="dxa"/>
            <w:tcBorders>
              <w:top w:val="nil"/>
              <w:left w:val="nil"/>
              <w:bottom w:val="single" w:sz="4" w:space="0" w:color="auto"/>
              <w:right w:val="single" w:sz="4" w:space="0" w:color="auto"/>
            </w:tcBorders>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0</w:t>
            </w:r>
          </w:p>
        </w:tc>
        <w:tc>
          <w:tcPr>
            <w:tcW w:w="993" w:type="dxa"/>
            <w:tcBorders>
              <w:top w:val="nil"/>
              <w:left w:val="nil"/>
              <w:bottom w:val="single" w:sz="4" w:space="0" w:color="auto"/>
              <w:right w:val="single" w:sz="4" w:space="0" w:color="auto"/>
            </w:tcBorders>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0</w:t>
            </w:r>
          </w:p>
        </w:tc>
        <w:tc>
          <w:tcPr>
            <w:tcW w:w="1134" w:type="dxa"/>
            <w:tcBorders>
              <w:top w:val="nil"/>
              <w:left w:val="nil"/>
              <w:bottom w:val="single" w:sz="4" w:space="0" w:color="auto"/>
              <w:right w:val="single" w:sz="4" w:space="0" w:color="auto"/>
            </w:tcBorders>
            <w:vAlign w:val="center"/>
          </w:tcPr>
          <w:p w:rsidR="00134B51" w:rsidRPr="006C2381" w:rsidRDefault="00134B51" w:rsidP="00D5717A">
            <w:pPr>
              <w:spacing w:after="0" w:line="240" w:lineRule="auto"/>
              <w:jc w:val="right"/>
              <w:rPr>
                <w:rFonts w:ascii="Times New Roman" w:hAnsi="Times New Roman"/>
                <w:bCs/>
                <w:sz w:val="24"/>
                <w:szCs w:val="24"/>
                <w:lang w:eastAsia="sk-SK"/>
              </w:rPr>
            </w:pPr>
            <w:r w:rsidRPr="006C2381">
              <w:rPr>
                <w:rFonts w:ascii="Times New Roman" w:hAnsi="Times New Roman"/>
                <w:bCs/>
                <w:sz w:val="24"/>
                <w:szCs w:val="24"/>
                <w:lang w:eastAsia="sk-SK"/>
              </w:rPr>
              <w:t>0</w:t>
            </w:r>
          </w:p>
        </w:tc>
        <w:tc>
          <w:tcPr>
            <w:tcW w:w="1275" w:type="dxa"/>
            <w:tcBorders>
              <w:top w:val="nil"/>
              <w:left w:val="nil"/>
              <w:bottom w:val="single" w:sz="4" w:space="0" w:color="auto"/>
              <w:right w:val="single" w:sz="4" w:space="0" w:color="auto"/>
            </w:tcBorders>
            <w:noWrap/>
            <w:vAlign w:val="bottom"/>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3614" w:type="dxa"/>
            <w:tcBorders>
              <w:top w:val="nil"/>
              <w:left w:val="single" w:sz="4" w:space="0" w:color="auto"/>
              <w:bottom w:val="single" w:sz="4" w:space="0" w:color="auto"/>
              <w:right w:val="single" w:sz="4" w:space="0" w:color="auto"/>
            </w:tcBorders>
          </w:tcPr>
          <w:p w:rsidR="00134B51" w:rsidRPr="00E14014" w:rsidRDefault="00134B51" w:rsidP="00D5717A">
            <w:pPr>
              <w:spacing w:after="0" w:line="240" w:lineRule="auto"/>
              <w:rPr>
                <w:rFonts w:ascii="Times New Roman" w:hAnsi="Times New Roman"/>
                <w:bCs/>
                <w:sz w:val="24"/>
                <w:szCs w:val="24"/>
                <w:lang w:eastAsia="sk-SK"/>
              </w:rPr>
            </w:pPr>
            <w:r w:rsidRPr="00E14014">
              <w:rPr>
                <w:rFonts w:ascii="Times New Roman" w:hAnsi="Times New Roman"/>
                <w:bCs/>
                <w:sz w:val="24"/>
                <w:szCs w:val="24"/>
                <w:lang w:eastAsia="sk-SK"/>
              </w:rPr>
              <w:t>Granty a transfery (300)</w:t>
            </w:r>
          </w:p>
        </w:tc>
        <w:tc>
          <w:tcPr>
            <w:tcW w:w="1134" w:type="dxa"/>
            <w:tcBorders>
              <w:top w:val="nil"/>
              <w:left w:val="nil"/>
              <w:bottom w:val="single" w:sz="4" w:space="0" w:color="auto"/>
              <w:right w:val="single" w:sz="4" w:space="0" w:color="auto"/>
            </w:tcBorders>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0</w:t>
            </w:r>
          </w:p>
        </w:tc>
        <w:tc>
          <w:tcPr>
            <w:tcW w:w="992" w:type="dxa"/>
            <w:tcBorders>
              <w:top w:val="nil"/>
              <w:left w:val="nil"/>
              <w:bottom w:val="single" w:sz="4" w:space="0" w:color="auto"/>
              <w:right w:val="single" w:sz="4" w:space="0" w:color="auto"/>
            </w:tcBorders>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0</w:t>
            </w:r>
          </w:p>
        </w:tc>
        <w:tc>
          <w:tcPr>
            <w:tcW w:w="993" w:type="dxa"/>
            <w:tcBorders>
              <w:top w:val="nil"/>
              <w:left w:val="nil"/>
              <w:bottom w:val="single" w:sz="4" w:space="0" w:color="auto"/>
              <w:right w:val="single" w:sz="4" w:space="0" w:color="auto"/>
            </w:tcBorders>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0</w:t>
            </w:r>
          </w:p>
        </w:tc>
        <w:tc>
          <w:tcPr>
            <w:tcW w:w="1134" w:type="dxa"/>
            <w:tcBorders>
              <w:top w:val="nil"/>
              <w:left w:val="nil"/>
              <w:bottom w:val="single" w:sz="4" w:space="0" w:color="auto"/>
              <w:right w:val="single" w:sz="4" w:space="0" w:color="auto"/>
            </w:tcBorders>
            <w:vAlign w:val="center"/>
          </w:tcPr>
          <w:p w:rsidR="00134B51" w:rsidRPr="006C2381" w:rsidRDefault="00134B51" w:rsidP="00D5717A">
            <w:pPr>
              <w:spacing w:after="0" w:line="240" w:lineRule="auto"/>
              <w:jc w:val="right"/>
              <w:rPr>
                <w:rFonts w:ascii="Times New Roman" w:hAnsi="Times New Roman"/>
                <w:bCs/>
                <w:sz w:val="24"/>
                <w:szCs w:val="24"/>
                <w:lang w:eastAsia="sk-SK"/>
              </w:rPr>
            </w:pPr>
            <w:r w:rsidRPr="006C2381">
              <w:rPr>
                <w:rFonts w:ascii="Times New Roman" w:hAnsi="Times New Roman"/>
                <w:bCs/>
                <w:sz w:val="24"/>
                <w:szCs w:val="24"/>
                <w:lang w:eastAsia="sk-SK"/>
              </w:rPr>
              <w:t>0</w:t>
            </w:r>
          </w:p>
        </w:tc>
        <w:tc>
          <w:tcPr>
            <w:tcW w:w="1275" w:type="dxa"/>
            <w:tcBorders>
              <w:top w:val="nil"/>
              <w:left w:val="nil"/>
              <w:bottom w:val="single" w:sz="4" w:space="0" w:color="auto"/>
              <w:right w:val="single" w:sz="4" w:space="0" w:color="auto"/>
            </w:tcBorders>
            <w:noWrap/>
            <w:vAlign w:val="bottom"/>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3614" w:type="dxa"/>
            <w:tcBorders>
              <w:top w:val="nil"/>
              <w:left w:val="single" w:sz="4" w:space="0" w:color="auto"/>
              <w:bottom w:val="single" w:sz="4" w:space="0" w:color="auto"/>
              <w:right w:val="single" w:sz="4" w:space="0" w:color="auto"/>
            </w:tcBorders>
          </w:tcPr>
          <w:p w:rsidR="00134B51" w:rsidRPr="00E14014" w:rsidRDefault="00134B51" w:rsidP="00D5717A">
            <w:pPr>
              <w:spacing w:after="0" w:line="240" w:lineRule="auto"/>
              <w:rPr>
                <w:rFonts w:ascii="Times New Roman" w:hAnsi="Times New Roman"/>
                <w:bCs/>
                <w:sz w:val="24"/>
                <w:szCs w:val="24"/>
                <w:lang w:eastAsia="sk-SK"/>
              </w:rPr>
            </w:pPr>
            <w:r w:rsidRPr="00E14014">
              <w:rPr>
                <w:rFonts w:ascii="Times New Roman" w:hAnsi="Times New Roman"/>
                <w:bCs/>
                <w:sz w:val="24"/>
                <w:szCs w:val="24"/>
                <w:lang w:eastAsia="sk-SK"/>
              </w:rPr>
              <w:t>Príjmy z transakcií s finančnými aktívami a finančnými pasívami (400)</w:t>
            </w:r>
          </w:p>
        </w:tc>
        <w:tc>
          <w:tcPr>
            <w:tcW w:w="1134" w:type="dxa"/>
            <w:tcBorders>
              <w:top w:val="nil"/>
              <w:left w:val="nil"/>
              <w:bottom w:val="single" w:sz="4" w:space="0" w:color="auto"/>
              <w:right w:val="single" w:sz="4" w:space="0" w:color="auto"/>
            </w:tcBorders>
            <w:shd w:val="clear" w:color="auto" w:fill="FFFF99"/>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 0</w:t>
            </w:r>
          </w:p>
        </w:tc>
        <w:tc>
          <w:tcPr>
            <w:tcW w:w="992" w:type="dxa"/>
            <w:tcBorders>
              <w:top w:val="nil"/>
              <w:left w:val="nil"/>
              <w:bottom w:val="single" w:sz="4" w:space="0" w:color="auto"/>
              <w:right w:val="single" w:sz="4" w:space="0" w:color="auto"/>
            </w:tcBorders>
            <w:shd w:val="clear" w:color="auto" w:fill="FFFF99"/>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 0</w:t>
            </w:r>
          </w:p>
        </w:tc>
        <w:tc>
          <w:tcPr>
            <w:tcW w:w="993" w:type="dxa"/>
            <w:tcBorders>
              <w:top w:val="nil"/>
              <w:left w:val="nil"/>
              <w:bottom w:val="single" w:sz="4" w:space="0" w:color="auto"/>
              <w:right w:val="single" w:sz="4" w:space="0" w:color="auto"/>
            </w:tcBorders>
            <w:shd w:val="clear" w:color="auto" w:fill="FFFF99"/>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 0</w:t>
            </w:r>
          </w:p>
        </w:tc>
        <w:tc>
          <w:tcPr>
            <w:tcW w:w="1134" w:type="dxa"/>
            <w:tcBorders>
              <w:top w:val="nil"/>
              <w:left w:val="nil"/>
              <w:bottom w:val="single" w:sz="4" w:space="0" w:color="auto"/>
              <w:right w:val="single" w:sz="4" w:space="0" w:color="auto"/>
            </w:tcBorders>
            <w:shd w:val="clear" w:color="auto" w:fill="FFFF99"/>
            <w:vAlign w:val="center"/>
          </w:tcPr>
          <w:p w:rsidR="00134B51" w:rsidRPr="006C2381" w:rsidRDefault="00134B51" w:rsidP="00D5717A">
            <w:pPr>
              <w:spacing w:after="0" w:line="240" w:lineRule="auto"/>
              <w:jc w:val="right"/>
              <w:rPr>
                <w:rFonts w:ascii="Times New Roman" w:hAnsi="Times New Roman"/>
                <w:bCs/>
                <w:sz w:val="24"/>
                <w:szCs w:val="24"/>
                <w:lang w:eastAsia="sk-SK"/>
              </w:rPr>
            </w:pPr>
            <w:r w:rsidRPr="006C2381">
              <w:rPr>
                <w:rFonts w:ascii="Times New Roman" w:hAnsi="Times New Roman"/>
                <w:bCs/>
                <w:sz w:val="24"/>
                <w:szCs w:val="24"/>
                <w:lang w:eastAsia="sk-SK"/>
              </w:rPr>
              <w:t> 0</w:t>
            </w:r>
          </w:p>
        </w:tc>
        <w:tc>
          <w:tcPr>
            <w:tcW w:w="1275" w:type="dxa"/>
            <w:tcBorders>
              <w:top w:val="nil"/>
              <w:left w:val="nil"/>
              <w:bottom w:val="single" w:sz="4" w:space="0" w:color="auto"/>
              <w:right w:val="single" w:sz="4" w:space="0" w:color="auto"/>
            </w:tcBorders>
            <w:noWrap/>
            <w:vAlign w:val="bottom"/>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3614" w:type="dxa"/>
            <w:tcBorders>
              <w:top w:val="nil"/>
              <w:left w:val="single" w:sz="4" w:space="0" w:color="auto"/>
              <w:bottom w:val="single" w:sz="4" w:space="0" w:color="auto"/>
              <w:right w:val="single" w:sz="4" w:space="0" w:color="auto"/>
            </w:tcBorders>
          </w:tcPr>
          <w:p w:rsidR="00134B51" w:rsidRPr="00E14014" w:rsidRDefault="00134B51" w:rsidP="00D5717A">
            <w:pPr>
              <w:spacing w:after="0" w:line="240" w:lineRule="auto"/>
              <w:rPr>
                <w:rFonts w:ascii="Times New Roman" w:hAnsi="Times New Roman"/>
                <w:bCs/>
                <w:sz w:val="24"/>
                <w:szCs w:val="24"/>
                <w:lang w:eastAsia="sk-SK"/>
              </w:rPr>
            </w:pPr>
            <w:r w:rsidRPr="00E14014">
              <w:rPr>
                <w:rFonts w:ascii="Times New Roman" w:hAnsi="Times New Roman"/>
                <w:bCs/>
                <w:sz w:val="24"/>
                <w:szCs w:val="24"/>
                <w:lang w:eastAsia="sk-SK"/>
              </w:rPr>
              <w:t>Prijaté úvery, pôžičky a návratné finančné výpomoci (500)</w:t>
            </w:r>
          </w:p>
        </w:tc>
        <w:tc>
          <w:tcPr>
            <w:tcW w:w="1134" w:type="dxa"/>
            <w:tcBorders>
              <w:top w:val="nil"/>
              <w:left w:val="nil"/>
              <w:bottom w:val="single" w:sz="4" w:space="0" w:color="auto"/>
              <w:right w:val="single" w:sz="4" w:space="0" w:color="auto"/>
            </w:tcBorders>
            <w:shd w:val="clear" w:color="auto" w:fill="FFFF99"/>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 0</w:t>
            </w:r>
          </w:p>
        </w:tc>
        <w:tc>
          <w:tcPr>
            <w:tcW w:w="992" w:type="dxa"/>
            <w:tcBorders>
              <w:top w:val="nil"/>
              <w:left w:val="nil"/>
              <w:bottom w:val="single" w:sz="4" w:space="0" w:color="auto"/>
              <w:right w:val="single" w:sz="4" w:space="0" w:color="auto"/>
            </w:tcBorders>
            <w:shd w:val="clear" w:color="auto" w:fill="FFFF99"/>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0 </w:t>
            </w:r>
          </w:p>
        </w:tc>
        <w:tc>
          <w:tcPr>
            <w:tcW w:w="993" w:type="dxa"/>
            <w:tcBorders>
              <w:top w:val="nil"/>
              <w:left w:val="nil"/>
              <w:bottom w:val="single" w:sz="4" w:space="0" w:color="auto"/>
              <w:right w:val="single" w:sz="4" w:space="0" w:color="auto"/>
            </w:tcBorders>
            <w:shd w:val="clear" w:color="auto" w:fill="FFFF99"/>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 0</w:t>
            </w:r>
          </w:p>
        </w:tc>
        <w:tc>
          <w:tcPr>
            <w:tcW w:w="1134" w:type="dxa"/>
            <w:tcBorders>
              <w:top w:val="nil"/>
              <w:left w:val="nil"/>
              <w:bottom w:val="single" w:sz="4" w:space="0" w:color="auto"/>
              <w:right w:val="single" w:sz="4" w:space="0" w:color="auto"/>
            </w:tcBorders>
            <w:shd w:val="clear" w:color="auto" w:fill="FFFF99"/>
            <w:vAlign w:val="center"/>
          </w:tcPr>
          <w:p w:rsidR="00134B51" w:rsidRPr="006C2381" w:rsidRDefault="00134B51" w:rsidP="00D5717A">
            <w:pPr>
              <w:spacing w:after="0" w:line="240" w:lineRule="auto"/>
              <w:jc w:val="right"/>
              <w:rPr>
                <w:rFonts w:ascii="Times New Roman" w:hAnsi="Times New Roman"/>
                <w:bCs/>
                <w:sz w:val="24"/>
                <w:szCs w:val="24"/>
                <w:lang w:eastAsia="sk-SK"/>
              </w:rPr>
            </w:pPr>
            <w:r w:rsidRPr="006C2381">
              <w:rPr>
                <w:rFonts w:ascii="Times New Roman" w:hAnsi="Times New Roman"/>
                <w:bCs/>
                <w:sz w:val="24"/>
                <w:szCs w:val="24"/>
                <w:lang w:eastAsia="sk-SK"/>
              </w:rPr>
              <w:t> 0</w:t>
            </w:r>
          </w:p>
        </w:tc>
        <w:tc>
          <w:tcPr>
            <w:tcW w:w="1275" w:type="dxa"/>
            <w:tcBorders>
              <w:top w:val="nil"/>
              <w:left w:val="nil"/>
              <w:bottom w:val="single" w:sz="4" w:space="0" w:color="auto"/>
              <w:right w:val="single" w:sz="4" w:space="0" w:color="auto"/>
            </w:tcBorders>
            <w:noWrap/>
            <w:vAlign w:val="bottom"/>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3614" w:type="dxa"/>
            <w:tcBorders>
              <w:top w:val="nil"/>
              <w:left w:val="single" w:sz="4" w:space="0" w:color="auto"/>
              <w:bottom w:val="single" w:sz="4" w:space="0" w:color="auto"/>
              <w:right w:val="single" w:sz="4" w:space="0" w:color="auto"/>
            </w:tcBorders>
            <w:shd w:val="clear" w:color="auto" w:fill="BFBFBF"/>
          </w:tcPr>
          <w:p w:rsidR="00134B51" w:rsidRPr="00E14014" w:rsidRDefault="00134B51" w:rsidP="00D5717A">
            <w:pPr>
              <w:spacing w:after="0" w:line="240" w:lineRule="auto"/>
              <w:rPr>
                <w:rFonts w:ascii="Times New Roman" w:hAnsi="Times New Roman"/>
                <w:bCs/>
                <w:sz w:val="24"/>
                <w:szCs w:val="24"/>
                <w:lang w:eastAsia="sk-SK"/>
              </w:rPr>
            </w:pPr>
            <w:r w:rsidRPr="00E14014">
              <w:rPr>
                <w:rFonts w:ascii="Times New Roman" w:hAnsi="Times New Roman"/>
                <w:bCs/>
                <w:sz w:val="24"/>
                <w:szCs w:val="24"/>
                <w:lang w:eastAsia="sk-SK"/>
              </w:rPr>
              <w:t>Dopad na príjmy verejnej správy celkom</w:t>
            </w:r>
          </w:p>
        </w:tc>
        <w:tc>
          <w:tcPr>
            <w:tcW w:w="1134" w:type="dxa"/>
            <w:tcBorders>
              <w:top w:val="nil"/>
              <w:left w:val="nil"/>
              <w:bottom w:val="single" w:sz="4" w:space="0" w:color="auto"/>
              <w:right w:val="single" w:sz="4" w:space="0" w:color="auto"/>
            </w:tcBorders>
            <w:shd w:val="clear" w:color="auto" w:fill="BFBFBF"/>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0</w:t>
            </w:r>
          </w:p>
        </w:tc>
        <w:tc>
          <w:tcPr>
            <w:tcW w:w="992" w:type="dxa"/>
            <w:tcBorders>
              <w:top w:val="nil"/>
              <w:left w:val="nil"/>
              <w:bottom w:val="single" w:sz="4" w:space="0" w:color="auto"/>
              <w:right w:val="single" w:sz="4" w:space="0" w:color="auto"/>
            </w:tcBorders>
            <w:shd w:val="clear" w:color="auto" w:fill="BFBFBF"/>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0</w:t>
            </w:r>
          </w:p>
        </w:tc>
        <w:tc>
          <w:tcPr>
            <w:tcW w:w="993" w:type="dxa"/>
            <w:tcBorders>
              <w:top w:val="nil"/>
              <w:left w:val="nil"/>
              <w:bottom w:val="single" w:sz="4" w:space="0" w:color="auto"/>
              <w:right w:val="single" w:sz="4" w:space="0" w:color="auto"/>
            </w:tcBorders>
            <w:shd w:val="clear" w:color="auto" w:fill="BFBFBF"/>
            <w:vAlign w:val="center"/>
          </w:tcPr>
          <w:p w:rsidR="00134B51" w:rsidRPr="00E14014" w:rsidRDefault="00134B51" w:rsidP="00D5717A">
            <w:pPr>
              <w:spacing w:after="0" w:line="240" w:lineRule="auto"/>
              <w:jc w:val="right"/>
              <w:rPr>
                <w:rFonts w:ascii="Times New Roman" w:hAnsi="Times New Roman"/>
                <w:bCs/>
                <w:sz w:val="24"/>
                <w:szCs w:val="24"/>
                <w:lang w:eastAsia="sk-SK"/>
              </w:rPr>
            </w:pPr>
            <w:r w:rsidRPr="00E14014">
              <w:rPr>
                <w:rFonts w:ascii="Times New Roman" w:hAnsi="Times New Roman"/>
                <w:bCs/>
                <w:sz w:val="24"/>
                <w:szCs w:val="24"/>
                <w:lang w:eastAsia="sk-SK"/>
              </w:rPr>
              <w:t>0</w:t>
            </w:r>
          </w:p>
        </w:tc>
        <w:tc>
          <w:tcPr>
            <w:tcW w:w="1134" w:type="dxa"/>
            <w:tcBorders>
              <w:top w:val="nil"/>
              <w:left w:val="nil"/>
              <w:bottom w:val="single" w:sz="4" w:space="0" w:color="auto"/>
              <w:right w:val="single" w:sz="4" w:space="0" w:color="auto"/>
            </w:tcBorders>
            <w:shd w:val="clear" w:color="auto" w:fill="BFBFBF"/>
            <w:vAlign w:val="center"/>
          </w:tcPr>
          <w:p w:rsidR="00134B51" w:rsidRPr="006C2381" w:rsidRDefault="00134B51" w:rsidP="00D5717A">
            <w:pPr>
              <w:spacing w:after="0" w:line="240" w:lineRule="auto"/>
              <w:jc w:val="right"/>
              <w:rPr>
                <w:rFonts w:ascii="Times New Roman" w:hAnsi="Times New Roman"/>
                <w:bCs/>
                <w:sz w:val="24"/>
                <w:szCs w:val="24"/>
                <w:lang w:eastAsia="sk-SK"/>
              </w:rPr>
            </w:pPr>
            <w:r w:rsidRPr="006C2381">
              <w:rPr>
                <w:rFonts w:ascii="Times New Roman" w:hAnsi="Times New Roman"/>
                <w:bCs/>
                <w:sz w:val="24"/>
                <w:szCs w:val="24"/>
                <w:lang w:eastAsia="sk-SK"/>
              </w:rPr>
              <w:t>0</w:t>
            </w:r>
          </w:p>
        </w:tc>
        <w:tc>
          <w:tcPr>
            <w:tcW w:w="1275" w:type="dxa"/>
            <w:tcBorders>
              <w:top w:val="nil"/>
              <w:left w:val="nil"/>
              <w:bottom w:val="single" w:sz="4" w:space="0" w:color="auto"/>
              <w:right w:val="single" w:sz="4" w:space="0" w:color="auto"/>
            </w:tcBorders>
            <w:shd w:val="clear" w:color="auto" w:fill="BFBFBF"/>
            <w:noWrap/>
            <w:vAlign w:val="bottom"/>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134B51" w:rsidRDefault="00134B51" w:rsidP="00134B51">
      <w:pPr>
        <w:spacing w:after="0" w:line="240" w:lineRule="auto"/>
        <w:rPr>
          <w:rFonts w:ascii="Times New Roman" w:hAnsi="Times New Roman" w:cs="Verdana"/>
          <w:b/>
          <w:bCs/>
          <w:iCs/>
          <w:sz w:val="24"/>
          <w:szCs w:val="24"/>
        </w:rPr>
      </w:pPr>
    </w:p>
    <w:p w:rsidR="0081319C" w:rsidRDefault="0081319C" w:rsidP="00134B51">
      <w:pPr>
        <w:spacing w:after="0" w:line="240" w:lineRule="auto"/>
        <w:rPr>
          <w:rFonts w:ascii="Times New Roman" w:hAnsi="Times New Roman" w:cs="Verdana"/>
          <w:b/>
          <w:bCs/>
          <w:iCs/>
          <w:sz w:val="24"/>
          <w:szCs w:val="24"/>
        </w:rPr>
      </w:pPr>
    </w:p>
    <w:p w:rsidR="00134B51" w:rsidRPr="00631D94" w:rsidRDefault="00134B51" w:rsidP="00134B51">
      <w:pPr>
        <w:spacing w:after="0" w:line="240" w:lineRule="auto"/>
        <w:rPr>
          <w:rFonts w:ascii="Times New Roman" w:hAnsi="Times New Roman" w:cs="Verdana"/>
          <w:b/>
          <w:bCs/>
          <w:iCs/>
          <w:sz w:val="24"/>
          <w:szCs w:val="24"/>
        </w:rPr>
      </w:pPr>
      <w:r>
        <w:rPr>
          <w:rFonts w:ascii="Times New Roman" w:hAnsi="Times New Roman" w:cs="Verdana"/>
          <w:b/>
          <w:bCs/>
          <w:iCs/>
          <w:sz w:val="24"/>
          <w:szCs w:val="24"/>
        </w:rPr>
        <w:t>2.2.4.2 Kvantifikácia výdavkov</w:t>
      </w:r>
    </w:p>
    <w:p w:rsidR="00134B51" w:rsidRPr="007D5748" w:rsidRDefault="00134B51" w:rsidP="00134B51">
      <w:pPr>
        <w:spacing w:after="0" w:line="240" w:lineRule="auto"/>
        <w:jc w:val="both"/>
        <w:rPr>
          <w:rFonts w:ascii="Times New Roman" w:hAnsi="Times New Roman"/>
          <w:sz w:val="24"/>
          <w:szCs w:val="24"/>
          <w:lang w:eastAsia="sk-SK"/>
        </w:rPr>
      </w:pPr>
      <w:r w:rsidRPr="00F838ED">
        <w:rPr>
          <w:rFonts w:ascii="Times New Roman" w:hAnsi="Times New Roman"/>
          <w:sz w:val="24"/>
          <w:szCs w:val="24"/>
          <w:lang w:eastAsia="sk-SK"/>
        </w:rPr>
        <w:t xml:space="preserve">    </w:t>
      </w:r>
    </w:p>
    <w:p w:rsidR="00134B51" w:rsidRDefault="00134B51" w:rsidP="00134B51">
      <w:pPr>
        <w:spacing w:after="0" w:line="240" w:lineRule="auto"/>
        <w:ind w:firstLine="709"/>
        <w:jc w:val="both"/>
        <w:rPr>
          <w:rFonts w:ascii="Times New Roman" w:hAnsi="Times New Roman"/>
          <w:sz w:val="24"/>
          <w:szCs w:val="24"/>
        </w:rPr>
      </w:pPr>
      <w:r w:rsidRPr="00E434B5">
        <w:rPr>
          <w:rFonts w:ascii="Times New Roman" w:hAnsi="Times New Roman"/>
          <w:sz w:val="24"/>
          <w:szCs w:val="24"/>
        </w:rPr>
        <w:t xml:space="preserve">Pri </w:t>
      </w:r>
      <w:r w:rsidRPr="00D16082">
        <w:rPr>
          <w:rFonts w:ascii="Times New Roman" w:hAnsi="Times New Roman"/>
          <w:sz w:val="24"/>
          <w:szCs w:val="24"/>
        </w:rPr>
        <w:t>kvantifikácii</w:t>
      </w:r>
      <w:r>
        <w:rPr>
          <w:rFonts w:ascii="Times New Roman" w:hAnsi="Times New Roman"/>
          <w:sz w:val="24"/>
          <w:szCs w:val="24"/>
        </w:rPr>
        <w:t xml:space="preserve"> </w:t>
      </w:r>
      <w:r w:rsidRPr="00E434B5">
        <w:rPr>
          <w:rFonts w:ascii="Times New Roman" w:hAnsi="Times New Roman"/>
          <w:sz w:val="24"/>
          <w:szCs w:val="24"/>
        </w:rPr>
        <w:t xml:space="preserve">návrhu zákona, </w:t>
      </w:r>
      <w:r w:rsidRPr="00D16082">
        <w:rPr>
          <w:rFonts w:ascii="Times New Roman" w:hAnsi="Times New Roman"/>
          <w:sz w:val="24"/>
          <w:szCs w:val="24"/>
        </w:rPr>
        <w:t>ktorou</w:t>
      </w:r>
      <w:r w:rsidRPr="00E434B5">
        <w:rPr>
          <w:rFonts w:ascii="Times New Roman" w:hAnsi="Times New Roman"/>
          <w:sz w:val="24"/>
          <w:szCs w:val="24"/>
        </w:rPr>
        <w:t xml:space="preserve"> je </w:t>
      </w:r>
      <w:r w:rsidRPr="00E434B5">
        <w:rPr>
          <w:rFonts w:ascii="Times New Roman" w:hAnsi="Times New Roman"/>
          <w:sz w:val="24"/>
          <w:szCs w:val="24"/>
          <w:lang w:eastAsia="sk-SK"/>
        </w:rPr>
        <w:t xml:space="preserve">zvýšenie </w:t>
      </w:r>
      <w:r w:rsidRPr="00D16082">
        <w:rPr>
          <w:rFonts w:ascii="Times New Roman" w:hAnsi="Times New Roman"/>
          <w:sz w:val="24"/>
          <w:szCs w:val="24"/>
          <w:lang w:eastAsia="sk-SK"/>
        </w:rPr>
        <w:t>dôchodkových</w:t>
      </w:r>
      <w:r>
        <w:rPr>
          <w:rFonts w:ascii="Times New Roman" w:hAnsi="Times New Roman"/>
          <w:sz w:val="24"/>
          <w:szCs w:val="24"/>
          <w:lang w:eastAsia="sk-SK"/>
        </w:rPr>
        <w:t xml:space="preserve"> </w:t>
      </w:r>
      <w:r w:rsidRPr="00E434B5">
        <w:rPr>
          <w:rFonts w:ascii="Times New Roman" w:hAnsi="Times New Roman"/>
          <w:sz w:val="24"/>
          <w:szCs w:val="24"/>
          <w:lang w:eastAsia="sk-SK"/>
        </w:rPr>
        <w:t xml:space="preserve">dávok výsluhového zabezpečenia </w:t>
      </w:r>
      <w:r>
        <w:rPr>
          <w:rFonts w:ascii="Times New Roman" w:hAnsi="Times New Roman"/>
          <w:sz w:val="24"/>
          <w:szCs w:val="24"/>
          <w:lang w:eastAsia="sk-SK"/>
        </w:rPr>
        <w:t xml:space="preserve">v rokoch 2019 až 2021 </w:t>
      </w:r>
      <w:r w:rsidRPr="00E434B5">
        <w:rPr>
          <w:rFonts w:ascii="Times New Roman" w:hAnsi="Times New Roman"/>
          <w:sz w:val="24"/>
          <w:szCs w:val="24"/>
          <w:lang w:eastAsia="sk-SK"/>
        </w:rPr>
        <w:t>pre stanovený okruh poberateľov</w:t>
      </w:r>
      <w:r w:rsidRPr="00D16082">
        <w:rPr>
          <w:rFonts w:ascii="Times New Roman" w:hAnsi="Times New Roman"/>
          <w:sz w:val="24"/>
          <w:szCs w:val="24"/>
          <w:lang w:eastAsia="sk-SK"/>
        </w:rPr>
        <w:t>,</w:t>
      </w:r>
      <w:r w:rsidRPr="00E434B5">
        <w:rPr>
          <w:rFonts w:ascii="Times New Roman" w:hAnsi="Times New Roman"/>
          <w:sz w:val="24"/>
          <w:szCs w:val="24"/>
          <w:lang w:eastAsia="sk-SK"/>
        </w:rPr>
        <w:t xml:space="preserve"> </w:t>
      </w:r>
      <w:r w:rsidRPr="00E434B5">
        <w:rPr>
          <w:rFonts w:ascii="Times New Roman" w:hAnsi="Times New Roman"/>
          <w:sz w:val="24"/>
          <w:szCs w:val="24"/>
        </w:rPr>
        <w:t>sa ako základné parametre použili</w:t>
      </w:r>
      <w:r>
        <w:rPr>
          <w:rFonts w:ascii="Times New Roman" w:hAnsi="Times New Roman"/>
          <w:sz w:val="24"/>
          <w:szCs w:val="24"/>
        </w:rPr>
        <w:t xml:space="preserve"> ročné náklady na výplatu </w:t>
      </w:r>
      <w:r w:rsidRPr="00D16082">
        <w:rPr>
          <w:rFonts w:ascii="Times New Roman" w:hAnsi="Times New Roman"/>
          <w:sz w:val="24"/>
          <w:szCs w:val="24"/>
          <w:lang w:eastAsia="sk-SK"/>
        </w:rPr>
        <w:t>dôchodkových</w:t>
      </w:r>
      <w:r>
        <w:rPr>
          <w:rFonts w:ascii="Times New Roman" w:hAnsi="Times New Roman"/>
          <w:sz w:val="24"/>
          <w:szCs w:val="24"/>
        </w:rPr>
        <w:t xml:space="preserve"> dávok výsluhového zabezpečenia,</w:t>
      </w:r>
      <w:r w:rsidRPr="00E434B5">
        <w:rPr>
          <w:rFonts w:ascii="Times New Roman" w:hAnsi="Times New Roman"/>
          <w:sz w:val="24"/>
          <w:szCs w:val="24"/>
        </w:rPr>
        <w:t xml:space="preserve"> </w:t>
      </w:r>
      <w:r>
        <w:rPr>
          <w:rFonts w:ascii="Times New Roman" w:hAnsi="Times New Roman"/>
          <w:sz w:val="24"/>
          <w:szCs w:val="24"/>
        </w:rPr>
        <w:t xml:space="preserve">dôchodcovská inflácia v jednotlivých rokoch 2019 až 2021 zverejnená v Makroekonomickej prognóze </w:t>
      </w:r>
      <w:r w:rsidRPr="00E434B5">
        <w:rPr>
          <w:rFonts w:ascii="Times New Roman" w:hAnsi="Times New Roman"/>
          <w:sz w:val="24"/>
          <w:szCs w:val="24"/>
        </w:rPr>
        <w:t>Inštitút</w:t>
      </w:r>
      <w:r>
        <w:rPr>
          <w:rFonts w:ascii="Times New Roman" w:hAnsi="Times New Roman"/>
          <w:sz w:val="24"/>
          <w:szCs w:val="24"/>
        </w:rPr>
        <w:t>om</w:t>
      </w:r>
      <w:r w:rsidRPr="00E434B5">
        <w:rPr>
          <w:rFonts w:ascii="Times New Roman" w:hAnsi="Times New Roman"/>
          <w:sz w:val="24"/>
          <w:szCs w:val="24"/>
        </w:rPr>
        <w:t xml:space="preserve"> finančnej politiky - 46. zasadnutie výboru pre makroekonomické prognózy (september 2018)</w:t>
      </w:r>
      <w:r>
        <w:rPr>
          <w:rFonts w:ascii="Times New Roman" w:hAnsi="Times New Roman"/>
          <w:sz w:val="24"/>
          <w:szCs w:val="24"/>
        </w:rPr>
        <w:t xml:space="preserve">, </w:t>
      </w:r>
      <w:r w:rsidRPr="00E434B5">
        <w:rPr>
          <w:rFonts w:ascii="Times New Roman" w:hAnsi="Times New Roman"/>
          <w:sz w:val="24"/>
          <w:szCs w:val="24"/>
        </w:rPr>
        <w:t xml:space="preserve">počet poberateľov </w:t>
      </w:r>
      <w:r w:rsidRPr="00D16082">
        <w:rPr>
          <w:rFonts w:ascii="Times New Roman" w:hAnsi="Times New Roman"/>
          <w:sz w:val="24"/>
          <w:szCs w:val="24"/>
          <w:lang w:eastAsia="sk-SK"/>
        </w:rPr>
        <w:t>dôchodkových</w:t>
      </w:r>
      <w:r w:rsidRPr="00E434B5">
        <w:rPr>
          <w:rFonts w:ascii="Times New Roman" w:hAnsi="Times New Roman"/>
          <w:sz w:val="24"/>
          <w:szCs w:val="24"/>
        </w:rPr>
        <w:t xml:space="preserve"> dávok výsluhového zabezpečenia, ktorých sa predmetné zvýšenie týka, a to poberateľov výsluhového dôchodku, invalidného výsluhového dôchodku, vdovského výsluhového dôchodku, vdoveckého výsluhového dôchodku a sirotského výsluhového dôchodku v rámci útvarov sociálneho zabezpečenia a Vojenského úradu sociálneho zabezpečenia, priemerná suma starobného dôchodku vykázaná Sociálnou poisťovňou ku dňu 30.06.2018</w:t>
      </w:r>
      <w:r>
        <w:rPr>
          <w:rFonts w:ascii="Times New Roman" w:hAnsi="Times New Roman"/>
          <w:sz w:val="24"/>
          <w:szCs w:val="24"/>
        </w:rPr>
        <w:t>.</w:t>
      </w:r>
      <w:r w:rsidRPr="00E434B5">
        <w:rPr>
          <w:rFonts w:ascii="Times New Roman" w:hAnsi="Times New Roman"/>
          <w:sz w:val="24"/>
          <w:szCs w:val="24"/>
        </w:rPr>
        <w:t xml:space="preserve"> </w:t>
      </w:r>
    </w:p>
    <w:p w:rsidR="00134B51" w:rsidRDefault="00134B51" w:rsidP="00134B51">
      <w:pPr>
        <w:spacing w:after="0" w:line="240" w:lineRule="auto"/>
        <w:ind w:firstLine="709"/>
        <w:jc w:val="both"/>
        <w:rPr>
          <w:rFonts w:ascii="Times New Roman" w:hAnsi="Times New Roman"/>
          <w:sz w:val="24"/>
          <w:szCs w:val="24"/>
        </w:rPr>
      </w:pPr>
    </w:p>
    <w:p w:rsidR="00134B51" w:rsidRPr="002E3848" w:rsidRDefault="00134B51" w:rsidP="00134B51">
      <w:pPr>
        <w:tabs>
          <w:tab w:val="num" w:pos="709"/>
        </w:tabs>
        <w:spacing w:after="0" w:line="240" w:lineRule="auto"/>
        <w:jc w:val="both"/>
        <w:rPr>
          <w:rFonts w:ascii="Times New Roman" w:hAnsi="Times New Roman"/>
          <w:sz w:val="24"/>
          <w:szCs w:val="24"/>
        </w:rPr>
      </w:pPr>
      <w:r w:rsidRPr="006C0049">
        <w:rPr>
          <w:rFonts w:ascii="Times New Roman" w:hAnsi="Times New Roman"/>
          <w:color w:val="FF0000"/>
          <w:sz w:val="24"/>
          <w:szCs w:val="24"/>
        </w:rPr>
        <w:tab/>
      </w:r>
      <w:r w:rsidRPr="002E3848">
        <w:rPr>
          <w:rFonts w:ascii="Times New Roman" w:hAnsi="Times New Roman"/>
          <w:sz w:val="24"/>
          <w:szCs w:val="24"/>
        </w:rPr>
        <w:t xml:space="preserve">Počet dotknutých osôb, ktorých sa predmetné zvýšenie týka </w:t>
      </w:r>
      <w:r>
        <w:rPr>
          <w:rFonts w:ascii="Times New Roman" w:hAnsi="Times New Roman"/>
          <w:sz w:val="24"/>
          <w:szCs w:val="24"/>
        </w:rPr>
        <w:t xml:space="preserve">sa </w:t>
      </w:r>
      <w:r w:rsidRPr="002E3848">
        <w:rPr>
          <w:rFonts w:ascii="Times New Roman" w:hAnsi="Times New Roman"/>
          <w:sz w:val="24"/>
          <w:szCs w:val="24"/>
        </w:rPr>
        <w:t>odhaduje v rokoch 201</w:t>
      </w:r>
      <w:r>
        <w:rPr>
          <w:rFonts w:ascii="Times New Roman" w:hAnsi="Times New Roman"/>
          <w:sz w:val="24"/>
          <w:szCs w:val="24"/>
        </w:rPr>
        <w:t>9</w:t>
      </w:r>
      <w:r w:rsidRPr="002E3848">
        <w:rPr>
          <w:rFonts w:ascii="Times New Roman" w:hAnsi="Times New Roman"/>
          <w:sz w:val="24"/>
          <w:szCs w:val="24"/>
        </w:rPr>
        <w:t xml:space="preserve"> až 202</w:t>
      </w:r>
      <w:r>
        <w:rPr>
          <w:rFonts w:ascii="Times New Roman" w:hAnsi="Times New Roman"/>
          <w:sz w:val="24"/>
          <w:szCs w:val="24"/>
        </w:rPr>
        <w:t>1</w:t>
      </w:r>
      <w:r w:rsidRPr="002E3848">
        <w:rPr>
          <w:rFonts w:ascii="Times New Roman" w:hAnsi="Times New Roman"/>
          <w:sz w:val="24"/>
          <w:szCs w:val="24"/>
        </w:rPr>
        <w:t xml:space="preserve"> na úrovni cca </w:t>
      </w:r>
      <w:r>
        <w:rPr>
          <w:rFonts w:ascii="Times New Roman" w:hAnsi="Times New Roman"/>
          <w:sz w:val="24"/>
          <w:szCs w:val="24"/>
        </w:rPr>
        <w:t xml:space="preserve">46.500 </w:t>
      </w:r>
      <w:r w:rsidRPr="001A029A">
        <w:rPr>
          <w:rFonts w:ascii="Times New Roman" w:hAnsi="Times New Roman"/>
          <w:sz w:val="24"/>
          <w:szCs w:val="24"/>
        </w:rPr>
        <w:t>osôb</w:t>
      </w:r>
      <w:r>
        <w:rPr>
          <w:rFonts w:ascii="Times New Roman" w:hAnsi="Times New Roman"/>
          <w:sz w:val="24"/>
          <w:szCs w:val="24"/>
        </w:rPr>
        <w:t>.</w:t>
      </w:r>
    </w:p>
    <w:p w:rsidR="00134B51" w:rsidRDefault="00134B51" w:rsidP="00134B51">
      <w:pPr>
        <w:tabs>
          <w:tab w:val="num" w:pos="709"/>
        </w:tabs>
        <w:spacing w:after="0" w:line="240" w:lineRule="auto"/>
        <w:jc w:val="both"/>
        <w:rPr>
          <w:rFonts w:ascii="Times New Roman" w:hAnsi="Times New Roman"/>
          <w:color w:val="FF0000"/>
          <w:sz w:val="24"/>
          <w:szCs w:val="24"/>
        </w:rPr>
      </w:pPr>
    </w:p>
    <w:p w:rsidR="00134B51" w:rsidRPr="00E13E5C" w:rsidRDefault="00134B51" w:rsidP="00134B51">
      <w:pPr>
        <w:tabs>
          <w:tab w:val="num" w:pos="709"/>
        </w:tabs>
        <w:spacing w:after="0" w:line="240" w:lineRule="auto"/>
        <w:jc w:val="both"/>
        <w:rPr>
          <w:rFonts w:ascii="Times New Roman" w:hAnsi="Times New Roman"/>
          <w:sz w:val="24"/>
          <w:szCs w:val="24"/>
        </w:rPr>
      </w:pPr>
      <w:r w:rsidRPr="006C0049">
        <w:rPr>
          <w:rFonts w:ascii="Times New Roman" w:hAnsi="Times New Roman"/>
          <w:color w:val="FF0000"/>
          <w:sz w:val="24"/>
          <w:szCs w:val="24"/>
        </w:rPr>
        <w:lastRenderedPageBreak/>
        <w:tab/>
      </w:r>
      <w:r w:rsidRPr="00E13E5C">
        <w:rPr>
          <w:rFonts w:ascii="Times New Roman" w:hAnsi="Times New Roman"/>
          <w:sz w:val="24"/>
          <w:szCs w:val="24"/>
        </w:rPr>
        <w:t xml:space="preserve">Predpokladá sa, že celkové výdavky na rozpočet osobitných účtov vplyvom stanoveného nového modelu zvýšenia </w:t>
      </w:r>
      <w:r w:rsidRPr="001A029A">
        <w:rPr>
          <w:rFonts w:ascii="Times New Roman" w:hAnsi="Times New Roman"/>
          <w:sz w:val="24"/>
          <w:szCs w:val="24"/>
        </w:rPr>
        <w:t>dôchodkových</w:t>
      </w:r>
      <w:r>
        <w:rPr>
          <w:rFonts w:ascii="Times New Roman" w:hAnsi="Times New Roman"/>
          <w:sz w:val="24"/>
          <w:szCs w:val="24"/>
        </w:rPr>
        <w:t xml:space="preserve"> </w:t>
      </w:r>
      <w:r w:rsidRPr="00E13E5C">
        <w:rPr>
          <w:rFonts w:ascii="Times New Roman" w:hAnsi="Times New Roman"/>
          <w:sz w:val="24"/>
          <w:szCs w:val="24"/>
        </w:rPr>
        <w:t>dávok výsluhového zabezpečenia budú v porovnaní so súčasným právnym stavom v roku 2019 nižšie o cca 1.153.606 eur, v roku 2020 o cca 1.905.623 eur</w:t>
      </w:r>
      <w:r w:rsidR="0007420A">
        <w:rPr>
          <w:rFonts w:ascii="Times New Roman" w:hAnsi="Times New Roman"/>
          <w:sz w:val="24"/>
          <w:szCs w:val="24"/>
        </w:rPr>
        <w:t xml:space="preserve"> a</w:t>
      </w:r>
      <w:r w:rsidRPr="00E13E5C">
        <w:rPr>
          <w:rFonts w:ascii="Times New Roman" w:hAnsi="Times New Roman"/>
          <w:sz w:val="24"/>
          <w:szCs w:val="24"/>
        </w:rPr>
        <w:t xml:space="preserve"> v roku 2021 o cca 1.472.653 eur</w:t>
      </w:r>
      <w:r>
        <w:rPr>
          <w:rFonts w:ascii="Times New Roman" w:hAnsi="Times New Roman"/>
          <w:sz w:val="24"/>
          <w:szCs w:val="24"/>
        </w:rPr>
        <w:t>.</w:t>
      </w:r>
    </w:p>
    <w:p w:rsidR="00134B51" w:rsidRDefault="00134B51" w:rsidP="00134B51">
      <w:pPr>
        <w:tabs>
          <w:tab w:val="num" w:pos="709"/>
        </w:tabs>
        <w:spacing w:after="0" w:line="240" w:lineRule="auto"/>
        <w:jc w:val="both"/>
        <w:rPr>
          <w:rFonts w:ascii="Times New Roman" w:hAnsi="Times New Roman"/>
          <w:sz w:val="24"/>
          <w:szCs w:val="24"/>
        </w:rPr>
      </w:pPr>
    </w:p>
    <w:p w:rsidR="00134B51" w:rsidRPr="00AE673A" w:rsidRDefault="00134B51" w:rsidP="00134B51">
      <w:pPr>
        <w:spacing w:after="0" w:line="240" w:lineRule="auto"/>
        <w:jc w:val="center"/>
        <w:rPr>
          <w:rFonts w:ascii="Times New Roman" w:hAnsi="Times New Roman"/>
          <w:sz w:val="20"/>
          <w:szCs w:val="20"/>
        </w:rPr>
      </w:pPr>
      <w:r>
        <w:rPr>
          <w:rFonts w:ascii="Times New Roman" w:hAnsi="Times New Roman"/>
          <w:sz w:val="20"/>
          <w:szCs w:val="20"/>
          <w:lang w:eastAsia="sk-SK"/>
        </w:rPr>
        <w:t xml:space="preserve">                                                                                                                                        </w:t>
      </w:r>
      <w:r w:rsidR="00AE673A">
        <w:rPr>
          <w:rFonts w:ascii="Times New Roman" w:hAnsi="Times New Roman"/>
          <w:sz w:val="20"/>
          <w:szCs w:val="20"/>
          <w:lang w:eastAsia="sk-SK"/>
        </w:rPr>
        <w:t xml:space="preserve">                  </w:t>
      </w:r>
      <w:r w:rsidRPr="00AE673A">
        <w:rPr>
          <w:rFonts w:ascii="Times New Roman" w:hAnsi="Times New Roman"/>
          <w:sz w:val="20"/>
          <w:szCs w:val="20"/>
          <w:lang w:eastAsia="sk-SK"/>
        </w:rPr>
        <w:t>Tabuľka č. 4</w:t>
      </w:r>
    </w:p>
    <w:tbl>
      <w:tblPr>
        <w:tblpPr w:leftFromText="141" w:rightFromText="141" w:vertAnchor="text" w:horzAnchor="page" w:tblpX="1547" w:tblpY="2"/>
        <w:tblW w:w="9284" w:type="dxa"/>
        <w:tblCellMar>
          <w:left w:w="70" w:type="dxa"/>
          <w:right w:w="70" w:type="dxa"/>
        </w:tblCellMar>
        <w:tblLook w:val="0000" w:firstRow="0" w:lastRow="0" w:firstColumn="0" w:lastColumn="0" w:noHBand="0" w:noVBand="0"/>
      </w:tblPr>
      <w:tblGrid>
        <w:gridCol w:w="3961"/>
        <w:gridCol w:w="1093"/>
        <w:gridCol w:w="970"/>
        <w:gridCol w:w="992"/>
        <w:gridCol w:w="870"/>
        <w:gridCol w:w="10"/>
        <w:gridCol w:w="1388"/>
      </w:tblGrid>
      <w:tr w:rsidR="00134B51" w:rsidRPr="007D5748" w:rsidTr="00AE673A">
        <w:trPr>
          <w:cantSplit/>
          <w:trHeight w:val="255"/>
        </w:trPr>
        <w:tc>
          <w:tcPr>
            <w:tcW w:w="3961"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134B51" w:rsidRPr="007D5748" w:rsidRDefault="00134B51" w:rsidP="00AE673A">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w:t>
            </w:r>
            <w:r>
              <w:rPr>
                <w:rFonts w:ascii="Times New Roman" w:hAnsi="Times New Roman"/>
                <w:b/>
                <w:bCs/>
                <w:sz w:val="20"/>
                <w:szCs w:val="20"/>
                <w:lang w:eastAsia="sk-SK"/>
              </w:rPr>
              <w:t xml:space="preserve"> útvarov sociálneho zabezpečenia a Vojenského úradu sociálneho zabezpečenia                 </w:t>
            </w:r>
            <w:r w:rsidRPr="007D5748">
              <w:rPr>
                <w:rFonts w:ascii="Times New Roman" w:hAnsi="Times New Roman"/>
                <w:b/>
                <w:bCs/>
                <w:sz w:val="20"/>
                <w:szCs w:val="20"/>
                <w:lang w:eastAsia="sk-SK"/>
              </w:rPr>
              <w:t xml:space="preserve"> (v eurách)</w:t>
            </w:r>
          </w:p>
        </w:tc>
        <w:tc>
          <w:tcPr>
            <w:tcW w:w="3935" w:type="dxa"/>
            <w:gridSpan w:val="5"/>
            <w:tcBorders>
              <w:top w:val="single" w:sz="4" w:space="0" w:color="auto"/>
              <w:left w:val="nil"/>
              <w:bottom w:val="single" w:sz="4" w:space="0" w:color="auto"/>
              <w:right w:val="single" w:sz="4" w:space="0" w:color="auto"/>
            </w:tcBorders>
            <w:shd w:val="clear" w:color="auto" w:fill="BFBFBF"/>
          </w:tcPr>
          <w:p w:rsidR="00134B51" w:rsidRPr="007D5748" w:rsidRDefault="00134B51" w:rsidP="00AE673A">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r>
              <w:rPr>
                <w:rFonts w:ascii="Times New Roman" w:hAnsi="Times New Roman"/>
                <w:b/>
                <w:bCs/>
                <w:sz w:val="20"/>
                <w:szCs w:val="20"/>
                <w:lang w:eastAsia="sk-SK"/>
              </w:rPr>
              <w:t xml:space="preserve"> (cash= ESA2010)</w:t>
            </w:r>
          </w:p>
        </w:tc>
        <w:tc>
          <w:tcPr>
            <w:tcW w:w="1388"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134B51" w:rsidRPr="00E14014" w:rsidRDefault="00134B51" w:rsidP="00AE673A">
            <w:pPr>
              <w:spacing w:after="0" w:line="240" w:lineRule="auto"/>
              <w:ind w:left="19"/>
              <w:jc w:val="center"/>
              <w:rPr>
                <w:rFonts w:ascii="Times New Roman" w:hAnsi="Times New Roman"/>
                <w:bCs/>
                <w:sz w:val="24"/>
                <w:szCs w:val="24"/>
                <w:lang w:eastAsia="sk-SK"/>
              </w:rPr>
            </w:pPr>
            <w:r w:rsidRPr="00E14014">
              <w:rPr>
                <w:rFonts w:ascii="Times New Roman" w:hAnsi="Times New Roman"/>
                <w:bCs/>
                <w:sz w:val="24"/>
                <w:szCs w:val="24"/>
                <w:lang w:eastAsia="sk-SK"/>
              </w:rPr>
              <w:t>poznámka</w:t>
            </w:r>
          </w:p>
        </w:tc>
      </w:tr>
      <w:tr w:rsidR="00134B51" w:rsidRPr="007D5748" w:rsidTr="00AE673A">
        <w:trPr>
          <w:cantSplit/>
          <w:trHeight w:val="255"/>
        </w:trPr>
        <w:tc>
          <w:tcPr>
            <w:tcW w:w="3961" w:type="dxa"/>
            <w:vMerge/>
            <w:tcBorders>
              <w:top w:val="single" w:sz="4" w:space="0" w:color="auto"/>
              <w:left w:val="single" w:sz="4" w:space="0" w:color="auto"/>
              <w:bottom w:val="single" w:sz="4" w:space="0" w:color="000000"/>
              <w:right w:val="single" w:sz="4" w:space="0" w:color="auto"/>
            </w:tcBorders>
            <w:vAlign w:val="center"/>
          </w:tcPr>
          <w:p w:rsidR="00134B51" w:rsidRPr="007D5748" w:rsidRDefault="00134B51" w:rsidP="00AE673A">
            <w:pPr>
              <w:spacing w:after="0" w:line="240" w:lineRule="auto"/>
              <w:rPr>
                <w:rFonts w:ascii="Times New Roman" w:hAnsi="Times New Roman"/>
                <w:b/>
                <w:bCs/>
                <w:color w:val="FFFFFF"/>
                <w:sz w:val="20"/>
                <w:szCs w:val="20"/>
                <w:lang w:eastAsia="sk-SK"/>
              </w:rPr>
            </w:pPr>
          </w:p>
        </w:tc>
        <w:tc>
          <w:tcPr>
            <w:tcW w:w="1093" w:type="dxa"/>
            <w:tcBorders>
              <w:top w:val="nil"/>
              <w:left w:val="nil"/>
              <w:bottom w:val="single" w:sz="4" w:space="0" w:color="auto"/>
              <w:right w:val="single" w:sz="4" w:space="0" w:color="auto"/>
            </w:tcBorders>
            <w:shd w:val="clear" w:color="auto" w:fill="BFBFBF"/>
            <w:vAlign w:val="center"/>
          </w:tcPr>
          <w:p w:rsidR="00134B51" w:rsidRPr="005C617E" w:rsidRDefault="00134B51" w:rsidP="00AE673A">
            <w:pPr>
              <w:spacing w:after="0" w:line="240" w:lineRule="auto"/>
              <w:jc w:val="center"/>
              <w:rPr>
                <w:rFonts w:ascii="Arial Narrow" w:hAnsi="Arial Narrow"/>
                <w:b/>
                <w:bCs/>
                <w:color w:val="000000"/>
                <w:sz w:val="20"/>
                <w:szCs w:val="20"/>
                <w:lang w:eastAsia="sk-SK"/>
              </w:rPr>
            </w:pPr>
            <w:r>
              <w:rPr>
                <w:rFonts w:ascii="Arial Narrow" w:hAnsi="Arial Narrow"/>
                <w:b/>
                <w:bCs/>
                <w:color w:val="000000"/>
                <w:sz w:val="20"/>
                <w:szCs w:val="20"/>
                <w:lang w:eastAsia="sk-SK"/>
              </w:rPr>
              <w:t>2019</w:t>
            </w:r>
          </w:p>
        </w:tc>
        <w:tc>
          <w:tcPr>
            <w:tcW w:w="970" w:type="dxa"/>
            <w:tcBorders>
              <w:top w:val="nil"/>
              <w:left w:val="nil"/>
              <w:bottom w:val="single" w:sz="4" w:space="0" w:color="auto"/>
              <w:right w:val="single" w:sz="4" w:space="0" w:color="auto"/>
            </w:tcBorders>
            <w:shd w:val="clear" w:color="auto" w:fill="BFBFBF"/>
            <w:vAlign w:val="center"/>
          </w:tcPr>
          <w:p w:rsidR="00134B51" w:rsidRPr="005C617E" w:rsidRDefault="00134B51" w:rsidP="00AE673A">
            <w:pPr>
              <w:spacing w:after="0" w:line="240" w:lineRule="auto"/>
              <w:jc w:val="center"/>
              <w:rPr>
                <w:rFonts w:ascii="Arial Narrow" w:hAnsi="Arial Narrow"/>
                <w:b/>
                <w:bCs/>
                <w:color w:val="000000"/>
                <w:sz w:val="20"/>
                <w:szCs w:val="20"/>
                <w:lang w:eastAsia="sk-SK"/>
              </w:rPr>
            </w:pPr>
            <w:r>
              <w:rPr>
                <w:rFonts w:ascii="Arial Narrow" w:hAnsi="Arial Narrow"/>
                <w:b/>
                <w:bCs/>
                <w:color w:val="000000"/>
                <w:sz w:val="20"/>
                <w:szCs w:val="20"/>
                <w:lang w:eastAsia="sk-SK"/>
              </w:rPr>
              <w:t>2020</w:t>
            </w:r>
          </w:p>
        </w:tc>
        <w:tc>
          <w:tcPr>
            <w:tcW w:w="992" w:type="dxa"/>
            <w:tcBorders>
              <w:top w:val="nil"/>
              <w:left w:val="nil"/>
              <w:bottom w:val="single" w:sz="4" w:space="0" w:color="auto"/>
              <w:right w:val="single" w:sz="4" w:space="0" w:color="auto"/>
            </w:tcBorders>
            <w:shd w:val="clear" w:color="auto" w:fill="BFBFBF"/>
            <w:vAlign w:val="center"/>
          </w:tcPr>
          <w:p w:rsidR="00134B51" w:rsidRPr="005C617E" w:rsidRDefault="00134B51" w:rsidP="00AE673A">
            <w:pPr>
              <w:spacing w:after="0" w:line="240" w:lineRule="auto"/>
              <w:jc w:val="center"/>
              <w:rPr>
                <w:rFonts w:ascii="Arial Narrow" w:hAnsi="Arial Narrow"/>
                <w:b/>
                <w:bCs/>
                <w:color w:val="000000"/>
                <w:sz w:val="20"/>
                <w:szCs w:val="20"/>
                <w:lang w:eastAsia="sk-SK"/>
              </w:rPr>
            </w:pPr>
            <w:r>
              <w:rPr>
                <w:rFonts w:ascii="Arial Narrow" w:hAnsi="Arial Narrow"/>
                <w:b/>
                <w:bCs/>
                <w:color w:val="000000"/>
                <w:sz w:val="20"/>
                <w:szCs w:val="20"/>
                <w:lang w:eastAsia="sk-SK"/>
              </w:rPr>
              <w:t>2021</w:t>
            </w:r>
          </w:p>
        </w:tc>
        <w:tc>
          <w:tcPr>
            <w:tcW w:w="870" w:type="dxa"/>
            <w:tcBorders>
              <w:top w:val="nil"/>
              <w:left w:val="nil"/>
              <w:bottom w:val="single" w:sz="4" w:space="0" w:color="auto"/>
              <w:right w:val="single" w:sz="4" w:space="0" w:color="auto"/>
            </w:tcBorders>
            <w:shd w:val="clear" w:color="auto" w:fill="BFBFBF"/>
            <w:vAlign w:val="center"/>
          </w:tcPr>
          <w:p w:rsidR="00134B51" w:rsidRPr="006C2381" w:rsidRDefault="00134B51" w:rsidP="00AE673A">
            <w:pPr>
              <w:spacing w:after="0" w:line="240" w:lineRule="auto"/>
              <w:jc w:val="center"/>
              <w:rPr>
                <w:rFonts w:ascii="Arial Narrow" w:hAnsi="Arial Narrow"/>
                <w:b/>
                <w:bCs/>
                <w:color w:val="000000"/>
                <w:sz w:val="20"/>
                <w:szCs w:val="20"/>
                <w:highlight w:val="yellow"/>
                <w:lang w:eastAsia="sk-SK"/>
              </w:rPr>
            </w:pPr>
            <w:r w:rsidRPr="006C2381">
              <w:rPr>
                <w:rFonts w:ascii="Arial Narrow" w:hAnsi="Arial Narrow"/>
                <w:b/>
                <w:bCs/>
                <w:color w:val="000000"/>
                <w:sz w:val="20"/>
                <w:szCs w:val="20"/>
                <w:lang w:eastAsia="sk-SK"/>
              </w:rPr>
              <w:t>2022</w:t>
            </w:r>
          </w:p>
        </w:tc>
        <w:tc>
          <w:tcPr>
            <w:tcW w:w="1398" w:type="dxa"/>
            <w:gridSpan w:val="2"/>
            <w:tcBorders>
              <w:top w:val="single" w:sz="4" w:space="0" w:color="auto"/>
              <w:left w:val="single" w:sz="4" w:space="0" w:color="auto"/>
              <w:bottom w:val="single" w:sz="4" w:space="0" w:color="auto"/>
              <w:right w:val="single" w:sz="4" w:space="0" w:color="auto"/>
            </w:tcBorders>
            <w:vAlign w:val="center"/>
          </w:tcPr>
          <w:p w:rsidR="00134B51" w:rsidRPr="007D5748" w:rsidRDefault="00134B51" w:rsidP="00AE673A">
            <w:pPr>
              <w:spacing w:after="0" w:line="240" w:lineRule="auto"/>
              <w:rPr>
                <w:rFonts w:ascii="Times New Roman" w:hAnsi="Times New Roman"/>
                <w:b/>
                <w:bCs/>
                <w:color w:val="FFFFFF"/>
                <w:sz w:val="24"/>
                <w:szCs w:val="24"/>
                <w:lang w:eastAsia="sk-SK"/>
              </w:rPr>
            </w:pPr>
          </w:p>
        </w:tc>
      </w:tr>
      <w:tr w:rsidR="00134B51" w:rsidRPr="007D5748" w:rsidTr="00AE673A">
        <w:trPr>
          <w:trHeight w:val="255"/>
        </w:trPr>
        <w:tc>
          <w:tcPr>
            <w:tcW w:w="3961" w:type="dxa"/>
            <w:tcBorders>
              <w:top w:val="nil"/>
              <w:left w:val="single" w:sz="4" w:space="0" w:color="auto"/>
              <w:bottom w:val="single" w:sz="4" w:space="0" w:color="auto"/>
              <w:right w:val="single" w:sz="4" w:space="0" w:color="auto"/>
            </w:tcBorders>
          </w:tcPr>
          <w:p w:rsidR="00134B51" w:rsidRPr="007D5748" w:rsidRDefault="00134B51" w:rsidP="00AE673A">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093" w:type="dxa"/>
            <w:tcBorders>
              <w:top w:val="nil"/>
              <w:left w:val="nil"/>
              <w:bottom w:val="single" w:sz="4" w:space="0" w:color="auto"/>
              <w:right w:val="single" w:sz="4" w:space="0" w:color="auto"/>
            </w:tcBorders>
            <w:vAlign w:val="bottom"/>
          </w:tcPr>
          <w:p w:rsidR="00134B51" w:rsidRPr="00983FC5" w:rsidRDefault="00134B51" w:rsidP="00AE673A">
            <w:pPr>
              <w:spacing w:after="0" w:line="240" w:lineRule="auto"/>
              <w:jc w:val="right"/>
              <w:rPr>
                <w:rFonts w:ascii="Arial Narrow" w:hAnsi="Arial Narrow"/>
                <w:b/>
                <w:sz w:val="20"/>
                <w:szCs w:val="20"/>
              </w:rPr>
            </w:pPr>
            <w:r w:rsidRPr="00983FC5">
              <w:rPr>
                <w:rFonts w:ascii="Arial Narrow" w:hAnsi="Arial Narrow"/>
                <w:b/>
                <w:sz w:val="20"/>
                <w:szCs w:val="20"/>
              </w:rPr>
              <w:t xml:space="preserve">-1.153.606 </w:t>
            </w:r>
          </w:p>
        </w:tc>
        <w:tc>
          <w:tcPr>
            <w:tcW w:w="970" w:type="dxa"/>
            <w:tcBorders>
              <w:top w:val="nil"/>
              <w:left w:val="nil"/>
              <w:bottom w:val="single" w:sz="4" w:space="0" w:color="auto"/>
              <w:right w:val="single" w:sz="4" w:space="0" w:color="auto"/>
            </w:tcBorders>
            <w:vAlign w:val="bottom"/>
          </w:tcPr>
          <w:p w:rsidR="00134B51" w:rsidRPr="00983FC5" w:rsidRDefault="00134B51" w:rsidP="00AE673A">
            <w:pPr>
              <w:spacing w:after="0" w:line="240" w:lineRule="auto"/>
              <w:jc w:val="right"/>
              <w:rPr>
                <w:rFonts w:ascii="Arial Narrow" w:hAnsi="Arial Narrow"/>
                <w:b/>
                <w:bCs/>
                <w:sz w:val="20"/>
                <w:szCs w:val="20"/>
              </w:rPr>
            </w:pPr>
            <w:r w:rsidRPr="00983FC5">
              <w:rPr>
                <w:rFonts w:ascii="Arial Narrow" w:hAnsi="Arial Narrow"/>
                <w:b/>
                <w:bCs/>
                <w:sz w:val="20"/>
                <w:szCs w:val="20"/>
              </w:rPr>
              <w:t xml:space="preserve">-1.905.623 </w:t>
            </w:r>
          </w:p>
        </w:tc>
        <w:tc>
          <w:tcPr>
            <w:tcW w:w="992" w:type="dxa"/>
            <w:tcBorders>
              <w:top w:val="nil"/>
              <w:left w:val="nil"/>
              <w:bottom w:val="single" w:sz="4" w:space="0" w:color="auto"/>
              <w:right w:val="single" w:sz="4" w:space="0" w:color="auto"/>
            </w:tcBorders>
            <w:vAlign w:val="bottom"/>
          </w:tcPr>
          <w:p w:rsidR="00134B51" w:rsidRPr="00983FC5" w:rsidRDefault="00134B51" w:rsidP="00AE673A">
            <w:pPr>
              <w:spacing w:after="0" w:line="240" w:lineRule="auto"/>
              <w:rPr>
                <w:rFonts w:ascii="Arial Narrow" w:hAnsi="Arial Narrow"/>
                <w:b/>
                <w:bCs/>
                <w:sz w:val="20"/>
                <w:szCs w:val="20"/>
              </w:rPr>
            </w:pPr>
            <w:r w:rsidRPr="00983FC5">
              <w:rPr>
                <w:rFonts w:ascii="Arial Narrow" w:hAnsi="Arial Narrow"/>
                <w:b/>
                <w:bCs/>
                <w:sz w:val="20"/>
                <w:szCs w:val="20"/>
              </w:rPr>
              <w:t xml:space="preserve">- 1.472.653 </w:t>
            </w:r>
          </w:p>
        </w:tc>
        <w:tc>
          <w:tcPr>
            <w:tcW w:w="870" w:type="dxa"/>
            <w:tcBorders>
              <w:top w:val="nil"/>
              <w:left w:val="nil"/>
              <w:bottom w:val="single" w:sz="4" w:space="0" w:color="auto"/>
              <w:right w:val="single" w:sz="4" w:space="0" w:color="auto"/>
            </w:tcBorders>
            <w:vAlign w:val="bottom"/>
          </w:tcPr>
          <w:p w:rsidR="00134B51" w:rsidRPr="006C2381" w:rsidRDefault="00134B51" w:rsidP="00AE673A">
            <w:pPr>
              <w:spacing w:after="0" w:line="240" w:lineRule="auto"/>
              <w:rPr>
                <w:rFonts w:ascii="Arial Narrow" w:hAnsi="Arial Narrow"/>
                <w:b/>
                <w:bCs/>
                <w:sz w:val="20"/>
                <w:szCs w:val="20"/>
              </w:rPr>
            </w:pPr>
            <w:r>
              <w:rPr>
                <w:rFonts w:ascii="Arial Narrow" w:hAnsi="Arial Narrow"/>
                <w:b/>
                <w:bCs/>
                <w:sz w:val="20"/>
                <w:szCs w:val="20"/>
              </w:rPr>
              <w:t xml:space="preserve">              </w:t>
            </w:r>
            <w:r w:rsidRPr="006C2381">
              <w:rPr>
                <w:rFonts w:ascii="Arial Narrow" w:hAnsi="Arial Narrow"/>
                <w:b/>
                <w:bCs/>
                <w:sz w:val="20"/>
                <w:szCs w:val="20"/>
              </w:rPr>
              <w:t>0</w:t>
            </w:r>
          </w:p>
        </w:tc>
        <w:tc>
          <w:tcPr>
            <w:tcW w:w="1398" w:type="dxa"/>
            <w:gridSpan w:val="2"/>
            <w:tcBorders>
              <w:top w:val="nil"/>
              <w:left w:val="nil"/>
              <w:bottom w:val="single" w:sz="4" w:space="0" w:color="auto"/>
              <w:right w:val="single" w:sz="4" w:space="0" w:color="auto"/>
            </w:tcBorders>
            <w:noWrap/>
            <w:vAlign w:val="bottom"/>
          </w:tcPr>
          <w:p w:rsidR="00134B51" w:rsidRPr="007D5748" w:rsidRDefault="00134B51" w:rsidP="00AE673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3961" w:type="dxa"/>
            <w:tcBorders>
              <w:top w:val="nil"/>
              <w:left w:val="single" w:sz="4" w:space="0" w:color="auto"/>
              <w:bottom w:val="single" w:sz="4" w:space="0" w:color="auto"/>
              <w:right w:val="single" w:sz="4" w:space="0" w:color="auto"/>
            </w:tcBorders>
          </w:tcPr>
          <w:p w:rsidR="00134B51" w:rsidRPr="007D5748" w:rsidRDefault="00134B51" w:rsidP="00AE673A">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093"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970"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992"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870" w:type="dxa"/>
            <w:tcBorders>
              <w:top w:val="nil"/>
              <w:left w:val="nil"/>
              <w:bottom w:val="single" w:sz="4" w:space="0" w:color="auto"/>
              <w:right w:val="single" w:sz="4" w:space="0" w:color="auto"/>
            </w:tcBorders>
            <w:vAlign w:val="center"/>
          </w:tcPr>
          <w:p w:rsidR="00134B51" w:rsidRPr="006C2381" w:rsidRDefault="00134B51" w:rsidP="00AE673A">
            <w:pPr>
              <w:spacing w:after="0" w:line="240" w:lineRule="auto"/>
              <w:jc w:val="right"/>
              <w:rPr>
                <w:rFonts w:ascii="Arial Narrow" w:hAnsi="Arial Narrow"/>
                <w:sz w:val="20"/>
                <w:szCs w:val="20"/>
                <w:lang w:eastAsia="sk-SK"/>
              </w:rPr>
            </w:pPr>
            <w:r w:rsidRPr="006C2381">
              <w:rPr>
                <w:rFonts w:ascii="Arial Narrow" w:hAnsi="Arial Narrow"/>
                <w:sz w:val="20"/>
                <w:szCs w:val="20"/>
                <w:lang w:eastAsia="sk-SK"/>
              </w:rPr>
              <w:t>0</w:t>
            </w:r>
          </w:p>
        </w:tc>
        <w:tc>
          <w:tcPr>
            <w:tcW w:w="1398" w:type="dxa"/>
            <w:gridSpan w:val="2"/>
            <w:tcBorders>
              <w:top w:val="nil"/>
              <w:left w:val="nil"/>
              <w:bottom w:val="single" w:sz="4" w:space="0" w:color="auto"/>
              <w:right w:val="single" w:sz="4" w:space="0" w:color="auto"/>
            </w:tcBorders>
            <w:noWrap/>
            <w:vAlign w:val="bottom"/>
          </w:tcPr>
          <w:p w:rsidR="00134B51" w:rsidRPr="007D5748" w:rsidRDefault="00134B51" w:rsidP="00AE673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3961" w:type="dxa"/>
            <w:tcBorders>
              <w:top w:val="nil"/>
              <w:left w:val="single" w:sz="4" w:space="0" w:color="auto"/>
              <w:bottom w:val="single" w:sz="4" w:space="0" w:color="auto"/>
              <w:right w:val="single" w:sz="4" w:space="0" w:color="auto"/>
            </w:tcBorders>
          </w:tcPr>
          <w:p w:rsidR="00134B51" w:rsidRPr="007D5748" w:rsidRDefault="00134B51" w:rsidP="00AE673A">
            <w:pPr>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093"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970"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992"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870" w:type="dxa"/>
            <w:tcBorders>
              <w:top w:val="nil"/>
              <w:left w:val="nil"/>
              <w:bottom w:val="single" w:sz="4" w:space="0" w:color="auto"/>
              <w:right w:val="single" w:sz="4" w:space="0" w:color="auto"/>
            </w:tcBorders>
            <w:vAlign w:val="center"/>
          </w:tcPr>
          <w:p w:rsidR="00134B51" w:rsidRPr="006C2381" w:rsidRDefault="00134B51" w:rsidP="00AE673A">
            <w:pPr>
              <w:spacing w:after="0" w:line="240" w:lineRule="auto"/>
              <w:jc w:val="right"/>
              <w:rPr>
                <w:rFonts w:ascii="Arial Narrow" w:hAnsi="Arial Narrow"/>
                <w:sz w:val="20"/>
                <w:szCs w:val="20"/>
                <w:lang w:eastAsia="sk-SK"/>
              </w:rPr>
            </w:pPr>
            <w:r w:rsidRPr="006C2381">
              <w:rPr>
                <w:rFonts w:ascii="Arial Narrow" w:hAnsi="Arial Narrow"/>
                <w:sz w:val="20"/>
                <w:szCs w:val="20"/>
                <w:lang w:eastAsia="sk-SK"/>
              </w:rPr>
              <w:t>0</w:t>
            </w:r>
          </w:p>
        </w:tc>
        <w:tc>
          <w:tcPr>
            <w:tcW w:w="1398" w:type="dxa"/>
            <w:gridSpan w:val="2"/>
            <w:tcBorders>
              <w:top w:val="nil"/>
              <w:left w:val="nil"/>
              <w:bottom w:val="single" w:sz="4" w:space="0" w:color="auto"/>
              <w:right w:val="single" w:sz="4" w:space="0" w:color="auto"/>
            </w:tcBorders>
            <w:noWrap/>
            <w:vAlign w:val="bottom"/>
          </w:tcPr>
          <w:p w:rsidR="00134B51" w:rsidRPr="007D5748" w:rsidRDefault="00134B51" w:rsidP="00AE673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3961" w:type="dxa"/>
            <w:tcBorders>
              <w:top w:val="nil"/>
              <w:left w:val="single" w:sz="4" w:space="0" w:color="auto"/>
              <w:bottom w:val="single" w:sz="4" w:space="0" w:color="auto"/>
              <w:right w:val="single" w:sz="4" w:space="0" w:color="auto"/>
            </w:tcBorders>
          </w:tcPr>
          <w:p w:rsidR="00134B51" w:rsidRPr="007D5748" w:rsidRDefault="00134B51" w:rsidP="00AE673A">
            <w:pPr>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p>
        </w:tc>
        <w:tc>
          <w:tcPr>
            <w:tcW w:w="1093"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970"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992"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870" w:type="dxa"/>
            <w:tcBorders>
              <w:top w:val="nil"/>
              <w:left w:val="nil"/>
              <w:bottom w:val="single" w:sz="4" w:space="0" w:color="auto"/>
              <w:right w:val="single" w:sz="4" w:space="0" w:color="auto"/>
            </w:tcBorders>
            <w:vAlign w:val="center"/>
          </w:tcPr>
          <w:p w:rsidR="00134B51" w:rsidRPr="006C2381" w:rsidRDefault="00134B51" w:rsidP="00AE673A">
            <w:pPr>
              <w:spacing w:after="0" w:line="240" w:lineRule="auto"/>
              <w:jc w:val="right"/>
              <w:rPr>
                <w:rFonts w:ascii="Arial Narrow" w:hAnsi="Arial Narrow"/>
                <w:sz w:val="20"/>
                <w:szCs w:val="20"/>
                <w:lang w:eastAsia="sk-SK"/>
              </w:rPr>
            </w:pPr>
            <w:r w:rsidRPr="006C2381">
              <w:rPr>
                <w:rFonts w:ascii="Arial Narrow" w:hAnsi="Arial Narrow"/>
                <w:sz w:val="20"/>
                <w:szCs w:val="20"/>
                <w:lang w:eastAsia="sk-SK"/>
              </w:rPr>
              <w:t>0</w:t>
            </w:r>
          </w:p>
        </w:tc>
        <w:tc>
          <w:tcPr>
            <w:tcW w:w="1398" w:type="dxa"/>
            <w:gridSpan w:val="2"/>
            <w:tcBorders>
              <w:top w:val="nil"/>
              <w:left w:val="nil"/>
              <w:bottom w:val="single" w:sz="4" w:space="0" w:color="auto"/>
              <w:right w:val="single" w:sz="4" w:space="0" w:color="auto"/>
            </w:tcBorders>
            <w:noWrap/>
            <w:vAlign w:val="bottom"/>
          </w:tcPr>
          <w:p w:rsidR="00134B51" w:rsidRPr="007D5748" w:rsidRDefault="00134B51" w:rsidP="00AE673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3961" w:type="dxa"/>
            <w:tcBorders>
              <w:top w:val="nil"/>
              <w:left w:val="single" w:sz="4" w:space="0" w:color="auto"/>
              <w:bottom w:val="single" w:sz="4" w:space="0" w:color="auto"/>
              <w:right w:val="single" w:sz="4" w:space="0" w:color="auto"/>
            </w:tcBorders>
          </w:tcPr>
          <w:p w:rsidR="00134B51" w:rsidRPr="002E3848" w:rsidRDefault="00134B51" w:rsidP="00AE673A">
            <w:pPr>
              <w:spacing w:after="0" w:line="240" w:lineRule="auto"/>
              <w:rPr>
                <w:rFonts w:ascii="Times New Roman" w:hAnsi="Times New Roman"/>
                <w:sz w:val="20"/>
                <w:szCs w:val="20"/>
                <w:lang w:eastAsia="sk-SK"/>
              </w:rPr>
            </w:pPr>
            <w:r w:rsidRPr="002E3848">
              <w:rPr>
                <w:rFonts w:ascii="Times New Roman" w:hAnsi="Times New Roman"/>
                <w:sz w:val="20"/>
                <w:szCs w:val="20"/>
                <w:lang w:eastAsia="sk-SK"/>
              </w:rPr>
              <w:t xml:space="preserve">  Bežné transfery (640)</w:t>
            </w:r>
          </w:p>
        </w:tc>
        <w:tc>
          <w:tcPr>
            <w:tcW w:w="1093" w:type="dxa"/>
            <w:tcBorders>
              <w:top w:val="nil"/>
              <w:left w:val="nil"/>
              <w:bottom w:val="single" w:sz="4" w:space="0" w:color="auto"/>
              <w:right w:val="single" w:sz="4" w:space="0" w:color="auto"/>
            </w:tcBorders>
            <w:vAlign w:val="bottom"/>
          </w:tcPr>
          <w:p w:rsidR="00134B51" w:rsidRPr="00983FC5" w:rsidRDefault="00134B51" w:rsidP="00AE673A">
            <w:pPr>
              <w:spacing w:after="0" w:line="240" w:lineRule="auto"/>
              <w:jc w:val="right"/>
              <w:rPr>
                <w:rFonts w:ascii="Arial Narrow" w:hAnsi="Arial Narrow"/>
                <w:b/>
                <w:sz w:val="20"/>
                <w:szCs w:val="20"/>
              </w:rPr>
            </w:pPr>
            <w:r w:rsidRPr="00983FC5">
              <w:rPr>
                <w:rFonts w:ascii="Arial Narrow" w:hAnsi="Arial Narrow"/>
                <w:b/>
                <w:sz w:val="20"/>
                <w:szCs w:val="20"/>
              </w:rPr>
              <w:t xml:space="preserve">-1.153.606 </w:t>
            </w:r>
          </w:p>
        </w:tc>
        <w:tc>
          <w:tcPr>
            <w:tcW w:w="970" w:type="dxa"/>
            <w:tcBorders>
              <w:top w:val="nil"/>
              <w:left w:val="nil"/>
              <w:bottom w:val="single" w:sz="4" w:space="0" w:color="auto"/>
              <w:right w:val="single" w:sz="4" w:space="0" w:color="auto"/>
            </w:tcBorders>
            <w:vAlign w:val="bottom"/>
          </w:tcPr>
          <w:p w:rsidR="00134B51" w:rsidRPr="00983FC5" w:rsidRDefault="00134B51" w:rsidP="00AE673A">
            <w:pPr>
              <w:spacing w:after="0" w:line="240" w:lineRule="auto"/>
              <w:jc w:val="right"/>
              <w:rPr>
                <w:rFonts w:ascii="Arial Narrow" w:hAnsi="Arial Narrow"/>
                <w:b/>
                <w:bCs/>
                <w:sz w:val="20"/>
                <w:szCs w:val="20"/>
              </w:rPr>
            </w:pPr>
            <w:r w:rsidRPr="00983FC5">
              <w:rPr>
                <w:rFonts w:ascii="Arial Narrow" w:hAnsi="Arial Narrow"/>
                <w:b/>
                <w:bCs/>
                <w:sz w:val="20"/>
                <w:szCs w:val="20"/>
              </w:rPr>
              <w:t xml:space="preserve">-1.905.623 </w:t>
            </w:r>
          </w:p>
        </w:tc>
        <w:tc>
          <w:tcPr>
            <w:tcW w:w="992" w:type="dxa"/>
            <w:tcBorders>
              <w:top w:val="nil"/>
              <w:left w:val="nil"/>
              <w:bottom w:val="single" w:sz="4" w:space="0" w:color="auto"/>
              <w:right w:val="single" w:sz="4" w:space="0" w:color="auto"/>
            </w:tcBorders>
            <w:vAlign w:val="bottom"/>
          </w:tcPr>
          <w:p w:rsidR="00134B51" w:rsidRPr="00983FC5" w:rsidRDefault="00134B51" w:rsidP="00AE673A">
            <w:pPr>
              <w:spacing w:after="0" w:line="240" w:lineRule="auto"/>
              <w:rPr>
                <w:rFonts w:ascii="Arial Narrow" w:hAnsi="Arial Narrow"/>
                <w:b/>
                <w:bCs/>
                <w:sz w:val="20"/>
                <w:szCs w:val="20"/>
              </w:rPr>
            </w:pPr>
            <w:r w:rsidRPr="00983FC5">
              <w:rPr>
                <w:rFonts w:ascii="Arial Narrow" w:hAnsi="Arial Narrow"/>
                <w:b/>
                <w:bCs/>
                <w:sz w:val="20"/>
                <w:szCs w:val="20"/>
              </w:rPr>
              <w:t xml:space="preserve">- 1.472.653 </w:t>
            </w:r>
          </w:p>
        </w:tc>
        <w:tc>
          <w:tcPr>
            <w:tcW w:w="870" w:type="dxa"/>
            <w:tcBorders>
              <w:top w:val="nil"/>
              <w:left w:val="nil"/>
              <w:bottom w:val="single" w:sz="4" w:space="0" w:color="auto"/>
              <w:right w:val="single" w:sz="4" w:space="0" w:color="auto"/>
            </w:tcBorders>
            <w:vAlign w:val="bottom"/>
          </w:tcPr>
          <w:p w:rsidR="00134B51" w:rsidRPr="006C2381" w:rsidRDefault="00134B51" w:rsidP="00AE673A">
            <w:pPr>
              <w:spacing w:after="0" w:line="240" w:lineRule="auto"/>
              <w:rPr>
                <w:rFonts w:ascii="Arial Narrow" w:hAnsi="Arial Narrow"/>
                <w:b/>
                <w:bCs/>
                <w:sz w:val="20"/>
                <w:szCs w:val="20"/>
              </w:rPr>
            </w:pPr>
            <w:r>
              <w:rPr>
                <w:rFonts w:ascii="Arial Narrow" w:hAnsi="Arial Narrow"/>
                <w:b/>
                <w:bCs/>
                <w:sz w:val="20"/>
                <w:szCs w:val="20"/>
              </w:rPr>
              <w:t xml:space="preserve">              </w:t>
            </w:r>
            <w:r w:rsidRPr="006C2381">
              <w:rPr>
                <w:rFonts w:ascii="Arial Narrow" w:hAnsi="Arial Narrow"/>
                <w:b/>
                <w:bCs/>
                <w:sz w:val="20"/>
                <w:szCs w:val="20"/>
              </w:rPr>
              <w:t>0</w:t>
            </w:r>
          </w:p>
        </w:tc>
        <w:tc>
          <w:tcPr>
            <w:tcW w:w="1398" w:type="dxa"/>
            <w:gridSpan w:val="2"/>
            <w:tcBorders>
              <w:top w:val="nil"/>
              <w:left w:val="nil"/>
              <w:bottom w:val="single" w:sz="4" w:space="0" w:color="auto"/>
              <w:right w:val="single" w:sz="4" w:space="0" w:color="auto"/>
            </w:tcBorders>
            <w:noWrap/>
            <w:vAlign w:val="bottom"/>
          </w:tcPr>
          <w:p w:rsidR="00134B51" w:rsidRPr="00375E19" w:rsidRDefault="00134B51" w:rsidP="00AE673A">
            <w:pPr>
              <w:spacing w:after="0" w:line="240" w:lineRule="auto"/>
              <w:rPr>
                <w:rFonts w:ascii="Times New Roman" w:hAnsi="Times New Roman"/>
                <w:color w:val="FF0000"/>
                <w:sz w:val="24"/>
                <w:szCs w:val="24"/>
                <w:lang w:eastAsia="sk-SK"/>
              </w:rPr>
            </w:pPr>
            <w:r w:rsidRPr="00375E19">
              <w:rPr>
                <w:rFonts w:ascii="Times New Roman" w:hAnsi="Times New Roman"/>
                <w:color w:val="FF0000"/>
                <w:sz w:val="24"/>
                <w:szCs w:val="24"/>
                <w:lang w:eastAsia="sk-SK"/>
              </w:rPr>
              <w:t> </w:t>
            </w:r>
          </w:p>
        </w:tc>
      </w:tr>
      <w:tr w:rsidR="00134B51" w:rsidRPr="007D5748" w:rsidTr="00AE673A">
        <w:trPr>
          <w:trHeight w:val="255"/>
        </w:trPr>
        <w:tc>
          <w:tcPr>
            <w:tcW w:w="3961" w:type="dxa"/>
            <w:tcBorders>
              <w:top w:val="nil"/>
              <w:left w:val="single" w:sz="4" w:space="0" w:color="auto"/>
              <w:bottom w:val="single" w:sz="4" w:space="0" w:color="auto"/>
              <w:right w:val="single" w:sz="4" w:space="0" w:color="auto"/>
            </w:tcBorders>
            <w:vAlign w:val="center"/>
          </w:tcPr>
          <w:p w:rsidR="00134B51" w:rsidRPr="007D5748" w:rsidRDefault="00134B51" w:rsidP="00AE673A">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t xml:space="preserve"> </w:t>
            </w:r>
            <w:r w:rsidRP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p>
        </w:tc>
        <w:tc>
          <w:tcPr>
            <w:tcW w:w="1093"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970"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992"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870" w:type="dxa"/>
            <w:tcBorders>
              <w:top w:val="nil"/>
              <w:left w:val="nil"/>
              <w:bottom w:val="single" w:sz="4" w:space="0" w:color="auto"/>
              <w:right w:val="single" w:sz="4" w:space="0" w:color="auto"/>
            </w:tcBorders>
            <w:vAlign w:val="center"/>
          </w:tcPr>
          <w:p w:rsidR="00134B51" w:rsidRPr="006C2381" w:rsidRDefault="00134B51" w:rsidP="00AE673A">
            <w:pPr>
              <w:spacing w:after="0" w:line="240" w:lineRule="auto"/>
              <w:jc w:val="right"/>
              <w:rPr>
                <w:rFonts w:ascii="Arial Narrow" w:hAnsi="Arial Narrow"/>
                <w:sz w:val="20"/>
                <w:szCs w:val="20"/>
                <w:lang w:eastAsia="sk-SK"/>
              </w:rPr>
            </w:pPr>
            <w:r w:rsidRPr="006C2381">
              <w:rPr>
                <w:rFonts w:ascii="Arial Narrow" w:hAnsi="Arial Narrow"/>
                <w:sz w:val="20"/>
                <w:szCs w:val="20"/>
                <w:lang w:eastAsia="sk-SK"/>
              </w:rPr>
              <w:t>0</w:t>
            </w:r>
          </w:p>
        </w:tc>
        <w:tc>
          <w:tcPr>
            <w:tcW w:w="1398" w:type="dxa"/>
            <w:gridSpan w:val="2"/>
            <w:tcBorders>
              <w:top w:val="nil"/>
              <w:left w:val="nil"/>
              <w:bottom w:val="single" w:sz="4" w:space="0" w:color="auto"/>
              <w:right w:val="single" w:sz="4" w:space="0" w:color="auto"/>
            </w:tcBorders>
            <w:noWrap/>
            <w:vAlign w:val="bottom"/>
          </w:tcPr>
          <w:p w:rsidR="00134B51" w:rsidRPr="007D5748" w:rsidRDefault="00134B51" w:rsidP="00AE673A">
            <w:pPr>
              <w:spacing w:after="0" w:line="240" w:lineRule="auto"/>
              <w:rPr>
                <w:rFonts w:ascii="Times New Roman" w:hAnsi="Times New Roman"/>
                <w:sz w:val="24"/>
                <w:szCs w:val="24"/>
                <w:lang w:eastAsia="sk-SK"/>
              </w:rPr>
            </w:pPr>
          </w:p>
        </w:tc>
      </w:tr>
      <w:tr w:rsidR="00134B51" w:rsidRPr="007D5748" w:rsidTr="00AE673A">
        <w:trPr>
          <w:trHeight w:val="255"/>
        </w:trPr>
        <w:tc>
          <w:tcPr>
            <w:tcW w:w="3961" w:type="dxa"/>
            <w:tcBorders>
              <w:top w:val="nil"/>
              <w:left w:val="single" w:sz="4" w:space="0" w:color="auto"/>
              <w:bottom w:val="single" w:sz="4" w:space="0" w:color="auto"/>
              <w:right w:val="single" w:sz="4" w:space="0" w:color="auto"/>
            </w:tcBorders>
            <w:vAlign w:val="center"/>
          </w:tcPr>
          <w:p w:rsidR="00134B51" w:rsidRPr="002E3848" w:rsidRDefault="00134B51" w:rsidP="00AE673A">
            <w:pPr>
              <w:spacing w:after="0" w:line="240" w:lineRule="auto"/>
              <w:rPr>
                <w:rFonts w:ascii="Times New Roman" w:hAnsi="Times New Roman"/>
                <w:sz w:val="20"/>
                <w:szCs w:val="20"/>
                <w:lang w:eastAsia="sk-SK"/>
              </w:rPr>
            </w:pPr>
            <w:r w:rsidRPr="002E3848">
              <w:rPr>
                <w:rFonts w:ascii="Times New Roman" w:hAnsi="Times New Roman"/>
                <w:sz w:val="20"/>
                <w:szCs w:val="20"/>
                <w:lang w:eastAsia="sk-SK"/>
              </w:rPr>
              <w:t>Transfery jednotlivcom a neziskovým právnickým osobám (642)</w:t>
            </w:r>
          </w:p>
        </w:tc>
        <w:tc>
          <w:tcPr>
            <w:tcW w:w="1093" w:type="dxa"/>
            <w:tcBorders>
              <w:top w:val="nil"/>
              <w:left w:val="nil"/>
              <w:bottom w:val="single" w:sz="4" w:space="0" w:color="auto"/>
              <w:right w:val="single" w:sz="4" w:space="0" w:color="auto"/>
            </w:tcBorders>
            <w:vAlign w:val="bottom"/>
          </w:tcPr>
          <w:p w:rsidR="00134B51" w:rsidRPr="00983FC5" w:rsidRDefault="00134B51" w:rsidP="00AE673A">
            <w:pPr>
              <w:spacing w:after="0" w:line="240" w:lineRule="auto"/>
              <w:jc w:val="right"/>
              <w:rPr>
                <w:rFonts w:ascii="Arial Narrow" w:hAnsi="Arial Narrow"/>
                <w:b/>
                <w:sz w:val="20"/>
                <w:szCs w:val="20"/>
              </w:rPr>
            </w:pPr>
            <w:r w:rsidRPr="00983FC5">
              <w:rPr>
                <w:rFonts w:ascii="Arial Narrow" w:hAnsi="Arial Narrow"/>
                <w:b/>
                <w:sz w:val="20"/>
                <w:szCs w:val="20"/>
              </w:rPr>
              <w:t xml:space="preserve">-1.153.606 </w:t>
            </w:r>
          </w:p>
        </w:tc>
        <w:tc>
          <w:tcPr>
            <w:tcW w:w="970" w:type="dxa"/>
            <w:tcBorders>
              <w:top w:val="nil"/>
              <w:left w:val="nil"/>
              <w:bottom w:val="single" w:sz="4" w:space="0" w:color="auto"/>
              <w:right w:val="single" w:sz="4" w:space="0" w:color="auto"/>
            </w:tcBorders>
            <w:vAlign w:val="bottom"/>
          </w:tcPr>
          <w:p w:rsidR="00134B51" w:rsidRPr="00983FC5" w:rsidRDefault="00134B51" w:rsidP="00AE673A">
            <w:pPr>
              <w:spacing w:after="0" w:line="240" w:lineRule="auto"/>
              <w:jc w:val="right"/>
              <w:rPr>
                <w:rFonts w:ascii="Arial Narrow" w:hAnsi="Arial Narrow"/>
                <w:b/>
                <w:bCs/>
                <w:sz w:val="20"/>
                <w:szCs w:val="20"/>
              </w:rPr>
            </w:pPr>
            <w:r w:rsidRPr="00983FC5">
              <w:rPr>
                <w:rFonts w:ascii="Arial Narrow" w:hAnsi="Arial Narrow"/>
                <w:b/>
                <w:bCs/>
                <w:sz w:val="20"/>
                <w:szCs w:val="20"/>
              </w:rPr>
              <w:t xml:space="preserve">-1.905.623 </w:t>
            </w:r>
          </w:p>
        </w:tc>
        <w:tc>
          <w:tcPr>
            <w:tcW w:w="992" w:type="dxa"/>
            <w:tcBorders>
              <w:top w:val="nil"/>
              <w:left w:val="nil"/>
              <w:bottom w:val="single" w:sz="4" w:space="0" w:color="auto"/>
              <w:right w:val="single" w:sz="4" w:space="0" w:color="auto"/>
            </w:tcBorders>
            <w:vAlign w:val="bottom"/>
          </w:tcPr>
          <w:p w:rsidR="00134B51" w:rsidRPr="00983FC5" w:rsidRDefault="00134B51" w:rsidP="00AE673A">
            <w:pPr>
              <w:spacing w:after="0" w:line="240" w:lineRule="auto"/>
              <w:rPr>
                <w:rFonts w:ascii="Arial Narrow" w:hAnsi="Arial Narrow"/>
                <w:b/>
                <w:bCs/>
                <w:sz w:val="20"/>
                <w:szCs w:val="20"/>
              </w:rPr>
            </w:pPr>
            <w:r w:rsidRPr="00983FC5">
              <w:rPr>
                <w:rFonts w:ascii="Arial Narrow" w:hAnsi="Arial Narrow"/>
                <w:b/>
                <w:bCs/>
                <w:sz w:val="20"/>
                <w:szCs w:val="20"/>
              </w:rPr>
              <w:t xml:space="preserve">- 1.472.653 </w:t>
            </w:r>
          </w:p>
        </w:tc>
        <w:tc>
          <w:tcPr>
            <w:tcW w:w="870" w:type="dxa"/>
            <w:tcBorders>
              <w:top w:val="nil"/>
              <w:left w:val="nil"/>
              <w:bottom w:val="single" w:sz="4" w:space="0" w:color="auto"/>
              <w:right w:val="single" w:sz="4" w:space="0" w:color="auto"/>
            </w:tcBorders>
            <w:vAlign w:val="bottom"/>
          </w:tcPr>
          <w:p w:rsidR="00134B51" w:rsidRDefault="00134B51" w:rsidP="00AE673A">
            <w:pPr>
              <w:spacing w:after="0" w:line="240" w:lineRule="auto"/>
              <w:rPr>
                <w:rFonts w:ascii="Arial Narrow" w:hAnsi="Arial Narrow"/>
                <w:b/>
                <w:bCs/>
                <w:sz w:val="20"/>
                <w:szCs w:val="20"/>
              </w:rPr>
            </w:pPr>
            <w:r>
              <w:rPr>
                <w:rFonts w:ascii="Arial Narrow" w:hAnsi="Arial Narrow"/>
                <w:b/>
                <w:bCs/>
                <w:sz w:val="20"/>
                <w:szCs w:val="20"/>
              </w:rPr>
              <w:t xml:space="preserve">                 </w:t>
            </w:r>
          </w:p>
          <w:p w:rsidR="00134B51" w:rsidRPr="006C2381" w:rsidRDefault="00134B51" w:rsidP="00AE673A">
            <w:pPr>
              <w:spacing w:after="0" w:line="240" w:lineRule="auto"/>
              <w:rPr>
                <w:rFonts w:ascii="Arial Narrow" w:hAnsi="Arial Narrow"/>
                <w:b/>
                <w:bCs/>
                <w:sz w:val="20"/>
                <w:szCs w:val="20"/>
              </w:rPr>
            </w:pPr>
            <w:r>
              <w:rPr>
                <w:rFonts w:ascii="Arial Narrow" w:hAnsi="Arial Narrow"/>
                <w:b/>
                <w:bCs/>
                <w:sz w:val="20"/>
                <w:szCs w:val="20"/>
              </w:rPr>
              <w:t xml:space="preserve">              </w:t>
            </w:r>
            <w:r w:rsidRPr="006C2381">
              <w:rPr>
                <w:rFonts w:ascii="Arial Narrow" w:hAnsi="Arial Narrow"/>
                <w:b/>
                <w:bCs/>
                <w:sz w:val="20"/>
                <w:szCs w:val="20"/>
              </w:rPr>
              <w:t>0</w:t>
            </w:r>
          </w:p>
        </w:tc>
        <w:tc>
          <w:tcPr>
            <w:tcW w:w="1398" w:type="dxa"/>
            <w:gridSpan w:val="2"/>
            <w:tcBorders>
              <w:top w:val="nil"/>
              <w:left w:val="nil"/>
              <w:bottom w:val="single" w:sz="4" w:space="0" w:color="auto"/>
              <w:right w:val="single" w:sz="4" w:space="0" w:color="auto"/>
            </w:tcBorders>
            <w:noWrap/>
            <w:vAlign w:val="bottom"/>
          </w:tcPr>
          <w:p w:rsidR="00134B51" w:rsidRPr="007D5748" w:rsidRDefault="00134B51" w:rsidP="00AE673A">
            <w:pPr>
              <w:spacing w:after="0" w:line="240" w:lineRule="auto"/>
              <w:rPr>
                <w:rFonts w:ascii="Times New Roman" w:hAnsi="Times New Roman"/>
                <w:sz w:val="24"/>
                <w:szCs w:val="24"/>
                <w:lang w:eastAsia="sk-SK"/>
              </w:rPr>
            </w:pPr>
          </w:p>
        </w:tc>
      </w:tr>
      <w:tr w:rsidR="00134B51" w:rsidRPr="007D5748" w:rsidTr="00AE673A">
        <w:trPr>
          <w:trHeight w:val="255"/>
        </w:trPr>
        <w:tc>
          <w:tcPr>
            <w:tcW w:w="3961" w:type="dxa"/>
            <w:tcBorders>
              <w:top w:val="nil"/>
              <w:left w:val="single" w:sz="4" w:space="0" w:color="auto"/>
              <w:bottom w:val="single" w:sz="4" w:space="0" w:color="auto"/>
              <w:right w:val="single" w:sz="4" w:space="0" w:color="auto"/>
            </w:tcBorders>
          </w:tcPr>
          <w:p w:rsidR="00134B51" w:rsidRPr="007D5748" w:rsidRDefault="00134B51" w:rsidP="00AE673A">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093"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b/>
                <w:bCs/>
                <w:sz w:val="20"/>
                <w:szCs w:val="20"/>
                <w:lang w:eastAsia="sk-SK"/>
              </w:rPr>
            </w:pPr>
            <w:r w:rsidRPr="00983FC5">
              <w:rPr>
                <w:rFonts w:ascii="Arial Narrow" w:hAnsi="Arial Narrow"/>
                <w:b/>
                <w:bCs/>
                <w:sz w:val="20"/>
                <w:szCs w:val="20"/>
                <w:lang w:eastAsia="sk-SK"/>
              </w:rPr>
              <w:t>0</w:t>
            </w:r>
          </w:p>
        </w:tc>
        <w:tc>
          <w:tcPr>
            <w:tcW w:w="970"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b/>
                <w:bCs/>
                <w:sz w:val="20"/>
                <w:szCs w:val="20"/>
                <w:lang w:eastAsia="sk-SK"/>
              </w:rPr>
            </w:pPr>
            <w:r w:rsidRPr="00983FC5">
              <w:rPr>
                <w:rFonts w:ascii="Arial Narrow" w:hAnsi="Arial Narrow"/>
                <w:b/>
                <w:bCs/>
                <w:sz w:val="20"/>
                <w:szCs w:val="20"/>
                <w:lang w:eastAsia="sk-SK"/>
              </w:rPr>
              <w:t>0</w:t>
            </w:r>
          </w:p>
        </w:tc>
        <w:tc>
          <w:tcPr>
            <w:tcW w:w="992"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b/>
                <w:bCs/>
                <w:sz w:val="20"/>
                <w:szCs w:val="20"/>
                <w:lang w:eastAsia="sk-SK"/>
              </w:rPr>
            </w:pPr>
            <w:r w:rsidRPr="00983FC5">
              <w:rPr>
                <w:rFonts w:ascii="Arial Narrow" w:hAnsi="Arial Narrow"/>
                <w:b/>
                <w:bCs/>
                <w:sz w:val="20"/>
                <w:szCs w:val="20"/>
                <w:lang w:eastAsia="sk-SK"/>
              </w:rPr>
              <w:t>0</w:t>
            </w:r>
          </w:p>
        </w:tc>
        <w:tc>
          <w:tcPr>
            <w:tcW w:w="870" w:type="dxa"/>
            <w:tcBorders>
              <w:top w:val="nil"/>
              <w:left w:val="nil"/>
              <w:bottom w:val="single" w:sz="4" w:space="0" w:color="auto"/>
              <w:right w:val="single" w:sz="4" w:space="0" w:color="auto"/>
            </w:tcBorders>
            <w:vAlign w:val="center"/>
          </w:tcPr>
          <w:p w:rsidR="00134B51" w:rsidRPr="006C2381" w:rsidRDefault="00134B51" w:rsidP="00AE673A">
            <w:pPr>
              <w:spacing w:after="0" w:line="240" w:lineRule="auto"/>
              <w:jc w:val="right"/>
              <w:rPr>
                <w:rFonts w:ascii="Arial Narrow" w:hAnsi="Arial Narrow"/>
                <w:b/>
                <w:bCs/>
                <w:sz w:val="20"/>
                <w:szCs w:val="20"/>
                <w:lang w:eastAsia="sk-SK"/>
              </w:rPr>
            </w:pPr>
            <w:r w:rsidRPr="006C2381">
              <w:rPr>
                <w:rFonts w:ascii="Arial Narrow" w:hAnsi="Arial Narrow"/>
                <w:b/>
                <w:bCs/>
                <w:sz w:val="20"/>
                <w:szCs w:val="20"/>
                <w:lang w:eastAsia="sk-SK"/>
              </w:rPr>
              <w:t>0</w:t>
            </w:r>
          </w:p>
        </w:tc>
        <w:tc>
          <w:tcPr>
            <w:tcW w:w="1398" w:type="dxa"/>
            <w:gridSpan w:val="2"/>
            <w:tcBorders>
              <w:top w:val="nil"/>
              <w:left w:val="nil"/>
              <w:bottom w:val="single" w:sz="4" w:space="0" w:color="auto"/>
              <w:right w:val="single" w:sz="4" w:space="0" w:color="auto"/>
            </w:tcBorders>
            <w:noWrap/>
            <w:vAlign w:val="bottom"/>
          </w:tcPr>
          <w:p w:rsidR="00134B51" w:rsidRPr="007D5748" w:rsidRDefault="00134B51" w:rsidP="00AE673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3961" w:type="dxa"/>
            <w:tcBorders>
              <w:top w:val="nil"/>
              <w:left w:val="single" w:sz="4" w:space="0" w:color="auto"/>
              <w:bottom w:val="single" w:sz="4" w:space="0" w:color="auto"/>
              <w:right w:val="single" w:sz="4" w:space="0" w:color="auto"/>
            </w:tcBorders>
          </w:tcPr>
          <w:p w:rsidR="00134B51" w:rsidRPr="007D5748" w:rsidRDefault="00134B51" w:rsidP="00AE673A">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p>
        </w:tc>
        <w:tc>
          <w:tcPr>
            <w:tcW w:w="1093"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970"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992"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870" w:type="dxa"/>
            <w:tcBorders>
              <w:top w:val="nil"/>
              <w:left w:val="nil"/>
              <w:bottom w:val="single" w:sz="4" w:space="0" w:color="auto"/>
              <w:right w:val="single" w:sz="4" w:space="0" w:color="auto"/>
            </w:tcBorders>
            <w:vAlign w:val="center"/>
          </w:tcPr>
          <w:p w:rsidR="00134B51" w:rsidRPr="006C2381" w:rsidRDefault="00134B51" w:rsidP="00AE673A">
            <w:pPr>
              <w:spacing w:after="0" w:line="240" w:lineRule="auto"/>
              <w:jc w:val="right"/>
              <w:rPr>
                <w:rFonts w:ascii="Arial Narrow" w:hAnsi="Arial Narrow"/>
                <w:sz w:val="20"/>
                <w:szCs w:val="20"/>
                <w:lang w:eastAsia="sk-SK"/>
              </w:rPr>
            </w:pPr>
            <w:r w:rsidRPr="006C2381">
              <w:rPr>
                <w:rFonts w:ascii="Arial Narrow" w:hAnsi="Arial Narrow"/>
                <w:sz w:val="20"/>
                <w:szCs w:val="20"/>
                <w:lang w:eastAsia="sk-SK"/>
              </w:rPr>
              <w:t>0</w:t>
            </w:r>
          </w:p>
        </w:tc>
        <w:tc>
          <w:tcPr>
            <w:tcW w:w="1398" w:type="dxa"/>
            <w:gridSpan w:val="2"/>
            <w:tcBorders>
              <w:top w:val="nil"/>
              <w:left w:val="nil"/>
              <w:bottom w:val="single" w:sz="4" w:space="0" w:color="auto"/>
              <w:right w:val="single" w:sz="4" w:space="0" w:color="auto"/>
            </w:tcBorders>
            <w:noWrap/>
            <w:vAlign w:val="bottom"/>
          </w:tcPr>
          <w:p w:rsidR="00134B51" w:rsidRPr="007D5748" w:rsidRDefault="00134B51" w:rsidP="00AE673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3961" w:type="dxa"/>
            <w:tcBorders>
              <w:top w:val="nil"/>
              <w:left w:val="single" w:sz="4" w:space="0" w:color="auto"/>
              <w:bottom w:val="single" w:sz="4" w:space="0" w:color="auto"/>
              <w:right w:val="single" w:sz="4" w:space="0" w:color="auto"/>
            </w:tcBorders>
          </w:tcPr>
          <w:p w:rsidR="00134B51" w:rsidRPr="007D5748" w:rsidRDefault="00134B51" w:rsidP="00AE673A">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p>
        </w:tc>
        <w:tc>
          <w:tcPr>
            <w:tcW w:w="1093"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970"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992" w:type="dxa"/>
            <w:tcBorders>
              <w:top w:val="nil"/>
              <w:left w:val="nil"/>
              <w:bottom w:val="single" w:sz="4" w:space="0" w:color="auto"/>
              <w:right w:val="single" w:sz="4" w:space="0" w:color="auto"/>
            </w:tcBorders>
            <w:vAlign w:val="center"/>
          </w:tcPr>
          <w:p w:rsidR="00134B51" w:rsidRPr="00983FC5" w:rsidRDefault="00134B51" w:rsidP="00AE673A">
            <w:pPr>
              <w:spacing w:after="0" w:line="240" w:lineRule="auto"/>
              <w:jc w:val="right"/>
              <w:rPr>
                <w:rFonts w:ascii="Arial Narrow" w:hAnsi="Arial Narrow"/>
                <w:sz w:val="20"/>
                <w:szCs w:val="20"/>
                <w:lang w:eastAsia="sk-SK"/>
              </w:rPr>
            </w:pPr>
            <w:r w:rsidRPr="00983FC5">
              <w:rPr>
                <w:rFonts w:ascii="Arial Narrow" w:hAnsi="Arial Narrow"/>
                <w:sz w:val="20"/>
                <w:szCs w:val="20"/>
                <w:lang w:eastAsia="sk-SK"/>
              </w:rPr>
              <w:t>0</w:t>
            </w:r>
          </w:p>
        </w:tc>
        <w:tc>
          <w:tcPr>
            <w:tcW w:w="870" w:type="dxa"/>
            <w:tcBorders>
              <w:top w:val="nil"/>
              <w:left w:val="nil"/>
              <w:bottom w:val="single" w:sz="4" w:space="0" w:color="auto"/>
              <w:right w:val="single" w:sz="4" w:space="0" w:color="auto"/>
            </w:tcBorders>
            <w:vAlign w:val="center"/>
          </w:tcPr>
          <w:p w:rsidR="00134B51" w:rsidRPr="006C2381" w:rsidRDefault="00134B51" w:rsidP="00AE673A">
            <w:pPr>
              <w:spacing w:after="0" w:line="240" w:lineRule="auto"/>
              <w:jc w:val="right"/>
              <w:rPr>
                <w:rFonts w:ascii="Arial Narrow" w:hAnsi="Arial Narrow"/>
                <w:sz w:val="20"/>
                <w:szCs w:val="20"/>
                <w:lang w:eastAsia="sk-SK"/>
              </w:rPr>
            </w:pPr>
            <w:r w:rsidRPr="006C2381">
              <w:rPr>
                <w:rFonts w:ascii="Arial Narrow" w:hAnsi="Arial Narrow"/>
                <w:sz w:val="20"/>
                <w:szCs w:val="20"/>
                <w:lang w:eastAsia="sk-SK"/>
              </w:rPr>
              <w:t>0</w:t>
            </w:r>
          </w:p>
        </w:tc>
        <w:tc>
          <w:tcPr>
            <w:tcW w:w="1398" w:type="dxa"/>
            <w:gridSpan w:val="2"/>
            <w:tcBorders>
              <w:top w:val="nil"/>
              <w:left w:val="nil"/>
              <w:bottom w:val="single" w:sz="4" w:space="0" w:color="auto"/>
              <w:right w:val="single" w:sz="4" w:space="0" w:color="auto"/>
            </w:tcBorders>
            <w:noWrap/>
            <w:vAlign w:val="bottom"/>
          </w:tcPr>
          <w:p w:rsidR="00134B51" w:rsidRPr="007D5748" w:rsidRDefault="00134B51" w:rsidP="00AE673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3961" w:type="dxa"/>
            <w:tcBorders>
              <w:top w:val="nil"/>
              <w:left w:val="single" w:sz="4" w:space="0" w:color="auto"/>
              <w:bottom w:val="single" w:sz="4" w:space="0" w:color="auto"/>
              <w:right w:val="single" w:sz="4" w:space="0" w:color="auto"/>
            </w:tcBorders>
          </w:tcPr>
          <w:p w:rsidR="00134B51" w:rsidRPr="007D5748" w:rsidRDefault="00134B51" w:rsidP="00AE673A">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093" w:type="dxa"/>
            <w:tcBorders>
              <w:top w:val="nil"/>
              <w:left w:val="nil"/>
              <w:bottom w:val="single" w:sz="4" w:space="0" w:color="auto"/>
              <w:right w:val="single" w:sz="4" w:space="0" w:color="auto"/>
            </w:tcBorders>
            <w:shd w:val="clear" w:color="auto" w:fill="FFFF99"/>
            <w:vAlign w:val="center"/>
          </w:tcPr>
          <w:p w:rsidR="00134B51" w:rsidRPr="00983FC5" w:rsidRDefault="00134B51" w:rsidP="00AE673A">
            <w:pPr>
              <w:spacing w:after="0" w:line="240" w:lineRule="auto"/>
              <w:jc w:val="right"/>
              <w:rPr>
                <w:rFonts w:ascii="Arial Narrow" w:hAnsi="Arial Narrow"/>
                <w:b/>
                <w:bCs/>
                <w:sz w:val="20"/>
                <w:szCs w:val="20"/>
                <w:lang w:eastAsia="sk-SK"/>
              </w:rPr>
            </w:pPr>
            <w:r w:rsidRPr="00983FC5">
              <w:rPr>
                <w:rFonts w:ascii="Arial Narrow" w:hAnsi="Arial Narrow"/>
                <w:b/>
                <w:bCs/>
                <w:sz w:val="20"/>
                <w:szCs w:val="20"/>
                <w:lang w:eastAsia="sk-SK"/>
              </w:rPr>
              <w:t> 0</w:t>
            </w:r>
          </w:p>
        </w:tc>
        <w:tc>
          <w:tcPr>
            <w:tcW w:w="970" w:type="dxa"/>
            <w:tcBorders>
              <w:top w:val="nil"/>
              <w:left w:val="nil"/>
              <w:bottom w:val="single" w:sz="4" w:space="0" w:color="auto"/>
              <w:right w:val="single" w:sz="4" w:space="0" w:color="auto"/>
            </w:tcBorders>
            <w:shd w:val="clear" w:color="auto" w:fill="FFFF99"/>
            <w:vAlign w:val="center"/>
          </w:tcPr>
          <w:p w:rsidR="00134B51" w:rsidRPr="00983FC5" w:rsidRDefault="00134B51" w:rsidP="00AE673A">
            <w:pPr>
              <w:spacing w:after="0" w:line="240" w:lineRule="auto"/>
              <w:jc w:val="right"/>
              <w:rPr>
                <w:rFonts w:ascii="Arial Narrow" w:hAnsi="Arial Narrow"/>
                <w:b/>
                <w:bCs/>
                <w:sz w:val="20"/>
                <w:szCs w:val="20"/>
                <w:lang w:eastAsia="sk-SK"/>
              </w:rPr>
            </w:pPr>
            <w:r w:rsidRPr="00983FC5">
              <w:rPr>
                <w:rFonts w:ascii="Arial Narrow" w:hAnsi="Arial Narrow"/>
                <w:b/>
                <w:bCs/>
                <w:sz w:val="20"/>
                <w:szCs w:val="20"/>
                <w:lang w:eastAsia="sk-SK"/>
              </w:rPr>
              <w:t> 0</w:t>
            </w:r>
          </w:p>
        </w:tc>
        <w:tc>
          <w:tcPr>
            <w:tcW w:w="992" w:type="dxa"/>
            <w:tcBorders>
              <w:top w:val="nil"/>
              <w:left w:val="nil"/>
              <w:bottom w:val="single" w:sz="4" w:space="0" w:color="auto"/>
              <w:right w:val="single" w:sz="4" w:space="0" w:color="auto"/>
            </w:tcBorders>
            <w:shd w:val="clear" w:color="auto" w:fill="FFFF99"/>
            <w:vAlign w:val="center"/>
          </w:tcPr>
          <w:p w:rsidR="00134B51" w:rsidRPr="00983FC5" w:rsidRDefault="00134B51" w:rsidP="00AE673A">
            <w:pPr>
              <w:spacing w:after="0" w:line="240" w:lineRule="auto"/>
              <w:jc w:val="right"/>
              <w:rPr>
                <w:rFonts w:ascii="Arial Narrow" w:hAnsi="Arial Narrow"/>
                <w:b/>
                <w:bCs/>
                <w:sz w:val="20"/>
                <w:szCs w:val="20"/>
                <w:lang w:eastAsia="sk-SK"/>
              </w:rPr>
            </w:pPr>
            <w:r w:rsidRPr="00983FC5">
              <w:rPr>
                <w:rFonts w:ascii="Arial Narrow" w:hAnsi="Arial Narrow"/>
                <w:b/>
                <w:bCs/>
                <w:sz w:val="20"/>
                <w:szCs w:val="20"/>
                <w:lang w:eastAsia="sk-SK"/>
              </w:rPr>
              <w:t>0 </w:t>
            </w:r>
          </w:p>
        </w:tc>
        <w:tc>
          <w:tcPr>
            <w:tcW w:w="870" w:type="dxa"/>
            <w:tcBorders>
              <w:top w:val="nil"/>
              <w:left w:val="nil"/>
              <w:bottom w:val="single" w:sz="4" w:space="0" w:color="auto"/>
              <w:right w:val="single" w:sz="4" w:space="0" w:color="auto"/>
            </w:tcBorders>
            <w:shd w:val="clear" w:color="auto" w:fill="FFFF99"/>
            <w:vAlign w:val="center"/>
          </w:tcPr>
          <w:p w:rsidR="00134B51" w:rsidRPr="006C2381" w:rsidRDefault="00134B51" w:rsidP="00AE673A">
            <w:pPr>
              <w:spacing w:after="0" w:line="240" w:lineRule="auto"/>
              <w:jc w:val="right"/>
              <w:rPr>
                <w:rFonts w:ascii="Arial Narrow" w:hAnsi="Arial Narrow"/>
                <w:b/>
                <w:bCs/>
                <w:sz w:val="20"/>
                <w:szCs w:val="20"/>
                <w:lang w:eastAsia="sk-SK"/>
              </w:rPr>
            </w:pPr>
            <w:r w:rsidRPr="006C2381">
              <w:rPr>
                <w:rFonts w:ascii="Arial Narrow" w:hAnsi="Arial Narrow"/>
                <w:b/>
                <w:bCs/>
                <w:sz w:val="20"/>
                <w:szCs w:val="20"/>
                <w:lang w:eastAsia="sk-SK"/>
              </w:rPr>
              <w:t>0</w:t>
            </w:r>
          </w:p>
        </w:tc>
        <w:tc>
          <w:tcPr>
            <w:tcW w:w="1398" w:type="dxa"/>
            <w:gridSpan w:val="2"/>
            <w:tcBorders>
              <w:top w:val="nil"/>
              <w:left w:val="nil"/>
              <w:bottom w:val="single" w:sz="4" w:space="0" w:color="auto"/>
              <w:right w:val="single" w:sz="4" w:space="0" w:color="auto"/>
            </w:tcBorders>
            <w:noWrap/>
            <w:vAlign w:val="bottom"/>
          </w:tcPr>
          <w:p w:rsidR="00134B51" w:rsidRPr="007D5748" w:rsidRDefault="00134B51" w:rsidP="00AE673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3961" w:type="dxa"/>
            <w:tcBorders>
              <w:top w:val="single" w:sz="4" w:space="0" w:color="auto"/>
              <w:left w:val="single" w:sz="4" w:space="0" w:color="auto"/>
              <w:bottom w:val="single" w:sz="4" w:space="0" w:color="auto"/>
              <w:right w:val="single" w:sz="4" w:space="0" w:color="auto"/>
            </w:tcBorders>
            <w:shd w:val="clear" w:color="auto" w:fill="BFBFBF"/>
          </w:tcPr>
          <w:p w:rsidR="00134B51" w:rsidRPr="002E3848" w:rsidRDefault="00134B51" w:rsidP="00AE673A">
            <w:pPr>
              <w:spacing w:after="0" w:line="240" w:lineRule="auto"/>
              <w:rPr>
                <w:rFonts w:ascii="Times New Roman" w:hAnsi="Times New Roman"/>
                <w:b/>
                <w:bCs/>
                <w:sz w:val="20"/>
                <w:szCs w:val="20"/>
                <w:lang w:eastAsia="sk-SK"/>
              </w:rPr>
            </w:pPr>
            <w:r w:rsidRPr="002E3848">
              <w:rPr>
                <w:rFonts w:ascii="Times New Roman" w:hAnsi="Times New Roman"/>
                <w:b/>
                <w:bCs/>
                <w:sz w:val="20"/>
                <w:szCs w:val="20"/>
                <w:lang w:eastAsia="sk-SK"/>
              </w:rPr>
              <w:t>Dopad na výdavky verejnej správy celkom</w:t>
            </w:r>
          </w:p>
        </w:tc>
        <w:tc>
          <w:tcPr>
            <w:tcW w:w="1093" w:type="dxa"/>
            <w:tcBorders>
              <w:top w:val="single" w:sz="4" w:space="0" w:color="auto"/>
              <w:left w:val="nil"/>
              <w:bottom w:val="single" w:sz="4" w:space="0" w:color="auto"/>
              <w:right w:val="single" w:sz="4" w:space="0" w:color="auto"/>
            </w:tcBorders>
            <w:shd w:val="clear" w:color="auto" w:fill="BFBFBF"/>
            <w:vAlign w:val="bottom"/>
          </w:tcPr>
          <w:p w:rsidR="00134B51" w:rsidRPr="00983FC5" w:rsidRDefault="00134B51" w:rsidP="00AE673A">
            <w:pPr>
              <w:spacing w:after="0" w:line="240" w:lineRule="auto"/>
              <w:jc w:val="right"/>
              <w:rPr>
                <w:rFonts w:ascii="Arial Narrow" w:hAnsi="Arial Narrow"/>
                <w:b/>
                <w:sz w:val="20"/>
                <w:szCs w:val="20"/>
              </w:rPr>
            </w:pPr>
            <w:r w:rsidRPr="00983FC5">
              <w:rPr>
                <w:rFonts w:ascii="Arial Narrow" w:hAnsi="Arial Narrow"/>
                <w:b/>
                <w:sz w:val="20"/>
                <w:szCs w:val="20"/>
              </w:rPr>
              <w:t xml:space="preserve">-1.153.606 </w:t>
            </w:r>
          </w:p>
        </w:tc>
        <w:tc>
          <w:tcPr>
            <w:tcW w:w="970" w:type="dxa"/>
            <w:tcBorders>
              <w:top w:val="single" w:sz="4" w:space="0" w:color="auto"/>
              <w:left w:val="nil"/>
              <w:bottom w:val="single" w:sz="4" w:space="0" w:color="auto"/>
              <w:right w:val="single" w:sz="4" w:space="0" w:color="auto"/>
            </w:tcBorders>
            <w:shd w:val="clear" w:color="auto" w:fill="BFBFBF"/>
            <w:vAlign w:val="bottom"/>
          </w:tcPr>
          <w:p w:rsidR="00134B51" w:rsidRPr="00983FC5" w:rsidRDefault="00134B51" w:rsidP="00AE673A">
            <w:pPr>
              <w:spacing w:after="0" w:line="240" w:lineRule="auto"/>
              <w:jc w:val="right"/>
              <w:rPr>
                <w:rFonts w:ascii="Arial Narrow" w:hAnsi="Arial Narrow"/>
                <w:b/>
                <w:bCs/>
                <w:sz w:val="20"/>
                <w:szCs w:val="20"/>
              </w:rPr>
            </w:pPr>
            <w:r w:rsidRPr="00983FC5">
              <w:rPr>
                <w:rFonts w:ascii="Arial Narrow" w:hAnsi="Arial Narrow"/>
                <w:b/>
                <w:bCs/>
                <w:sz w:val="20"/>
                <w:szCs w:val="20"/>
              </w:rPr>
              <w:t xml:space="preserve">-1.905.623 </w:t>
            </w:r>
          </w:p>
        </w:tc>
        <w:tc>
          <w:tcPr>
            <w:tcW w:w="992" w:type="dxa"/>
            <w:tcBorders>
              <w:top w:val="single" w:sz="4" w:space="0" w:color="auto"/>
              <w:left w:val="nil"/>
              <w:bottom w:val="single" w:sz="4" w:space="0" w:color="auto"/>
              <w:right w:val="single" w:sz="4" w:space="0" w:color="auto"/>
            </w:tcBorders>
            <w:shd w:val="clear" w:color="auto" w:fill="BFBFBF"/>
            <w:vAlign w:val="bottom"/>
          </w:tcPr>
          <w:p w:rsidR="00134B51" w:rsidRPr="00983FC5" w:rsidRDefault="00134B51" w:rsidP="00AE673A">
            <w:pPr>
              <w:spacing w:after="0" w:line="240" w:lineRule="auto"/>
              <w:rPr>
                <w:rFonts w:ascii="Arial Narrow" w:hAnsi="Arial Narrow"/>
                <w:b/>
                <w:bCs/>
                <w:sz w:val="20"/>
                <w:szCs w:val="20"/>
              </w:rPr>
            </w:pPr>
            <w:r w:rsidRPr="00983FC5">
              <w:rPr>
                <w:rFonts w:ascii="Arial Narrow" w:hAnsi="Arial Narrow"/>
                <w:b/>
                <w:bCs/>
                <w:sz w:val="20"/>
                <w:szCs w:val="20"/>
              </w:rPr>
              <w:t xml:space="preserve">- </w:t>
            </w:r>
            <w:r>
              <w:rPr>
                <w:rFonts w:ascii="Arial Narrow" w:hAnsi="Arial Narrow"/>
                <w:b/>
                <w:bCs/>
                <w:sz w:val="20"/>
                <w:szCs w:val="20"/>
              </w:rPr>
              <w:t>1</w:t>
            </w:r>
            <w:r w:rsidRPr="00983FC5">
              <w:rPr>
                <w:rFonts w:ascii="Arial Narrow" w:hAnsi="Arial Narrow"/>
                <w:b/>
                <w:bCs/>
                <w:sz w:val="20"/>
                <w:szCs w:val="20"/>
              </w:rPr>
              <w:t xml:space="preserve">.472.653 </w:t>
            </w:r>
          </w:p>
        </w:tc>
        <w:tc>
          <w:tcPr>
            <w:tcW w:w="870" w:type="dxa"/>
            <w:tcBorders>
              <w:top w:val="single" w:sz="4" w:space="0" w:color="auto"/>
              <w:left w:val="nil"/>
              <w:bottom w:val="single" w:sz="4" w:space="0" w:color="auto"/>
              <w:right w:val="single" w:sz="4" w:space="0" w:color="auto"/>
            </w:tcBorders>
            <w:shd w:val="clear" w:color="auto" w:fill="BFBFBF"/>
            <w:vAlign w:val="bottom"/>
          </w:tcPr>
          <w:p w:rsidR="00134B51" w:rsidRPr="006C2381" w:rsidRDefault="00134B51" w:rsidP="00AE673A">
            <w:pPr>
              <w:spacing w:after="0" w:line="240" w:lineRule="auto"/>
              <w:rPr>
                <w:rFonts w:ascii="Arial Narrow" w:hAnsi="Arial Narrow"/>
                <w:b/>
                <w:bCs/>
                <w:sz w:val="20"/>
                <w:szCs w:val="20"/>
              </w:rPr>
            </w:pPr>
            <w:r>
              <w:rPr>
                <w:rFonts w:ascii="Arial Narrow" w:hAnsi="Arial Narrow"/>
                <w:b/>
                <w:bCs/>
                <w:sz w:val="20"/>
                <w:szCs w:val="20"/>
              </w:rPr>
              <w:t xml:space="preserve">              </w:t>
            </w:r>
            <w:r w:rsidRPr="006C2381">
              <w:rPr>
                <w:rFonts w:ascii="Arial Narrow" w:hAnsi="Arial Narrow"/>
                <w:b/>
                <w:bCs/>
                <w:sz w:val="20"/>
                <w:szCs w:val="20"/>
              </w:rPr>
              <w:t>0</w:t>
            </w:r>
          </w:p>
        </w:tc>
        <w:tc>
          <w:tcPr>
            <w:tcW w:w="1398" w:type="dxa"/>
            <w:gridSpan w:val="2"/>
            <w:tcBorders>
              <w:top w:val="single" w:sz="4" w:space="0" w:color="auto"/>
              <w:left w:val="nil"/>
              <w:bottom w:val="single" w:sz="4" w:space="0" w:color="auto"/>
              <w:right w:val="single" w:sz="4" w:space="0" w:color="auto"/>
            </w:tcBorders>
            <w:shd w:val="clear" w:color="auto" w:fill="BFBFBF"/>
            <w:noWrap/>
            <w:vAlign w:val="bottom"/>
          </w:tcPr>
          <w:p w:rsidR="00134B51" w:rsidRPr="00375E19" w:rsidRDefault="00134B51" w:rsidP="00AE673A">
            <w:pPr>
              <w:spacing w:after="0" w:line="240" w:lineRule="auto"/>
              <w:rPr>
                <w:rFonts w:ascii="Times New Roman" w:hAnsi="Times New Roman"/>
                <w:color w:val="FF0000"/>
                <w:sz w:val="24"/>
                <w:szCs w:val="24"/>
                <w:lang w:eastAsia="sk-SK"/>
              </w:rPr>
            </w:pPr>
            <w:r w:rsidRPr="00375E19">
              <w:rPr>
                <w:rFonts w:ascii="Times New Roman" w:hAnsi="Times New Roman"/>
                <w:color w:val="FF0000"/>
                <w:sz w:val="24"/>
                <w:szCs w:val="24"/>
                <w:lang w:eastAsia="sk-SK"/>
              </w:rPr>
              <w:t> </w:t>
            </w:r>
          </w:p>
        </w:tc>
      </w:tr>
    </w:tbl>
    <w:p w:rsidR="00134B51" w:rsidRPr="007D5748" w:rsidRDefault="00134B51" w:rsidP="00134B51">
      <w:pPr>
        <w:framePr w:w="9080" w:wrap="auto" w:hAnchor="text"/>
        <w:tabs>
          <w:tab w:val="num" w:pos="1080"/>
        </w:tabs>
        <w:spacing w:after="0" w:line="240" w:lineRule="auto"/>
        <w:jc w:val="both"/>
        <w:rPr>
          <w:rFonts w:ascii="Times New Roman" w:hAnsi="Times New Roman"/>
          <w:bCs/>
          <w:sz w:val="24"/>
          <w:szCs w:val="20"/>
          <w:lang w:eastAsia="sk-SK"/>
        </w:rPr>
        <w:sectPr w:rsidR="00134B51" w:rsidRPr="007D5748" w:rsidSect="00134B51">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991" w:bottom="567" w:left="1276" w:header="709" w:footer="709" w:gutter="0"/>
          <w:pgNumType w:start="1"/>
          <w:cols w:space="708"/>
          <w:docGrid w:linePitch="360"/>
        </w:sectPr>
      </w:pPr>
    </w:p>
    <w:p w:rsidR="00134B51" w:rsidRDefault="00134B51" w:rsidP="00134B51">
      <w:pPr>
        <w:tabs>
          <w:tab w:val="num" w:pos="1080"/>
        </w:tabs>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 xml:space="preserve">    </w:t>
      </w:r>
    </w:p>
    <w:p w:rsidR="00134B51" w:rsidRPr="00AE673A" w:rsidRDefault="00134B51" w:rsidP="00134B51">
      <w:pPr>
        <w:tabs>
          <w:tab w:val="num" w:pos="1080"/>
        </w:tabs>
        <w:spacing w:after="0" w:line="240" w:lineRule="auto"/>
        <w:jc w:val="right"/>
        <w:rPr>
          <w:rFonts w:ascii="Times New Roman" w:hAnsi="Times New Roman"/>
          <w:bCs/>
          <w:sz w:val="20"/>
          <w:szCs w:val="20"/>
          <w:lang w:eastAsia="sk-SK"/>
        </w:rPr>
      </w:pPr>
      <w:r>
        <w:rPr>
          <w:rFonts w:ascii="Times New Roman" w:hAnsi="Times New Roman"/>
          <w:bCs/>
          <w:sz w:val="24"/>
          <w:szCs w:val="24"/>
          <w:lang w:eastAsia="sk-SK"/>
        </w:rPr>
        <w:t xml:space="preserve">       </w:t>
      </w:r>
      <w:r w:rsidR="00AE673A">
        <w:rPr>
          <w:rFonts w:ascii="Times New Roman" w:hAnsi="Times New Roman"/>
          <w:bCs/>
          <w:sz w:val="24"/>
          <w:szCs w:val="24"/>
          <w:lang w:eastAsia="sk-SK"/>
        </w:rPr>
        <w:t xml:space="preserve">                     </w:t>
      </w:r>
      <w:r w:rsidRPr="00AE673A">
        <w:rPr>
          <w:rFonts w:ascii="Times New Roman" w:hAnsi="Times New Roman"/>
          <w:bCs/>
          <w:sz w:val="20"/>
          <w:szCs w:val="20"/>
          <w:lang w:eastAsia="sk-SK"/>
        </w:rPr>
        <w:t>Tabuľka č. 5</w:t>
      </w:r>
    </w:p>
    <w:tbl>
      <w:tblPr>
        <w:tblW w:w="9926" w:type="dxa"/>
        <w:tblInd w:w="-497" w:type="dxa"/>
        <w:tblCellMar>
          <w:left w:w="70" w:type="dxa"/>
          <w:right w:w="70" w:type="dxa"/>
        </w:tblCellMar>
        <w:tblLook w:val="0000" w:firstRow="0" w:lastRow="0" w:firstColumn="0" w:lastColumn="0" w:noHBand="0" w:noVBand="0"/>
      </w:tblPr>
      <w:tblGrid>
        <w:gridCol w:w="4115"/>
        <w:gridCol w:w="1134"/>
        <w:gridCol w:w="1134"/>
        <w:gridCol w:w="1134"/>
        <w:gridCol w:w="1134"/>
        <w:gridCol w:w="1275"/>
      </w:tblGrid>
      <w:tr w:rsidR="00134B51" w:rsidRPr="007D5748" w:rsidTr="00AE673A">
        <w:trPr>
          <w:cantSplit/>
          <w:trHeight w:val="569"/>
        </w:trPr>
        <w:tc>
          <w:tcPr>
            <w:tcW w:w="411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134B51" w:rsidRPr="007D5748" w:rsidRDefault="00134B51" w:rsidP="00D5717A">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Zamestnanosť</w:t>
            </w:r>
          </w:p>
        </w:tc>
        <w:tc>
          <w:tcPr>
            <w:tcW w:w="4536" w:type="dxa"/>
            <w:gridSpan w:val="4"/>
            <w:tcBorders>
              <w:top w:val="single" w:sz="4" w:space="0" w:color="auto"/>
              <w:left w:val="nil"/>
              <w:bottom w:val="single" w:sz="4" w:space="0" w:color="auto"/>
              <w:right w:val="single" w:sz="4" w:space="0" w:color="auto"/>
            </w:tcBorders>
            <w:shd w:val="clear" w:color="auto" w:fill="BFBFBF"/>
          </w:tcPr>
          <w:p w:rsidR="00134B51" w:rsidRPr="007D5748" w:rsidRDefault="00134B51" w:rsidP="00D5717A">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275"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134B51" w:rsidRPr="007D5748" w:rsidRDefault="00134B51" w:rsidP="00D5717A">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134B51" w:rsidRPr="007D5748" w:rsidTr="00AE673A">
        <w:trPr>
          <w:cantSplit/>
          <w:trHeight w:val="255"/>
        </w:trPr>
        <w:tc>
          <w:tcPr>
            <w:tcW w:w="4115"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134B51" w:rsidRPr="007D5748" w:rsidRDefault="00134B51" w:rsidP="00D5717A">
            <w:pPr>
              <w:spacing w:after="0" w:line="240" w:lineRule="auto"/>
              <w:rPr>
                <w:rFonts w:ascii="Times New Roman" w:hAnsi="Times New Roman"/>
                <w:b/>
                <w:bCs/>
                <w:sz w:val="24"/>
                <w:szCs w:val="24"/>
                <w:lang w:eastAsia="sk-SK"/>
              </w:rPr>
            </w:pPr>
          </w:p>
        </w:tc>
        <w:tc>
          <w:tcPr>
            <w:tcW w:w="1134" w:type="dxa"/>
            <w:tcBorders>
              <w:top w:val="nil"/>
              <w:left w:val="nil"/>
              <w:bottom w:val="single" w:sz="4" w:space="0" w:color="auto"/>
              <w:right w:val="single" w:sz="4" w:space="0" w:color="auto"/>
            </w:tcBorders>
            <w:shd w:val="clear" w:color="auto" w:fill="BFBFBF"/>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134" w:type="dxa"/>
            <w:tcBorders>
              <w:top w:val="nil"/>
              <w:left w:val="nil"/>
              <w:bottom w:val="single" w:sz="4" w:space="0" w:color="auto"/>
              <w:right w:val="single" w:sz="4" w:space="0" w:color="auto"/>
            </w:tcBorders>
            <w:shd w:val="clear" w:color="auto" w:fill="BFBFBF"/>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134" w:type="dxa"/>
            <w:tcBorders>
              <w:top w:val="nil"/>
              <w:left w:val="nil"/>
              <w:bottom w:val="single" w:sz="4" w:space="0" w:color="auto"/>
              <w:right w:val="single" w:sz="4" w:space="0" w:color="auto"/>
            </w:tcBorders>
            <w:shd w:val="clear" w:color="auto" w:fill="BFBFBF"/>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c>
          <w:tcPr>
            <w:tcW w:w="1134" w:type="dxa"/>
            <w:tcBorders>
              <w:top w:val="nil"/>
              <w:left w:val="nil"/>
              <w:bottom w:val="single" w:sz="4" w:space="0" w:color="auto"/>
              <w:right w:val="single" w:sz="4" w:space="0" w:color="auto"/>
            </w:tcBorders>
            <w:shd w:val="clear" w:color="auto" w:fill="BFBFBF"/>
          </w:tcPr>
          <w:p w:rsidR="00134B51" w:rsidRPr="006C2381" w:rsidRDefault="00134B51" w:rsidP="00D5717A">
            <w:pPr>
              <w:spacing w:after="0" w:line="240" w:lineRule="auto"/>
              <w:jc w:val="center"/>
              <w:rPr>
                <w:rFonts w:ascii="Times New Roman" w:hAnsi="Times New Roman"/>
                <w:b/>
                <w:bCs/>
                <w:sz w:val="24"/>
                <w:szCs w:val="24"/>
                <w:lang w:eastAsia="sk-SK"/>
              </w:rPr>
            </w:pPr>
            <w:r w:rsidRPr="006C2381">
              <w:rPr>
                <w:rFonts w:ascii="Times New Roman" w:hAnsi="Times New Roman"/>
                <w:b/>
                <w:bCs/>
                <w:sz w:val="24"/>
                <w:szCs w:val="24"/>
                <w:lang w:eastAsia="sk-SK"/>
              </w:rPr>
              <w:t>2022</w:t>
            </w:r>
          </w:p>
        </w:tc>
        <w:tc>
          <w:tcPr>
            <w:tcW w:w="1275" w:type="dxa"/>
            <w:tcBorders>
              <w:top w:val="single" w:sz="4" w:space="0" w:color="auto"/>
              <w:left w:val="single" w:sz="4" w:space="0" w:color="auto"/>
              <w:bottom w:val="single" w:sz="4" w:space="0" w:color="auto"/>
              <w:right w:val="single" w:sz="4" w:space="0" w:color="auto"/>
            </w:tcBorders>
            <w:shd w:val="clear" w:color="auto" w:fill="BFBFBF"/>
            <w:vAlign w:val="center"/>
          </w:tcPr>
          <w:p w:rsidR="00134B51" w:rsidRPr="007D5748" w:rsidRDefault="00134B51" w:rsidP="00D5717A">
            <w:pPr>
              <w:spacing w:after="0" w:line="240" w:lineRule="auto"/>
              <w:rPr>
                <w:rFonts w:ascii="Times New Roman" w:hAnsi="Times New Roman"/>
                <w:b/>
                <w:bCs/>
                <w:color w:val="FFFFFF"/>
                <w:sz w:val="24"/>
                <w:szCs w:val="24"/>
                <w:lang w:eastAsia="sk-SK"/>
              </w:rPr>
            </w:pPr>
          </w:p>
        </w:tc>
      </w:tr>
      <w:tr w:rsidR="00134B51" w:rsidRPr="007D5748" w:rsidTr="00AE673A">
        <w:trPr>
          <w:trHeight w:val="255"/>
        </w:trPr>
        <w:tc>
          <w:tcPr>
            <w:tcW w:w="4115" w:type="dxa"/>
            <w:tcBorders>
              <w:top w:val="nil"/>
              <w:left w:val="single" w:sz="4" w:space="0" w:color="auto"/>
              <w:bottom w:val="single" w:sz="4" w:space="0" w:color="auto"/>
              <w:right w:val="single" w:sz="4" w:space="0" w:color="auto"/>
            </w:tcBorders>
          </w:tcPr>
          <w:p w:rsidR="00134B51" w:rsidRPr="007D5748" w:rsidRDefault="00134B51" w:rsidP="00D5717A">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Počet zamestnancov celkom</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nil"/>
              <w:left w:val="nil"/>
              <w:bottom w:val="single" w:sz="4" w:space="0" w:color="auto"/>
              <w:right w:val="single" w:sz="4" w:space="0" w:color="auto"/>
            </w:tcBorders>
          </w:tcPr>
          <w:p w:rsidR="00134B51" w:rsidRPr="006C2381" w:rsidRDefault="00134B51" w:rsidP="00D5717A">
            <w:pPr>
              <w:spacing w:after="0" w:line="240" w:lineRule="auto"/>
              <w:jc w:val="center"/>
              <w:rPr>
                <w:rFonts w:ascii="Times New Roman" w:hAnsi="Times New Roman"/>
                <w:b/>
                <w:bCs/>
                <w:sz w:val="24"/>
                <w:szCs w:val="24"/>
                <w:lang w:eastAsia="sk-SK"/>
              </w:rPr>
            </w:pPr>
            <w:r w:rsidRPr="006C2381">
              <w:rPr>
                <w:rFonts w:ascii="Times New Roman" w:hAnsi="Times New Roman"/>
                <w:b/>
                <w:bCs/>
                <w:sz w:val="24"/>
                <w:szCs w:val="24"/>
                <w:lang w:eastAsia="sk-SK"/>
              </w:rPr>
              <w:t>0</w:t>
            </w:r>
          </w:p>
        </w:tc>
        <w:tc>
          <w:tcPr>
            <w:tcW w:w="1275" w:type="dxa"/>
            <w:tcBorders>
              <w:top w:val="nil"/>
              <w:left w:val="nil"/>
              <w:bottom w:val="single" w:sz="4" w:space="0" w:color="auto"/>
              <w:right w:val="single" w:sz="4" w:space="0" w:color="auto"/>
            </w:tcBorders>
            <w:noWrap/>
            <w:vAlign w:val="bottom"/>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4115" w:type="dxa"/>
            <w:tcBorders>
              <w:top w:val="nil"/>
              <w:left w:val="single" w:sz="4" w:space="0" w:color="auto"/>
              <w:bottom w:val="single" w:sz="4" w:space="0" w:color="auto"/>
              <w:right w:val="single" w:sz="4" w:space="0" w:color="auto"/>
            </w:tcBorders>
          </w:tcPr>
          <w:p w:rsidR="00134B51" w:rsidRPr="007D5748" w:rsidRDefault="00134B51" w:rsidP="00D5717A">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   z toho vplyv na ŠR</w:t>
            </w:r>
          </w:p>
        </w:tc>
        <w:tc>
          <w:tcPr>
            <w:tcW w:w="1134" w:type="dxa"/>
            <w:tcBorders>
              <w:top w:val="single" w:sz="4" w:space="0" w:color="auto"/>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single" w:sz="4" w:space="0" w:color="auto"/>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single" w:sz="4" w:space="0" w:color="auto"/>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single" w:sz="4" w:space="0" w:color="auto"/>
              <w:left w:val="nil"/>
              <w:bottom w:val="single" w:sz="4" w:space="0" w:color="auto"/>
              <w:right w:val="single" w:sz="4" w:space="0" w:color="auto"/>
            </w:tcBorders>
          </w:tcPr>
          <w:p w:rsidR="00134B51" w:rsidRPr="006C2381" w:rsidRDefault="00134B51" w:rsidP="00D5717A">
            <w:pPr>
              <w:spacing w:after="0" w:line="240" w:lineRule="auto"/>
              <w:jc w:val="center"/>
              <w:rPr>
                <w:rFonts w:ascii="Times New Roman" w:hAnsi="Times New Roman"/>
                <w:b/>
                <w:bCs/>
                <w:sz w:val="24"/>
                <w:szCs w:val="24"/>
                <w:lang w:eastAsia="sk-SK"/>
              </w:rPr>
            </w:pPr>
            <w:r w:rsidRPr="006C2381">
              <w:rPr>
                <w:rFonts w:ascii="Times New Roman" w:hAnsi="Times New Roman"/>
                <w:b/>
                <w:bCs/>
                <w:sz w:val="24"/>
                <w:szCs w:val="24"/>
                <w:lang w:eastAsia="sk-SK"/>
              </w:rPr>
              <w:t>0</w:t>
            </w:r>
          </w:p>
        </w:tc>
        <w:tc>
          <w:tcPr>
            <w:tcW w:w="1275" w:type="dxa"/>
            <w:tcBorders>
              <w:top w:val="nil"/>
              <w:left w:val="nil"/>
              <w:bottom w:val="single" w:sz="4" w:space="0" w:color="auto"/>
              <w:right w:val="single" w:sz="4" w:space="0" w:color="auto"/>
            </w:tcBorders>
            <w:noWrap/>
            <w:vAlign w:val="bottom"/>
          </w:tcPr>
          <w:p w:rsidR="00134B51" w:rsidRPr="007D5748" w:rsidRDefault="00134B51" w:rsidP="00D5717A">
            <w:pPr>
              <w:spacing w:after="0" w:line="240" w:lineRule="auto"/>
              <w:rPr>
                <w:rFonts w:ascii="Times New Roman" w:hAnsi="Times New Roman"/>
                <w:sz w:val="24"/>
                <w:szCs w:val="24"/>
                <w:lang w:eastAsia="sk-SK"/>
              </w:rPr>
            </w:pPr>
          </w:p>
        </w:tc>
      </w:tr>
      <w:tr w:rsidR="00134B51" w:rsidRPr="007D5748" w:rsidTr="00AE673A">
        <w:trPr>
          <w:trHeight w:val="255"/>
        </w:trPr>
        <w:tc>
          <w:tcPr>
            <w:tcW w:w="4115" w:type="dxa"/>
            <w:tcBorders>
              <w:top w:val="nil"/>
              <w:left w:val="single" w:sz="4" w:space="0" w:color="auto"/>
              <w:bottom w:val="single" w:sz="4" w:space="0" w:color="auto"/>
              <w:right w:val="single" w:sz="4" w:space="0" w:color="auto"/>
            </w:tcBorders>
          </w:tcPr>
          <w:p w:rsidR="00134B51" w:rsidRPr="007D5748" w:rsidRDefault="00134B51" w:rsidP="00D5717A">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Priemerný mzdový výdavok (v eurách)</w:t>
            </w:r>
          </w:p>
        </w:tc>
        <w:tc>
          <w:tcPr>
            <w:tcW w:w="1134" w:type="dxa"/>
            <w:tcBorders>
              <w:top w:val="single" w:sz="4" w:space="0" w:color="auto"/>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single" w:sz="4" w:space="0" w:color="auto"/>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single" w:sz="4" w:space="0" w:color="auto"/>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single" w:sz="4" w:space="0" w:color="auto"/>
              <w:left w:val="nil"/>
              <w:bottom w:val="single" w:sz="4" w:space="0" w:color="auto"/>
              <w:right w:val="single" w:sz="4" w:space="0" w:color="auto"/>
            </w:tcBorders>
          </w:tcPr>
          <w:p w:rsidR="00134B51" w:rsidRPr="006C2381" w:rsidRDefault="00134B51" w:rsidP="00D5717A">
            <w:pPr>
              <w:spacing w:after="0" w:line="240" w:lineRule="auto"/>
              <w:jc w:val="center"/>
              <w:rPr>
                <w:rFonts w:ascii="Times New Roman" w:hAnsi="Times New Roman"/>
                <w:b/>
                <w:bCs/>
                <w:sz w:val="24"/>
                <w:szCs w:val="24"/>
                <w:lang w:eastAsia="sk-SK"/>
              </w:rPr>
            </w:pPr>
            <w:r w:rsidRPr="006C2381">
              <w:rPr>
                <w:rFonts w:ascii="Times New Roman" w:hAnsi="Times New Roman"/>
                <w:b/>
                <w:bCs/>
                <w:sz w:val="24"/>
                <w:szCs w:val="24"/>
                <w:lang w:eastAsia="sk-SK"/>
              </w:rPr>
              <w:t>0</w:t>
            </w:r>
          </w:p>
        </w:tc>
        <w:tc>
          <w:tcPr>
            <w:tcW w:w="1275" w:type="dxa"/>
            <w:tcBorders>
              <w:top w:val="nil"/>
              <w:left w:val="nil"/>
              <w:bottom w:val="single" w:sz="4" w:space="0" w:color="auto"/>
              <w:right w:val="single" w:sz="4" w:space="0" w:color="auto"/>
            </w:tcBorders>
            <w:noWrap/>
            <w:vAlign w:val="bottom"/>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4115" w:type="dxa"/>
            <w:tcBorders>
              <w:top w:val="nil"/>
              <w:left w:val="single" w:sz="4" w:space="0" w:color="auto"/>
              <w:bottom w:val="single" w:sz="4" w:space="0" w:color="auto"/>
              <w:right w:val="single" w:sz="4" w:space="0" w:color="auto"/>
            </w:tcBorders>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134" w:type="dxa"/>
            <w:tcBorders>
              <w:top w:val="single" w:sz="4" w:space="0" w:color="auto"/>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134" w:type="dxa"/>
            <w:tcBorders>
              <w:top w:val="single" w:sz="4" w:space="0" w:color="auto"/>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134" w:type="dxa"/>
            <w:tcBorders>
              <w:top w:val="single" w:sz="4" w:space="0" w:color="auto"/>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134" w:type="dxa"/>
            <w:tcBorders>
              <w:top w:val="single" w:sz="4" w:space="0" w:color="auto"/>
              <w:left w:val="nil"/>
              <w:bottom w:val="single" w:sz="4" w:space="0" w:color="auto"/>
              <w:right w:val="single" w:sz="4" w:space="0" w:color="auto"/>
            </w:tcBorders>
          </w:tcPr>
          <w:p w:rsidR="00134B51" w:rsidRPr="006C2381" w:rsidRDefault="00134B51" w:rsidP="00D5717A">
            <w:pPr>
              <w:spacing w:after="0" w:line="240" w:lineRule="auto"/>
              <w:jc w:val="center"/>
              <w:rPr>
                <w:rFonts w:ascii="Times New Roman" w:hAnsi="Times New Roman"/>
                <w:sz w:val="24"/>
                <w:szCs w:val="24"/>
                <w:lang w:eastAsia="sk-SK"/>
              </w:rPr>
            </w:pPr>
            <w:r w:rsidRPr="006C2381">
              <w:rPr>
                <w:rFonts w:ascii="Times New Roman" w:hAnsi="Times New Roman"/>
                <w:sz w:val="24"/>
                <w:szCs w:val="24"/>
                <w:lang w:eastAsia="sk-SK"/>
              </w:rPr>
              <w:t> 0</w:t>
            </w:r>
          </w:p>
        </w:tc>
        <w:tc>
          <w:tcPr>
            <w:tcW w:w="1275" w:type="dxa"/>
            <w:tcBorders>
              <w:top w:val="nil"/>
              <w:left w:val="nil"/>
              <w:bottom w:val="single" w:sz="4" w:space="0" w:color="auto"/>
              <w:right w:val="single" w:sz="4" w:space="0" w:color="auto"/>
            </w:tcBorders>
            <w:noWrap/>
            <w:vAlign w:val="bottom"/>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4115" w:type="dxa"/>
            <w:tcBorders>
              <w:top w:val="nil"/>
              <w:left w:val="single" w:sz="4" w:space="0" w:color="auto"/>
              <w:bottom w:val="single" w:sz="4" w:space="0" w:color="auto"/>
              <w:right w:val="single" w:sz="4" w:space="0" w:color="auto"/>
            </w:tcBorders>
            <w:shd w:val="clear" w:color="auto" w:fill="BFBFBF"/>
          </w:tcPr>
          <w:p w:rsidR="00134B51" w:rsidRPr="007D5748" w:rsidRDefault="00134B51" w:rsidP="00D5717A">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Osobné výdavky celkom (v eurách)</w:t>
            </w:r>
          </w:p>
        </w:tc>
        <w:tc>
          <w:tcPr>
            <w:tcW w:w="1134" w:type="dxa"/>
            <w:tcBorders>
              <w:top w:val="nil"/>
              <w:left w:val="nil"/>
              <w:bottom w:val="single" w:sz="4" w:space="0" w:color="auto"/>
              <w:right w:val="single" w:sz="4" w:space="0" w:color="auto"/>
            </w:tcBorders>
            <w:shd w:val="clear" w:color="auto" w:fill="BFBFBF"/>
          </w:tcPr>
          <w:p w:rsidR="00134B51" w:rsidRPr="007D5748" w:rsidRDefault="00134B51" w:rsidP="00D5717A">
            <w:pPr>
              <w:spacing w:after="0" w:line="240" w:lineRule="auto"/>
              <w:jc w:val="center"/>
              <w:rPr>
                <w:rFonts w:ascii="Times New Roman" w:hAnsi="Times New Roman"/>
                <w:b/>
                <w:bCs/>
                <w:sz w:val="24"/>
                <w:szCs w:val="24"/>
                <w:lang w:eastAsia="sk-SK"/>
              </w:rPr>
            </w:pPr>
          </w:p>
        </w:tc>
        <w:tc>
          <w:tcPr>
            <w:tcW w:w="1134" w:type="dxa"/>
            <w:tcBorders>
              <w:top w:val="nil"/>
              <w:left w:val="nil"/>
              <w:bottom w:val="single" w:sz="4" w:space="0" w:color="auto"/>
              <w:right w:val="single" w:sz="4" w:space="0" w:color="auto"/>
            </w:tcBorders>
            <w:shd w:val="clear" w:color="auto" w:fill="BFBFBF"/>
          </w:tcPr>
          <w:p w:rsidR="00134B51" w:rsidRPr="007D5748" w:rsidRDefault="00134B51" w:rsidP="00D5717A">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134" w:type="dxa"/>
            <w:tcBorders>
              <w:top w:val="nil"/>
              <w:left w:val="nil"/>
              <w:bottom w:val="single" w:sz="4" w:space="0" w:color="auto"/>
              <w:right w:val="single" w:sz="4" w:space="0" w:color="auto"/>
            </w:tcBorders>
            <w:shd w:val="clear" w:color="auto" w:fill="BFBFBF"/>
          </w:tcPr>
          <w:p w:rsidR="00134B51" w:rsidRPr="007D5748" w:rsidRDefault="00134B51" w:rsidP="00D5717A">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134" w:type="dxa"/>
            <w:tcBorders>
              <w:top w:val="nil"/>
              <w:left w:val="nil"/>
              <w:bottom w:val="single" w:sz="4" w:space="0" w:color="auto"/>
              <w:right w:val="single" w:sz="4" w:space="0" w:color="auto"/>
            </w:tcBorders>
            <w:shd w:val="clear" w:color="auto" w:fill="BFBFBF"/>
          </w:tcPr>
          <w:p w:rsidR="00134B51" w:rsidRPr="006C2381" w:rsidRDefault="00134B51" w:rsidP="00D5717A">
            <w:pPr>
              <w:spacing w:after="0" w:line="240" w:lineRule="auto"/>
              <w:jc w:val="center"/>
              <w:rPr>
                <w:rFonts w:ascii="Times New Roman" w:hAnsi="Times New Roman"/>
                <w:b/>
                <w:bCs/>
                <w:sz w:val="24"/>
                <w:szCs w:val="24"/>
                <w:lang w:eastAsia="sk-SK"/>
              </w:rPr>
            </w:pPr>
            <w:r w:rsidRPr="006C2381">
              <w:rPr>
                <w:rFonts w:ascii="Times New Roman" w:hAnsi="Times New Roman"/>
                <w:b/>
                <w:bCs/>
                <w:sz w:val="24"/>
                <w:szCs w:val="24"/>
                <w:lang w:eastAsia="sk-SK"/>
              </w:rPr>
              <w:t>0</w:t>
            </w:r>
          </w:p>
        </w:tc>
        <w:tc>
          <w:tcPr>
            <w:tcW w:w="1275" w:type="dxa"/>
            <w:tcBorders>
              <w:top w:val="nil"/>
              <w:left w:val="nil"/>
              <w:bottom w:val="single" w:sz="4" w:space="0" w:color="auto"/>
              <w:right w:val="single" w:sz="4" w:space="0" w:color="auto"/>
            </w:tcBorders>
            <w:shd w:val="clear" w:color="auto" w:fill="BFBFBF"/>
            <w:noWrap/>
            <w:vAlign w:val="bottom"/>
          </w:tcPr>
          <w:p w:rsidR="00134B51" w:rsidRPr="007D5748" w:rsidRDefault="00134B51" w:rsidP="00D5717A">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134B51" w:rsidRPr="007D5748" w:rsidTr="00AE673A">
        <w:trPr>
          <w:trHeight w:val="255"/>
        </w:trPr>
        <w:tc>
          <w:tcPr>
            <w:tcW w:w="4115" w:type="dxa"/>
            <w:tcBorders>
              <w:top w:val="nil"/>
              <w:left w:val="single" w:sz="4" w:space="0" w:color="auto"/>
              <w:bottom w:val="single" w:sz="4" w:space="0" w:color="auto"/>
              <w:right w:val="single" w:sz="4" w:space="0" w:color="auto"/>
            </w:tcBorders>
          </w:tcPr>
          <w:p w:rsidR="00134B51" w:rsidRPr="007D5748" w:rsidRDefault="00134B51" w:rsidP="00D5717A">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Mzdy, platy, služobné príjmy a ostatné osobné vyrovnania (610)</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nil"/>
              <w:left w:val="nil"/>
              <w:bottom w:val="single" w:sz="4" w:space="0" w:color="auto"/>
              <w:right w:val="single" w:sz="4" w:space="0" w:color="auto"/>
            </w:tcBorders>
          </w:tcPr>
          <w:p w:rsidR="00134B51" w:rsidRPr="006C2381" w:rsidRDefault="00134B51" w:rsidP="00D5717A">
            <w:pPr>
              <w:spacing w:after="0" w:line="240" w:lineRule="auto"/>
              <w:jc w:val="center"/>
              <w:rPr>
                <w:rFonts w:ascii="Times New Roman" w:hAnsi="Times New Roman"/>
                <w:b/>
                <w:bCs/>
                <w:sz w:val="24"/>
                <w:szCs w:val="24"/>
                <w:lang w:eastAsia="sk-SK"/>
              </w:rPr>
            </w:pPr>
            <w:r w:rsidRPr="006C2381">
              <w:rPr>
                <w:rFonts w:ascii="Times New Roman" w:hAnsi="Times New Roman"/>
                <w:b/>
                <w:bCs/>
                <w:sz w:val="24"/>
                <w:szCs w:val="24"/>
                <w:lang w:eastAsia="sk-SK"/>
              </w:rPr>
              <w:t>0</w:t>
            </w:r>
          </w:p>
        </w:tc>
        <w:tc>
          <w:tcPr>
            <w:tcW w:w="1275" w:type="dxa"/>
            <w:tcBorders>
              <w:top w:val="nil"/>
              <w:left w:val="nil"/>
              <w:bottom w:val="single" w:sz="4" w:space="0" w:color="auto"/>
              <w:right w:val="single" w:sz="4" w:space="0" w:color="auto"/>
            </w:tcBorders>
            <w:noWrap/>
            <w:vAlign w:val="bottom"/>
          </w:tcPr>
          <w:p w:rsidR="00134B51" w:rsidRPr="007D5748" w:rsidRDefault="00134B51" w:rsidP="00D5717A">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134B51" w:rsidRPr="007D5748" w:rsidTr="00AE673A">
        <w:trPr>
          <w:trHeight w:val="255"/>
        </w:trPr>
        <w:tc>
          <w:tcPr>
            <w:tcW w:w="4115" w:type="dxa"/>
            <w:tcBorders>
              <w:top w:val="nil"/>
              <w:left w:val="single" w:sz="4" w:space="0" w:color="auto"/>
              <w:bottom w:val="single" w:sz="4" w:space="0" w:color="auto"/>
              <w:right w:val="single" w:sz="4" w:space="0" w:color="auto"/>
            </w:tcBorders>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134" w:type="dxa"/>
            <w:tcBorders>
              <w:top w:val="nil"/>
              <w:left w:val="nil"/>
              <w:bottom w:val="single" w:sz="4" w:space="0" w:color="auto"/>
              <w:right w:val="single" w:sz="4" w:space="0" w:color="auto"/>
            </w:tcBorders>
          </w:tcPr>
          <w:p w:rsidR="00134B51" w:rsidRPr="006C2381" w:rsidRDefault="00134B51" w:rsidP="00D5717A">
            <w:pPr>
              <w:spacing w:after="0" w:line="240" w:lineRule="auto"/>
              <w:jc w:val="center"/>
              <w:rPr>
                <w:rFonts w:ascii="Times New Roman" w:hAnsi="Times New Roman"/>
                <w:sz w:val="24"/>
                <w:szCs w:val="24"/>
                <w:lang w:eastAsia="sk-SK"/>
              </w:rPr>
            </w:pPr>
            <w:r w:rsidRPr="006C2381">
              <w:rPr>
                <w:rFonts w:ascii="Times New Roman" w:hAnsi="Times New Roman"/>
                <w:sz w:val="24"/>
                <w:szCs w:val="24"/>
                <w:lang w:eastAsia="sk-SK"/>
              </w:rPr>
              <w:t>0</w:t>
            </w:r>
          </w:p>
        </w:tc>
        <w:tc>
          <w:tcPr>
            <w:tcW w:w="1275" w:type="dxa"/>
            <w:tcBorders>
              <w:top w:val="nil"/>
              <w:left w:val="nil"/>
              <w:bottom w:val="single" w:sz="4" w:space="0" w:color="auto"/>
              <w:right w:val="single" w:sz="4" w:space="0" w:color="auto"/>
            </w:tcBorders>
            <w:noWrap/>
            <w:vAlign w:val="bottom"/>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4115" w:type="dxa"/>
            <w:tcBorders>
              <w:top w:val="nil"/>
              <w:left w:val="single" w:sz="4" w:space="0" w:color="auto"/>
              <w:bottom w:val="single" w:sz="4" w:space="0" w:color="auto"/>
              <w:right w:val="single" w:sz="4" w:space="0" w:color="auto"/>
            </w:tcBorders>
          </w:tcPr>
          <w:p w:rsidR="00134B51" w:rsidRPr="007D5748" w:rsidRDefault="00134B51" w:rsidP="00D5717A">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Poistné a príspevok do poisťovní (620)</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134" w:type="dxa"/>
            <w:tcBorders>
              <w:top w:val="nil"/>
              <w:left w:val="nil"/>
              <w:bottom w:val="single" w:sz="4" w:space="0" w:color="auto"/>
              <w:right w:val="single" w:sz="4" w:space="0" w:color="auto"/>
            </w:tcBorders>
          </w:tcPr>
          <w:p w:rsidR="00134B51" w:rsidRPr="006C2381" w:rsidRDefault="00134B51" w:rsidP="00D5717A">
            <w:pPr>
              <w:spacing w:after="0" w:line="240" w:lineRule="auto"/>
              <w:jc w:val="center"/>
              <w:rPr>
                <w:rFonts w:ascii="Times New Roman" w:hAnsi="Times New Roman"/>
                <w:b/>
                <w:bCs/>
                <w:sz w:val="24"/>
                <w:szCs w:val="24"/>
                <w:lang w:eastAsia="sk-SK"/>
              </w:rPr>
            </w:pPr>
            <w:r w:rsidRPr="006C2381">
              <w:rPr>
                <w:rFonts w:ascii="Times New Roman" w:hAnsi="Times New Roman"/>
                <w:b/>
                <w:bCs/>
                <w:sz w:val="24"/>
                <w:szCs w:val="24"/>
                <w:lang w:eastAsia="sk-SK"/>
              </w:rPr>
              <w:t>0</w:t>
            </w:r>
          </w:p>
        </w:tc>
        <w:tc>
          <w:tcPr>
            <w:tcW w:w="1275" w:type="dxa"/>
            <w:tcBorders>
              <w:top w:val="nil"/>
              <w:left w:val="nil"/>
              <w:bottom w:val="single" w:sz="4" w:space="0" w:color="auto"/>
              <w:right w:val="single" w:sz="4" w:space="0" w:color="auto"/>
            </w:tcBorders>
            <w:noWrap/>
            <w:vAlign w:val="bottom"/>
          </w:tcPr>
          <w:p w:rsidR="00134B51" w:rsidRPr="007D5748" w:rsidRDefault="00134B51" w:rsidP="00D5717A">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134B51" w:rsidRPr="007D5748" w:rsidTr="00AE673A">
        <w:trPr>
          <w:trHeight w:val="255"/>
        </w:trPr>
        <w:tc>
          <w:tcPr>
            <w:tcW w:w="4115" w:type="dxa"/>
            <w:tcBorders>
              <w:top w:val="nil"/>
              <w:left w:val="single" w:sz="4" w:space="0" w:color="auto"/>
              <w:bottom w:val="single" w:sz="4" w:space="0" w:color="auto"/>
              <w:right w:val="single" w:sz="4" w:space="0" w:color="auto"/>
            </w:tcBorders>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134" w:type="dxa"/>
            <w:tcBorders>
              <w:top w:val="nil"/>
              <w:left w:val="nil"/>
              <w:bottom w:val="single" w:sz="4" w:space="0" w:color="auto"/>
              <w:right w:val="single" w:sz="4" w:space="0" w:color="auto"/>
            </w:tcBorders>
          </w:tcPr>
          <w:p w:rsidR="00134B51" w:rsidRPr="007D5748" w:rsidRDefault="00134B51" w:rsidP="00D5717A">
            <w:pPr>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134" w:type="dxa"/>
            <w:tcBorders>
              <w:top w:val="nil"/>
              <w:left w:val="nil"/>
              <w:bottom w:val="single" w:sz="4" w:space="0" w:color="auto"/>
              <w:right w:val="single" w:sz="4" w:space="0" w:color="auto"/>
            </w:tcBorders>
          </w:tcPr>
          <w:p w:rsidR="00134B51" w:rsidRPr="006C2381" w:rsidRDefault="00134B51" w:rsidP="00D5717A">
            <w:pPr>
              <w:spacing w:after="0" w:line="240" w:lineRule="auto"/>
              <w:jc w:val="center"/>
              <w:rPr>
                <w:rFonts w:ascii="Times New Roman" w:hAnsi="Times New Roman"/>
                <w:sz w:val="24"/>
                <w:szCs w:val="24"/>
                <w:lang w:eastAsia="sk-SK"/>
              </w:rPr>
            </w:pPr>
            <w:r w:rsidRPr="006C2381">
              <w:rPr>
                <w:rFonts w:ascii="Times New Roman" w:hAnsi="Times New Roman"/>
                <w:sz w:val="24"/>
                <w:szCs w:val="24"/>
                <w:lang w:eastAsia="sk-SK"/>
              </w:rPr>
              <w:t>0</w:t>
            </w:r>
          </w:p>
        </w:tc>
        <w:tc>
          <w:tcPr>
            <w:tcW w:w="1275" w:type="dxa"/>
            <w:tcBorders>
              <w:top w:val="nil"/>
              <w:left w:val="nil"/>
              <w:bottom w:val="single" w:sz="4" w:space="0" w:color="auto"/>
              <w:right w:val="single" w:sz="4" w:space="0" w:color="auto"/>
            </w:tcBorders>
            <w:noWrap/>
            <w:vAlign w:val="bottom"/>
          </w:tcPr>
          <w:p w:rsidR="00134B51" w:rsidRPr="007D5748" w:rsidRDefault="00134B51" w:rsidP="00D5717A">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134B51" w:rsidRPr="007D5748" w:rsidTr="00AE673A">
        <w:trPr>
          <w:trHeight w:val="255"/>
        </w:trPr>
        <w:tc>
          <w:tcPr>
            <w:tcW w:w="4115" w:type="dxa"/>
            <w:tcBorders>
              <w:top w:val="nil"/>
              <w:left w:val="nil"/>
              <w:bottom w:val="nil"/>
              <w:right w:val="nil"/>
            </w:tcBorders>
            <w:noWrap/>
            <w:vAlign w:val="bottom"/>
          </w:tcPr>
          <w:p w:rsidR="00134B51" w:rsidRPr="007D5748" w:rsidRDefault="00134B51" w:rsidP="00D5717A">
            <w:pPr>
              <w:spacing w:after="0" w:line="240" w:lineRule="auto"/>
              <w:rPr>
                <w:rFonts w:ascii="Times New Roman" w:hAnsi="Times New Roman"/>
                <w:sz w:val="24"/>
                <w:szCs w:val="24"/>
                <w:lang w:eastAsia="sk-SK"/>
              </w:rPr>
            </w:pPr>
          </w:p>
        </w:tc>
        <w:tc>
          <w:tcPr>
            <w:tcW w:w="1134" w:type="dxa"/>
            <w:tcBorders>
              <w:top w:val="nil"/>
              <w:left w:val="nil"/>
              <w:bottom w:val="nil"/>
              <w:right w:val="nil"/>
            </w:tcBorders>
            <w:noWrap/>
            <w:vAlign w:val="bottom"/>
          </w:tcPr>
          <w:p w:rsidR="00134B51" w:rsidRPr="007D5748" w:rsidRDefault="00134B51" w:rsidP="00D5717A">
            <w:pPr>
              <w:spacing w:after="0" w:line="240" w:lineRule="auto"/>
              <w:rPr>
                <w:rFonts w:ascii="Times New Roman" w:hAnsi="Times New Roman"/>
                <w:sz w:val="24"/>
                <w:szCs w:val="24"/>
                <w:lang w:eastAsia="sk-SK"/>
              </w:rPr>
            </w:pPr>
          </w:p>
        </w:tc>
        <w:tc>
          <w:tcPr>
            <w:tcW w:w="1134" w:type="dxa"/>
            <w:tcBorders>
              <w:top w:val="nil"/>
              <w:left w:val="nil"/>
              <w:bottom w:val="nil"/>
              <w:right w:val="nil"/>
            </w:tcBorders>
            <w:noWrap/>
            <w:vAlign w:val="bottom"/>
          </w:tcPr>
          <w:p w:rsidR="00134B51" w:rsidRPr="007D5748" w:rsidRDefault="00134B51" w:rsidP="00D5717A">
            <w:pPr>
              <w:spacing w:after="0" w:line="240" w:lineRule="auto"/>
              <w:rPr>
                <w:rFonts w:ascii="Times New Roman" w:hAnsi="Times New Roman"/>
                <w:sz w:val="24"/>
                <w:szCs w:val="24"/>
                <w:lang w:eastAsia="sk-SK"/>
              </w:rPr>
            </w:pPr>
          </w:p>
        </w:tc>
        <w:tc>
          <w:tcPr>
            <w:tcW w:w="1134" w:type="dxa"/>
            <w:tcBorders>
              <w:top w:val="nil"/>
              <w:left w:val="nil"/>
              <w:bottom w:val="nil"/>
              <w:right w:val="nil"/>
            </w:tcBorders>
            <w:noWrap/>
            <w:vAlign w:val="bottom"/>
          </w:tcPr>
          <w:p w:rsidR="00134B51" w:rsidRPr="007D5748" w:rsidRDefault="00134B51" w:rsidP="00D5717A">
            <w:pPr>
              <w:spacing w:after="0" w:line="240" w:lineRule="auto"/>
              <w:rPr>
                <w:rFonts w:ascii="Times New Roman" w:hAnsi="Times New Roman"/>
                <w:sz w:val="24"/>
                <w:szCs w:val="24"/>
                <w:lang w:eastAsia="sk-SK"/>
              </w:rPr>
            </w:pPr>
          </w:p>
        </w:tc>
        <w:tc>
          <w:tcPr>
            <w:tcW w:w="1134" w:type="dxa"/>
            <w:tcBorders>
              <w:top w:val="nil"/>
              <w:left w:val="nil"/>
              <w:bottom w:val="nil"/>
              <w:right w:val="nil"/>
            </w:tcBorders>
            <w:noWrap/>
            <w:vAlign w:val="bottom"/>
          </w:tcPr>
          <w:p w:rsidR="00134B51" w:rsidRPr="007D5748" w:rsidRDefault="00134B51" w:rsidP="00D5717A">
            <w:pPr>
              <w:spacing w:after="0" w:line="240" w:lineRule="auto"/>
              <w:rPr>
                <w:rFonts w:ascii="Times New Roman" w:hAnsi="Times New Roman"/>
                <w:sz w:val="24"/>
                <w:szCs w:val="24"/>
                <w:lang w:eastAsia="sk-SK"/>
              </w:rPr>
            </w:pPr>
          </w:p>
        </w:tc>
        <w:tc>
          <w:tcPr>
            <w:tcW w:w="1275" w:type="dxa"/>
            <w:tcBorders>
              <w:top w:val="nil"/>
              <w:left w:val="nil"/>
              <w:bottom w:val="nil"/>
              <w:right w:val="nil"/>
            </w:tcBorders>
            <w:noWrap/>
            <w:vAlign w:val="bottom"/>
          </w:tcPr>
          <w:p w:rsidR="00134B51" w:rsidRPr="007D5748" w:rsidRDefault="00134B51" w:rsidP="00D5717A">
            <w:pPr>
              <w:spacing w:after="0" w:line="240" w:lineRule="auto"/>
              <w:rPr>
                <w:rFonts w:ascii="Times New Roman" w:hAnsi="Times New Roman"/>
                <w:sz w:val="24"/>
                <w:szCs w:val="24"/>
                <w:lang w:eastAsia="sk-SK"/>
              </w:rPr>
            </w:pPr>
          </w:p>
        </w:tc>
      </w:tr>
    </w:tbl>
    <w:p w:rsidR="00AE673A" w:rsidRDefault="00AE673A" w:rsidP="00AE673A">
      <w:pPr>
        <w:spacing w:after="0" w:line="240" w:lineRule="auto"/>
        <w:jc w:val="both"/>
      </w:pPr>
    </w:p>
    <w:p w:rsidR="00AE673A" w:rsidRDefault="00AE673A" w:rsidP="00AE673A">
      <w:pPr>
        <w:spacing w:after="0" w:line="240" w:lineRule="auto"/>
        <w:jc w:val="both"/>
        <w:rPr>
          <w:rFonts w:ascii="Times New Roman" w:hAnsi="Times New Roman" w:cs="Times New Roman"/>
          <w:b/>
          <w:bCs/>
          <w:sz w:val="24"/>
          <w:szCs w:val="24"/>
          <w:u w:val="single"/>
          <w:lang w:eastAsia="sk-SK"/>
        </w:rPr>
      </w:pPr>
      <w:r>
        <w:br w:type="page"/>
      </w: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E673A" w:rsidTr="00D5717A">
        <w:trPr>
          <w:trHeight w:val="534"/>
          <w:jc w:val="center"/>
        </w:trPr>
        <w:tc>
          <w:tcPr>
            <w:tcW w:w="5000" w:type="pct"/>
            <w:shd w:val="clear" w:color="auto" w:fill="D9D9D9"/>
            <w:hideMark/>
          </w:tcPr>
          <w:p w:rsidR="00AE673A" w:rsidRDefault="00AE673A" w:rsidP="00D5717A">
            <w:pPr>
              <w:spacing w:after="0" w:line="240" w:lineRule="auto"/>
              <w:ind w:left="-284" w:firstLine="284"/>
              <w:jc w:val="center"/>
              <w:rPr>
                <w:rFonts w:ascii="Times New Roman" w:hAnsi="Times New Roman" w:cs="Times New Roman"/>
                <w:b/>
                <w:lang w:eastAsia="sk-SK"/>
              </w:rPr>
            </w:pPr>
            <w:r>
              <w:rPr>
                <w:rFonts w:ascii="Times New Roman" w:hAnsi="Times New Roman" w:cs="Times New Roman"/>
                <w:b/>
                <w:sz w:val="28"/>
                <w:lang w:eastAsia="sk-SK"/>
              </w:rPr>
              <w:lastRenderedPageBreak/>
              <w:t>Analýza sociálnych vplyvov</w:t>
            </w:r>
          </w:p>
          <w:p w:rsidR="00AE673A" w:rsidRDefault="00AE673A" w:rsidP="00D5717A">
            <w:pPr>
              <w:spacing w:after="0" w:line="240" w:lineRule="auto"/>
              <w:jc w:val="center"/>
              <w:rPr>
                <w:rFonts w:ascii="Times New Roman" w:hAnsi="Times New Roman" w:cs="Times New Roman"/>
                <w:b/>
                <w:lang w:eastAsia="sk-SK"/>
              </w:rPr>
            </w:pPr>
            <w:r>
              <w:rPr>
                <w:rFonts w:ascii="Times New Roman" w:hAnsi="Times New Roman" w:cs="Times New Roman"/>
                <w:b/>
                <w:sz w:val="24"/>
                <w:lang w:eastAsia="sk-SK"/>
              </w:rPr>
              <w:t>Vplyvy na hospodárenie domácností, prístup k zdrojom, právam, tovarom a službám, sociálnu inklúziu, rovnosť príležitostí a rodovú rovnosť a vplyvy na zamestnanosť</w:t>
            </w:r>
          </w:p>
        </w:tc>
      </w:tr>
      <w:tr w:rsidR="00AE673A" w:rsidTr="00D5717A">
        <w:trPr>
          <w:jc w:val="center"/>
        </w:trPr>
        <w:tc>
          <w:tcPr>
            <w:tcW w:w="5000" w:type="pct"/>
            <w:tcBorders>
              <w:bottom w:val="nil"/>
            </w:tcBorders>
            <w:shd w:val="clear" w:color="auto" w:fill="D9D9D9"/>
            <w:hideMark/>
          </w:tcPr>
          <w:p w:rsidR="00AE673A" w:rsidRDefault="00AE673A" w:rsidP="00D5717A">
            <w:pPr>
              <w:spacing w:after="0" w:line="240" w:lineRule="auto"/>
              <w:rPr>
                <w:rFonts w:ascii="Times New Roman" w:hAnsi="Times New Roman" w:cs="Times New Roman"/>
                <w:b/>
                <w:sz w:val="24"/>
                <w:lang w:eastAsia="sk-SK"/>
              </w:rPr>
            </w:pPr>
            <w:r>
              <w:rPr>
                <w:rFonts w:ascii="Times New Roman" w:hAnsi="Times New Roman" w:cs="Times New Roman"/>
                <w:b/>
                <w:lang w:eastAsia="sk-SK"/>
              </w:rPr>
              <w:t xml:space="preserve">4.1 </w:t>
            </w:r>
            <w:r>
              <w:rPr>
                <w:rFonts w:ascii="Times New Roman" w:hAnsi="Times New Roman" w:cs="Times New Roman"/>
                <w:b/>
                <w:sz w:val="24"/>
                <w:lang w:eastAsia="sk-SK"/>
              </w:rPr>
              <w:t>Identifikujte, popíšte a kvantifikujte vplyv na hospodárenie domácností a špecifikujte ovplyvnené skupiny domácností, ktoré budú pozitívne/negatívne ovplyvnené.</w:t>
            </w:r>
          </w:p>
        </w:tc>
      </w:tr>
    </w:tbl>
    <w:p w:rsidR="00AE673A" w:rsidRDefault="00AE673A" w:rsidP="00AE673A">
      <w:pPr>
        <w:spacing w:after="0" w:line="240" w:lineRule="auto"/>
        <w:rPr>
          <w:rFonts w:ascii="Times New Roman" w:hAnsi="Times New Roman" w:cs="Times New Roman"/>
          <w:i/>
          <w:sz w:val="20"/>
          <w:szCs w:val="20"/>
          <w:lang w:eastAsia="sk-SK"/>
        </w:rPr>
        <w:sectPr w:rsidR="00AE673A" w:rsidSect="00E2751D">
          <w:headerReference w:type="default" r:id="rId14"/>
          <w:footnotePr>
            <w:numFmt w:val="chicago"/>
          </w:footnotePr>
          <w:type w:val="continuous"/>
          <w:pgSz w:w="11906" w:h="16838"/>
          <w:pgMar w:top="1134" w:right="1418" w:bottom="1134" w:left="1418" w:header="510" w:footer="567" w:gutter="0"/>
          <w:cols w:space="708"/>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E673A" w:rsidTr="00D5717A">
        <w:trPr>
          <w:trHeight w:val="736"/>
          <w:jc w:val="center"/>
        </w:trPr>
        <w:tc>
          <w:tcPr>
            <w:tcW w:w="5000" w:type="pct"/>
            <w:shd w:val="clear" w:color="auto" w:fill="F2F2F2"/>
            <w:hideMark/>
          </w:tcPr>
          <w:p w:rsidR="00AE673A" w:rsidRDefault="00AE673A" w:rsidP="00D5717A">
            <w:pPr>
              <w:shd w:val="clear" w:color="auto" w:fill="F2F2F2"/>
              <w:spacing w:after="0" w:line="240" w:lineRule="auto"/>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Vedie návrh k zvýšeniu alebo zníženiu príjmov alebo výdavkov domácností? </w:t>
            </w:r>
          </w:p>
          <w:p w:rsidR="00AE673A" w:rsidRDefault="00AE673A" w:rsidP="00D5717A">
            <w:pPr>
              <w:shd w:val="clear" w:color="auto" w:fill="F2F2F2"/>
              <w:spacing w:after="0" w:line="240" w:lineRule="auto"/>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Ktoré skupiny domácností/obyvateľstva sú takto ovplyvnené a akým spôsobom? </w:t>
            </w:r>
          </w:p>
          <w:p w:rsidR="00AE673A" w:rsidRDefault="00AE673A" w:rsidP="00D5717A">
            <w:pPr>
              <w:shd w:val="clear" w:color="auto" w:fill="F2F2F2"/>
              <w:spacing w:after="0" w:line="240" w:lineRule="auto"/>
              <w:rPr>
                <w:rFonts w:cs="Times New Roman"/>
                <w:i/>
                <w:sz w:val="20"/>
                <w:szCs w:val="20"/>
                <w:lang w:eastAsia="sk-SK"/>
              </w:rPr>
            </w:pPr>
            <w:r>
              <w:rPr>
                <w:rFonts w:ascii="Times New Roman" w:hAnsi="Times New Roman" w:cs="Times New Roman"/>
                <w:i/>
                <w:sz w:val="20"/>
                <w:szCs w:val="20"/>
                <w:lang w:eastAsia="sk-SK"/>
              </w:rPr>
              <w:t>Sú medzi potenciálne ovplyvnenými skupinami skupiny v riziku chudoby alebo sociálneho vylúčenia?</w:t>
            </w:r>
          </w:p>
        </w:tc>
      </w:tr>
    </w:tbl>
    <w:p w:rsidR="00AE673A" w:rsidRDefault="00AE673A" w:rsidP="00AE673A">
      <w:pPr>
        <w:spacing w:after="0" w:line="240" w:lineRule="auto"/>
        <w:rPr>
          <w:rFonts w:ascii="Times New Roman" w:hAnsi="Times New Roman" w:cs="Times New Roman"/>
          <w:i/>
          <w:sz w:val="20"/>
          <w:szCs w:val="20"/>
          <w:lang w:eastAsia="sk-SK"/>
        </w:rPr>
        <w:sectPr w:rsidR="00AE673A">
          <w:footnotePr>
            <w:numFmt w:val="chicago"/>
          </w:footnotePr>
          <w:type w:val="continuous"/>
          <w:pgSz w:w="11906" w:h="16838"/>
          <w:pgMar w:top="1134" w:right="1418" w:bottom="1134" w:left="1418" w:header="510" w:footer="567" w:gutter="0"/>
          <w:cols w:space="708"/>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AE673A" w:rsidTr="00AE673A">
        <w:trPr>
          <w:trHeight w:val="5975"/>
          <w:jc w:val="center"/>
        </w:trPr>
        <w:tc>
          <w:tcPr>
            <w:tcW w:w="2500" w:type="pct"/>
            <w:tcBorders>
              <w:top w:val="nil"/>
              <w:bottom w:val="dotted" w:sz="4" w:space="0" w:color="auto"/>
            </w:tcBorders>
            <w:hideMark/>
          </w:tcPr>
          <w:p w:rsidR="00AE673A" w:rsidRDefault="00AE673A" w:rsidP="00D5717A">
            <w:pPr>
              <w:spacing w:after="0" w:line="240" w:lineRule="auto"/>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Popíšte </w:t>
            </w:r>
            <w:r>
              <w:rPr>
                <w:rFonts w:ascii="Times New Roman" w:hAnsi="Times New Roman" w:cs="Times New Roman"/>
                <w:b/>
                <w:i/>
                <w:sz w:val="20"/>
                <w:szCs w:val="20"/>
                <w:lang w:eastAsia="sk-SK"/>
              </w:rPr>
              <w:t>pozitívny</w:t>
            </w:r>
            <w:r>
              <w:rPr>
                <w:rFonts w:ascii="Times New Roman" w:hAnsi="Times New Roman" w:cs="Times New Roman"/>
                <w:i/>
                <w:sz w:val="20"/>
                <w:szCs w:val="20"/>
                <w:lang w:eastAsia="sk-SK"/>
              </w:rPr>
              <w:t xml:space="preserve"> vplyv na hospodárenie domácností s uvedením, či ide o zvýšenie príjmov alebo zníženie výdavkov:</w:t>
            </w:r>
          </w:p>
        </w:tc>
        <w:tc>
          <w:tcPr>
            <w:tcW w:w="2500" w:type="pct"/>
            <w:tcBorders>
              <w:top w:val="nil"/>
              <w:bottom w:val="dotted" w:sz="4" w:space="0" w:color="auto"/>
            </w:tcBorders>
            <w:hideMark/>
          </w:tcPr>
          <w:p w:rsidR="00AE673A" w:rsidRDefault="00AE673A" w:rsidP="003975C8">
            <w:pPr>
              <w:pStyle w:val="Zkladntext"/>
              <w:overflowPunct w:val="0"/>
              <w:autoSpaceDE w:val="0"/>
              <w:autoSpaceDN w:val="0"/>
              <w:adjustRightInd w:val="0"/>
              <w:spacing w:line="276" w:lineRule="auto"/>
              <w:jc w:val="both"/>
              <w:textAlignment w:val="baseline"/>
              <w:rPr>
                <w:rFonts w:ascii="Times New Roman" w:hAnsi="Times New Roman" w:cs="Times New Roman"/>
                <w:i/>
                <w:lang w:eastAsia="en-US"/>
              </w:rPr>
            </w:pPr>
            <w:r w:rsidRPr="003F6E8D">
              <w:rPr>
                <w:rFonts w:ascii="Times New Roman" w:hAnsi="Times New Roman" w:cs="Times New Roman"/>
                <w:i/>
                <w:color w:val="auto"/>
                <w:lang w:eastAsia="en-US"/>
              </w:rPr>
              <w:t>Návrh zákona má pozitívny vplyv na výšku nominálnych hodnôt dávok výsluhového dôchodku, invalidného výsluhového dôchodku</w:t>
            </w:r>
            <w:r>
              <w:rPr>
                <w:rFonts w:ascii="Times New Roman" w:hAnsi="Times New Roman" w:cs="Times New Roman"/>
                <w:i/>
                <w:color w:val="auto"/>
                <w:lang w:eastAsia="en-US"/>
              </w:rPr>
              <w:t>,</w:t>
            </w:r>
            <w:r w:rsidRPr="003F6E8D">
              <w:rPr>
                <w:rFonts w:ascii="Times New Roman" w:hAnsi="Times New Roman" w:cs="Times New Roman"/>
                <w:i/>
                <w:color w:val="auto"/>
                <w:lang w:eastAsia="en-US"/>
              </w:rPr>
              <w:t xml:space="preserve"> vdovského výsluhového dôchodku, vdoveckého výsluhového dôchodku, a sirotského výsluhového dôchodku (ďalej len „dôchodková dávka výsluhového zabezpečenia“)</w:t>
            </w:r>
            <w:r w:rsidRPr="003F6E8D">
              <w:rPr>
                <w:i/>
                <w:color w:val="auto"/>
                <w:lang w:eastAsia="en-US"/>
              </w:rPr>
              <w:t xml:space="preserve"> </w:t>
            </w:r>
            <w:r>
              <w:rPr>
                <w:rFonts w:ascii="Times New Roman" w:hAnsi="Times New Roman" w:cs="Times New Roman"/>
                <w:i/>
                <w:color w:val="auto"/>
                <w:lang w:eastAsia="en-US"/>
              </w:rPr>
              <w:t>u </w:t>
            </w:r>
            <w:r w:rsidRPr="00601452">
              <w:rPr>
                <w:rFonts w:ascii="Times New Roman" w:hAnsi="Times New Roman" w:cs="Times New Roman"/>
                <w:i/>
                <w:color w:val="auto"/>
                <w:lang w:eastAsia="en-US"/>
              </w:rPr>
              <w:t>dotknutého okruhu</w:t>
            </w:r>
            <w:r>
              <w:rPr>
                <w:rFonts w:ascii="Times New Roman" w:hAnsi="Times New Roman" w:cs="Times New Roman"/>
                <w:i/>
                <w:color w:val="auto"/>
                <w:lang w:eastAsia="en-US"/>
              </w:rPr>
              <w:t xml:space="preserve"> poberateľov. To znamená, že návrh zákona predstavuje zvýšenie príjmov domácností. Cieľom návrhu zákona je zvýšenie, valorizácia dôchodkových dávok výsluhového zabezpečenia v rokoch 2019 až 2021, ktoré sú uhrádzané z osobitných </w:t>
            </w:r>
            <w:r w:rsidRPr="00BD33C4">
              <w:rPr>
                <w:rFonts w:ascii="Times New Roman" w:hAnsi="Times New Roman" w:cs="Times New Roman"/>
                <w:i/>
                <w:color w:val="auto"/>
                <w:lang w:eastAsia="en-US"/>
              </w:rPr>
              <w:t>účtov</w:t>
            </w:r>
            <w:r w:rsidRPr="00BD33C4">
              <w:rPr>
                <w:rFonts w:ascii="Times New Roman" w:hAnsi="Times New Roman"/>
                <w:i/>
              </w:rPr>
              <w:t xml:space="preserve"> útvarov sociálneho zabezpečenia Ministerstva vnútra SR, Slovenskej informačnej služby, Národného bezpečnostného úradu, Finančného riaditeľstva SR, Zboru väzenskej a justičnej stráže (ďalej len „útvar</w:t>
            </w:r>
            <w:r w:rsidR="003975C8">
              <w:rPr>
                <w:rFonts w:ascii="Times New Roman" w:hAnsi="Times New Roman"/>
                <w:i/>
              </w:rPr>
              <w:t>y</w:t>
            </w:r>
            <w:r w:rsidRPr="00BD33C4">
              <w:rPr>
                <w:rFonts w:ascii="Times New Roman" w:hAnsi="Times New Roman"/>
                <w:i/>
              </w:rPr>
              <w:t xml:space="preserve"> sociálneho zabezpečenia“) a Vojenského úradu sociálneho zabezpečenia</w:t>
            </w:r>
            <w:r w:rsidRPr="00BD33C4">
              <w:rPr>
                <w:rFonts w:ascii="Times New Roman" w:hAnsi="Times New Roman" w:cs="Times New Roman"/>
                <w:i/>
                <w:color w:val="auto"/>
                <w:lang w:eastAsia="en-US"/>
              </w:rPr>
              <w:t>.</w:t>
            </w:r>
            <w:r>
              <w:rPr>
                <w:rFonts w:ascii="Times New Roman" w:hAnsi="Times New Roman" w:cs="Times New Roman"/>
                <w:i/>
                <w:color w:val="auto"/>
                <w:lang w:eastAsia="en-US"/>
              </w:rPr>
              <w:t xml:space="preserve"> Výsluhový dôchodok sa od  roku 2019 do roku 2021 bude zvyšovať pevnou sumou v závislosti na celkovej dobe trvania služobného pomeru </w:t>
            </w:r>
            <w:r w:rsidRPr="003F6E8D">
              <w:rPr>
                <w:rFonts w:ascii="Times New Roman" w:hAnsi="Times New Roman" w:cs="Times New Roman"/>
                <w:i/>
                <w:color w:val="auto"/>
                <w:lang w:eastAsia="en-US"/>
              </w:rPr>
              <w:t xml:space="preserve">a </w:t>
            </w:r>
            <w:r>
              <w:rPr>
                <w:rFonts w:ascii="Times New Roman" w:hAnsi="Times New Roman" w:cs="Times New Roman"/>
                <w:i/>
                <w:color w:val="auto"/>
                <w:lang w:eastAsia="en-US"/>
              </w:rPr>
              <w:t xml:space="preserve">pokiaľ ide o pozostalostné </w:t>
            </w:r>
            <w:r w:rsidRPr="00BD33C4">
              <w:rPr>
                <w:rFonts w:ascii="Times New Roman" w:hAnsi="Times New Roman" w:cs="Times New Roman"/>
                <w:i/>
                <w:color w:val="auto"/>
                <w:lang w:eastAsia="en-US"/>
              </w:rPr>
              <w:t>dôchodkové</w:t>
            </w:r>
            <w:r>
              <w:rPr>
                <w:rFonts w:ascii="Times New Roman" w:hAnsi="Times New Roman" w:cs="Times New Roman"/>
                <w:i/>
                <w:color w:val="auto"/>
                <w:lang w:eastAsia="en-US"/>
              </w:rPr>
              <w:t xml:space="preserve"> dávky a invalidný výsluhový dôchodok, tieto sa v rokoch 2019 až 2021 zvýšia rovnakou pevnou sumou. </w:t>
            </w:r>
          </w:p>
        </w:tc>
      </w:tr>
      <w:tr w:rsidR="00AE673A" w:rsidTr="00D5717A">
        <w:trPr>
          <w:trHeight w:val="624"/>
          <w:jc w:val="center"/>
        </w:trPr>
        <w:tc>
          <w:tcPr>
            <w:tcW w:w="2500" w:type="pct"/>
            <w:tcBorders>
              <w:top w:val="dotted" w:sz="4" w:space="0" w:color="auto"/>
            </w:tcBorders>
            <w:hideMark/>
          </w:tcPr>
          <w:p w:rsidR="00AE673A" w:rsidRDefault="00AE673A" w:rsidP="00D5717A">
            <w:pPr>
              <w:spacing w:after="0" w:line="240" w:lineRule="auto"/>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Špecifikujte </w:t>
            </w:r>
            <w:r>
              <w:rPr>
                <w:rFonts w:ascii="Times New Roman" w:hAnsi="Times New Roman" w:cs="Times New Roman"/>
                <w:b/>
                <w:i/>
                <w:sz w:val="20"/>
                <w:szCs w:val="20"/>
                <w:lang w:eastAsia="sk-SK"/>
              </w:rPr>
              <w:t>pozitívne</w:t>
            </w:r>
            <w:r>
              <w:rPr>
                <w:rFonts w:ascii="Times New Roman" w:hAnsi="Times New Roman" w:cs="Times New Roman"/>
                <w:i/>
                <w:sz w:val="20"/>
                <w:szCs w:val="20"/>
                <w:lang w:eastAsia="sk-SK"/>
              </w:rPr>
              <w:t xml:space="preserve"> ovplyvnené skupiny:</w:t>
            </w:r>
          </w:p>
        </w:tc>
        <w:tc>
          <w:tcPr>
            <w:tcW w:w="2500" w:type="pct"/>
            <w:tcBorders>
              <w:top w:val="dotted" w:sz="4" w:space="0" w:color="auto"/>
            </w:tcBorders>
            <w:hideMark/>
          </w:tcPr>
          <w:p w:rsidR="00AE673A" w:rsidRDefault="00AE673A" w:rsidP="00D5717A">
            <w:pPr>
              <w:jc w:val="both"/>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Poberatelia výsluhového dôchodku, invalidného výsluhového dôchodku, vdovského výsluhového dôchodku, vdoveckého výsluhového dôchodku a sirotského výsluhového dôchodku  </w:t>
            </w:r>
          </w:p>
        </w:tc>
      </w:tr>
      <w:tr w:rsidR="00AE673A" w:rsidTr="00D5717A">
        <w:trPr>
          <w:trHeight w:val="759"/>
          <w:jc w:val="center"/>
        </w:trPr>
        <w:tc>
          <w:tcPr>
            <w:tcW w:w="2500" w:type="pct"/>
            <w:tcBorders>
              <w:bottom w:val="dotted" w:sz="4" w:space="0" w:color="auto"/>
            </w:tcBorders>
            <w:hideMark/>
          </w:tcPr>
          <w:p w:rsidR="00AE673A" w:rsidRDefault="00AE673A" w:rsidP="00D5717A">
            <w:pPr>
              <w:spacing w:after="0" w:line="240" w:lineRule="auto"/>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Popíšte </w:t>
            </w:r>
            <w:r>
              <w:rPr>
                <w:rFonts w:ascii="Times New Roman" w:hAnsi="Times New Roman" w:cs="Times New Roman"/>
                <w:b/>
                <w:i/>
                <w:sz w:val="20"/>
                <w:szCs w:val="20"/>
                <w:lang w:eastAsia="sk-SK"/>
              </w:rPr>
              <w:t xml:space="preserve">negatívny </w:t>
            </w:r>
            <w:r>
              <w:rPr>
                <w:rFonts w:ascii="Times New Roman" w:hAnsi="Times New Roman" w:cs="Times New Roman"/>
                <w:i/>
                <w:sz w:val="20"/>
                <w:szCs w:val="20"/>
                <w:lang w:eastAsia="sk-SK"/>
              </w:rPr>
              <w:t>vplyv na hospodárenie domácností s uvedením, či ide o zníženie príjmov alebo zvýšenie výdavkov:</w:t>
            </w:r>
          </w:p>
        </w:tc>
        <w:tc>
          <w:tcPr>
            <w:tcW w:w="2500" w:type="pct"/>
            <w:tcBorders>
              <w:bottom w:val="dotted" w:sz="4" w:space="0" w:color="auto"/>
            </w:tcBorders>
            <w:hideMark/>
          </w:tcPr>
          <w:p w:rsidR="00AE673A" w:rsidRDefault="00AE673A" w:rsidP="00D5717A">
            <w:pPr>
              <w:spacing w:after="0" w:line="240" w:lineRule="auto"/>
              <w:jc w:val="both"/>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Návrh zákona má pozitívny vplyv u poberateľov výsluhových dôchodkov, ktorých doba trvania služobného pomeru </w:t>
            </w:r>
            <w:r w:rsidRPr="00BD33C4">
              <w:rPr>
                <w:rFonts w:ascii="Times New Roman" w:hAnsi="Times New Roman" w:cs="Times New Roman"/>
                <w:i/>
                <w:sz w:val="20"/>
                <w:szCs w:val="20"/>
                <w:lang w:eastAsia="sk-SK"/>
              </w:rPr>
              <w:t>bola</w:t>
            </w:r>
            <w:r>
              <w:rPr>
                <w:rFonts w:ascii="Times New Roman" w:hAnsi="Times New Roman" w:cs="Times New Roman"/>
                <w:i/>
                <w:sz w:val="20"/>
                <w:szCs w:val="20"/>
                <w:lang w:eastAsia="sk-SK"/>
              </w:rPr>
              <w:t xml:space="preserve"> dlhšia. Napr. poberateľ výsluhového dôchodku, ktorému je poukazovaná suma výsluhového dôchodku v sume 500 </w:t>
            </w:r>
            <w:r w:rsidRPr="00BD33C4">
              <w:rPr>
                <w:rFonts w:ascii="Times New Roman" w:hAnsi="Times New Roman" w:cs="Times New Roman"/>
                <w:i/>
                <w:sz w:val="20"/>
                <w:szCs w:val="20"/>
                <w:lang w:eastAsia="sk-SK"/>
              </w:rPr>
              <w:t>eur</w:t>
            </w:r>
            <w:r>
              <w:rPr>
                <w:rFonts w:ascii="Times New Roman" w:hAnsi="Times New Roman" w:cs="Times New Roman"/>
                <w:i/>
                <w:sz w:val="20"/>
                <w:szCs w:val="20"/>
                <w:lang w:eastAsia="sk-SK"/>
              </w:rPr>
              <w:t xml:space="preserve"> a jeho služobný pomer trval 30 rokov, pri zvyšovaní tzv. dôchodcovskou infláciou napr. v roku 2019 o 2,6 %</w:t>
            </w:r>
            <w:r w:rsidR="00A642D2">
              <w:rPr>
                <w:rFonts w:ascii="Times New Roman" w:hAnsi="Times New Roman" w:cs="Times New Roman"/>
                <w:i/>
                <w:sz w:val="20"/>
                <w:szCs w:val="20"/>
                <w:lang w:eastAsia="sk-SK"/>
              </w:rPr>
              <w:t>,</w:t>
            </w:r>
            <w:r>
              <w:rPr>
                <w:rFonts w:ascii="Times New Roman" w:hAnsi="Times New Roman" w:cs="Times New Roman"/>
                <w:i/>
                <w:sz w:val="20"/>
                <w:szCs w:val="20"/>
                <w:lang w:eastAsia="sk-SK"/>
              </w:rPr>
              <w:t xml:space="preserve"> by mal zvýšený výsluhový dôchodok o sumu 13,00 </w:t>
            </w:r>
            <w:r w:rsidRPr="00BD33C4">
              <w:rPr>
                <w:rFonts w:ascii="Times New Roman" w:hAnsi="Times New Roman" w:cs="Times New Roman"/>
                <w:i/>
                <w:sz w:val="20"/>
                <w:szCs w:val="20"/>
                <w:lang w:eastAsia="sk-SK"/>
              </w:rPr>
              <w:t>eur</w:t>
            </w:r>
            <w:r>
              <w:rPr>
                <w:rFonts w:ascii="Times New Roman" w:hAnsi="Times New Roman" w:cs="Times New Roman"/>
                <w:i/>
                <w:sz w:val="20"/>
                <w:szCs w:val="20"/>
                <w:lang w:eastAsia="sk-SK"/>
              </w:rPr>
              <w:t xml:space="preserve">, avšak pri navrhovanom spôsobe zvýšenia sa mu výsluhový dôchodok zvýši o sumu 18,00 </w:t>
            </w:r>
            <w:r w:rsidRPr="00BD33C4">
              <w:rPr>
                <w:rFonts w:ascii="Times New Roman" w:hAnsi="Times New Roman" w:cs="Times New Roman"/>
                <w:i/>
                <w:sz w:val="20"/>
                <w:szCs w:val="20"/>
                <w:lang w:eastAsia="sk-SK"/>
              </w:rPr>
              <w:t>eur</w:t>
            </w:r>
            <w:r>
              <w:rPr>
                <w:rFonts w:ascii="Times New Roman" w:hAnsi="Times New Roman" w:cs="Times New Roman"/>
                <w:i/>
                <w:sz w:val="20"/>
                <w:szCs w:val="20"/>
                <w:lang w:eastAsia="sk-SK"/>
              </w:rPr>
              <w:t xml:space="preserve">. U poberateľa výsluhového dôchodku, ktorému je poukazovaná suma 800 </w:t>
            </w:r>
            <w:r w:rsidRPr="00BD33C4">
              <w:rPr>
                <w:rFonts w:ascii="Times New Roman" w:hAnsi="Times New Roman" w:cs="Times New Roman"/>
                <w:i/>
                <w:sz w:val="20"/>
                <w:szCs w:val="20"/>
                <w:lang w:eastAsia="sk-SK"/>
              </w:rPr>
              <w:t>eur</w:t>
            </w:r>
            <w:r>
              <w:rPr>
                <w:rFonts w:ascii="Times New Roman" w:hAnsi="Times New Roman" w:cs="Times New Roman"/>
                <w:i/>
                <w:sz w:val="20"/>
                <w:szCs w:val="20"/>
                <w:lang w:eastAsia="sk-SK"/>
              </w:rPr>
              <w:t>, avšak doba trvania jeho služobného pomeru je 20 rokov, pri zvyšovaní tzv. dôchodcovskou infláciou  napr. v roku 2019 o 2,6 %</w:t>
            </w:r>
            <w:r w:rsidR="00A642D2">
              <w:rPr>
                <w:rFonts w:ascii="Times New Roman" w:hAnsi="Times New Roman" w:cs="Times New Roman"/>
                <w:i/>
                <w:sz w:val="20"/>
                <w:szCs w:val="20"/>
                <w:lang w:eastAsia="sk-SK"/>
              </w:rPr>
              <w:t>,</w:t>
            </w:r>
            <w:r>
              <w:rPr>
                <w:rFonts w:ascii="Times New Roman" w:hAnsi="Times New Roman" w:cs="Times New Roman"/>
                <w:i/>
                <w:sz w:val="20"/>
                <w:szCs w:val="20"/>
                <w:lang w:eastAsia="sk-SK"/>
              </w:rPr>
              <w:t xml:space="preserve"> by mal zvýšený výsluhový dôchodok o sumu 20,80 </w:t>
            </w:r>
            <w:r w:rsidRPr="00BD33C4">
              <w:rPr>
                <w:rFonts w:ascii="Times New Roman" w:hAnsi="Times New Roman" w:cs="Times New Roman"/>
                <w:i/>
                <w:sz w:val="20"/>
                <w:szCs w:val="20"/>
                <w:lang w:eastAsia="sk-SK"/>
              </w:rPr>
              <w:t>eur</w:t>
            </w:r>
            <w:r>
              <w:rPr>
                <w:rFonts w:ascii="Times New Roman" w:hAnsi="Times New Roman" w:cs="Times New Roman"/>
                <w:i/>
                <w:sz w:val="20"/>
                <w:szCs w:val="20"/>
                <w:lang w:eastAsia="sk-SK"/>
              </w:rPr>
              <w:t xml:space="preserve">, avšak pri navrhovanom spôsobe zvýšenia sa mu výsluhový dôchodok zvýši o sumu 12,00 </w:t>
            </w:r>
            <w:r w:rsidRPr="00BD33C4">
              <w:rPr>
                <w:rFonts w:ascii="Times New Roman" w:hAnsi="Times New Roman" w:cs="Times New Roman"/>
                <w:i/>
                <w:sz w:val="20"/>
                <w:szCs w:val="20"/>
                <w:lang w:eastAsia="sk-SK"/>
              </w:rPr>
              <w:t>eur. Ak</w:t>
            </w:r>
            <w:r>
              <w:rPr>
                <w:rFonts w:ascii="Times New Roman" w:hAnsi="Times New Roman" w:cs="Times New Roman"/>
                <w:i/>
                <w:sz w:val="20"/>
                <w:szCs w:val="20"/>
                <w:lang w:eastAsia="sk-SK"/>
              </w:rPr>
              <w:t xml:space="preserve"> by u tohto poberateľa bola doba </w:t>
            </w:r>
            <w:r>
              <w:rPr>
                <w:rFonts w:ascii="Times New Roman" w:hAnsi="Times New Roman" w:cs="Times New Roman"/>
                <w:i/>
                <w:sz w:val="20"/>
                <w:szCs w:val="20"/>
                <w:lang w:eastAsia="sk-SK"/>
              </w:rPr>
              <w:lastRenderedPageBreak/>
              <w:t xml:space="preserve">trvania služobného pomeru minimálne 35 rokov, suma výsluhového dôchodku </w:t>
            </w:r>
            <w:r w:rsidRPr="00BD33C4">
              <w:rPr>
                <w:rFonts w:ascii="Times New Roman" w:hAnsi="Times New Roman" w:cs="Times New Roman"/>
                <w:i/>
                <w:sz w:val="20"/>
                <w:szCs w:val="20"/>
                <w:lang w:eastAsia="sk-SK"/>
              </w:rPr>
              <w:t>by sa mu zvýšila o 21,00 eur.</w:t>
            </w:r>
            <w:r>
              <w:rPr>
                <w:rFonts w:ascii="Times New Roman" w:hAnsi="Times New Roman" w:cs="Times New Roman"/>
                <w:i/>
                <w:sz w:val="20"/>
                <w:szCs w:val="20"/>
                <w:lang w:eastAsia="sk-SK"/>
              </w:rPr>
              <w:t xml:space="preserve"> </w:t>
            </w:r>
          </w:p>
        </w:tc>
      </w:tr>
      <w:tr w:rsidR="00AE673A" w:rsidTr="00D5717A">
        <w:trPr>
          <w:trHeight w:val="624"/>
          <w:jc w:val="center"/>
        </w:trPr>
        <w:tc>
          <w:tcPr>
            <w:tcW w:w="2500" w:type="pct"/>
            <w:tcBorders>
              <w:top w:val="dotted" w:sz="4" w:space="0" w:color="auto"/>
            </w:tcBorders>
            <w:hideMark/>
          </w:tcPr>
          <w:p w:rsidR="00AE673A" w:rsidRDefault="00AE673A" w:rsidP="00D5717A">
            <w:pPr>
              <w:spacing w:after="0" w:line="240" w:lineRule="auto"/>
              <w:rPr>
                <w:rFonts w:ascii="Times New Roman" w:hAnsi="Times New Roman" w:cs="Times New Roman"/>
                <w:i/>
                <w:sz w:val="20"/>
                <w:szCs w:val="20"/>
                <w:lang w:eastAsia="sk-SK"/>
              </w:rPr>
            </w:pPr>
            <w:r>
              <w:rPr>
                <w:rFonts w:ascii="Times New Roman" w:hAnsi="Times New Roman" w:cs="Times New Roman"/>
                <w:i/>
                <w:sz w:val="20"/>
                <w:szCs w:val="20"/>
                <w:lang w:eastAsia="sk-SK"/>
              </w:rPr>
              <w:lastRenderedPageBreak/>
              <w:t xml:space="preserve">Špecifikujte </w:t>
            </w:r>
            <w:r>
              <w:rPr>
                <w:rFonts w:ascii="Times New Roman" w:hAnsi="Times New Roman" w:cs="Times New Roman"/>
                <w:b/>
                <w:i/>
                <w:sz w:val="20"/>
                <w:szCs w:val="20"/>
                <w:lang w:eastAsia="sk-SK"/>
              </w:rPr>
              <w:t>negatívne</w:t>
            </w:r>
            <w:r>
              <w:rPr>
                <w:rFonts w:ascii="Times New Roman" w:hAnsi="Times New Roman" w:cs="Times New Roman"/>
                <w:i/>
                <w:sz w:val="20"/>
                <w:szCs w:val="20"/>
                <w:lang w:eastAsia="sk-SK"/>
              </w:rPr>
              <w:t xml:space="preserve"> ovplyvnené skupiny:</w:t>
            </w:r>
          </w:p>
        </w:tc>
        <w:tc>
          <w:tcPr>
            <w:tcW w:w="2500" w:type="pct"/>
            <w:tcBorders>
              <w:top w:val="dotted" w:sz="4" w:space="0" w:color="auto"/>
            </w:tcBorders>
            <w:hideMark/>
          </w:tcPr>
          <w:p w:rsidR="00AE673A" w:rsidRDefault="00AE673A" w:rsidP="00D5717A">
            <w:pPr>
              <w:spacing w:after="0" w:line="240" w:lineRule="auto"/>
              <w:jc w:val="both"/>
              <w:rPr>
                <w:rFonts w:ascii="Times New Roman" w:hAnsi="Times New Roman" w:cs="Times New Roman"/>
                <w:i/>
                <w:sz w:val="20"/>
                <w:szCs w:val="20"/>
                <w:lang w:eastAsia="sk-SK"/>
              </w:rPr>
            </w:pPr>
            <w:r>
              <w:rPr>
                <w:rFonts w:ascii="Times New Roman" w:hAnsi="Times New Roman" w:cs="Times New Roman"/>
                <w:i/>
                <w:sz w:val="20"/>
                <w:szCs w:val="20"/>
                <w:lang w:eastAsia="sk-SK"/>
              </w:rPr>
              <w:t>Návrhom zákona sú negatívne ovplyvnené skupiny tých poberateľov výsluhových dôchodkov, ktorých doba trvania služobného pomeru je nižšia a výsluhový dôchodok je poukazovaný v takej  sume, ktorá by za predpokladu zvýšenia tzv. dôchodcovskou infláciou bola zvýšená vo vyššom finančnom vyjadrení.</w:t>
            </w:r>
          </w:p>
          <w:p w:rsidR="00AE673A" w:rsidRDefault="00AE673A" w:rsidP="00D5717A">
            <w:pPr>
              <w:spacing w:after="0" w:line="240" w:lineRule="auto"/>
              <w:jc w:val="both"/>
              <w:rPr>
                <w:rFonts w:ascii="Times New Roman" w:hAnsi="Times New Roman" w:cs="Times New Roman"/>
                <w:i/>
                <w:sz w:val="20"/>
                <w:szCs w:val="20"/>
                <w:lang w:eastAsia="sk-SK"/>
              </w:rPr>
            </w:pPr>
          </w:p>
        </w:tc>
      </w:tr>
      <w:tr w:rsidR="00AE673A" w:rsidTr="00D5717A">
        <w:trPr>
          <w:trHeight w:val="680"/>
          <w:jc w:val="center"/>
        </w:trPr>
        <w:tc>
          <w:tcPr>
            <w:tcW w:w="2500" w:type="pct"/>
            <w:tcBorders>
              <w:bottom w:val="nil"/>
            </w:tcBorders>
            <w:hideMark/>
          </w:tcPr>
          <w:p w:rsidR="00AE673A" w:rsidRDefault="00AE673A" w:rsidP="00D5717A">
            <w:pPr>
              <w:spacing w:after="0" w:line="240" w:lineRule="auto"/>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Špecifikujte ovplyvnené skupiny </w:t>
            </w:r>
            <w:r>
              <w:rPr>
                <w:rFonts w:ascii="Times New Roman" w:hAnsi="Times New Roman" w:cs="Times New Roman"/>
                <w:b/>
                <w:i/>
                <w:sz w:val="20"/>
                <w:szCs w:val="20"/>
                <w:lang w:eastAsia="sk-SK"/>
              </w:rPr>
              <w:t>v riziku chudoby alebo sociálneho vylúčenia</w:t>
            </w:r>
            <w:r>
              <w:rPr>
                <w:rFonts w:ascii="Times New Roman" w:hAnsi="Times New Roman" w:cs="Times New Roman"/>
                <w:i/>
                <w:sz w:val="20"/>
                <w:szCs w:val="20"/>
                <w:lang w:eastAsia="sk-SK"/>
              </w:rPr>
              <w:t xml:space="preserve"> a popíšte vplyv:</w:t>
            </w:r>
          </w:p>
        </w:tc>
        <w:tc>
          <w:tcPr>
            <w:tcW w:w="2500" w:type="pct"/>
            <w:tcBorders>
              <w:bottom w:val="nil"/>
            </w:tcBorders>
            <w:hideMark/>
          </w:tcPr>
          <w:p w:rsidR="00AE673A" w:rsidRDefault="00AE673A" w:rsidP="00D5717A">
            <w:pPr>
              <w:spacing w:after="0" w:line="240" w:lineRule="auto"/>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Bez vplyvu </w:t>
            </w:r>
          </w:p>
        </w:tc>
      </w:tr>
    </w:tbl>
    <w:p w:rsidR="00AE673A" w:rsidRDefault="00AE673A" w:rsidP="00AE673A">
      <w:pPr>
        <w:spacing w:after="0" w:line="240" w:lineRule="auto"/>
        <w:rPr>
          <w:rFonts w:ascii="Times New Roman" w:hAnsi="Times New Roman" w:cs="Times New Roman"/>
          <w:i/>
          <w:sz w:val="20"/>
          <w:szCs w:val="20"/>
          <w:lang w:eastAsia="sk-SK"/>
        </w:rPr>
        <w:sectPr w:rsidR="00AE673A">
          <w:footnotePr>
            <w:numFmt w:val="chicago"/>
          </w:footnotePr>
          <w:type w:val="continuous"/>
          <w:pgSz w:w="11906" w:h="16838"/>
          <w:pgMar w:top="1134" w:right="1418" w:bottom="1134" w:left="1418" w:header="510" w:footer="567" w:gutter="0"/>
          <w:cols w:space="708"/>
          <w:formProt w:val="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E673A" w:rsidTr="00AE673A">
        <w:trPr>
          <w:trHeight w:val="680"/>
          <w:jc w:val="center"/>
        </w:trPr>
        <w:tc>
          <w:tcPr>
            <w:tcW w:w="5000" w:type="pct"/>
            <w:shd w:val="clear" w:color="auto" w:fill="F2F2F2"/>
          </w:tcPr>
          <w:p w:rsidR="00AE673A" w:rsidRDefault="00AE673A" w:rsidP="00D5717A">
            <w:pPr>
              <w:spacing w:after="0" w:line="240" w:lineRule="auto"/>
              <w:jc w:val="both"/>
              <w:rPr>
                <w:rFonts w:ascii="Times New Roman" w:hAnsi="Times New Roman" w:cs="Times New Roman"/>
                <w:i/>
                <w:sz w:val="20"/>
                <w:szCs w:val="20"/>
                <w:lang w:eastAsia="sk-SK"/>
              </w:rPr>
            </w:pPr>
            <w:r>
              <w:rPr>
                <w:rFonts w:ascii="Times New Roman" w:hAnsi="Times New Roman" w:cs="Times New Roman"/>
                <w:i/>
                <w:sz w:val="20"/>
                <w:szCs w:val="20"/>
                <w:lang w:eastAsia="sk-SK"/>
              </w:rPr>
              <w:t>Kvantifikujte rast alebo pokles príjmov/výdavkov za jednotlivé ovplyvnené skupiny domácností / skupiny jednotlivcov a počet obyvateľstva/domácností ovplyvnených predkladaným materiálom.</w:t>
            </w:r>
          </w:p>
          <w:p w:rsidR="00AE673A" w:rsidRDefault="00AE673A" w:rsidP="00D5717A">
            <w:pPr>
              <w:spacing w:after="0" w:line="240" w:lineRule="auto"/>
              <w:jc w:val="both"/>
              <w:rPr>
                <w:rFonts w:ascii="Times New Roman" w:hAnsi="Times New Roman" w:cs="Times New Roman"/>
                <w:i/>
                <w:sz w:val="20"/>
                <w:szCs w:val="20"/>
                <w:lang w:eastAsia="sk-SK"/>
              </w:rPr>
            </w:pPr>
            <w:r>
              <w:rPr>
                <w:rFonts w:ascii="Times New Roman" w:hAnsi="Times New Roman" w:cs="Times New Roman"/>
                <w:i/>
                <w:sz w:val="20"/>
                <w:szCs w:val="20"/>
                <w:lang w:eastAsia="sk-SK"/>
              </w:rPr>
              <w:t>V prípade vyššieho počtu ovplyvnených skupín doplňte do tabuľky ďalšie riadky.</w:t>
            </w:r>
          </w:p>
          <w:p w:rsidR="00AE673A" w:rsidRDefault="00AE673A" w:rsidP="00D5717A">
            <w:pPr>
              <w:tabs>
                <w:tab w:val="left" w:pos="3505"/>
              </w:tabs>
              <w:spacing w:after="0" w:line="240" w:lineRule="auto"/>
              <w:rPr>
                <w:rFonts w:ascii="Times New Roman" w:hAnsi="Times New Roman" w:cs="Times New Roman"/>
                <w:i/>
                <w:sz w:val="20"/>
                <w:szCs w:val="20"/>
                <w:lang w:eastAsia="sk-SK"/>
              </w:rPr>
            </w:pPr>
            <w:r>
              <w:rPr>
                <w:rFonts w:ascii="Times New Roman" w:hAnsi="Times New Roman" w:cs="Times New Roman"/>
                <w:i/>
                <w:sz w:val="20"/>
                <w:szCs w:val="20"/>
                <w:lang w:eastAsia="sk-SK"/>
              </w:rPr>
              <w:t>V prípade, ak neuvádzate kvantifikáciu, uveďte dôvod.</w:t>
            </w:r>
          </w:p>
          <w:p w:rsidR="00AE673A" w:rsidRDefault="00AE673A" w:rsidP="00D5717A">
            <w:pPr>
              <w:tabs>
                <w:tab w:val="left" w:pos="3505"/>
              </w:tabs>
              <w:spacing w:after="0" w:line="240" w:lineRule="auto"/>
              <w:rPr>
                <w:rFonts w:ascii="Times New Roman" w:hAnsi="Times New Roman" w:cs="Times New Roman"/>
                <w:sz w:val="20"/>
                <w:szCs w:val="20"/>
                <w:lang w:eastAsia="sk-SK"/>
              </w:rPr>
            </w:pPr>
          </w:p>
        </w:tc>
      </w:tr>
    </w:tbl>
    <w:p w:rsidR="00AE673A" w:rsidRDefault="00AE673A" w:rsidP="00AE673A">
      <w:pPr>
        <w:spacing w:after="0" w:line="240" w:lineRule="auto"/>
        <w:rPr>
          <w:rFonts w:ascii="Times New Roman" w:hAnsi="Times New Roman" w:cs="Times New Roman"/>
          <w:b/>
          <w:i/>
          <w:sz w:val="20"/>
          <w:szCs w:val="20"/>
          <w:lang w:eastAsia="sk-SK"/>
        </w:rPr>
        <w:sectPr w:rsidR="00AE673A">
          <w:footnotePr>
            <w:numFmt w:val="chicago"/>
          </w:footnotePr>
          <w:type w:val="continuous"/>
          <w:pgSz w:w="11906" w:h="16838"/>
          <w:pgMar w:top="1134" w:right="1418" w:bottom="1134" w:left="1418" w:header="510" w:footer="567" w:gutter="0"/>
          <w:cols w:space="708"/>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AE673A" w:rsidTr="00D5717A">
        <w:trPr>
          <w:trHeight w:val="286"/>
          <w:jc w:val="center"/>
        </w:trPr>
        <w:tc>
          <w:tcPr>
            <w:tcW w:w="5000" w:type="pct"/>
            <w:gridSpan w:val="2"/>
            <w:tcBorders>
              <w:top w:val="nil"/>
            </w:tcBorders>
            <w:hideMark/>
          </w:tcPr>
          <w:p w:rsidR="00AE673A" w:rsidRDefault="00AE673A" w:rsidP="00D5717A">
            <w:pPr>
              <w:spacing w:after="0" w:line="240" w:lineRule="auto"/>
              <w:jc w:val="both"/>
              <w:rPr>
                <w:rFonts w:ascii="Times New Roman" w:hAnsi="Times New Roman" w:cs="Times New Roman"/>
                <w:i/>
                <w:sz w:val="20"/>
                <w:szCs w:val="20"/>
                <w:lang w:val="en-GB" w:eastAsia="sk-SK"/>
              </w:rPr>
            </w:pPr>
            <w:r>
              <w:rPr>
                <w:rFonts w:ascii="Times New Roman" w:hAnsi="Times New Roman" w:cs="Times New Roman"/>
                <w:b/>
                <w:i/>
                <w:sz w:val="20"/>
                <w:szCs w:val="20"/>
                <w:lang w:eastAsia="sk-SK"/>
              </w:rPr>
              <w:t xml:space="preserve">Ovplyvnená skupina poberatelia </w:t>
            </w:r>
            <w:r>
              <w:rPr>
                <w:rFonts w:ascii="Times New Roman" w:hAnsi="Times New Roman" w:cs="Times New Roman"/>
                <w:i/>
                <w:sz w:val="20"/>
                <w:szCs w:val="20"/>
                <w:lang w:eastAsia="sk-SK"/>
              </w:rPr>
              <w:t xml:space="preserve">výsluhového dôchodku, invalidného výsluhového dôchodku, vdovského výsluhového dôchodku, vdoveckého výsluhového dôchodku a sirotského výsluhového dôchodku  </w:t>
            </w:r>
          </w:p>
        </w:tc>
      </w:tr>
      <w:tr w:rsidR="00AE673A" w:rsidTr="00AE673A">
        <w:trPr>
          <w:trHeight w:val="503"/>
          <w:jc w:val="center"/>
        </w:trPr>
        <w:tc>
          <w:tcPr>
            <w:tcW w:w="2500" w:type="pct"/>
            <w:tcBorders>
              <w:bottom w:val="single" w:sz="4" w:space="0" w:color="BFBFBF"/>
            </w:tcBorders>
            <w:hideMark/>
          </w:tcPr>
          <w:p w:rsidR="00AE673A" w:rsidRDefault="00AE673A" w:rsidP="00D5717A">
            <w:pPr>
              <w:spacing w:after="0" w:line="240" w:lineRule="auto"/>
              <w:rPr>
                <w:rFonts w:ascii="Times New Roman" w:hAnsi="Times New Roman" w:cs="Times New Roman"/>
                <w:i/>
                <w:sz w:val="20"/>
                <w:szCs w:val="20"/>
                <w:lang w:eastAsia="sk-SK"/>
              </w:rPr>
            </w:pPr>
            <w:r>
              <w:rPr>
                <w:rFonts w:ascii="Times New Roman" w:hAnsi="Times New Roman" w:cs="Times New Roman"/>
                <w:i/>
                <w:sz w:val="20"/>
                <w:szCs w:val="20"/>
                <w:lang w:eastAsia="sk-SK"/>
              </w:rPr>
              <w:t>Pozitívny vplyv - priemerný rast príjmov/ pokles výdavkov v skupine v eurách a/alebo v % / obdobie:</w:t>
            </w:r>
          </w:p>
        </w:tc>
        <w:tc>
          <w:tcPr>
            <w:tcW w:w="2500" w:type="pct"/>
            <w:tcBorders>
              <w:bottom w:val="single" w:sz="4" w:space="0" w:color="BFBFBF"/>
            </w:tcBorders>
            <w:hideMark/>
          </w:tcPr>
          <w:p w:rsidR="00AE673A" w:rsidRDefault="00AE673A" w:rsidP="00D5717A">
            <w:pPr>
              <w:pStyle w:val="Odsekzoznamu"/>
              <w:ind w:left="0"/>
              <w:jc w:val="both"/>
              <w:rPr>
                <w:rFonts w:ascii="Times New Roman" w:hAnsi="Times New Roman"/>
                <w:i/>
                <w:sz w:val="20"/>
                <w:szCs w:val="20"/>
              </w:rPr>
            </w:pPr>
            <w:r>
              <w:rPr>
                <w:rFonts w:ascii="Times New Roman" w:hAnsi="Times New Roman"/>
                <w:i/>
                <w:sz w:val="20"/>
                <w:szCs w:val="20"/>
              </w:rPr>
              <w:t xml:space="preserve">Uvedeným návrhom zákona sa zvýšia príjmy </w:t>
            </w:r>
            <w:r w:rsidRPr="00BD33C4">
              <w:rPr>
                <w:rFonts w:ascii="Times New Roman" w:hAnsi="Times New Roman"/>
                <w:i/>
                <w:sz w:val="20"/>
                <w:szCs w:val="20"/>
              </w:rPr>
              <w:t>ovplyvnenej skupiny</w:t>
            </w:r>
            <w:r>
              <w:rPr>
                <w:rFonts w:ascii="Times New Roman" w:hAnsi="Times New Roman"/>
                <w:i/>
                <w:sz w:val="20"/>
                <w:szCs w:val="20"/>
              </w:rPr>
              <w:t xml:space="preserve"> poberateľov </w:t>
            </w:r>
            <w:r w:rsidRPr="003F6E8D">
              <w:rPr>
                <w:rFonts w:ascii="Times New Roman" w:hAnsi="Times New Roman"/>
                <w:i/>
                <w:sz w:val="20"/>
                <w:szCs w:val="20"/>
              </w:rPr>
              <w:t xml:space="preserve">dôchodkových </w:t>
            </w:r>
            <w:r>
              <w:rPr>
                <w:rFonts w:ascii="Times New Roman" w:hAnsi="Times New Roman"/>
                <w:i/>
                <w:sz w:val="20"/>
                <w:szCs w:val="20"/>
              </w:rPr>
              <w:t>dávok výsluhového zabezpečenia o  stanovenú pevnú sumu zvýšenia. Napríklad, v prípade výsluhových dôchodcov sa pri dobe trvania služobného pomeru 15 rokov zvýši výsluhový dôchodok o pevnú sumu 9,</w:t>
            </w:r>
            <w:r w:rsidRPr="00BD33C4">
              <w:rPr>
                <w:rFonts w:ascii="Times New Roman" w:hAnsi="Times New Roman"/>
                <w:i/>
                <w:sz w:val="20"/>
                <w:szCs w:val="20"/>
              </w:rPr>
              <w:t>00 eur mesačne v roku 2019, v prípade invalidných výsluhových dôchodcov o 9,00 eur</w:t>
            </w:r>
            <w:r>
              <w:rPr>
                <w:rFonts w:ascii="Times New Roman" w:hAnsi="Times New Roman"/>
                <w:i/>
                <w:sz w:val="20"/>
                <w:szCs w:val="20"/>
              </w:rPr>
              <w:t xml:space="preserve"> mesačne v roku 2019. Za súčasného právneho stavu by sa zvýšenie všetkých </w:t>
            </w:r>
            <w:r w:rsidRPr="003F6E8D">
              <w:rPr>
                <w:rFonts w:ascii="Times New Roman" w:hAnsi="Times New Roman"/>
                <w:i/>
                <w:sz w:val="20"/>
                <w:szCs w:val="20"/>
              </w:rPr>
              <w:t xml:space="preserve">dôchodkových </w:t>
            </w:r>
            <w:r>
              <w:rPr>
                <w:rFonts w:ascii="Times New Roman" w:hAnsi="Times New Roman"/>
                <w:i/>
                <w:sz w:val="20"/>
                <w:szCs w:val="20"/>
              </w:rPr>
              <w:t xml:space="preserve">dávok výsluhového zabezpečenia v roku 2019 realizovalo v závislosti od tzv. dôchodcovskej inflácie, ktorá je na rok 2019 stanovená na 2,6 %, čo znamená, že poberatelia s vyššími sumami by mali dávky zvýšené o vyššiu pevnú sumu ako poberatelia s nižšími sumami.  Z uvedeného vyplýva, že návrhom zákona sa výška zvýšenia (valorizácie) napr. u poberateľa výsluhového dôchodku  viaže na princíp zásluhovosti, ktorý sa prejaví u tých poberateľov výsluhového dôchodku, ktorých služobný pomer trval viac ako 15 rokov, pretože za každý ďalší skončený rok doby trvania služobného pomeru sa pevná suma zvyšuje. U ostatných poberateľov </w:t>
            </w:r>
            <w:r w:rsidRPr="003F6E8D">
              <w:rPr>
                <w:rFonts w:ascii="Times New Roman" w:hAnsi="Times New Roman"/>
                <w:i/>
                <w:sz w:val="20"/>
                <w:szCs w:val="20"/>
              </w:rPr>
              <w:t xml:space="preserve">dôchodkových </w:t>
            </w:r>
            <w:r>
              <w:rPr>
                <w:rFonts w:ascii="Times New Roman" w:hAnsi="Times New Roman"/>
                <w:i/>
                <w:sz w:val="20"/>
                <w:szCs w:val="20"/>
              </w:rPr>
              <w:t>dávok výsluhového zabezpečenia sa stanovuje fixná pevná suma zvýšenia, ktorá bude rovnaká pre danú skupinu poberateľov. Navrhovaným novým mechanizmom zvýšenia sa priemerné výšky dôchodkových dávok výsluhového zabezpečenia napr. u výsluhového dôchodku v rámci osobitného účtu Ministerstva vnútra SR oproti súčasnej priemernej výške v roku 2019 zvýši o cca 1,85%, v roku 2020 o cca 2,1%</w:t>
            </w:r>
            <w:r w:rsidR="00057A0A">
              <w:rPr>
                <w:rFonts w:ascii="Times New Roman" w:hAnsi="Times New Roman"/>
                <w:i/>
                <w:sz w:val="20"/>
                <w:szCs w:val="20"/>
              </w:rPr>
              <w:t xml:space="preserve"> a</w:t>
            </w:r>
            <w:r>
              <w:rPr>
                <w:rFonts w:ascii="Times New Roman" w:hAnsi="Times New Roman"/>
                <w:i/>
                <w:sz w:val="20"/>
                <w:szCs w:val="20"/>
              </w:rPr>
              <w:t xml:space="preserve"> v roku 2021               o cca 2,33%.</w:t>
            </w:r>
          </w:p>
          <w:p w:rsidR="00AE673A" w:rsidRDefault="00AE673A" w:rsidP="00D5717A">
            <w:pPr>
              <w:pStyle w:val="Odsekzoznamu"/>
              <w:ind w:left="0"/>
              <w:jc w:val="both"/>
              <w:rPr>
                <w:rFonts w:ascii="Times New Roman" w:hAnsi="Times New Roman"/>
                <w:i/>
                <w:sz w:val="20"/>
                <w:szCs w:val="20"/>
              </w:rPr>
            </w:pPr>
          </w:p>
          <w:p w:rsidR="00AE673A" w:rsidRPr="000611A9" w:rsidRDefault="00AE673A" w:rsidP="00D5717A">
            <w:pPr>
              <w:pStyle w:val="Odsekzoznamu"/>
              <w:ind w:left="0"/>
              <w:jc w:val="both"/>
              <w:rPr>
                <w:rFonts w:ascii="Times New Roman" w:hAnsi="Times New Roman"/>
                <w:i/>
                <w:strike/>
                <w:sz w:val="20"/>
                <w:szCs w:val="20"/>
              </w:rPr>
            </w:pPr>
            <w:r>
              <w:rPr>
                <w:rFonts w:ascii="Times New Roman" w:hAnsi="Times New Roman"/>
                <w:i/>
                <w:sz w:val="20"/>
                <w:szCs w:val="20"/>
              </w:rPr>
              <w:t>Pokiaľ ide o priemernú výšku vdovského výsluhového dôchodku navrhovaným novým mechanizmom zvýšenia sa v rámci napr. osobitného účtu Ministerstva vnútra SR oproti súčasnej priemernej výške táto v roku 2019 zvýši o cca 2,5%, v roku 2020 o cca 2,4%</w:t>
            </w:r>
            <w:r w:rsidR="00057A0A">
              <w:rPr>
                <w:rFonts w:ascii="Times New Roman" w:hAnsi="Times New Roman"/>
                <w:i/>
                <w:sz w:val="20"/>
                <w:szCs w:val="20"/>
              </w:rPr>
              <w:t xml:space="preserve"> a</w:t>
            </w:r>
            <w:r>
              <w:rPr>
                <w:rFonts w:ascii="Times New Roman" w:hAnsi="Times New Roman"/>
                <w:i/>
                <w:sz w:val="20"/>
                <w:szCs w:val="20"/>
              </w:rPr>
              <w:t xml:space="preserve"> v roku 2021               o cca 2,6%.</w:t>
            </w:r>
          </w:p>
          <w:p w:rsidR="00AE673A" w:rsidRDefault="00AE673A" w:rsidP="00D5717A">
            <w:pPr>
              <w:pStyle w:val="Odsekzoznamu"/>
              <w:ind w:left="0"/>
              <w:jc w:val="both"/>
              <w:rPr>
                <w:rFonts w:ascii="Times New Roman" w:hAnsi="Times New Roman"/>
                <w:i/>
                <w:sz w:val="20"/>
                <w:szCs w:val="20"/>
              </w:rPr>
            </w:pPr>
            <w:r>
              <w:rPr>
                <w:rFonts w:ascii="Times New Roman" w:hAnsi="Times New Roman"/>
                <w:i/>
                <w:sz w:val="20"/>
                <w:szCs w:val="20"/>
              </w:rPr>
              <w:t xml:space="preserve">  </w:t>
            </w:r>
          </w:p>
        </w:tc>
      </w:tr>
      <w:tr w:rsidR="00AE673A" w:rsidTr="00AE673A">
        <w:trPr>
          <w:trHeight w:val="497"/>
          <w:jc w:val="center"/>
        </w:trPr>
        <w:tc>
          <w:tcPr>
            <w:tcW w:w="2500" w:type="pct"/>
            <w:tcBorders>
              <w:top w:val="single" w:sz="4" w:space="0" w:color="BFBFBF"/>
              <w:bottom w:val="single" w:sz="4" w:space="0" w:color="BFBFBF"/>
            </w:tcBorders>
            <w:hideMark/>
          </w:tcPr>
          <w:p w:rsidR="00AE673A" w:rsidRDefault="00AE673A" w:rsidP="00D5717A">
            <w:pPr>
              <w:spacing w:after="0" w:line="240" w:lineRule="auto"/>
              <w:rPr>
                <w:rFonts w:cs="Times New Roman"/>
                <w:i/>
                <w:sz w:val="20"/>
                <w:szCs w:val="20"/>
                <w:lang w:eastAsia="sk-SK"/>
              </w:rPr>
            </w:pPr>
            <w:r>
              <w:rPr>
                <w:rFonts w:ascii="Times New Roman" w:hAnsi="Times New Roman" w:cs="Times New Roman"/>
                <w:i/>
                <w:sz w:val="20"/>
                <w:szCs w:val="20"/>
                <w:lang w:eastAsia="sk-SK"/>
              </w:rPr>
              <w:lastRenderedPageBreak/>
              <w:t xml:space="preserve">Negatívny vplyv - priemerný pokles príjmov/ rast výdavkov v skupine v eurách a/alebo v % / obdobie: </w:t>
            </w:r>
          </w:p>
        </w:tc>
        <w:tc>
          <w:tcPr>
            <w:tcW w:w="2500" w:type="pct"/>
            <w:tcBorders>
              <w:top w:val="single" w:sz="4" w:space="0" w:color="BFBFBF"/>
              <w:bottom w:val="single" w:sz="4" w:space="0" w:color="BFBFBF"/>
            </w:tcBorders>
            <w:hideMark/>
          </w:tcPr>
          <w:p w:rsidR="00AE673A" w:rsidRDefault="00AE673A" w:rsidP="00D5717A">
            <w:pPr>
              <w:spacing w:after="0" w:line="240" w:lineRule="auto"/>
              <w:jc w:val="both"/>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Návrh zákona má negatívny vplyv na tú skupinu poberateľov, ktorých doba trvania služobného pomeru je nižšia a suma výsluhového dôchodku, ak by bola zvyšovaná dôchodcovskou infláciou by sa zvýšila o vyššiu sumu ako sa zvýši iba za dobu trvania služobného pomeru. Pri zvyšovaní výsluhového dôchodku dôchodcovskou infláciou napr. v roku 2019 a pri navrhovanom novom mechanizme, je priemerný pokles príjmov celkovej skupiny poberateľov výsluhového dôchodku poukazovaných v rámci osobitného účtu napr. MV SR na úrovni </w:t>
            </w:r>
            <w:r w:rsidR="00832AC9">
              <w:rPr>
                <w:rFonts w:ascii="Times New Roman" w:hAnsi="Times New Roman" w:cs="Times New Roman"/>
                <w:i/>
                <w:sz w:val="20"/>
                <w:szCs w:val="20"/>
                <w:lang w:eastAsia="sk-SK"/>
              </w:rPr>
              <w:t xml:space="preserve">o </w:t>
            </w:r>
            <w:r>
              <w:rPr>
                <w:rFonts w:ascii="Times New Roman" w:hAnsi="Times New Roman" w:cs="Times New Roman"/>
                <w:i/>
                <w:sz w:val="20"/>
                <w:szCs w:val="20"/>
                <w:lang w:eastAsia="sk-SK"/>
              </w:rPr>
              <w:t>cca 0,50%, v roku</w:t>
            </w:r>
            <w:r>
              <w:rPr>
                <w:rFonts w:ascii="Times New Roman" w:hAnsi="Times New Roman" w:cs="Times New Roman"/>
                <w:i/>
                <w:sz w:val="20"/>
                <w:szCs w:val="20"/>
              </w:rPr>
              <w:t xml:space="preserve"> 2020 o cca 0,73%, v roku 2021 o cca 0,88% .</w:t>
            </w:r>
          </w:p>
        </w:tc>
      </w:tr>
      <w:tr w:rsidR="00AE673A" w:rsidTr="00AE673A">
        <w:trPr>
          <w:trHeight w:val="221"/>
          <w:jc w:val="center"/>
        </w:trPr>
        <w:tc>
          <w:tcPr>
            <w:tcW w:w="2500" w:type="pct"/>
            <w:tcBorders>
              <w:top w:val="single" w:sz="4" w:space="0" w:color="BFBFBF"/>
            </w:tcBorders>
            <w:hideMark/>
          </w:tcPr>
          <w:p w:rsidR="00AE673A" w:rsidRDefault="00AE673A" w:rsidP="00D5717A">
            <w:pPr>
              <w:spacing w:after="0" w:line="240" w:lineRule="auto"/>
              <w:rPr>
                <w:rFonts w:cs="Times New Roman"/>
                <w:i/>
                <w:sz w:val="20"/>
                <w:szCs w:val="20"/>
                <w:lang w:eastAsia="sk-SK"/>
              </w:rPr>
            </w:pPr>
            <w:r>
              <w:rPr>
                <w:rFonts w:ascii="Times New Roman" w:hAnsi="Times New Roman" w:cs="Times New Roman"/>
                <w:i/>
                <w:sz w:val="20"/>
                <w:szCs w:val="20"/>
                <w:lang w:eastAsia="sk-SK"/>
              </w:rPr>
              <w:t>Veľkosť skupiny (počet obyvateľov):</w:t>
            </w:r>
          </w:p>
        </w:tc>
        <w:tc>
          <w:tcPr>
            <w:tcW w:w="2500" w:type="pct"/>
            <w:tcBorders>
              <w:top w:val="single" w:sz="4" w:space="0" w:color="BFBFBF"/>
            </w:tcBorders>
            <w:hideMark/>
          </w:tcPr>
          <w:p w:rsidR="00AE673A" w:rsidRDefault="00AE673A" w:rsidP="00D5717A">
            <w:pPr>
              <w:spacing w:after="0" w:line="240" w:lineRule="auto"/>
              <w:jc w:val="both"/>
              <w:rPr>
                <w:rFonts w:ascii="Times New Roman" w:hAnsi="Times New Roman" w:cs="Times New Roman"/>
                <w:i/>
                <w:sz w:val="20"/>
                <w:szCs w:val="20"/>
                <w:lang w:eastAsia="sk-SK"/>
              </w:rPr>
            </w:pPr>
          </w:p>
        </w:tc>
      </w:tr>
      <w:tr w:rsidR="00AE673A" w:rsidTr="00AE673A">
        <w:trPr>
          <w:trHeight w:val="42"/>
          <w:jc w:val="center"/>
        </w:trPr>
        <w:tc>
          <w:tcPr>
            <w:tcW w:w="5000" w:type="pct"/>
            <w:gridSpan w:val="2"/>
          </w:tcPr>
          <w:p w:rsidR="00AE673A" w:rsidRDefault="00AE673A" w:rsidP="00D5717A">
            <w:pPr>
              <w:spacing w:after="0" w:line="240" w:lineRule="auto"/>
              <w:jc w:val="both"/>
              <w:rPr>
                <w:rFonts w:ascii="Times New Roman" w:hAnsi="Times New Roman" w:cs="Times New Roman"/>
                <w:i/>
                <w:sz w:val="20"/>
                <w:szCs w:val="20"/>
                <w:lang w:eastAsia="sk-SK"/>
              </w:rPr>
            </w:pPr>
          </w:p>
        </w:tc>
      </w:tr>
      <w:tr w:rsidR="00AE673A" w:rsidTr="00AE673A">
        <w:trPr>
          <w:trHeight w:val="1862"/>
          <w:jc w:val="center"/>
        </w:trPr>
        <w:tc>
          <w:tcPr>
            <w:tcW w:w="2500" w:type="pct"/>
            <w:tcBorders>
              <w:bottom w:val="single" w:sz="4" w:space="0" w:color="BFBFBF"/>
            </w:tcBorders>
            <w:hideMark/>
          </w:tcPr>
          <w:p w:rsidR="00AE673A" w:rsidRDefault="00AE673A" w:rsidP="00D5717A">
            <w:pPr>
              <w:spacing w:after="0" w:line="240" w:lineRule="auto"/>
              <w:rPr>
                <w:rFonts w:ascii="Times New Roman" w:hAnsi="Times New Roman" w:cs="Times New Roman"/>
                <w:i/>
                <w:sz w:val="20"/>
                <w:szCs w:val="20"/>
                <w:lang w:eastAsia="sk-SK"/>
              </w:rPr>
            </w:pPr>
            <w:r>
              <w:rPr>
                <w:rFonts w:ascii="Times New Roman" w:hAnsi="Times New Roman" w:cs="Times New Roman"/>
                <w:i/>
                <w:sz w:val="20"/>
                <w:szCs w:val="20"/>
                <w:lang w:eastAsia="sk-SK"/>
              </w:rPr>
              <w:t>Pozitívny vplyv - priemerný rast príjmov/pokles výdavkov v skupine v eurách a/alebo v % / obdobie:</w:t>
            </w:r>
          </w:p>
        </w:tc>
        <w:tc>
          <w:tcPr>
            <w:tcW w:w="2500" w:type="pct"/>
            <w:tcBorders>
              <w:bottom w:val="single" w:sz="4" w:space="0" w:color="BFBFBF"/>
            </w:tcBorders>
          </w:tcPr>
          <w:p w:rsidR="00AE673A" w:rsidRDefault="00AE673A" w:rsidP="006C5AD0">
            <w:pPr>
              <w:spacing w:after="0" w:line="240" w:lineRule="auto"/>
              <w:jc w:val="both"/>
              <w:rPr>
                <w:rFonts w:ascii="Times New Roman" w:hAnsi="Times New Roman" w:cs="Times New Roman"/>
                <w:i/>
                <w:sz w:val="20"/>
                <w:szCs w:val="20"/>
                <w:lang w:eastAsia="sk-SK"/>
              </w:rPr>
            </w:pPr>
            <w:r>
              <w:rPr>
                <w:rFonts w:ascii="Times New Roman" w:hAnsi="Times New Roman" w:cs="Times New Roman"/>
                <w:i/>
                <w:sz w:val="20"/>
                <w:szCs w:val="20"/>
                <w:lang w:eastAsia="sk-SK"/>
              </w:rPr>
              <w:t>Pokiaľ ide o poberateľov sirotských výsluhových dôchodkov pri zvyšovaní dôchodcovskou infláciou napr.  rámci osobitného účtu napr. MV SR v roku 2019   a navrhovaným novým mechanizmom zvýšenia v rámci celkovej skupiny týchto poberateľov dôjde k zvýšeniu ich príjmov v priemere o cca 1,1%, v roku</w:t>
            </w:r>
            <w:r>
              <w:rPr>
                <w:rFonts w:ascii="Times New Roman" w:hAnsi="Times New Roman" w:cs="Times New Roman"/>
                <w:i/>
                <w:sz w:val="20"/>
                <w:szCs w:val="20"/>
              </w:rPr>
              <w:t xml:space="preserve"> 2020 o cca 2,29%</w:t>
            </w:r>
            <w:r w:rsidR="006C5AD0">
              <w:rPr>
                <w:rFonts w:ascii="Times New Roman" w:hAnsi="Times New Roman" w:cs="Times New Roman"/>
                <w:i/>
                <w:sz w:val="20"/>
                <w:szCs w:val="20"/>
              </w:rPr>
              <w:t xml:space="preserve"> a </w:t>
            </w:r>
            <w:r>
              <w:rPr>
                <w:rFonts w:ascii="Times New Roman" w:hAnsi="Times New Roman" w:cs="Times New Roman"/>
                <w:i/>
                <w:sz w:val="20"/>
                <w:szCs w:val="20"/>
              </w:rPr>
              <w:t xml:space="preserve"> v roku 2021 o cca 3,5%.</w:t>
            </w:r>
          </w:p>
        </w:tc>
      </w:tr>
      <w:tr w:rsidR="00AE673A" w:rsidTr="00AE673A">
        <w:trPr>
          <w:trHeight w:val="497"/>
          <w:jc w:val="center"/>
        </w:trPr>
        <w:tc>
          <w:tcPr>
            <w:tcW w:w="2500" w:type="pct"/>
            <w:tcBorders>
              <w:top w:val="single" w:sz="4" w:space="0" w:color="BFBFBF"/>
              <w:bottom w:val="single" w:sz="4" w:space="0" w:color="BFBFBF"/>
            </w:tcBorders>
            <w:hideMark/>
          </w:tcPr>
          <w:p w:rsidR="00AE673A" w:rsidRDefault="00AE673A" w:rsidP="00D5717A">
            <w:pPr>
              <w:spacing w:after="0" w:line="240" w:lineRule="auto"/>
              <w:rPr>
                <w:rFonts w:cs="Times New Roman"/>
                <w:i/>
                <w:sz w:val="20"/>
                <w:szCs w:val="20"/>
                <w:lang w:eastAsia="sk-SK"/>
              </w:rPr>
            </w:pPr>
            <w:r>
              <w:rPr>
                <w:rFonts w:ascii="Times New Roman" w:hAnsi="Times New Roman" w:cs="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bottom w:val="single" w:sz="4" w:space="0" w:color="BFBFBF"/>
            </w:tcBorders>
          </w:tcPr>
          <w:p w:rsidR="00AE673A" w:rsidRDefault="00AE673A" w:rsidP="00D5717A">
            <w:pPr>
              <w:spacing w:after="0" w:line="240" w:lineRule="auto"/>
              <w:jc w:val="both"/>
              <w:rPr>
                <w:rFonts w:ascii="Times New Roman" w:hAnsi="Times New Roman" w:cs="Times New Roman"/>
                <w:i/>
                <w:sz w:val="20"/>
                <w:szCs w:val="20"/>
                <w:lang w:eastAsia="sk-SK"/>
              </w:rPr>
            </w:pPr>
          </w:p>
        </w:tc>
      </w:tr>
      <w:tr w:rsidR="00AE673A" w:rsidTr="00AE673A">
        <w:trPr>
          <w:trHeight w:val="252"/>
          <w:jc w:val="center"/>
        </w:trPr>
        <w:tc>
          <w:tcPr>
            <w:tcW w:w="2500" w:type="pct"/>
            <w:tcBorders>
              <w:top w:val="single" w:sz="4" w:space="0" w:color="BFBFBF"/>
            </w:tcBorders>
            <w:hideMark/>
          </w:tcPr>
          <w:p w:rsidR="00AE673A" w:rsidRDefault="00AE673A" w:rsidP="00D5717A">
            <w:pPr>
              <w:spacing w:after="0" w:line="240" w:lineRule="auto"/>
              <w:rPr>
                <w:rFonts w:cs="Times New Roman"/>
                <w:i/>
                <w:sz w:val="20"/>
                <w:szCs w:val="20"/>
                <w:lang w:eastAsia="sk-SK"/>
              </w:rPr>
            </w:pPr>
            <w:r>
              <w:rPr>
                <w:rFonts w:ascii="Times New Roman" w:hAnsi="Times New Roman" w:cs="Times New Roman"/>
                <w:i/>
                <w:sz w:val="20"/>
                <w:szCs w:val="20"/>
                <w:lang w:eastAsia="sk-SK"/>
              </w:rPr>
              <w:t>Veľkosť skupiny (počet obyvateľov):</w:t>
            </w:r>
          </w:p>
        </w:tc>
        <w:tc>
          <w:tcPr>
            <w:tcW w:w="2500" w:type="pct"/>
            <w:tcBorders>
              <w:top w:val="single" w:sz="4" w:space="0" w:color="BFBFBF"/>
            </w:tcBorders>
          </w:tcPr>
          <w:p w:rsidR="00AE673A" w:rsidRDefault="00AE673A" w:rsidP="00D5717A">
            <w:pPr>
              <w:spacing w:after="0" w:line="240" w:lineRule="auto"/>
              <w:jc w:val="both"/>
              <w:rPr>
                <w:rFonts w:ascii="Times New Roman" w:hAnsi="Times New Roman" w:cs="Times New Roman"/>
                <w:i/>
                <w:sz w:val="20"/>
                <w:szCs w:val="20"/>
                <w:lang w:eastAsia="sk-SK"/>
              </w:rPr>
            </w:pPr>
          </w:p>
        </w:tc>
      </w:tr>
      <w:tr w:rsidR="00AE673A" w:rsidTr="00AE673A">
        <w:trPr>
          <w:trHeight w:val="87"/>
          <w:jc w:val="center"/>
        </w:trPr>
        <w:tc>
          <w:tcPr>
            <w:tcW w:w="2500" w:type="pct"/>
            <w:hideMark/>
          </w:tcPr>
          <w:p w:rsidR="00AE673A" w:rsidRDefault="00AE673A" w:rsidP="00D5717A">
            <w:pPr>
              <w:spacing w:after="0" w:line="240" w:lineRule="auto"/>
              <w:rPr>
                <w:rFonts w:cs="Times New Roman"/>
                <w:i/>
                <w:sz w:val="20"/>
                <w:szCs w:val="20"/>
                <w:lang w:eastAsia="sk-SK"/>
              </w:rPr>
            </w:pPr>
            <w:r>
              <w:rPr>
                <w:rFonts w:ascii="Times New Roman" w:hAnsi="Times New Roman" w:cs="Times New Roman"/>
                <w:i/>
                <w:sz w:val="20"/>
                <w:szCs w:val="20"/>
                <w:lang w:eastAsia="sk-SK"/>
              </w:rPr>
              <w:t>Dôvod chýbajúcej kvantifikácie:</w:t>
            </w:r>
          </w:p>
        </w:tc>
        <w:tc>
          <w:tcPr>
            <w:tcW w:w="2500" w:type="pct"/>
          </w:tcPr>
          <w:p w:rsidR="00AE673A" w:rsidRDefault="00AE673A" w:rsidP="00D5717A">
            <w:pPr>
              <w:spacing w:after="0" w:line="240" w:lineRule="auto"/>
              <w:jc w:val="both"/>
              <w:rPr>
                <w:rFonts w:ascii="Times New Roman" w:hAnsi="Times New Roman" w:cs="Times New Roman"/>
                <w:sz w:val="20"/>
                <w:szCs w:val="20"/>
                <w:lang w:eastAsia="sk-SK"/>
              </w:rPr>
            </w:pPr>
          </w:p>
        </w:tc>
      </w:tr>
      <w:tr w:rsidR="00AE673A" w:rsidTr="00D5717A">
        <w:trPr>
          <w:trHeight w:val="670"/>
          <w:jc w:val="center"/>
        </w:trPr>
        <w:tc>
          <w:tcPr>
            <w:tcW w:w="2500" w:type="pct"/>
            <w:hideMark/>
          </w:tcPr>
          <w:p w:rsidR="00AE673A" w:rsidRDefault="00AE673A" w:rsidP="00D5717A">
            <w:pPr>
              <w:spacing w:after="0" w:line="240" w:lineRule="auto"/>
              <w:jc w:val="both"/>
              <w:rPr>
                <w:rFonts w:ascii="Times New Roman" w:hAnsi="Times New Roman" w:cs="Times New Roman"/>
                <w:i/>
                <w:lang w:eastAsia="sk-SK"/>
              </w:rPr>
            </w:pPr>
            <w:r>
              <w:rPr>
                <w:rFonts w:ascii="Times New Roman" w:hAnsi="Times New Roman" w:cs="Times New Roman"/>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Pr>
          <w:p w:rsidR="00AE673A" w:rsidRDefault="00AE673A" w:rsidP="00D5717A">
            <w:pPr>
              <w:spacing w:after="0" w:line="240" w:lineRule="auto"/>
              <w:jc w:val="both"/>
              <w:rPr>
                <w:rFonts w:ascii="Times New Roman" w:hAnsi="Times New Roman" w:cs="Times New Roman"/>
                <w:sz w:val="20"/>
                <w:szCs w:val="20"/>
                <w:lang w:eastAsia="sk-SK"/>
              </w:rPr>
            </w:pPr>
          </w:p>
        </w:tc>
      </w:tr>
    </w:tbl>
    <w:p w:rsidR="00AE673A" w:rsidRDefault="00AE673A" w:rsidP="00AE673A">
      <w:pPr>
        <w:rPr>
          <w:rFonts w:ascii="Times New Roman" w:hAnsi="Times New Roman" w:cs="Times New Roman"/>
          <w:sz w:val="20"/>
          <w:szCs w:val="20"/>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E673A" w:rsidTr="00D5717A">
        <w:trPr>
          <w:trHeight w:val="339"/>
          <w:jc w:val="center"/>
        </w:trPr>
        <w:tc>
          <w:tcPr>
            <w:tcW w:w="5000" w:type="pct"/>
            <w:shd w:val="clear" w:color="auto" w:fill="D9D9D9"/>
            <w:hideMark/>
          </w:tcPr>
          <w:p w:rsidR="00AE673A" w:rsidRDefault="00AE673A" w:rsidP="00D5717A">
            <w:pPr>
              <w:spacing w:after="0" w:line="240" w:lineRule="auto"/>
              <w:rPr>
                <w:rFonts w:ascii="Times New Roman" w:hAnsi="Times New Roman" w:cs="Times New Roman"/>
                <w:b/>
                <w:sz w:val="24"/>
                <w:szCs w:val="24"/>
                <w:lang w:eastAsia="sk-SK"/>
              </w:rPr>
            </w:pPr>
            <w:r>
              <w:rPr>
                <w:rFonts w:ascii="Times New Roman"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AE673A" w:rsidTr="00D5717A">
        <w:trPr>
          <w:trHeight w:val="290"/>
          <w:jc w:val="center"/>
        </w:trPr>
        <w:tc>
          <w:tcPr>
            <w:tcW w:w="5000" w:type="pct"/>
            <w:shd w:val="clear" w:color="auto" w:fill="F2F2F2"/>
            <w:hideMark/>
          </w:tcPr>
          <w:p w:rsidR="00AE673A" w:rsidRDefault="00AE673A" w:rsidP="00D5717A">
            <w:pPr>
              <w:spacing w:after="0" w:line="240" w:lineRule="auto"/>
              <w:jc w:val="both"/>
              <w:rPr>
                <w:rFonts w:ascii="Times New Roman" w:hAnsi="Times New Roman" w:cs="Times New Roman"/>
                <w:i/>
                <w:sz w:val="20"/>
                <w:szCs w:val="24"/>
                <w:lang w:eastAsia="sk-SK"/>
              </w:rPr>
            </w:pPr>
            <w:r>
              <w:rPr>
                <w:rFonts w:ascii="Times New Roman" w:hAnsi="Times New Roman" w:cs="Times New Roman"/>
                <w:i/>
                <w:sz w:val="20"/>
                <w:szCs w:val="24"/>
                <w:lang w:eastAsia="sk-SK"/>
              </w:rPr>
              <w:t xml:space="preserve">Má návrh vplyv na prístup k zdrojom, právam, tovarom a službám? </w:t>
            </w:r>
          </w:p>
          <w:p w:rsidR="00AE673A" w:rsidRDefault="00AE673A" w:rsidP="00D5717A">
            <w:pPr>
              <w:spacing w:after="0" w:line="240" w:lineRule="auto"/>
              <w:jc w:val="both"/>
              <w:rPr>
                <w:rFonts w:cs="Times New Roman"/>
                <w:i/>
                <w:sz w:val="24"/>
                <w:szCs w:val="24"/>
                <w:lang w:eastAsia="sk-SK"/>
              </w:rPr>
            </w:pPr>
            <w:r>
              <w:rPr>
                <w:rFonts w:ascii="Times New Roman" w:hAnsi="Times New Roman" w:cs="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bl>
    <w:p w:rsidR="00AE673A" w:rsidRDefault="00AE673A" w:rsidP="00AE673A">
      <w:pPr>
        <w:spacing w:after="0" w:line="240" w:lineRule="auto"/>
        <w:rPr>
          <w:rFonts w:ascii="Times New Roman" w:hAnsi="Times New Roman" w:cs="Times New Roman"/>
          <w:i/>
          <w:sz w:val="18"/>
          <w:szCs w:val="18"/>
          <w:lang w:eastAsia="sk-SK"/>
        </w:rPr>
        <w:sectPr w:rsidR="00AE673A">
          <w:footnotePr>
            <w:numFmt w:val="chicago"/>
          </w:footnotePr>
          <w:type w:val="continuous"/>
          <w:pgSz w:w="11906" w:h="16838"/>
          <w:pgMar w:top="1134" w:right="1418" w:bottom="1134" w:left="1418" w:header="510" w:footer="567" w:gutter="0"/>
          <w:cols w:space="708"/>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AE673A" w:rsidTr="00D5717A">
        <w:trPr>
          <w:trHeight w:val="557"/>
          <w:jc w:val="center"/>
        </w:trPr>
        <w:tc>
          <w:tcPr>
            <w:tcW w:w="1993" w:type="pct"/>
            <w:tcBorders>
              <w:top w:val="nil"/>
              <w:bottom w:val="nil"/>
            </w:tcBorders>
            <w:hideMark/>
          </w:tcPr>
          <w:p w:rsidR="00AE673A" w:rsidRDefault="00AE673A" w:rsidP="00D5717A">
            <w:p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Rozumie sa najmä na prístup k:</w:t>
            </w:r>
          </w:p>
          <w:p w:rsidR="00AE673A" w:rsidRDefault="00AE673A" w:rsidP="00AE673A">
            <w:pPr>
              <w:numPr>
                <w:ilvl w:val="0"/>
                <w:numId w:val="24"/>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AE673A" w:rsidRDefault="00AE673A" w:rsidP="00AE673A">
            <w:pPr>
              <w:numPr>
                <w:ilvl w:val="0"/>
                <w:numId w:val="24"/>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kvalitnej práci, ochrane zdravia, dôstojnosti a bezpečnosti pri práci pre zamestnancov a existujúcim zamestnaneckým právam,</w:t>
            </w:r>
          </w:p>
          <w:p w:rsidR="00AE673A" w:rsidRDefault="00AE673A" w:rsidP="00AE673A">
            <w:pPr>
              <w:numPr>
                <w:ilvl w:val="0"/>
                <w:numId w:val="24"/>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 xml:space="preserve">pomoci pri úhrade výdavkov súvisiacich so zdravotným postihnutím, </w:t>
            </w:r>
          </w:p>
          <w:p w:rsidR="00AE673A" w:rsidRDefault="00AE673A" w:rsidP="00AE673A">
            <w:pPr>
              <w:numPr>
                <w:ilvl w:val="0"/>
                <w:numId w:val="24"/>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AE673A" w:rsidRDefault="00AE673A" w:rsidP="00AE673A">
            <w:pPr>
              <w:numPr>
                <w:ilvl w:val="0"/>
                <w:numId w:val="24"/>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 xml:space="preserve">zdravotnej starostlivosti vrátane cenovo dostupných pomôcok pre občanov so zdravotným postihnutím, </w:t>
            </w:r>
          </w:p>
          <w:p w:rsidR="00AE673A" w:rsidRDefault="00AE673A" w:rsidP="00AE673A">
            <w:pPr>
              <w:numPr>
                <w:ilvl w:val="0"/>
                <w:numId w:val="24"/>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k formálnemu i neformálnemu vzdelávaniu a celo</w:t>
            </w:r>
            <w:r>
              <w:rPr>
                <w:rFonts w:ascii="Times New Roman" w:hAnsi="Times New Roman" w:cs="Times New Roman"/>
                <w:i/>
                <w:sz w:val="18"/>
                <w:szCs w:val="18"/>
                <w:lang w:eastAsia="sk-SK"/>
              </w:rPr>
              <w:softHyphen/>
              <w:t xml:space="preserve">životnému vzdelávaniu, </w:t>
            </w:r>
          </w:p>
          <w:p w:rsidR="00AE673A" w:rsidRDefault="00AE673A" w:rsidP="00AE673A">
            <w:pPr>
              <w:numPr>
                <w:ilvl w:val="0"/>
                <w:numId w:val="24"/>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lastRenderedPageBreak/>
              <w:t>bývaniu a súvisiacim základným komunálnym službám,</w:t>
            </w:r>
          </w:p>
          <w:p w:rsidR="00AE673A" w:rsidRDefault="00AE673A" w:rsidP="00AE673A">
            <w:pPr>
              <w:numPr>
                <w:ilvl w:val="0"/>
                <w:numId w:val="24"/>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doprave,</w:t>
            </w:r>
          </w:p>
          <w:p w:rsidR="00AE673A" w:rsidRDefault="00AE673A" w:rsidP="00AE673A">
            <w:pPr>
              <w:numPr>
                <w:ilvl w:val="0"/>
                <w:numId w:val="24"/>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ďalším službám najmä službám všeobecného záujmu a tovarom,</w:t>
            </w:r>
          </w:p>
          <w:p w:rsidR="00AE673A" w:rsidRDefault="00AE673A" w:rsidP="00AE673A">
            <w:pPr>
              <w:numPr>
                <w:ilvl w:val="0"/>
                <w:numId w:val="24"/>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spravodlivosti, právnej ochrane, právnym službám,</w:t>
            </w:r>
          </w:p>
          <w:p w:rsidR="00AE673A" w:rsidRDefault="00AE673A" w:rsidP="00AE673A">
            <w:pPr>
              <w:numPr>
                <w:ilvl w:val="0"/>
                <w:numId w:val="24"/>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informáciám</w:t>
            </w:r>
          </w:p>
          <w:p w:rsidR="00AE673A" w:rsidRDefault="00AE673A" w:rsidP="00AE673A">
            <w:pPr>
              <w:numPr>
                <w:ilvl w:val="0"/>
                <w:numId w:val="24"/>
              </w:numPr>
              <w:spacing w:after="0" w:line="240" w:lineRule="auto"/>
              <w:jc w:val="both"/>
              <w:rPr>
                <w:rFonts w:cs="Times New Roman"/>
                <w:i/>
                <w:sz w:val="20"/>
                <w:szCs w:val="20"/>
                <w:lang w:eastAsia="sk-SK"/>
              </w:rPr>
            </w:pPr>
            <w:r>
              <w:rPr>
                <w:rFonts w:ascii="Times New Roman" w:hAnsi="Times New Roman" w:cs="Times New Roman"/>
                <w:i/>
                <w:sz w:val="18"/>
                <w:szCs w:val="18"/>
                <w:lang w:eastAsia="sk-SK"/>
              </w:rPr>
              <w:t>k iným právam (napr. politickým).</w:t>
            </w:r>
          </w:p>
        </w:tc>
        <w:tc>
          <w:tcPr>
            <w:tcW w:w="3007" w:type="pct"/>
            <w:tcBorders>
              <w:top w:val="nil"/>
              <w:bottom w:val="nil"/>
            </w:tcBorders>
          </w:tcPr>
          <w:p w:rsidR="00AE673A" w:rsidRDefault="00AE673A" w:rsidP="00D5717A">
            <w:pPr>
              <w:spacing w:after="0" w:line="240" w:lineRule="auto"/>
              <w:rPr>
                <w:rFonts w:ascii="Times New Roman" w:hAnsi="Times New Roman" w:cs="Times New Roman"/>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jc w:val="both"/>
              <w:rPr>
                <w:rFonts w:ascii="Times New Roman" w:hAnsi="Times New Roman" w:cs="Times New Roman"/>
                <w:sz w:val="20"/>
                <w:szCs w:val="20"/>
                <w:lang w:eastAsia="sk-SK"/>
              </w:rPr>
            </w:pPr>
            <w:r>
              <w:rPr>
                <w:rFonts w:ascii="Times New Roman" w:hAnsi="Times New Roman" w:cs="Times New Roman"/>
                <w:i/>
                <w:sz w:val="20"/>
                <w:szCs w:val="20"/>
                <w:lang w:eastAsia="sk-SK"/>
              </w:rPr>
              <w:t>Návrh zákona nemá vplyv na prístup k zdrojom, právam, tovarom a službám u jednotlivých ovplyvnených skupín obyvateľstva a vplyv na sociálnu inklúziu.</w:t>
            </w:r>
          </w:p>
        </w:tc>
      </w:tr>
    </w:tbl>
    <w:p w:rsidR="00AE673A" w:rsidRDefault="00AE673A" w:rsidP="00AE673A">
      <w:pPr>
        <w:spacing w:after="0" w:line="240" w:lineRule="auto"/>
        <w:rPr>
          <w:rFonts w:ascii="Times New Roman" w:hAnsi="Times New Roman" w:cs="Times New Roman"/>
          <w:i/>
          <w:sz w:val="20"/>
          <w:szCs w:val="20"/>
          <w:lang w:eastAsia="sk-SK"/>
        </w:rPr>
        <w:sectPr w:rsidR="00AE673A">
          <w:footnotePr>
            <w:numFmt w:val="chicago"/>
          </w:footnotePr>
          <w:type w:val="continuous"/>
          <w:pgSz w:w="11906" w:h="16838"/>
          <w:pgMar w:top="1134" w:right="1418" w:bottom="1134" w:left="1418" w:header="510" w:footer="567" w:gutter="0"/>
          <w:cols w:space="708"/>
          <w:formProt w:val="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E673A" w:rsidTr="00D5717A">
        <w:trPr>
          <w:jc w:val="center"/>
        </w:trPr>
        <w:tc>
          <w:tcPr>
            <w:tcW w:w="5000" w:type="pct"/>
            <w:shd w:val="clear" w:color="auto" w:fill="F2F2F2"/>
            <w:hideMark/>
          </w:tcPr>
          <w:p w:rsidR="00AE673A" w:rsidRDefault="00AE673A" w:rsidP="00D5717A">
            <w:pPr>
              <w:spacing w:after="0" w:line="240" w:lineRule="auto"/>
              <w:jc w:val="both"/>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Má návrh významný vplyv na niektorú zo zraniteľných skupín obyvateľstva alebo skupín v riziku chudoby alebo sociálneho vylúčenia? </w:t>
            </w:r>
          </w:p>
          <w:p w:rsidR="00AE673A" w:rsidRDefault="00AE673A" w:rsidP="00D5717A">
            <w:pPr>
              <w:spacing w:after="0" w:line="240" w:lineRule="auto"/>
              <w:jc w:val="both"/>
              <w:rPr>
                <w:rFonts w:cs="Times New Roman"/>
                <w:i/>
                <w:lang w:eastAsia="sk-SK"/>
              </w:rPr>
            </w:pPr>
            <w:r>
              <w:rPr>
                <w:rFonts w:ascii="Times New Roman" w:hAnsi="Times New Roman" w:cs="Times New Roman"/>
                <w:i/>
                <w:sz w:val="20"/>
                <w:szCs w:val="20"/>
                <w:lang w:eastAsia="sk-SK"/>
              </w:rPr>
              <w:t xml:space="preserve">Špecifikujte ovplyvnené skupiny v riziku chudoby a sociálneho vylúčenia a popíšte vplyv na </w:t>
            </w:r>
            <w:proofErr w:type="spellStart"/>
            <w:r>
              <w:rPr>
                <w:rFonts w:ascii="Times New Roman" w:hAnsi="Times New Roman" w:cs="Times New Roman"/>
                <w:i/>
                <w:sz w:val="20"/>
                <w:szCs w:val="20"/>
                <w:lang w:eastAsia="sk-SK"/>
              </w:rPr>
              <w:t>ne</w:t>
            </w:r>
            <w:proofErr w:type="spellEnd"/>
            <w:r>
              <w:rPr>
                <w:rFonts w:ascii="Times New Roman" w:hAnsi="Times New Roman" w:cs="Times New Roman"/>
                <w:i/>
                <w:sz w:val="20"/>
                <w:szCs w:val="20"/>
                <w:lang w:eastAsia="sk-SK"/>
              </w:rPr>
              <w:t>. Je tento vplyv väčší ako vplyv na iné skupiny či subjekty? Uveďte veľkosť jednotlivých ovplyvnených skupín.</w:t>
            </w:r>
          </w:p>
        </w:tc>
      </w:tr>
    </w:tbl>
    <w:p w:rsidR="00AE673A" w:rsidRDefault="00AE673A" w:rsidP="00AE673A">
      <w:pPr>
        <w:spacing w:after="0" w:line="240" w:lineRule="auto"/>
        <w:rPr>
          <w:rFonts w:ascii="Times New Roman" w:hAnsi="Times New Roman" w:cs="Times New Roman"/>
          <w:i/>
          <w:sz w:val="18"/>
          <w:szCs w:val="18"/>
          <w:lang w:eastAsia="sk-SK"/>
        </w:rPr>
        <w:sectPr w:rsidR="00AE673A" w:rsidSect="00AE673A">
          <w:footnotePr>
            <w:numFmt w:val="chicago"/>
          </w:footnotePr>
          <w:type w:val="continuous"/>
          <w:pgSz w:w="11906" w:h="16838"/>
          <w:pgMar w:top="1134" w:right="1418" w:bottom="1276" w:left="1418" w:header="510" w:footer="567" w:gutter="0"/>
          <w:cols w:space="708"/>
        </w:sectPr>
      </w:pPr>
    </w:p>
    <w:tbl>
      <w:tblPr>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AE673A" w:rsidTr="00D5717A">
        <w:trPr>
          <w:trHeight w:val="677"/>
          <w:jc w:val="center"/>
        </w:trPr>
        <w:tc>
          <w:tcPr>
            <w:tcW w:w="1993" w:type="pct"/>
            <w:tcBorders>
              <w:top w:val="nil"/>
            </w:tcBorders>
            <w:hideMark/>
          </w:tcPr>
          <w:p w:rsidR="00AE673A" w:rsidRDefault="00AE673A" w:rsidP="00D5717A">
            <w:p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Zraniteľné skupiny alebo skupiny v riziku chudoby alebo sociálneho vylúčenia sú napr.:</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nezamestnaní, najmä dlhodobo nezamestnaní, mladí nezamestnaní a nezamestnaní nad 50 rokov,</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deti (0 – 17),</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mladí ľudia (18 – 25 rokov),</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starší ľudia, napr. ľudia vo veku nad 65 rokov alebo dôchodcovia,</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ľudia so zdravotným postihnutím,</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 xml:space="preserve">marginalizované rómske komunity </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domácnosti s 3 a viac deťmi,</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jednorodičovské domácnosti s deťmi (neúplné rodiny, ktoré tvoria najmä osamelé matky s deťmi),</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príslušníci tretích krajín, azylanti, žiadatelia o azyl,</w:t>
            </w:r>
          </w:p>
          <w:p w:rsidR="00AE673A" w:rsidRDefault="00AE673A" w:rsidP="00AE673A">
            <w:pPr>
              <w:numPr>
                <w:ilvl w:val="0"/>
                <w:numId w:val="25"/>
              </w:numPr>
              <w:spacing w:after="0" w:line="240" w:lineRule="auto"/>
              <w:jc w:val="both"/>
              <w:rPr>
                <w:rFonts w:cs="Times New Roman"/>
                <w:i/>
                <w:sz w:val="18"/>
                <w:szCs w:val="18"/>
                <w:lang w:eastAsia="sk-SK"/>
              </w:rPr>
            </w:pPr>
            <w:r>
              <w:rPr>
                <w:rFonts w:ascii="Times New Roman" w:hAnsi="Times New Roman" w:cs="Times New Roman"/>
                <w:i/>
                <w:sz w:val="18"/>
                <w:szCs w:val="18"/>
                <w:lang w:eastAsia="sk-SK"/>
              </w:rPr>
              <w:t>iné zraniteľné skupiny, ako sú napr. bezdomovci, ľudia opúšťajúci detské domovy alebo iné inštitucionálne zariadenia</w:t>
            </w:r>
          </w:p>
        </w:tc>
        <w:tc>
          <w:tcPr>
            <w:tcW w:w="3007" w:type="pct"/>
            <w:tcBorders>
              <w:top w:val="nil"/>
            </w:tcBorders>
          </w:tcPr>
          <w:p w:rsidR="00AE673A" w:rsidRDefault="00AE673A" w:rsidP="00D5717A">
            <w:pPr>
              <w:spacing w:after="0" w:line="240" w:lineRule="auto"/>
              <w:rPr>
                <w:rFonts w:ascii="Times New Roman" w:hAnsi="Times New Roman" w:cs="Times New Roman"/>
                <w:sz w:val="20"/>
                <w:lang w:eastAsia="sk-SK"/>
              </w:rPr>
            </w:pPr>
          </w:p>
          <w:p w:rsidR="00AE673A" w:rsidRDefault="00AE673A" w:rsidP="00D5717A">
            <w:pPr>
              <w:spacing w:after="0" w:line="240" w:lineRule="auto"/>
              <w:rPr>
                <w:rFonts w:ascii="Times New Roman" w:hAnsi="Times New Roman" w:cs="Times New Roman"/>
                <w:sz w:val="20"/>
                <w:lang w:eastAsia="sk-SK"/>
              </w:rPr>
            </w:pPr>
          </w:p>
          <w:p w:rsidR="00AE673A" w:rsidRDefault="00AE673A" w:rsidP="00D5717A">
            <w:pPr>
              <w:rPr>
                <w:rFonts w:ascii="Times New Roman" w:hAnsi="Times New Roman" w:cs="Times New Roman"/>
                <w:sz w:val="20"/>
                <w:lang w:eastAsia="sk-SK"/>
              </w:rPr>
            </w:pPr>
          </w:p>
          <w:p w:rsidR="00AE673A" w:rsidRDefault="00AE673A" w:rsidP="00D5717A">
            <w:pPr>
              <w:rPr>
                <w:rFonts w:ascii="Times New Roman" w:hAnsi="Times New Roman" w:cs="Times New Roman"/>
                <w:sz w:val="20"/>
                <w:lang w:eastAsia="sk-SK"/>
              </w:rPr>
            </w:pPr>
          </w:p>
          <w:p w:rsidR="00AE673A" w:rsidRDefault="00AE673A" w:rsidP="00D5717A">
            <w:pPr>
              <w:rPr>
                <w:rFonts w:ascii="Times New Roman" w:hAnsi="Times New Roman" w:cs="Times New Roman"/>
                <w:sz w:val="20"/>
                <w:lang w:eastAsia="sk-SK"/>
              </w:rPr>
            </w:pPr>
          </w:p>
          <w:p w:rsidR="00AE673A" w:rsidRDefault="00AE673A" w:rsidP="00D5717A">
            <w:pPr>
              <w:rPr>
                <w:rFonts w:ascii="Times New Roman" w:hAnsi="Times New Roman" w:cs="Times New Roman"/>
                <w:sz w:val="20"/>
                <w:lang w:eastAsia="sk-SK"/>
              </w:rPr>
            </w:pPr>
          </w:p>
          <w:p w:rsidR="00AE673A" w:rsidRDefault="00AE673A" w:rsidP="00D5717A">
            <w:pPr>
              <w:jc w:val="both"/>
              <w:rPr>
                <w:rFonts w:ascii="Times New Roman" w:hAnsi="Times New Roman" w:cs="Times New Roman"/>
                <w:sz w:val="20"/>
                <w:lang w:eastAsia="sk-SK"/>
              </w:rPr>
            </w:pPr>
            <w:r>
              <w:rPr>
                <w:rFonts w:ascii="Times New Roman" w:hAnsi="Times New Roman" w:cs="Times New Roman"/>
                <w:i/>
                <w:sz w:val="20"/>
                <w:szCs w:val="20"/>
                <w:lang w:eastAsia="sk-SK"/>
              </w:rPr>
              <w:t>Návrh zákona nemá vplyv na prístup k zdrojom, právam, tovarom a službám u jednotlivých ovplyvnených skupín obyvateľstva a vplyv na sociálnu inklúziu.</w:t>
            </w:r>
          </w:p>
        </w:tc>
      </w:tr>
    </w:tbl>
    <w:p w:rsidR="00AE673A" w:rsidRDefault="00AE673A" w:rsidP="00AE673A">
      <w:pPr>
        <w:spacing w:after="0" w:line="240" w:lineRule="auto"/>
      </w:pPr>
    </w:p>
    <w:p w:rsidR="00AE673A" w:rsidRDefault="00AE673A" w:rsidP="00AE673A">
      <w:pPr>
        <w:spacing w:after="0" w:line="240" w:lineRule="auto"/>
        <w:rPr>
          <w:rFonts w:ascii="Times New Roman" w:hAnsi="Times New Roman" w:cs="Times New Roman"/>
          <w:b/>
          <w:sz w:val="24"/>
          <w:szCs w:val="24"/>
          <w:lang w:eastAsia="sk-SK"/>
        </w:rPr>
        <w:sectPr w:rsidR="00AE673A">
          <w:footnotePr>
            <w:numFmt w:val="chicago"/>
          </w:footnotePr>
          <w:type w:val="continuous"/>
          <w:pgSz w:w="11906" w:h="16838"/>
          <w:pgMar w:top="1134" w:right="1418" w:bottom="1134" w:left="1418" w:header="510" w:footer="567" w:gutter="0"/>
          <w:cols w:space="708"/>
          <w:formProt w:val="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E673A" w:rsidTr="00D5717A">
        <w:trPr>
          <w:jc w:val="center"/>
        </w:trPr>
        <w:tc>
          <w:tcPr>
            <w:tcW w:w="5000" w:type="pct"/>
            <w:shd w:val="clear" w:color="auto" w:fill="D9D9D9"/>
            <w:hideMark/>
          </w:tcPr>
          <w:p w:rsidR="00AE673A" w:rsidRDefault="00AE673A" w:rsidP="00D5717A">
            <w:pPr>
              <w:spacing w:after="0" w:line="240" w:lineRule="auto"/>
              <w:rPr>
                <w:rFonts w:ascii="Times New Roman" w:hAnsi="Times New Roman" w:cs="Times New Roman"/>
                <w:b/>
                <w:sz w:val="24"/>
                <w:szCs w:val="24"/>
                <w:lang w:eastAsia="sk-SK"/>
              </w:rPr>
            </w:pPr>
            <w:r>
              <w:rPr>
                <w:rFonts w:ascii="Times New Roman" w:hAnsi="Times New Roman" w:cs="Times New Roman"/>
                <w:b/>
                <w:sz w:val="24"/>
                <w:szCs w:val="24"/>
                <w:lang w:eastAsia="sk-SK"/>
              </w:rPr>
              <w:t>4.3 Identifikujte a popíšte vplyv na rovnosť príležitostí.</w:t>
            </w:r>
          </w:p>
          <w:p w:rsidR="00AE673A" w:rsidRDefault="00AE673A" w:rsidP="00D5717A">
            <w:pPr>
              <w:spacing w:after="0" w:line="240" w:lineRule="auto"/>
              <w:ind w:left="340"/>
              <w:jc w:val="both"/>
              <w:rPr>
                <w:rFonts w:cs="Times New Roman"/>
                <w:sz w:val="24"/>
                <w:szCs w:val="24"/>
                <w:lang w:eastAsia="sk-SK"/>
              </w:rPr>
            </w:pPr>
            <w:r>
              <w:rPr>
                <w:rFonts w:ascii="Times New Roman" w:hAnsi="Times New Roman" w:cs="Times New Roman"/>
                <w:b/>
                <w:sz w:val="24"/>
                <w:szCs w:val="24"/>
                <w:lang w:eastAsia="sk-SK"/>
              </w:rPr>
              <w:t>Identifikujte, popíšte a kvantifikujte vplyv na rodovú rovnosť.</w:t>
            </w:r>
          </w:p>
        </w:tc>
      </w:tr>
      <w:tr w:rsidR="00AE673A" w:rsidTr="00D5717A">
        <w:trPr>
          <w:jc w:val="center"/>
        </w:trPr>
        <w:tc>
          <w:tcPr>
            <w:tcW w:w="5000" w:type="pct"/>
            <w:shd w:val="clear" w:color="auto" w:fill="F2F2F2"/>
            <w:hideMark/>
          </w:tcPr>
          <w:p w:rsidR="00AE673A" w:rsidRDefault="00AE673A" w:rsidP="00D5717A">
            <w:pPr>
              <w:spacing w:after="0" w:line="240" w:lineRule="auto"/>
              <w:jc w:val="both"/>
              <w:rPr>
                <w:rFonts w:ascii="Times New Roman" w:hAnsi="Times New Roman" w:cs="Times New Roman"/>
                <w:i/>
                <w:sz w:val="24"/>
                <w:szCs w:val="24"/>
                <w:lang w:eastAsia="sk-SK"/>
              </w:rPr>
            </w:pPr>
            <w:r>
              <w:rPr>
                <w:rFonts w:ascii="Times New Roman" w:hAnsi="Times New Roman" w:cs="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AE673A" w:rsidRDefault="00AE673A" w:rsidP="00AE673A">
      <w:pPr>
        <w:spacing w:after="0" w:line="240" w:lineRule="auto"/>
        <w:rPr>
          <w:rFonts w:ascii="Times New Roman" w:hAnsi="Times New Roman" w:cs="Times New Roman"/>
          <w:sz w:val="20"/>
          <w:lang w:eastAsia="sk-SK"/>
        </w:rPr>
        <w:sectPr w:rsidR="00AE673A">
          <w:footnotePr>
            <w:numFmt w:val="chicago"/>
          </w:footnotePr>
          <w:type w:val="continuous"/>
          <w:pgSz w:w="11906" w:h="16838"/>
          <w:pgMar w:top="1134" w:right="1418" w:bottom="1134" w:left="1418" w:header="510" w:footer="567" w:gutter="0"/>
          <w:cols w:space="708"/>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E673A" w:rsidTr="00D5717A">
        <w:trPr>
          <w:trHeight w:val="928"/>
          <w:jc w:val="center"/>
        </w:trPr>
        <w:tc>
          <w:tcPr>
            <w:tcW w:w="5000" w:type="pct"/>
            <w:tcBorders>
              <w:top w:val="nil"/>
              <w:bottom w:val="nil"/>
            </w:tcBorders>
            <w:hideMark/>
          </w:tcPr>
          <w:p w:rsidR="00AE673A" w:rsidRDefault="00AE673A" w:rsidP="00D5717A">
            <w:pPr>
              <w:spacing w:after="0" w:line="240" w:lineRule="auto"/>
              <w:jc w:val="both"/>
              <w:rPr>
                <w:rFonts w:ascii="Times New Roman" w:hAnsi="Times New Roman" w:cs="Times New Roman"/>
                <w:i/>
                <w:sz w:val="20"/>
                <w:lang w:eastAsia="sk-SK"/>
              </w:rPr>
            </w:pPr>
            <w:r>
              <w:rPr>
                <w:rFonts w:ascii="Times New Roman" w:hAnsi="Times New Roman" w:cs="Times New Roman"/>
                <w:i/>
                <w:sz w:val="20"/>
                <w:szCs w:val="20"/>
                <w:lang w:eastAsia="sk-SK"/>
              </w:rPr>
              <w:t>Návrh zákona dodržiava povinnosť rovnakého zaobchádzania so skupinami alebo jednotlivcami na základe pohlavia, rasy, etnicity, náboženstva alebo viery, zdravotného postihnutia a sexuálnej orientácie. Návrh zákona nemôže viesť k nepriamej diskriminácii niektorých skupín obyvateľstva. Návrh zákona nemá vplyv na rovnosť príležitostí.</w:t>
            </w:r>
          </w:p>
        </w:tc>
      </w:tr>
    </w:tbl>
    <w:p w:rsidR="00AE673A" w:rsidRDefault="00AE673A" w:rsidP="00AE673A">
      <w:pPr>
        <w:spacing w:after="0" w:line="240" w:lineRule="auto"/>
        <w:rPr>
          <w:rFonts w:ascii="Times New Roman" w:hAnsi="Times New Roman" w:cs="Times New Roman"/>
          <w:i/>
          <w:sz w:val="20"/>
          <w:szCs w:val="20"/>
          <w:lang w:eastAsia="sk-SK"/>
        </w:rPr>
        <w:sectPr w:rsidR="00AE673A">
          <w:footnotePr>
            <w:numFmt w:val="chicago"/>
          </w:footnotePr>
          <w:type w:val="continuous"/>
          <w:pgSz w:w="11906" w:h="16838"/>
          <w:pgMar w:top="1134" w:right="1418" w:bottom="1134" w:left="1418" w:header="510" w:footer="567" w:gutter="0"/>
          <w:cols w:space="708"/>
          <w:formProt w:val="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E673A" w:rsidTr="00D5717A">
        <w:trPr>
          <w:trHeight w:val="345"/>
          <w:jc w:val="center"/>
        </w:trPr>
        <w:tc>
          <w:tcPr>
            <w:tcW w:w="5000" w:type="pct"/>
            <w:shd w:val="clear" w:color="auto" w:fill="F2F2F2"/>
            <w:vAlign w:val="center"/>
            <w:hideMark/>
          </w:tcPr>
          <w:p w:rsidR="00AE673A" w:rsidRDefault="00AE673A" w:rsidP="00D5717A">
            <w:pPr>
              <w:spacing w:after="0" w:line="240" w:lineRule="auto"/>
              <w:rPr>
                <w:rFonts w:ascii="Times New Roman" w:hAnsi="Times New Roman" w:cs="Times New Roman"/>
                <w:i/>
                <w:sz w:val="20"/>
                <w:szCs w:val="20"/>
                <w:lang w:eastAsia="sk-SK"/>
              </w:rPr>
            </w:pPr>
            <w:r>
              <w:rPr>
                <w:rFonts w:ascii="Times New Roman" w:hAnsi="Times New Roman" w:cs="Times New Roman"/>
                <w:i/>
                <w:sz w:val="20"/>
                <w:szCs w:val="20"/>
                <w:lang w:eastAsia="sk-SK"/>
              </w:rPr>
              <w:t>Môže mať návrh odlišný vplyv na ženy a mužov? Podporuje návrh rovnosť medzi ženami a mužmi alebo naopak bude viesť k zväčšovaniu rodových nerovností? Popíšte vplyvy.</w:t>
            </w:r>
          </w:p>
        </w:tc>
      </w:tr>
    </w:tbl>
    <w:p w:rsidR="00AE673A" w:rsidRDefault="00AE673A" w:rsidP="00AE673A">
      <w:pPr>
        <w:spacing w:after="0" w:line="240" w:lineRule="auto"/>
        <w:rPr>
          <w:rFonts w:ascii="Times New Roman" w:hAnsi="Times New Roman" w:cs="Times New Roman"/>
          <w:i/>
          <w:sz w:val="18"/>
          <w:szCs w:val="18"/>
          <w:lang w:eastAsia="sk-SK"/>
        </w:rPr>
        <w:sectPr w:rsidR="00AE673A">
          <w:footnotePr>
            <w:numFmt w:val="chicago"/>
          </w:footnotePr>
          <w:type w:val="continuous"/>
          <w:pgSz w:w="11906" w:h="16838"/>
          <w:pgMar w:top="1134" w:right="1418" w:bottom="1134" w:left="1418" w:header="510" w:footer="567" w:gutter="0"/>
          <w:cols w:space="708"/>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AE673A" w:rsidTr="0081319C">
        <w:trPr>
          <w:trHeight w:val="4671"/>
          <w:jc w:val="center"/>
        </w:trPr>
        <w:tc>
          <w:tcPr>
            <w:tcW w:w="1993" w:type="pct"/>
            <w:tcBorders>
              <w:top w:val="nil"/>
              <w:bottom w:val="nil"/>
            </w:tcBorders>
            <w:hideMark/>
          </w:tcPr>
          <w:p w:rsidR="00AE673A" w:rsidRDefault="00AE673A" w:rsidP="00D5717A">
            <w:p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lastRenderedPageBreak/>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 xml:space="preserve">podpora vyrovnávania ekonomickej nezávislosti, </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 xml:space="preserve">zosúladenie pracovného, súkromného a rodinného života, </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 xml:space="preserve">podpora rovnej participácie na rozhodovaní, </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 xml:space="preserve">boj proti rodovo podmienenému násiliu a obchodovaniu s ľuďmi, </w:t>
            </w:r>
          </w:p>
          <w:p w:rsidR="00AE673A" w:rsidRDefault="00AE673A" w:rsidP="00AE673A">
            <w:pPr>
              <w:numPr>
                <w:ilvl w:val="0"/>
                <w:numId w:val="25"/>
              </w:numPr>
              <w:spacing w:after="0" w:line="240" w:lineRule="auto"/>
              <w:jc w:val="both"/>
              <w:rPr>
                <w:rFonts w:ascii="Times New Roman" w:hAnsi="Times New Roman" w:cs="Times New Roman"/>
                <w:i/>
                <w:sz w:val="18"/>
                <w:szCs w:val="18"/>
                <w:lang w:eastAsia="sk-SK"/>
              </w:rPr>
            </w:pPr>
            <w:r>
              <w:rPr>
                <w:rFonts w:ascii="Times New Roman" w:hAnsi="Times New Roman" w:cs="Times New Roman"/>
                <w:i/>
                <w:sz w:val="18"/>
                <w:szCs w:val="18"/>
                <w:lang w:eastAsia="sk-SK"/>
              </w:rPr>
              <w:t>eliminácia rodových stereotypov.</w:t>
            </w:r>
          </w:p>
        </w:tc>
        <w:tc>
          <w:tcPr>
            <w:tcW w:w="3007" w:type="pct"/>
            <w:tcBorders>
              <w:top w:val="nil"/>
              <w:bottom w:val="nil"/>
            </w:tcBorders>
          </w:tcPr>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rPr>
                <w:rFonts w:ascii="Times New Roman" w:hAnsi="Times New Roman" w:cs="Times New Roman"/>
                <w:i/>
                <w:sz w:val="20"/>
                <w:szCs w:val="20"/>
                <w:lang w:eastAsia="sk-SK"/>
              </w:rPr>
            </w:pPr>
          </w:p>
          <w:p w:rsidR="00AE673A" w:rsidRDefault="00AE673A" w:rsidP="00D5717A">
            <w:pPr>
              <w:spacing w:after="0" w:line="240" w:lineRule="auto"/>
              <w:jc w:val="both"/>
              <w:rPr>
                <w:rFonts w:ascii="Times New Roman" w:hAnsi="Times New Roman" w:cs="Times New Roman"/>
                <w:i/>
                <w:sz w:val="20"/>
                <w:szCs w:val="20"/>
                <w:lang w:eastAsia="sk-SK"/>
              </w:rPr>
            </w:pPr>
            <w:r>
              <w:rPr>
                <w:rFonts w:ascii="Times New Roman" w:hAnsi="Times New Roman" w:cs="Times New Roman"/>
                <w:i/>
                <w:sz w:val="20"/>
                <w:szCs w:val="20"/>
                <w:lang w:eastAsia="sk-SK"/>
              </w:rPr>
              <w:t>Návrh zákona nemá vplyv na rodovú rovnosť a rovnosť príležitostí.</w:t>
            </w:r>
          </w:p>
        </w:tc>
      </w:tr>
    </w:tbl>
    <w:p w:rsidR="00AE673A" w:rsidRDefault="00AE673A" w:rsidP="00AE673A">
      <w:pPr>
        <w:spacing w:after="0" w:line="240" w:lineRule="auto"/>
        <w:rPr>
          <w:rFonts w:ascii="Times New Roman" w:hAnsi="Times New Roman" w:cs="Times New Roman"/>
          <w:b/>
          <w:sz w:val="24"/>
          <w:lang w:eastAsia="sk-SK"/>
        </w:rPr>
        <w:sectPr w:rsidR="00AE673A">
          <w:footnotePr>
            <w:numFmt w:val="chicago"/>
          </w:footnotePr>
          <w:type w:val="continuous"/>
          <w:pgSz w:w="11906" w:h="16838"/>
          <w:pgMar w:top="1134" w:right="1418" w:bottom="1134" w:left="1418" w:header="510" w:footer="567" w:gutter="0"/>
          <w:cols w:space="708"/>
          <w:formProt w:val="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E673A" w:rsidTr="00D5717A">
        <w:trPr>
          <w:jc w:val="center"/>
        </w:trPr>
        <w:tc>
          <w:tcPr>
            <w:tcW w:w="5000" w:type="pct"/>
            <w:shd w:val="clear" w:color="auto" w:fill="D9D9D9"/>
            <w:hideMark/>
          </w:tcPr>
          <w:p w:rsidR="00AE673A" w:rsidRDefault="00AE673A" w:rsidP="00D5717A">
            <w:pPr>
              <w:spacing w:after="0" w:line="240" w:lineRule="auto"/>
              <w:rPr>
                <w:rFonts w:ascii="Times New Roman" w:hAnsi="Times New Roman" w:cs="Times New Roman"/>
                <w:b/>
                <w:sz w:val="24"/>
                <w:lang w:eastAsia="sk-SK"/>
              </w:rPr>
            </w:pPr>
            <w:r>
              <w:rPr>
                <w:rFonts w:ascii="Times New Roman" w:hAnsi="Times New Roman" w:cs="Times New Roman"/>
                <w:b/>
                <w:sz w:val="24"/>
                <w:lang w:eastAsia="sk-SK"/>
              </w:rPr>
              <w:t>4.4 Identifikujte, popíšte a kvantifikujte vplyvy na zamestnanosť a na trh práce.</w:t>
            </w:r>
          </w:p>
          <w:p w:rsidR="00AE673A" w:rsidRDefault="00AE673A" w:rsidP="00D5717A">
            <w:pPr>
              <w:spacing w:after="0" w:line="240" w:lineRule="auto"/>
              <w:jc w:val="both"/>
              <w:rPr>
                <w:rFonts w:ascii="Times New Roman" w:hAnsi="Times New Roman" w:cs="Times New Roman"/>
                <w:i/>
                <w:lang w:eastAsia="sk-SK"/>
              </w:rPr>
            </w:pPr>
            <w:r>
              <w:rPr>
                <w:rFonts w:ascii="Times New Roman" w:hAnsi="Times New Roman" w:cs="Times New Roman"/>
                <w:i/>
                <w:lang w:eastAsia="sk-SK"/>
              </w:rPr>
              <w:t xml:space="preserve">V prípade kladnej odpovede pripojte </w:t>
            </w:r>
            <w:r>
              <w:rPr>
                <w:rFonts w:ascii="Times New Roman" w:hAnsi="Times New Roman" w:cs="Times New Roman"/>
                <w:b/>
                <w:i/>
                <w:lang w:eastAsia="sk-SK"/>
              </w:rPr>
              <w:t>odôvodnenie</w:t>
            </w:r>
            <w:r>
              <w:rPr>
                <w:rFonts w:ascii="Times New Roman" w:hAnsi="Times New Roman" w:cs="Times New Roman"/>
                <w:i/>
                <w:lang w:eastAsia="sk-SK"/>
              </w:rPr>
              <w:t xml:space="preserve"> v súlade s Metodickým postupom pre analýzu sociálnych vplyvov.</w:t>
            </w:r>
          </w:p>
        </w:tc>
      </w:tr>
    </w:tbl>
    <w:p w:rsidR="00AE673A" w:rsidRDefault="00AE673A" w:rsidP="00AE673A">
      <w:pPr>
        <w:spacing w:after="0" w:line="240" w:lineRule="auto"/>
        <w:rPr>
          <w:rFonts w:ascii="Times New Roman" w:hAnsi="Times New Roman" w:cs="Times New Roman"/>
          <w:i/>
          <w:sz w:val="20"/>
          <w:szCs w:val="24"/>
          <w:lang w:eastAsia="sk-SK"/>
        </w:rPr>
        <w:sectPr w:rsidR="00AE673A">
          <w:footnotePr>
            <w:numFmt w:val="chicago"/>
          </w:footnotePr>
          <w:type w:val="continuous"/>
          <w:pgSz w:w="11906" w:h="16838"/>
          <w:pgMar w:top="1134" w:right="1418" w:bottom="1134" w:left="1418" w:header="510" w:footer="567" w:gutter="0"/>
          <w:cols w:space="708"/>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AE673A" w:rsidTr="00D5717A">
        <w:trPr>
          <w:trHeight w:val="287"/>
          <w:jc w:val="center"/>
        </w:trPr>
        <w:tc>
          <w:tcPr>
            <w:tcW w:w="5000" w:type="pct"/>
            <w:gridSpan w:val="2"/>
            <w:tcBorders>
              <w:top w:val="nil"/>
            </w:tcBorders>
            <w:shd w:val="clear" w:color="auto" w:fill="F2F2F2"/>
            <w:hideMark/>
          </w:tcPr>
          <w:p w:rsidR="00AE673A" w:rsidRDefault="00AE673A" w:rsidP="00D5717A">
            <w:pPr>
              <w:spacing w:after="0" w:line="240" w:lineRule="auto"/>
              <w:rPr>
                <w:rFonts w:ascii="Times New Roman" w:hAnsi="Times New Roman" w:cs="Times New Roman"/>
                <w:i/>
                <w:sz w:val="20"/>
                <w:szCs w:val="20"/>
              </w:rPr>
            </w:pPr>
            <w:r>
              <w:rPr>
                <w:rFonts w:ascii="Times New Roman" w:hAnsi="Times New Roman" w:cs="Times New Roman"/>
                <w:i/>
                <w:sz w:val="20"/>
                <w:szCs w:val="20"/>
              </w:rPr>
              <w:t>Uľahčuje návrh vznik nových pracovných miest? Ak áno, ako? Ak je to možné, doplňte kvantifikáciu.</w:t>
            </w:r>
          </w:p>
        </w:tc>
      </w:tr>
      <w:tr w:rsidR="00AE673A" w:rsidTr="00D5717A">
        <w:trPr>
          <w:trHeight w:val="567"/>
          <w:jc w:val="center"/>
        </w:trPr>
        <w:tc>
          <w:tcPr>
            <w:tcW w:w="1993" w:type="pct"/>
            <w:tcBorders>
              <w:top w:val="nil"/>
            </w:tcBorders>
            <w:shd w:val="clear" w:color="auto" w:fill="FFFFFF"/>
            <w:hideMark/>
          </w:tcPr>
          <w:p w:rsidR="00AE673A" w:rsidRDefault="00AE673A" w:rsidP="00D5717A">
            <w:pPr>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tcBorders>
            <w:shd w:val="clear" w:color="auto" w:fill="FFFFFF"/>
            <w:vAlign w:val="center"/>
            <w:hideMark/>
          </w:tcPr>
          <w:p w:rsidR="00AE673A" w:rsidRDefault="00AE673A" w:rsidP="00D5717A">
            <w:pPr>
              <w:spacing w:after="0" w:line="240" w:lineRule="auto"/>
              <w:rPr>
                <w:rFonts w:ascii="Times New Roman" w:hAnsi="Times New Roman" w:cs="Times New Roman"/>
                <w:sz w:val="20"/>
                <w:szCs w:val="18"/>
              </w:rPr>
            </w:pPr>
            <w:r>
              <w:rPr>
                <w:rFonts w:ascii="Times New Roman" w:hAnsi="Times New Roman" w:cs="Times New Roman"/>
                <w:i/>
                <w:sz w:val="20"/>
                <w:szCs w:val="20"/>
                <w:lang w:eastAsia="sk-SK"/>
              </w:rPr>
              <w:t>Návrh zákona nemá vplyv na zamestnanosť a na trh práce.</w:t>
            </w:r>
          </w:p>
        </w:tc>
      </w:tr>
      <w:tr w:rsidR="00AE673A" w:rsidTr="00D5717A">
        <w:trPr>
          <w:trHeight w:val="270"/>
          <w:jc w:val="center"/>
        </w:trPr>
        <w:tc>
          <w:tcPr>
            <w:tcW w:w="5000" w:type="pct"/>
            <w:gridSpan w:val="2"/>
            <w:shd w:val="clear" w:color="auto" w:fill="F2F2F2"/>
            <w:hideMark/>
          </w:tcPr>
          <w:p w:rsidR="00AE673A" w:rsidRDefault="00AE673A" w:rsidP="00D5717A">
            <w:pPr>
              <w:spacing w:after="0" w:line="240" w:lineRule="auto"/>
              <w:rPr>
                <w:rFonts w:ascii="Times New Roman" w:hAnsi="Times New Roman" w:cs="Times New Roman"/>
                <w:i/>
                <w:sz w:val="20"/>
                <w:szCs w:val="20"/>
              </w:rPr>
            </w:pPr>
            <w:r>
              <w:rPr>
                <w:rFonts w:ascii="Times New Roman" w:hAnsi="Times New Roman" w:cs="Times New Roman"/>
                <w:i/>
                <w:sz w:val="20"/>
                <w:szCs w:val="20"/>
              </w:rPr>
              <w:t>Vedie návrh k zániku pracovných miest?</w:t>
            </w:r>
            <w:r>
              <w:rPr>
                <w:rFonts w:ascii="Times New Roman" w:hAnsi="Times New Roman" w:cs="Times New Roman"/>
                <w:sz w:val="20"/>
                <w:szCs w:val="20"/>
              </w:rPr>
              <w:t xml:space="preserve"> </w:t>
            </w:r>
            <w:r>
              <w:rPr>
                <w:rFonts w:ascii="Times New Roman" w:hAnsi="Times New Roman" w:cs="Times New Roman"/>
                <w:i/>
                <w:sz w:val="20"/>
                <w:szCs w:val="20"/>
              </w:rPr>
              <w:t>Ak áno, ako a akých? Ak je to možné, doplňte kvantifikáciu.</w:t>
            </w:r>
          </w:p>
        </w:tc>
      </w:tr>
      <w:tr w:rsidR="00AE673A" w:rsidTr="00D5717A">
        <w:trPr>
          <w:trHeight w:val="454"/>
          <w:jc w:val="center"/>
        </w:trPr>
        <w:tc>
          <w:tcPr>
            <w:tcW w:w="1993" w:type="pct"/>
            <w:shd w:val="clear" w:color="auto" w:fill="FFFFFF"/>
            <w:hideMark/>
          </w:tcPr>
          <w:p w:rsidR="00AE673A" w:rsidRDefault="00AE673A" w:rsidP="00D5717A">
            <w:pPr>
              <w:spacing w:after="0" w:line="240" w:lineRule="auto"/>
              <w:rPr>
                <w:rFonts w:ascii="Times New Roman" w:hAnsi="Times New Roman" w:cs="Times New Roman"/>
                <w:i/>
                <w:sz w:val="18"/>
                <w:szCs w:val="18"/>
              </w:rPr>
            </w:pPr>
            <w:r>
              <w:rPr>
                <w:rFonts w:ascii="Times New Roman"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shd w:val="clear" w:color="auto" w:fill="FFFFFF"/>
            <w:vAlign w:val="center"/>
            <w:hideMark/>
          </w:tcPr>
          <w:p w:rsidR="00AE673A" w:rsidRDefault="00AE673A" w:rsidP="00D5717A">
            <w:pPr>
              <w:spacing w:after="0" w:line="240" w:lineRule="auto"/>
              <w:rPr>
                <w:rFonts w:ascii="Times New Roman" w:hAnsi="Times New Roman" w:cs="Times New Roman"/>
                <w:sz w:val="20"/>
                <w:szCs w:val="18"/>
              </w:rPr>
            </w:pPr>
            <w:r>
              <w:rPr>
                <w:rFonts w:ascii="Times New Roman" w:hAnsi="Times New Roman" w:cs="Times New Roman"/>
                <w:i/>
                <w:sz w:val="20"/>
                <w:szCs w:val="20"/>
                <w:lang w:eastAsia="sk-SK"/>
              </w:rPr>
              <w:t>Návrh zákona nemá vplyv na zamestnanosť a na trh práce.</w:t>
            </w:r>
          </w:p>
        </w:tc>
      </w:tr>
      <w:tr w:rsidR="00AE673A" w:rsidTr="00D5717A">
        <w:trPr>
          <w:trHeight w:val="248"/>
          <w:jc w:val="center"/>
        </w:trPr>
        <w:tc>
          <w:tcPr>
            <w:tcW w:w="5000" w:type="pct"/>
            <w:gridSpan w:val="2"/>
            <w:shd w:val="clear" w:color="auto" w:fill="F2F2F2"/>
            <w:hideMark/>
          </w:tcPr>
          <w:p w:rsidR="00AE673A" w:rsidRDefault="00AE673A" w:rsidP="00D5717A">
            <w:pPr>
              <w:spacing w:after="0" w:line="240" w:lineRule="auto"/>
              <w:rPr>
                <w:rFonts w:ascii="Times New Roman" w:hAnsi="Times New Roman" w:cs="Times New Roman"/>
                <w:sz w:val="20"/>
                <w:szCs w:val="20"/>
              </w:rPr>
            </w:pPr>
            <w:r>
              <w:rPr>
                <w:rFonts w:ascii="Times New Roman" w:hAnsi="Times New Roman" w:cs="Times New Roman"/>
                <w:i/>
                <w:sz w:val="20"/>
                <w:szCs w:val="20"/>
              </w:rPr>
              <w:t>Ovplyvňuje návrh dopyt po práci?</w:t>
            </w:r>
            <w:r>
              <w:rPr>
                <w:rFonts w:ascii="Times New Roman" w:hAnsi="Times New Roman" w:cs="Times New Roman"/>
                <w:sz w:val="20"/>
                <w:szCs w:val="20"/>
              </w:rPr>
              <w:t xml:space="preserve"> </w:t>
            </w:r>
            <w:r>
              <w:rPr>
                <w:rFonts w:ascii="Times New Roman" w:hAnsi="Times New Roman" w:cs="Times New Roman"/>
                <w:i/>
                <w:sz w:val="20"/>
                <w:szCs w:val="20"/>
              </w:rPr>
              <w:t>Ak áno, ako?</w:t>
            </w:r>
          </w:p>
        </w:tc>
      </w:tr>
      <w:tr w:rsidR="00AE673A" w:rsidTr="00D5717A">
        <w:trPr>
          <w:trHeight w:val="209"/>
          <w:jc w:val="center"/>
        </w:trPr>
        <w:tc>
          <w:tcPr>
            <w:tcW w:w="1993" w:type="pct"/>
            <w:shd w:val="clear" w:color="auto" w:fill="FFFFFF"/>
            <w:hideMark/>
          </w:tcPr>
          <w:p w:rsidR="00AE673A" w:rsidRDefault="00AE673A" w:rsidP="00D5717A">
            <w:pPr>
              <w:spacing w:after="0" w:line="240" w:lineRule="auto"/>
              <w:rPr>
                <w:rFonts w:ascii="Times New Roman" w:hAnsi="Times New Roman" w:cs="Times New Roman"/>
                <w:i/>
                <w:sz w:val="18"/>
                <w:szCs w:val="18"/>
              </w:rPr>
            </w:pPr>
            <w:r>
              <w:rPr>
                <w:rFonts w:ascii="Times New Roman" w:hAnsi="Times New Roman" w:cs="Times New Roman"/>
                <w:i/>
                <w:sz w:val="18"/>
                <w:szCs w:val="18"/>
              </w:rPr>
              <w:t>Dopyt po práci závisí na jednej strane na produkcii tovarov a služieb v ekonomike a na druhej strane na cene práce.</w:t>
            </w:r>
          </w:p>
        </w:tc>
        <w:tc>
          <w:tcPr>
            <w:tcW w:w="3007" w:type="pct"/>
            <w:shd w:val="clear" w:color="auto" w:fill="FFFFFF"/>
            <w:vAlign w:val="center"/>
            <w:hideMark/>
          </w:tcPr>
          <w:p w:rsidR="00AE673A" w:rsidRDefault="00AE673A" w:rsidP="00D5717A">
            <w:pPr>
              <w:spacing w:after="0" w:line="240" w:lineRule="auto"/>
              <w:rPr>
                <w:rFonts w:ascii="Times New Roman" w:hAnsi="Times New Roman" w:cs="Times New Roman"/>
                <w:sz w:val="20"/>
                <w:szCs w:val="18"/>
              </w:rPr>
            </w:pPr>
            <w:r>
              <w:rPr>
                <w:rFonts w:ascii="Times New Roman" w:hAnsi="Times New Roman" w:cs="Times New Roman"/>
                <w:i/>
                <w:sz w:val="20"/>
                <w:szCs w:val="20"/>
                <w:lang w:eastAsia="sk-SK"/>
              </w:rPr>
              <w:t>Návrh zákona nemá vplyv na zamestnanosť a na trh práce.</w:t>
            </w:r>
          </w:p>
        </w:tc>
      </w:tr>
      <w:tr w:rsidR="00AE673A" w:rsidTr="00D5717A">
        <w:trPr>
          <w:trHeight w:val="208"/>
          <w:jc w:val="center"/>
        </w:trPr>
        <w:tc>
          <w:tcPr>
            <w:tcW w:w="5000" w:type="pct"/>
            <w:gridSpan w:val="2"/>
            <w:shd w:val="clear" w:color="auto" w:fill="F2F2F2"/>
            <w:hideMark/>
          </w:tcPr>
          <w:p w:rsidR="00AE673A" w:rsidRDefault="00AE673A" w:rsidP="00D5717A">
            <w:pPr>
              <w:spacing w:after="0" w:line="240" w:lineRule="auto"/>
              <w:rPr>
                <w:rFonts w:ascii="Times New Roman" w:hAnsi="Times New Roman" w:cs="Times New Roman"/>
                <w:sz w:val="20"/>
                <w:szCs w:val="20"/>
              </w:rPr>
            </w:pPr>
            <w:r>
              <w:rPr>
                <w:rFonts w:ascii="Times New Roman" w:hAnsi="Times New Roman" w:cs="Times New Roman"/>
                <w:i/>
                <w:sz w:val="20"/>
                <w:szCs w:val="20"/>
              </w:rPr>
              <w:t>Má návrh dosah na fungovanie trhu práce?</w:t>
            </w:r>
            <w:r>
              <w:rPr>
                <w:rFonts w:ascii="Times New Roman" w:hAnsi="Times New Roman" w:cs="Times New Roman"/>
                <w:sz w:val="20"/>
                <w:szCs w:val="20"/>
              </w:rPr>
              <w:t xml:space="preserve"> </w:t>
            </w:r>
            <w:r>
              <w:rPr>
                <w:rFonts w:ascii="Times New Roman" w:hAnsi="Times New Roman" w:cs="Times New Roman"/>
                <w:i/>
                <w:sz w:val="20"/>
                <w:szCs w:val="20"/>
              </w:rPr>
              <w:t>Ak áno, aký?</w:t>
            </w:r>
          </w:p>
        </w:tc>
      </w:tr>
      <w:tr w:rsidR="00AE673A" w:rsidTr="00D5717A">
        <w:trPr>
          <w:trHeight w:val="794"/>
          <w:jc w:val="center"/>
        </w:trPr>
        <w:tc>
          <w:tcPr>
            <w:tcW w:w="1993" w:type="pct"/>
            <w:shd w:val="clear" w:color="auto" w:fill="FFFFFF"/>
            <w:hideMark/>
          </w:tcPr>
          <w:p w:rsidR="00AE673A" w:rsidRDefault="00AE673A" w:rsidP="00D5717A">
            <w:pPr>
              <w:spacing w:after="0" w:line="240" w:lineRule="auto"/>
              <w:rPr>
                <w:rFonts w:ascii="Times New Roman" w:hAnsi="Times New Roman" w:cs="Times New Roman"/>
                <w:i/>
                <w:sz w:val="18"/>
                <w:szCs w:val="18"/>
              </w:rPr>
            </w:pPr>
            <w:r>
              <w:rPr>
                <w:rFonts w:ascii="Times New Roman" w:hAnsi="Times New Roman" w:cs="Times New Roman"/>
                <w:i/>
                <w:sz w:val="18"/>
                <w:szCs w:val="18"/>
              </w:rPr>
              <w:t>Týka sa makroekonomických dosahov ako je napr. participácia na trhu práce, dlhodobá nezamestnanosť, regionálne rozdiely v mierach zamestnanosti.</w:t>
            </w:r>
            <w:r>
              <w:rPr>
                <w:rFonts w:ascii="Times New Roman" w:hAnsi="Times New Roman" w:cs="Times New Roman"/>
                <w:sz w:val="18"/>
                <w:szCs w:val="18"/>
              </w:rPr>
              <w:t xml:space="preserve"> </w:t>
            </w:r>
            <w:r>
              <w:rPr>
                <w:rFonts w:ascii="Times New Roman"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shd w:val="clear" w:color="auto" w:fill="FFFFFF"/>
            <w:vAlign w:val="center"/>
            <w:hideMark/>
          </w:tcPr>
          <w:p w:rsidR="00AE673A" w:rsidRDefault="00AE673A" w:rsidP="00D5717A">
            <w:pPr>
              <w:spacing w:after="0" w:line="240" w:lineRule="auto"/>
              <w:rPr>
                <w:rFonts w:ascii="Times New Roman" w:hAnsi="Times New Roman" w:cs="Times New Roman"/>
                <w:sz w:val="20"/>
                <w:szCs w:val="18"/>
              </w:rPr>
            </w:pPr>
            <w:r>
              <w:rPr>
                <w:rFonts w:ascii="Times New Roman" w:hAnsi="Times New Roman" w:cs="Times New Roman"/>
                <w:i/>
                <w:sz w:val="20"/>
                <w:szCs w:val="20"/>
                <w:lang w:eastAsia="sk-SK"/>
              </w:rPr>
              <w:t>Návrh zákona nemá vplyv na zamestnanosť a na trh práce.</w:t>
            </w:r>
          </w:p>
        </w:tc>
      </w:tr>
      <w:tr w:rsidR="00AE673A" w:rsidTr="00D5717A">
        <w:trPr>
          <w:trHeight w:val="324"/>
          <w:jc w:val="center"/>
        </w:trPr>
        <w:tc>
          <w:tcPr>
            <w:tcW w:w="5000" w:type="pct"/>
            <w:gridSpan w:val="2"/>
            <w:shd w:val="clear" w:color="auto" w:fill="F2F2F2"/>
            <w:hideMark/>
          </w:tcPr>
          <w:p w:rsidR="00AE673A" w:rsidRDefault="00AE673A" w:rsidP="00D5717A">
            <w:pPr>
              <w:spacing w:after="0" w:line="240" w:lineRule="auto"/>
              <w:rPr>
                <w:rFonts w:ascii="Times New Roman" w:hAnsi="Times New Roman" w:cs="Times New Roman"/>
                <w:sz w:val="20"/>
                <w:szCs w:val="20"/>
              </w:rPr>
            </w:pPr>
            <w:r>
              <w:rPr>
                <w:rFonts w:ascii="Times New Roman" w:hAnsi="Times New Roman" w:cs="Times New Roman"/>
                <w:i/>
                <w:sz w:val="20"/>
                <w:szCs w:val="20"/>
              </w:rPr>
              <w:t>Má návrh špecifické negatívne dôsledky pre isté skupiny profesií, skupín zamestnancov či živnostníkov?</w:t>
            </w:r>
            <w:r>
              <w:rPr>
                <w:rFonts w:ascii="Times New Roman" w:hAnsi="Times New Roman" w:cs="Times New Roman"/>
                <w:sz w:val="20"/>
                <w:szCs w:val="20"/>
              </w:rPr>
              <w:t xml:space="preserve"> </w:t>
            </w:r>
            <w:r>
              <w:rPr>
                <w:rFonts w:ascii="Times New Roman" w:hAnsi="Times New Roman" w:cs="Times New Roman"/>
                <w:i/>
                <w:sz w:val="20"/>
                <w:szCs w:val="20"/>
              </w:rPr>
              <w:t>Ak áno, aké a pre ktoré skupiny?</w:t>
            </w:r>
          </w:p>
        </w:tc>
      </w:tr>
      <w:tr w:rsidR="00AE673A" w:rsidTr="00D5717A">
        <w:trPr>
          <w:trHeight w:val="216"/>
          <w:jc w:val="center"/>
        </w:trPr>
        <w:tc>
          <w:tcPr>
            <w:tcW w:w="1993" w:type="pct"/>
            <w:shd w:val="clear" w:color="auto" w:fill="FFFFFF"/>
            <w:hideMark/>
          </w:tcPr>
          <w:p w:rsidR="00AE673A" w:rsidRDefault="00AE673A" w:rsidP="00D5717A">
            <w:pPr>
              <w:spacing w:after="0" w:line="240" w:lineRule="auto"/>
              <w:rPr>
                <w:rFonts w:ascii="Times New Roman" w:hAnsi="Times New Roman" w:cs="Times New Roman"/>
                <w:i/>
                <w:sz w:val="18"/>
                <w:szCs w:val="18"/>
              </w:rPr>
            </w:pPr>
            <w:r>
              <w:rPr>
                <w:rFonts w:ascii="Times New Roman" w:hAnsi="Times New Roman" w:cs="Times New Roman"/>
                <w:i/>
                <w:sz w:val="18"/>
                <w:szCs w:val="18"/>
              </w:rPr>
              <w:t>Návrh môže ohrozovať napr. pracovníkov istých profesií favorizovaním špecifických aktivít či technológií.</w:t>
            </w:r>
          </w:p>
        </w:tc>
        <w:tc>
          <w:tcPr>
            <w:tcW w:w="3007" w:type="pct"/>
            <w:shd w:val="clear" w:color="auto" w:fill="FFFFFF"/>
            <w:vAlign w:val="center"/>
            <w:hideMark/>
          </w:tcPr>
          <w:p w:rsidR="00AE673A" w:rsidRDefault="00AE673A" w:rsidP="00D5717A">
            <w:pPr>
              <w:spacing w:after="0" w:line="240" w:lineRule="auto"/>
              <w:rPr>
                <w:rFonts w:ascii="Times New Roman" w:hAnsi="Times New Roman" w:cs="Times New Roman"/>
                <w:sz w:val="20"/>
                <w:szCs w:val="18"/>
              </w:rPr>
            </w:pPr>
            <w:r>
              <w:rPr>
                <w:rFonts w:ascii="Times New Roman" w:hAnsi="Times New Roman" w:cs="Times New Roman"/>
                <w:i/>
                <w:sz w:val="20"/>
                <w:szCs w:val="20"/>
                <w:lang w:eastAsia="sk-SK"/>
              </w:rPr>
              <w:t>Návrh zákona nemá vplyv na zamestnanosť a na trh práce.</w:t>
            </w:r>
          </w:p>
        </w:tc>
      </w:tr>
      <w:tr w:rsidR="00AE673A" w:rsidTr="00D5717A">
        <w:trPr>
          <w:trHeight w:val="219"/>
          <w:jc w:val="center"/>
        </w:trPr>
        <w:tc>
          <w:tcPr>
            <w:tcW w:w="5000" w:type="pct"/>
            <w:gridSpan w:val="2"/>
            <w:shd w:val="clear" w:color="auto" w:fill="F2F2F2"/>
            <w:hideMark/>
          </w:tcPr>
          <w:p w:rsidR="00AE673A" w:rsidRDefault="00AE673A" w:rsidP="00D5717A">
            <w:pPr>
              <w:spacing w:after="0" w:line="240" w:lineRule="auto"/>
              <w:rPr>
                <w:rFonts w:ascii="Times New Roman" w:hAnsi="Times New Roman" w:cs="Times New Roman"/>
                <w:sz w:val="20"/>
                <w:szCs w:val="20"/>
              </w:rPr>
            </w:pPr>
            <w:r>
              <w:rPr>
                <w:rFonts w:ascii="Times New Roman" w:hAnsi="Times New Roman" w:cs="Times New Roman"/>
                <w:i/>
                <w:sz w:val="20"/>
                <w:szCs w:val="20"/>
              </w:rPr>
              <w:t>Ovplyvňuje návrh špecifické vekové skupiny zamestnancov? Ak áno, aké? Akým spôsobom?</w:t>
            </w:r>
          </w:p>
        </w:tc>
      </w:tr>
      <w:tr w:rsidR="00AE673A" w:rsidTr="00D5717A">
        <w:trPr>
          <w:trHeight w:val="497"/>
          <w:jc w:val="center"/>
        </w:trPr>
        <w:tc>
          <w:tcPr>
            <w:tcW w:w="1993" w:type="pct"/>
            <w:shd w:val="clear" w:color="auto" w:fill="FFFFFF"/>
            <w:hideMark/>
          </w:tcPr>
          <w:p w:rsidR="00AE673A" w:rsidRDefault="00AE673A" w:rsidP="00D5717A">
            <w:pPr>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Identifikujte, či návrh môže ovplyvniť rozhodnutia zamestnancov alebo zamestnávateľov a môže byť zdrojom neskoršieho vstupu na trh práce alebo </w:t>
            </w:r>
            <w:r>
              <w:rPr>
                <w:rFonts w:ascii="Times New Roman" w:hAnsi="Times New Roman" w:cs="Times New Roman"/>
                <w:i/>
                <w:sz w:val="18"/>
                <w:szCs w:val="18"/>
              </w:rPr>
              <w:lastRenderedPageBreak/>
              <w:t>predčasného odchodu z trhu práce jednotlivcov.“</w:t>
            </w:r>
          </w:p>
        </w:tc>
        <w:tc>
          <w:tcPr>
            <w:tcW w:w="3007" w:type="pct"/>
            <w:shd w:val="clear" w:color="auto" w:fill="FFFFFF"/>
            <w:vAlign w:val="center"/>
            <w:hideMark/>
          </w:tcPr>
          <w:p w:rsidR="00AE673A" w:rsidRDefault="00AE673A" w:rsidP="00D5717A">
            <w:pPr>
              <w:spacing w:after="0" w:line="240" w:lineRule="auto"/>
              <w:rPr>
                <w:rFonts w:ascii="Times New Roman" w:hAnsi="Times New Roman" w:cs="Times New Roman"/>
                <w:sz w:val="20"/>
                <w:szCs w:val="18"/>
              </w:rPr>
            </w:pPr>
            <w:r>
              <w:rPr>
                <w:rFonts w:ascii="Times New Roman" w:hAnsi="Times New Roman" w:cs="Times New Roman"/>
                <w:i/>
                <w:sz w:val="20"/>
                <w:szCs w:val="20"/>
                <w:lang w:eastAsia="sk-SK"/>
              </w:rPr>
              <w:lastRenderedPageBreak/>
              <w:t>Návrh zákona nemá vplyv na zamestnanosť a na trh práce.</w:t>
            </w:r>
          </w:p>
        </w:tc>
      </w:tr>
    </w:tbl>
    <w:p w:rsidR="00AE673A" w:rsidRDefault="00AE673A" w:rsidP="00AE673A">
      <w:pPr>
        <w:spacing w:after="0" w:line="240" w:lineRule="auto"/>
        <w:rPr>
          <w:rFonts w:ascii="Times New Roman" w:hAnsi="Times New Roman" w:cs="Times New Roman"/>
          <w:b/>
          <w:sz w:val="24"/>
          <w:szCs w:val="24"/>
          <w:lang w:eastAsia="sk-SK"/>
        </w:rPr>
        <w:sectPr w:rsidR="00AE673A">
          <w:footnotePr>
            <w:numFmt w:val="chicago"/>
          </w:footnotePr>
          <w:type w:val="continuous"/>
          <w:pgSz w:w="11906" w:h="16838"/>
          <w:pgMar w:top="1134" w:right="1418" w:bottom="1134" w:left="1418" w:header="510" w:footer="567" w:gutter="0"/>
          <w:cols w:space="708"/>
          <w:formProt w:val="0"/>
        </w:sectPr>
      </w:pPr>
    </w:p>
    <w:p w:rsidR="00AE673A" w:rsidRPr="00E2751D" w:rsidRDefault="00AE673A" w:rsidP="00AE673A"/>
    <w:p w:rsidR="00F83DD0" w:rsidRDefault="00F83DD0" w:rsidP="0081319C">
      <w:pPr>
        <w:spacing w:after="0" w:line="240" w:lineRule="auto"/>
        <w:rPr>
          <w:rFonts w:ascii="Times New Roman" w:hAnsi="Times New Roman" w:cs="Times New Roman"/>
          <w:sz w:val="24"/>
          <w:szCs w:val="24"/>
          <w:lang w:eastAsia="sk-SK"/>
        </w:rPr>
      </w:pPr>
    </w:p>
    <w:p w:rsidR="00B6710F" w:rsidRDefault="0081319C" w:rsidP="00B6710F">
      <w:pPr>
        <w:widowControl w:val="0"/>
        <w:tabs>
          <w:tab w:val="left" w:pos="9072"/>
        </w:tabs>
        <w:autoSpaceDE w:val="0"/>
        <w:autoSpaceDN w:val="0"/>
        <w:adjustRightInd w:val="0"/>
        <w:spacing w:before="29" w:after="0" w:line="240" w:lineRule="auto"/>
        <w:jc w:val="center"/>
        <w:rPr>
          <w:rFonts w:ascii="Times New Roman" w:hAnsi="Times New Roman"/>
          <w:sz w:val="24"/>
          <w:szCs w:val="24"/>
        </w:rPr>
      </w:pPr>
      <w:r>
        <w:rPr>
          <w:rFonts w:ascii="Times New Roman" w:hAnsi="Times New Roman" w:cs="Times New Roman"/>
          <w:b/>
          <w:bCs/>
          <w:sz w:val="24"/>
          <w:szCs w:val="24"/>
          <w:u w:val="single"/>
          <w:lang w:eastAsia="sk-SK"/>
        </w:rPr>
        <w:br w:type="page"/>
      </w:r>
      <w:r w:rsidR="00B6710F">
        <w:rPr>
          <w:rFonts w:ascii="Times New Roman" w:hAnsi="Times New Roman"/>
          <w:b/>
          <w:bCs/>
          <w:sz w:val="24"/>
          <w:szCs w:val="24"/>
        </w:rPr>
        <w:lastRenderedPageBreak/>
        <w:t>D</w:t>
      </w:r>
      <w:r w:rsidR="00B6710F">
        <w:rPr>
          <w:rFonts w:ascii="Times New Roman" w:hAnsi="Times New Roman"/>
          <w:b/>
          <w:bCs/>
          <w:spacing w:val="-29"/>
          <w:sz w:val="24"/>
          <w:szCs w:val="24"/>
        </w:rPr>
        <w:t xml:space="preserve"> </w:t>
      </w:r>
      <w:r w:rsidR="00B6710F">
        <w:rPr>
          <w:rFonts w:ascii="Times New Roman" w:hAnsi="Times New Roman"/>
          <w:b/>
          <w:bCs/>
          <w:sz w:val="24"/>
          <w:szCs w:val="24"/>
        </w:rPr>
        <w:t>O</w:t>
      </w:r>
      <w:r w:rsidR="00B6710F">
        <w:rPr>
          <w:rFonts w:ascii="Times New Roman" w:hAnsi="Times New Roman"/>
          <w:b/>
          <w:bCs/>
          <w:spacing w:val="-31"/>
          <w:sz w:val="24"/>
          <w:szCs w:val="24"/>
        </w:rPr>
        <w:t xml:space="preserve"> </w:t>
      </w:r>
      <w:r w:rsidR="00B6710F">
        <w:rPr>
          <w:rFonts w:ascii="Times New Roman" w:hAnsi="Times New Roman"/>
          <w:b/>
          <w:bCs/>
          <w:sz w:val="24"/>
          <w:szCs w:val="24"/>
        </w:rPr>
        <w:t>L</w:t>
      </w:r>
      <w:r w:rsidR="00B6710F">
        <w:rPr>
          <w:rFonts w:ascii="Times New Roman" w:hAnsi="Times New Roman"/>
          <w:b/>
          <w:bCs/>
          <w:spacing w:val="-28"/>
          <w:sz w:val="24"/>
          <w:szCs w:val="24"/>
        </w:rPr>
        <w:t xml:space="preserve"> </w:t>
      </w:r>
      <w:r w:rsidR="00B6710F">
        <w:rPr>
          <w:rFonts w:ascii="Times New Roman" w:hAnsi="Times New Roman"/>
          <w:b/>
          <w:bCs/>
          <w:sz w:val="24"/>
          <w:szCs w:val="24"/>
        </w:rPr>
        <w:t>O</w:t>
      </w:r>
      <w:r w:rsidR="00B6710F">
        <w:rPr>
          <w:rFonts w:ascii="Times New Roman" w:hAnsi="Times New Roman"/>
          <w:b/>
          <w:bCs/>
          <w:spacing w:val="-28"/>
          <w:sz w:val="24"/>
          <w:szCs w:val="24"/>
        </w:rPr>
        <w:t xml:space="preserve"> </w:t>
      </w:r>
      <w:r w:rsidR="00B6710F">
        <w:rPr>
          <w:rFonts w:ascii="Times New Roman" w:hAnsi="Times New Roman"/>
          <w:b/>
          <w:bCs/>
          <w:spacing w:val="30"/>
          <w:sz w:val="24"/>
          <w:szCs w:val="24"/>
        </w:rPr>
        <w:t>Ž</w:t>
      </w:r>
      <w:r w:rsidR="00B6710F">
        <w:rPr>
          <w:rFonts w:ascii="Times New Roman" w:hAnsi="Times New Roman"/>
          <w:b/>
          <w:bCs/>
          <w:sz w:val="24"/>
          <w:szCs w:val="24"/>
        </w:rPr>
        <w:t>K</w:t>
      </w:r>
      <w:r w:rsidR="00B6710F">
        <w:rPr>
          <w:rFonts w:ascii="Times New Roman" w:hAnsi="Times New Roman"/>
          <w:b/>
          <w:bCs/>
          <w:spacing w:val="-31"/>
          <w:sz w:val="24"/>
          <w:szCs w:val="24"/>
        </w:rPr>
        <w:t xml:space="preserve"> </w:t>
      </w:r>
      <w:r w:rsidR="00B6710F">
        <w:rPr>
          <w:rFonts w:ascii="Times New Roman" w:hAnsi="Times New Roman"/>
          <w:b/>
          <w:bCs/>
          <w:sz w:val="24"/>
          <w:szCs w:val="24"/>
        </w:rPr>
        <w:t xml:space="preserve">A </w:t>
      </w:r>
      <w:r w:rsidR="00B6710F">
        <w:rPr>
          <w:rFonts w:ascii="Times New Roman" w:hAnsi="Times New Roman"/>
          <w:b/>
          <w:bCs/>
          <w:spacing w:val="30"/>
          <w:sz w:val="24"/>
          <w:szCs w:val="24"/>
        </w:rPr>
        <w:t>ZL</w:t>
      </w:r>
      <w:r w:rsidR="00B6710F">
        <w:rPr>
          <w:rFonts w:ascii="Times New Roman" w:hAnsi="Times New Roman"/>
          <w:b/>
          <w:bCs/>
          <w:sz w:val="24"/>
          <w:szCs w:val="24"/>
        </w:rPr>
        <w:t>U</w:t>
      </w:r>
      <w:r w:rsidR="00B6710F">
        <w:rPr>
          <w:rFonts w:ascii="Times New Roman" w:hAnsi="Times New Roman"/>
          <w:b/>
          <w:bCs/>
          <w:spacing w:val="-29"/>
          <w:sz w:val="24"/>
          <w:szCs w:val="24"/>
        </w:rPr>
        <w:t xml:space="preserve"> </w:t>
      </w:r>
      <w:r w:rsidR="00B6710F">
        <w:rPr>
          <w:rFonts w:ascii="Times New Roman" w:hAnsi="Times New Roman"/>
          <w:b/>
          <w:bCs/>
          <w:sz w:val="24"/>
          <w:szCs w:val="24"/>
        </w:rPr>
        <w:t>Č</w:t>
      </w:r>
      <w:r w:rsidR="00B6710F">
        <w:rPr>
          <w:rFonts w:ascii="Times New Roman" w:hAnsi="Times New Roman"/>
          <w:b/>
          <w:bCs/>
          <w:spacing w:val="-29"/>
          <w:sz w:val="24"/>
          <w:szCs w:val="24"/>
        </w:rPr>
        <w:t xml:space="preserve"> </w:t>
      </w:r>
      <w:r w:rsidR="00B6710F">
        <w:rPr>
          <w:rFonts w:ascii="Times New Roman" w:hAnsi="Times New Roman"/>
          <w:b/>
          <w:bCs/>
          <w:sz w:val="24"/>
          <w:szCs w:val="24"/>
        </w:rPr>
        <w:t>I</w:t>
      </w:r>
      <w:r w:rsidR="00B6710F">
        <w:rPr>
          <w:rFonts w:ascii="Times New Roman" w:hAnsi="Times New Roman"/>
          <w:b/>
          <w:bCs/>
          <w:spacing w:val="-31"/>
          <w:sz w:val="24"/>
          <w:szCs w:val="24"/>
        </w:rPr>
        <w:t xml:space="preserve"> </w:t>
      </w:r>
      <w:r w:rsidR="00B6710F">
        <w:rPr>
          <w:rFonts w:ascii="Times New Roman" w:hAnsi="Times New Roman"/>
          <w:b/>
          <w:bCs/>
          <w:spacing w:val="30"/>
          <w:sz w:val="24"/>
          <w:szCs w:val="24"/>
        </w:rPr>
        <w:t>T</w:t>
      </w:r>
      <w:r w:rsidR="00B6710F">
        <w:rPr>
          <w:rFonts w:ascii="Times New Roman" w:hAnsi="Times New Roman"/>
          <w:b/>
          <w:bCs/>
          <w:sz w:val="24"/>
          <w:szCs w:val="24"/>
        </w:rPr>
        <w:t>E</w:t>
      </w:r>
      <w:r w:rsidR="00B6710F">
        <w:rPr>
          <w:rFonts w:ascii="Times New Roman" w:hAnsi="Times New Roman"/>
          <w:b/>
          <w:bCs/>
          <w:spacing w:val="-28"/>
          <w:sz w:val="24"/>
          <w:szCs w:val="24"/>
        </w:rPr>
        <w:t xml:space="preserve"> </w:t>
      </w:r>
      <w:r w:rsidR="00B6710F">
        <w:rPr>
          <w:rFonts w:ascii="Times New Roman" w:hAnsi="Times New Roman"/>
          <w:b/>
          <w:bCs/>
          <w:spacing w:val="30"/>
          <w:sz w:val="24"/>
          <w:szCs w:val="24"/>
        </w:rPr>
        <w:t>Ľ</w:t>
      </w:r>
      <w:r w:rsidR="00B6710F">
        <w:rPr>
          <w:rFonts w:ascii="Times New Roman" w:hAnsi="Times New Roman"/>
          <w:b/>
          <w:bCs/>
          <w:sz w:val="24"/>
          <w:szCs w:val="24"/>
        </w:rPr>
        <w:t>N</w:t>
      </w:r>
      <w:r w:rsidR="00B6710F">
        <w:rPr>
          <w:rFonts w:ascii="Times New Roman" w:hAnsi="Times New Roman"/>
          <w:b/>
          <w:bCs/>
          <w:spacing w:val="-29"/>
          <w:sz w:val="24"/>
          <w:szCs w:val="24"/>
        </w:rPr>
        <w:t xml:space="preserve"> </w:t>
      </w:r>
      <w:r w:rsidR="00B6710F">
        <w:rPr>
          <w:rFonts w:ascii="Times New Roman" w:hAnsi="Times New Roman"/>
          <w:b/>
          <w:bCs/>
          <w:sz w:val="24"/>
          <w:szCs w:val="24"/>
        </w:rPr>
        <w:t>O</w:t>
      </w:r>
      <w:r w:rsidR="00B6710F">
        <w:rPr>
          <w:rFonts w:ascii="Times New Roman" w:hAnsi="Times New Roman"/>
          <w:b/>
          <w:bCs/>
          <w:spacing w:val="-31"/>
          <w:sz w:val="24"/>
          <w:szCs w:val="24"/>
        </w:rPr>
        <w:t xml:space="preserve"> </w:t>
      </w:r>
      <w:r w:rsidR="00B6710F">
        <w:rPr>
          <w:rFonts w:ascii="Times New Roman" w:hAnsi="Times New Roman"/>
          <w:b/>
          <w:bCs/>
          <w:sz w:val="24"/>
          <w:szCs w:val="24"/>
        </w:rPr>
        <w:t>S</w:t>
      </w:r>
      <w:r w:rsidR="00B6710F">
        <w:rPr>
          <w:rFonts w:ascii="Times New Roman" w:hAnsi="Times New Roman"/>
          <w:b/>
          <w:bCs/>
          <w:spacing w:val="-30"/>
          <w:sz w:val="24"/>
          <w:szCs w:val="24"/>
        </w:rPr>
        <w:t xml:space="preserve"> </w:t>
      </w:r>
      <w:r w:rsidR="00B6710F">
        <w:rPr>
          <w:rFonts w:ascii="Times New Roman" w:hAnsi="Times New Roman"/>
          <w:b/>
          <w:bCs/>
          <w:sz w:val="24"/>
          <w:szCs w:val="24"/>
        </w:rPr>
        <w:t>T</w:t>
      </w:r>
      <w:r w:rsidR="00B6710F">
        <w:rPr>
          <w:rFonts w:ascii="Times New Roman" w:hAnsi="Times New Roman"/>
          <w:b/>
          <w:bCs/>
          <w:spacing w:val="-30"/>
          <w:sz w:val="24"/>
          <w:szCs w:val="24"/>
        </w:rPr>
        <w:t xml:space="preserve"> </w:t>
      </w:r>
      <w:r w:rsidR="00B6710F">
        <w:rPr>
          <w:rFonts w:ascii="Times New Roman" w:hAnsi="Times New Roman"/>
          <w:b/>
          <w:bCs/>
          <w:sz w:val="24"/>
          <w:szCs w:val="24"/>
        </w:rPr>
        <w:t>I</w:t>
      </w:r>
    </w:p>
    <w:p w:rsidR="00B6710F" w:rsidRDefault="00B6710F" w:rsidP="00B6710F">
      <w:pPr>
        <w:widowControl w:val="0"/>
        <w:tabs>
          <w:tab w:val="left" w:pos="9072"/>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pacing w:val="1"/>
          <w:sz w:val="24"/>
          <w:szCs w:val="24"/>
        </w:rPr>
        <w:t xml:space="preserve">návrhu zákona </w:t>
      </w:r>
      <w:r>
        <w:rPr>
          <w:rFonts w:ascii="Times New Roman" w:hAnsi="Times New Roman"/>
          <w:b/>
          <w:bCs/>
          <w:sz w:val="24"/>
          <w:szCs w:val="24"/>
        </w:rPr>
        <w:t>s</w:t>
      </w:r>
      <w:r>
        <w:rPr>
          <w:rFonts w:ascii="Times New Roman" w:hAnsi="Times New Roman"/>
          <w:b/>
          <w:bCs/>
          <w:spacing w:val="-2"/>
          <w:sz w:val="24"/>
          <w:szCs w:val="24"/>
        </w:rPr>
        <w:t xml:space="preserve"> </w:t>
      </w:r>
      <w:r>
        <w:rPr>
          <w:rFonts w:ascii="Times New Roman" w:hAnsi="Times New Roman"/>
          <w:b/>
          <w:bCs/>
          <w:spacing w:val="1"/>
          <w:sz w:val="24"/>
          <w:szCs w:val="24"/>
        </w:rPr>
        <w:t>p</w:t>
      </w:r>
      <w:r>
        <w:rPr>
          <w:rFonts w:ascii="Times New Roman" w:hAnsi="Times New Roman"/>
          <w:b/>
          <w:bCs/>
          <w:spacing w:val="-1"/>
          <w:sz w:val="24"/>
          <w:szCs w:val="24"/>
        </w:rPr>
        <w:t>r</w:t>
      </w:r>
      <w:r>
        <w:rPr>
          <w:rFonts w:ascii="Times New Roman" w:hAnsi="Times New Roman"/>
          <w:b/>
          <w:bCs/>
          <w:sz w:val="24"/>
          <w:szCs w:val="24"/>
        </w:rPr>
        <w:t>ávom</w:t>
      </w:r>
      <w:r>
        <w:rPr>
          <w:rFonts w:ascii="Times New Roman" w:hAnsi="Times New Roman"/>
          <w:b/>
          <w:bCs/>
          <w:spacing w:val="-3"/>
          <w:sz w:val="24"/>
          <w:szCs w:val="24"/>
        </w:rPr>
        <w:t xml:space="preserve"> </w:t>
      </w:r>
      <w:r>
        <w:rPr>
          <w:rFonts w:ascii="Times New Roman" w:hAnsi="Times New Roman"/>
          <w:b/>
          <w:bCs/>
          <w:spacing w:val="1"/>
          <w:sz w:val="24"/>
          <w:szCs w:val="24"/>
        </w:rPr>
        <w:t>Eu</w:t>
      </w:r>
      <w:r>
        <w:rPr>
          <w:rFonts w:ascii="Times New Roman" w:hAnsi="Times New Roman"/>
          <w:b/>
          <w:bCs/>
          <w:spacing w:val="-1"/>
          <w:sz w:val="24"/>
          <w:szCs w:val="24"/>
        </w:rPr>
        <w:t>r</w:t>
      </w:r>
      <w:r>
        <w:rPr>
          <w:rFonts w:ascii="Times New Roman" w:hAnsi="Times New Roman"/>
          <w:b/>
          <w:bCs/>
          <w:sz w:val="24"/>
          <w:szCs w:val="24"/>
        </w:rPr>
        <w:t>ó</w:t>
      </w:r>
      <w:r>
        <w:rPr>
          <w:rFonts w:ascii="Times New Roman" w:hAnsi="Times New Roman"/>
          <w:b/>
          <w:bCs/>
          <w:spacing w:val="1"/>
          <w:sz w:val="24"/>
          <w:szCs w:val="24"/>
        </w:rPr>
        <w:t>p</w:t>
      </w:r>
      <w:r>
        <w:rPr>
          <w:rFonts w:ascii="Times New Roman" w:hAnsi="Times New Roman"/>
          <w:b/>
          <w:bCs/>
          <w:sz w:val="24"/>
          <w:szCs w:val="24"/>
        </w:rPr>
        <w:t>s</w:t>
      </w:r>
      <w:r>
        <w:rPr>
          <w:rFonts w:ascii="Times New Roman" w:hAnsi="Times New Roman"/>
          <w:b/>
          <w:bCs/>
          <w:spacing w:val="1"/>
          <w:sz w:val="24"/>
          <w:szCs w:val="24"/>
        </w:rPr>
        <w:t>k</w:t>
      </w:r>
      <w:r>
        <w:rPr>
          <w:rFonts w:ascii="Times New Roman" w:hAnsi="Times New Roman"/>
          <w:b/>
          <w:bCs/>
          <w:spacing w:val="-1"/>
          <w:sz w:val="24"/>
          <w:szCs w:val="24"/>
        </w:rPr>
        <w:t>e</w:t>
      </w:r>
      <w:r>
        <w:rPr>
          <w:rFonts w:ascii="Times New Roman" w:hAnsi="Times New Roman"/>
          <w:b/>
          <w:bCs/>
          <w:sz w:val="24"/>
          <w:szCs w:val="24"/>
        </w:rPr>
        <w:t>j</w:t>
      </w:r>
      <w:r>
        <w:rPr>
          <w:rFonts w:ascii="Times New Roman" w:hAnsi="Times New Roman"/>
          <w:b/>
          <w:bCs/>
          <w:spacing w:val="-1"/>
          <w:sz w:val="24"/>
          <w:szCs w:val="24"/>
        </w:rPr>
        <w:t xml:space="preserve"> </w:t>
      </w:r>
      <w:r>
        <w:rPr>
          <w:rFonts w:ascii="Times New Roman" w:hAnsi="Times New Roman"/>
          <w:b/>
          <w:bCs/>
          <w:spacing w:val="1"/>
          <w:sz w:val="24"/>
          <w:szCs w:val="24"/>
        </w:rPr>
        <w:t>ún</w:t>
      </w:r>
      <w:r>
        <w:rPr>
          <w:rFonts w:ascii="Times New Roman" w:hAnsi="Times New Roman"/>
          <w:b/>
          <w:bCs/>
          <w:sz w:val="24"/>
          <w:szCs w:val="24"/>
        </w:rPr>
        <w:t>ie</w:t>
      </w:r>
    </w:p>
    <w:p w:rsidR="00B6710F" w:rsidRDefault="00B6710F" w:rsidP="00B6710F">
      <w:pPr>
        <w:widowControl w:val="0"/>
        <w:tabs>
          <w:tab w:val="left" w:pos="9072"/>
        </w:tabs>
        <w:autoSpaceDE w:val="0"/>
        <w:autoSpaceDN w:val="0"/>
        <w:adjustRightInd w:val="0"/>
        <w:spacing w:after="0" w:line="240" w:lineRule="auto"/>
        <w:rPr>
          <w:rFonts w:ascii="Times New Roman" w:hAnsi="Times New Roman"/>
          <w:sz w:val="24"/>
          <w:szCs w:val="24"/>
        </w:rPr>
      </w:pPr>
    </w:p>
    <w:p w:rsidR="00B6710F" w:rsidRDefault="00B6710F" w:rsidP="00B6710F">
      <w:pPr>
        <w:widowControl w:val="0"/>
        <w:autoSpaceDE w:val="0"/>
        <w:autoSpaceDN w:val="0"/>
        <w:adjustRightInd w:val="0"/>
        <w:spacing w:after="0" w:line="200" w:lineRule="exact"/>
        <w:rPr>
          <w:rFonts w:ascii="Times New Roman" w:hAnsi="Times New Roman"/>
          <w:sz w:val="20"/>
          <w:szCs w:val="20"/>
        </w:rPr>
      </w:pPr>
    </w:p>
    <w:p w:rsidR="00B6710F" w:rsidRPr="003836EA" w:rsidRDefault="00B6710F" w:rsidP="00B6710F">
      <w:pPr>
        <w:widowControl w:val="0"/>
        <w:autoSpaceDE w:val="0"/>
        <w:autoSpaceDN w:val="0"/>
        <w:adjustRightInd w:val="0"/>
        <w:spacing w:after="0" w:line="240" w:lineRule="auto"/>
        <w:ind w:right="-20"/>
        <w:rPr>
          <w:rFonts w:ascii="Times New Roman" w:hAnsi="Times New Roman"/>
          <w:sz w:val="24"/>
          <w:szCs w:val="24"/>
        </w:rPr>
      </w:pPr>
      <w:r w:rsidRPr="003836EA">
        <w:rPr>
          <w:rFonts w:ascii="Times New Roman" w:hAnsi="Times New Roman"/>
          <w:b/>
          <w:bCs/>
          <w:sz w:val="24"/>
          <w:szCs w:val="24"/>
        </w:rPr>
        <w:t xml:space="preserve">1. </w:t>
      </w:r>
      <w:r>
        <w:rPr>
          <w:rFonts w:ascii="Times New Roman" w:hAnsi="Times New Roman"/>
          <w:b/>
          <w:bCs/>
          <w:spacing w:val="-3"/>
          <w:sz w:val="24"/>
          <w:szCs w:val="24"/>
        </w:rPr>
        <w:t>Navrhovateľ zákona</w:t>
      </w:r>
      <w:r w:rsidRPr="003836EA">
        <w:rPr>
          <w:rFonts w:ascii="Times New Roman" w:hAnsi="Times New Roman"/>
          <w:b/>
          <w:bCs/>
          <w:sz w:val="24"/>
          <w:szCs w:val="24"/>
        </w:rPr>
        <w:t>:</w:t>
      </w:r>
      <w:r w:rsidRPr="003836EA">
        <w:rPr>
          <w:rFonts w:ascii="Times New Roman" w:hAnsi="Times New Roman"/>
          <w:b/>
          <w:bCs/>
          <w:spacing w:val="-1"/>
          <w:sz w:val="24"/>
          <w:szCs w:val="24"/>
        </w:rPr>
        <w:t xml:space="preserve"> </w:t>
      </w:r>
      <w:r w:rsidRPr="003836EA">
        <w:rPr>
          <w:rFonts w:ascii="Times New Roman" w:hAnsi="Times New Roman"/>
          <w:sz w:val="24"/>
          <w:szCs w:val="24"/>
        </w:rPr>
        <w:t>Ministerstvo vnútra</w:t>
      </w:r>
      <w:r w:rsidRPr="003836EA">
        <w:rPr>
          <w:rFonts w:ascii="Times New Roman" w:hAnsi="Times New Roman"/>
          <w:spacing w:val="-1"/>
          <w:sz w:val="24"/>
          <w:szCs w:val="24"/>
        </w:rPr>
        <w:t xml:space="preserve"> </w:t>
      </w:r>
      <w:r w:rsidRPr="003836EA">
        <w:rPr>
          <w:rFonts w:ascii="Times New Roman" w:hAnsi="Times New Roman"/>
          <w:spacing w:val="1"/>
          <w:sz w:val="24"/>
          <w:szCs w:val="24"/>
        </w:rPr>
        <w:t>S</w:t>
      </w:r>
      <w:r w:rsidRPr="003836EA">
        <w:rPr>
          <w:rFonts w:ascii="Times New Roman" w:hAnsi="Times New Roman"/>
          <w:sz w:val="24"/>
          <w:szCs w:val="24"/>
        </w:rPr>
        <w:t>lov</w:t>
      </w:r>
      <w:r w:rsidRPr="003836EA">
        <w:rPr>
          <w:rFonts w:ascii="Times New Roman" w:hAnsi="Times New Roman"/>
          <w:spacing w:val="-1"/>
          <w:sz w:val="24"/>
          <w:szCs w:val="24"/>
        </w:rPr>
        <w:t>e</w:t>
      </w:r>
      <w:r w:rsidRPr="003836EA">
        <w:rPr>
          <w:rFonts w:ascii="Times New Roman" w:hAnsi="Times New Roman"/>
          <w:sz w:val="24"/>
          <w:szCs w:val="24"/>
        </w:rPr>
        <w:t>nsk</w:t>
      </w:r>
      <w:r w:rsidRPr="003836EA">
        <w:rPr>
          <w:rFonts w:ascii="Times New Roman" w:hAnsi="Times New Roman"/>
          <w:spacing w:val="-1"/>
          <w:sz w:val="24"/>
          <w:szCs w:val="24"/>
        </w:rPr>
        <w:t>e</w:t>
      </w:r>
      <w:r w:rsidRPr="003836EA">
        <w:rPr>
          <w:rFonts w:ascii="Times New Roman" w:hAnsi="Times New Roman"/>
          <w:sz w:val="24"/>
          <w:szCs w:val="24"/>
        </w:rPr>
        <w:t xml:space="preserve">j </w:t>
      </w:r>
      <w:r w:rsidRPr="003836EA">
        <w:rPr>
          <w:rFonts w:ascii="Times New Roman" w:hAnsi="Times New Roman"/>
          <w:spacing w:val="-1"/>
          <w:sz w:val="24"/>
          <w:szCs w:val="24"/>
        </w:rPr>
        <w:t>re</w:t>
      </w:r>
      <w:r w:rsidRPr="003836EA">
        <w:rPr>
          <w:rFonts w:ascii="Times New Roman" w:hAnsi="Times New Roman"/>
          <w:sz w:val="24"/>
          <w:szCs w:val="24"/>
        </w:rPr>
        <w:t>publi</w:t>
      </w:r>
      <w:r w:rsidRPr="003836EA">
        <w:rPr>
          <w:rFonts w:ascii="Times New Roman" w:hAnsi="Times New Roman"/>
          <w:spacing w:val="2"/>
          <w:sz w:val="24"/>
          <w:szCs w:val="24"/>
        </w:rPr>
        <w:t>k</w:t>
      </w:r>
      <w:r w:rsidRPr="003836EA">
        <w:rPr>
          <w:rFonts w:ascii="Times New Roman" w:hAnsi="Times New Roman"/>
          <w:sz w:val="24"/>
          <w:szCs w:val="24"/>
        </w:rPr>
        <w:t>y</w:t>
      </w:r>
    </w:p>
    <w:p w:rsidR="00B6710F" w:rsidRPr="003836EA" w:rsidRDefault="00B6710F" w:rsidP="00B6710F">
      <w:pPr>
        <w:widowControl w:val="0"/>
        <w:autoSpaceDE w:val="0"/>
        <w:autoSpaceDN w:val="0"/>
        <w:adjustRightInd w:val="0"/>
        <w:spacing w:before="16" w:after="0" w:line="260" w:lineRule="exact"/>
        <w:rPr>
          <w:rFonts w:ascii="Times New Roman" w:hAnsi="Times New Roman"/>
          <w:sz w:val="24"/>
          <w:szCs w:val="24"/>
        </w:rPr>
      </w:pPr>
    </w:p>
    <w:p w:rsidR="00B6710F" w:rsidRDefault="00B6710F" w:rsidP="00B6710F">
      <w:pPr>
        <w:spacing w:after="0" w:line="240" w:lineRule="auto"/>
        <w:jc w:val="both"/>
        <w:rPr>
          <w:rFonts w:ascii="Times New Roman" w:hAnsi="Times New Roman"/>
          <w:sz w:val="24"/>
          <w:szCs w:val="24"/>
        </w:rPr>
      </w:pPr>
      <w:r w:rsidRPr="00CD3B18">
        <w:rPr>
          <w:rFonts w:ascii="Times New Roman" w:hAnsi="Times New Roman"/>
          <w:b/>
          <w:bCs/>
          <w:sz w:val="24"/>
          <w:szCs w:val="24"/>
        </w:rPr>
        <w:t>2. Ná</w:t>
      </w:r>
      <w:r w:rsidRPr="00CD3B18">
        <w:rPr>
          <w:rFonts w:ascii="Times New Roman" w:hAnsi="Times New Roman"/>
          <w:b/>
          <w:bCs/>
          <w:spacing w:val="-1"/>
          <w:sz w:val="24"/>
          <w:szCs w:val="24"/>
        </w:rPr>
        <w:t>z</w:t>
      </w:r>
      <w:r w:rsidRPr="00CD3B18">
        <w:rPr>
          <w:rFonts w:ascii="Times New Roman" w:hAnsi="Times New Roman"/>
          <w:b/>
          <w:bCs/>
          <w:sz w:val="24"/>
          <w:szCs w:val="24"/>
        </w:rPr>
        <w:t xml:space="preserve">ov </w:t>
      </w:r>
      <w:r w:rsidRPr="00CD3B18">
        <w:rPr>
          <w:rFonts w:ascii="Times New Roman" w:hAnsi="Times New Roman"/>
          <w:b/>
          <w:bCs/>
          <w:spacing w:val="1"/>
          <w:sz w:val="24"/>
          <w:szCs w:val="24"/>
        </w:rPr>
        <w:t>n</w:t>
      </w:r>
      <w:r w:rsidRPr="00CD3B18">
        <w:rPr>
          <w:rFonts w:ascii="Times New Roman" w:hAnsi="Times New Roman"/>
          <w:b/>
          <w:bCs/>
          <w:sz w:val="24"/>
          <w:szCs w:val="24"/>
        </w:rPr>
        <w:t>áv</w:t>
      </w:r>
      <w:r w:rsidRPr="00CD3B18">
        <w:rPr>
          <w:rFonts w:ascii="Times New Roman" w:hAnsi="Times New Roman"/>
          <w:b/>
          <w:bCs/>
          <w:spacing w:val="-1"/>
          <w:sz w:val="24"/>
          <w:szCs w:val="24"/>
        </w:rPr>
        <w:t>r</w:t>
      </w:r>
      <w:r w:rsidRPr="00CD3B18">
        <w:rPr>
          <w:rFonts w:ascii="Times New Roman" w:hAnsi="Times New Roman"/>
          <w:b/>
          <w:bCs/>
          <w:spacing w:val="1"/>
          <w:sz w:val="24"/>
          <w:szCs w:val="24"/>
        </w:rPr>
        <w:t>h</w:t>
      </w:r>
      <w:r w:rsidRPr="00CD3B18">
        <w:rPr>
          <w:rFonts w:ascii="Times New Roman" w:hAnsi="Times New Roman"/>
          <w:b/>
          <w:bCs/>
          <w:sz w:val="24"/>
          <w:szCs w:val="24"/>
        </w:rPr>
        <w:t>u</w:t>
      </w:r>
      <w:r w:rsidRPr="00CD3B18">
        <w:rPr>
          <w:rFonts w:ascii="Times New Roman" w:hAnsi="Times New Roman"/>
          <w:b/>
          <w:bCs/>
          <w:spacing w:val="1"/>
          <w:sz w:val="24"/>
          <w:szCs w:val="24"/>
        </w:rPr>
        <w:t xml:space="preserve"> </w:t>
      </w:r>
      <w:r>
        <w:rPr>
          <w:rFonts w:ascii="Times New Roman" w:hAnsi="Times New Roman"/>
          <w:b/>
          <w:bCs/>
          <w:spacing w:val="1"/>
          <w:sz w:val="24"/>
          <w:szCs w:val="24"/>
        </w:rPr>
        <w:t>zákona</w:t>
      </w:r>
      <w:r w:rsidRPr="00CD3B18">
        <w:rPr>
          <w:rFonts w:ascii="Times New Roman" w:hAnsi="Times New Roman"/>
          <w:b/>
          <w:bCs/>
          <w:sz w:val="24"/>
          <w:szCs w:val="24"/>
        </w:rPr>
        <w:t>:</w:t>
      </w:r>
      <w:r>
        <w:rPr>
          <w:rFonts w:ascii="Times New Roman" w:hAnsi="Times New Roman"/>
          <w:b/>
          <w:bCs/>
          <w:spacing w:val="-1"/>
          <w:sz w:val="24"/>
          <w:szCs w:val="24"/>
        </w:rPr>
        <w:t xml:space="preserve"> </w:t>
      </w:r>
      <w:r w:rsidRPr="005A15CA">
        <w:rPr>
          <w:rFonts w:ascii="Times New Roman" w:hAnsi="Times New Roman"/>
          <w:bCs/>
          <w:spacing w:val="-1"/>
          <w:sz w:val="24"/>
          <w:szCs w:val="24"/>
        </w:rPr>
        <w:t>Z</w:t>
      </w:r>
      <w:r w:rsidRPr="005A15CA">
        <w:rPr>
          <w:rFonts w:ascii="Times New Roman" w:hAnsi="Times New Roman"/>
          <w:sz w:val="24"/>
          <w:szCs w:val="24"/>
        </w:rPr>
        <w:t>áko</w:t>
      </w:r>
      <w:r>
        <w:rPr>
          <w:rFonts w:ascii="Times New Roman" w:hAnsi="Times New Roman"/>
          <w:sz w:val="24"/>
          <w:szCs w:val="24"/>
        </w:rPr>
        <w:t>n,</w:t>
      </w:r>
      <w:r w:rsidRPr="00CD3B18">
        <w:rPr>
          <w:rFonts w:ascii="Times New Roman" w:hAnsi="Times New Roman"/>
          <w:sz w:val="24"/>
          <w:szCs w:val="24"/>
        </w:rPr>
        <w:t xml:space="preserve"> ktorým sa </w:t>
      </w:r>
      <w:r w:rsidRPr="00FA2EA0">
        <w:rPr>
          <w:rFonts w:ascii="Times New Roman" w:hAnsi="Times New Roman"/>
          <w:sz w:val="24"/>
          <w:szCs w:val="24"/>
        </w:rPr>
        <w:t xml:space="preserve">ktorým sa mení a dopĺňa </w:t>
      </w:r>
      <w:r w:rsidRPr="00FA2EA0">
        <w:rPr>
          <w:rFonts w:ascii="Times New Roman" w:hAnsi="Times New Roman"/>
          <w:bCs/>
          <w:sz w:val="24"/>
          <w:szCs w:val="24"/>
          <w:lang w:eastAsia="sk-SK"/>
        </w:rPr>
        <w:t xml:space="preserve">zákon č. </w:t>
      </w:r>
      <w:r>
        <w:rPr>
          <w:rFonts w:ascii="Times New Roman" w:hAnsi="Times New Roman"/>
          <w:bCs/>
          <w:sz w:val="24"/>
          <w:szCs w:val="24"/>
          <w:lang w:eastAsia="sk-SK"/>
        </w:rPr>
        <w:t>328/2002 Z. z. o sociálnom zabezpečení policajtov a vojakov a o zmene a doplnení niektorých zákonov v znení neskorších predpisov</w:t>
      </w:r>
      <w:r w:rsidRPr="00FA2EA0">
        <w:rPr>
          <w:rFonts w:ascii="Times New Roman" w:hAnsi="Times New Roman"/>
          <w:sz w:val="24"/>
          <w:szCs w:val="24"/>
        </w:rPr>
        <w:t xml:space="preserve">.  </w:t>
      </w:r>
    </w:p>
    <w:p w:rsidR="00B6710F" w:rsidRDefault="00B6710F" w:rsidP="00B6710F">
      <w:pPr>
        <w:spacing w:after="0" w:line="240" w:lineRule="auto"/>
        <w:jc w:val="both"/>
        <w:rPr>
          <w:rFonts w:ascii="Times New Roman" w:hAnsi="Times New Roman"/>
          <w:sz w:val="24"/>
          <w:szCs w:val="24"/>
        </w:rPr>
      </w:pPr>
    </w:p>
    <w:p w:rsidR="00B6710F" w:rsidRPr="003836EA" w:rsidRDefault="00B6710F" w:rsidP="00B6710F">
      <w:pPr>
        <w:spacing w:after="0" w:line="240" w:lineRule="auto"/>
        <w:jc w:val="both"/>
        <w:rPr>
          <w:rFonts w:ascii="Times New Roman" w:hAnsi="Times New Roman"/>
          <w:sz w:val="24"/>
          <w:szCs w:val="24"/>
        </w:rPr>
      </w:pPr>
      <w:r w:rsidRPr="00CD3B18">
        <w:rPr>
          <w:rFonts w:ascii="Times New Roman" w:hAnsi="Times New Roman"/>
          <w:b/>
          <w:bCs/>
          <w:sz w:val="24"/>
          <w:szCs w:val="24"/>
        </w:rPr>
        <w:t xml:space="preserve">3. </w:t>
      </w:r>
      <w:r w:rsidRPr="00CD3B18">
        <w:rPr>
          <w:rFonts w:ascii="Times New Roman" w:hAnsi="Times New Roman"/>
          <w:b/>
          <w:bCs/>
          <w:spacing w:val="-3"/>
          <w:sz w:val="24"/>
          <w:szCs w:val="24"/>
        </w:rPr>
        <w:t>P</w:t>
      </w:r>
      <w:r>
        <w:rPr>
          <w:rFonts w:ascii="Times New Roman" w:hAnsi="Times New Roman"/>
          <w:b/>
          <w:bCs/>
          <w:spacing w:val="-1"/>
          <w:sz w:val="24"/>
          <w:szCs w:val="24"/>
        </w:rPr>
        <w:t>redmet</w:t>
      </w:r>
      <w:r w:rsidRPr="00CD3B18">
        <w:rPr>
          <w:rFonts w:ascii="Times New Roman" w:hAnsi="Times New Roman"/>
          <w:b/>
          <w:bCs/>
          <w:sz w:val="24"/>
          <w:szCs w:val="24"/>
        </w:rPr>
        <w:t xml:space="preserve"> </w:t>
      </w:r>
      <w:r w:rsidRPr="00CD3B18">
        <w:rPr>
          <w:rFonts w:ascii="Times New Roman" w:hAnsi="Times New Roman"/>
          <w:b/>
          <w:bCs/>
          <w:spacing w:val="1"/>
          <w:sz w:val="24"/>
          <w:szCs w:val="24"/>
        </w:rPr>
        <w:t>n</w:t>
      </w:r>
      <w:r w:rsidRPr="00CD3B18">
        <w:rPr>
          <w:rFonts w:ascii="Times New Roman" w:hAnsi="Times New Roman"/>
          <w:b/>
          <w:bCs/>
          <w:sz w:val="24"/>
          <w:szCs w:val="24"/>
        </w:rPr>
        <w:t>áv</w:t>
      </w:r>
      <w:r w:rsidRPr="00CD3B18">
        <w:rPr>
          <w:rFonts w:ascii="Times New Roman" w:hAnsi="Times New Roman"/>
          <w:b/>
          <w:bCs/>
          <w:spacing w:val="-1"/>
          <w:sz w:val="24"/>
          <w:szCs w:val="24"/>
        </w:rPr>
        <w:t>r</w:t>
      </w:r>
      <w:r w:rsidRPr="00CD3B18">
        <w:rPr>
          <w:rFonts w:ascii="Times New Roman" w:hAnsi="Times New Roman"/>
          <w:b/>
          <w:bCs/>
          <w:spacing w:val="1"/>
          <w:sz w:val="24"/>
          <w:szCs w:val="24"/>
        </w:rPr>
        <w:t>h</w:t>
      </w:r>
      <w:r w:rsidRPr="00CD3B18">
        <w:rPr>
          <w:rFonts w:ascii="Times New Roman" w:hAnsi="Times New Roman"/>
          <w:b/>
          <w:bCs/>
          <w:sz w:val="24"/>
          <w:szCs w:val="24"/>
        </w:rPr>
        <w:t>u</w:t>
      </w:r>
      <w:r w:rsidRPr="00CD3B18">
        <w:rPr>
          <w:rFonts w:ascii="Times New Roman" w:hAnsi="Times New Roman"/>
          <w:b/>
          <w:bCs/>
          <w:spacing w:val="1"/>
          <w:sz w:val="24"/>
          <w:szCs w:val="24"/>
        </w:rPr>
        <w:t xml:space="preserve"> </w:t>
      </w:r>
      <w:r w:rsidRPr="005A15CA">
        <w:rPr>
          <w:rFonts w:ascii="Times New Roman" w:hAnsi="Times New Roman"/>
          <w:b/>
          <w:bCs/>
          <w:spacing w:val="-1"/>
          <w:sz w:val="24"/>
          <w:szCs w:val="24"/>
        </w:rPr>
        <w:t>zákona</w:t>
      </w:r>
      <w:r w:rsidRPr="005A15CA">
        <w:rPr>
          <w:rFonts w:ascii="Times New Roman" w:hAnsi="Times New Roman"/>
          <w:b/>
          <w:sz w:val="24"/>
          <w:szCs w:val="24"/>
        </w:rPr>
        <w:t xml:space="preserve"> nie</w:t>
      </w:r>
      <w:r w:rsidRPr="005A15CA">
        <w:rPr>
          <w:rFonts w:ascii="Times New Roman" w:hAnsi="Times New Roman"/>
          <w:b/>
          <w:spacing w:val="-1"/>
          <w:sz w:val="24"/>
          <w:szCs w:val="24"/>
        </w:rPr>
        <w:t xml:space="preserve"> </w:t>
      </w:r>
      <w:r w:rsidRPr="005A15CA">
        <w:rPr>
          <w:rFonts w:ascii="Times New Roman" w:hAnsi="Times New Roman"/>
          <w:b/>
          <w:sz w:val="24"/>
          <w:szCs w:val="24"/>
        </w:rPr>
        <w:t>je</w:t>
      </w:r>
      <w:r w:rsidRPr="005A15CA">
        <w:rPr>
          <w:rFonts w:ascii="Times New Roman" w:hAnsi="Times New Roman"/>
          <w:b/>
          <w:spacing w:val="-1"/>
          <w:sz w:val="24"/>
          <w:szCs w:val="24"/>
        </w:rPr>
        <w:t xml:space="preserve"> </w:t>
      </w:r>
      <w:r w:rsidRPr="005A15CA">
        <w:rPr>
          <w:rFonts w:ascii="Times New Roman" w:hAnsi="Times New Roman"/>
          <w:b/>
          <w:sz w:val="24"/>
          <w:szCs w:val="24"/>
        </w:rPr>
        <w:t>up</w:t>
      </w:r>
      <w:r w:rsidRPr="005A15CA">
        <w:rPr>
          <w:rFonts w:ascii="Times New Roman" w:hAnsi="Times New Roman"/>
          <w:b/>
          <w:spacing w:val="-1"/>
          <w:sz w:val="24"/>
          <w:szCs w:val="24"/>
        </w:rPr>
        <w:t>ra</w:t>
      </w:r>
      <w:r w:rsidRPr="005A15CA">
        <w:rPr>
          <w:rFonts w:ascii="Times New Roman" w:hAnsi="Times New Roman"/>
          <w:b/>
          <w:sz w:val="24"/>
          <w:szCs w:val="24"/>
        </w:rPr>
        <w:t>v</w:t>
      </w:r>
      <w:r w:rsidRPr="005A15CA">
        <w:rPr>
          <w:rFonts w:ascii="Times New Roman" w:hAnsi="Times New Roman"/>
          <w:b/>
          <w:spacing w:val="-1"/>
          <w:sz w:val="24"/>
          <w:szCs w:val="24"/>
        </w:rPr>
        <w:t>e</w:t>
      </w:r>
      <w:r w:rsidRPr="005A15CA">
        <w:rPr>
          <w:rFonts w:ascii="Times New Roman" w:hAnsi="Times New Roman"/>
          <w:b/>
          <w:spacing w:val="2"/>
          <w:sz w:val="24"/>
          <w:szCs w:val="24"/>
        </w:rPr>
        <w:t>n</w:t>
      </w:r>
      <w:r w:rsidRPr="005A15CA">
        <w:rPr>
          <w:rFonts w:ascii="Times New Roman" w:hAnsi="Times New Roman"/>
          <w:b/>
          <w:sz w:val="24"/>
          <w:szCs w:val="24"/>
        </w:rPr>
        <w:t>ý</w:t>
      </w:r>
      <w:r w:rsidRPr="005A15CA">
        <w:rPr>
          <w:rFonts w:ascii="Times New Roman" w:hAnsi="Times New Roman"/>
          <w:b/>
          <w:spacing w:val="-1"/>
          <w:sz w:val="24"/>
          <w:szCs w:val="24"/>
        </w:rPr>
        <w:t xml:space="preserve"> </w:t>
      </w:r>
      <w:r w:rsidRPr="005A15CA">
        <w:rPr>
          <w:rFonts w:ascii="Times New Roman" w:hAnsi="Times New Roman"/>
          <w:b/>
          <w:sz w:val="24"/>
          <w:szCs w:val="24"/>
        </w:rPr>
        <w:t>v p</w:t>
      </w:r>
      <w:r w:rsidRPr="005A15CA">
        <w:rPr>
          <w:rFonts w:ascii="Times New Roman" w:hAnsi="Times New Roman"/>
          <w:b/>
          <w:spacing w:val="2"/>
          <w:sz w:val="24"/>
          <w:szCs w:val="24"/>
        </w:rPr>
        <w:t>r</w:t>
      </w:r>
      <w:r w:rsidRPr="005A15CA">
        <w:rPr>
          <w:rFonts w:ascii="Times New Roman" w:hAnsi="Times New Roman"/>
          <w:b/>
          <w:spacing w:val="-1"/>
          <w:sz w:val="24"/>
          <w:szCs w:val="24"/>
        </w:rPr>
        <w:t>á</w:t>
      </w:r>
      <w:r w:rsidRPr="005A15CA">
        <w:rPr>
          <w:rFonts w:ascii="Times New Roman" w:hAnsi="Times New Roman"/>
          <w:b/>
          <w:sz w:val="24"/>
          <w:szCs w:val="24"/>
        </w:rPr>
        <w:t>ve</w:t>
      </w:r>
      <w:r w:rsidRPr="005A15CA">
        <w:rPr>
          <w:rFonts w:ascii="Times New Roman" w:hAnsi="Times New Roman"/>
          <w:b/>
          <w:spacing w:val="-1"/>
          <w:sz w:val="24"/>
          <w:szCs w:val="24"/>
        </w:rPr>
        <w:t xml:space="preserve"> </w:t>
      </w:r>
      <w:r w:rsidRPr="005A15CA">
        <w:rPr>
          <w:rFonts w:ascii="Times New Roman" w:hAnsi="Times New Roman"/>
          <w:b/>
          <w:spacing w:val="2"/>
          <w:sz w:val="24"/>
          <w:szCs w:val="24"/>
        </w:rPr>
        <w:t>E</w:t>
      </w:r>
      <w:r w:rsidRPr="005A15CA">
        <w:rPr>
          <w:rFonts w:ascii="Times New Roman" w:hAnsi="Times New Roman"/>
          <w:b/>
          <w:sz w:val="24"/>
          <w:szCs w:val="24"/>
        </w:rPr>
        <w:t>u</w:t>
      </w:r>
      <w:r w:rsidRPr="005A15CA">
        <w:rPr>
          <w:rFonts w:ascii="Times New Roman" w:hAnsi="Times New Roman"/>
          <w:b/>
          <w:spacing w:val="-1"/>
          <w:sz w:val="24"/>
          <w:szCs w:val="24"/>
        </w:rPr>
        <w:t>r</w:t>
      </w:r>
      <w:r w:rsidRPr="005A15CA">
        <w:rPr>
          <w:rFonts w:ascii="Times New Roman" w:hAnsi="Times New Roman"/>
          <w:b/>
          <w:sz w:val="24"/>
          <w:szCs w:val="24"/>
        </w:rPr>
        <w:t>ópsk</w:t>
      </w:r>
      <w:r w:rsidRPr="005A15CA">
        <w:rPr>
          <w:rFonts w:ascii="Times New Roman" w:hAnsi="Times New Roman"/>
          <w:b/>
          <w:spacing w:val="-1"/>
          <w:sz w:val="24"/>
          <w:szCs w:val="24"/>
        </w:rPr>
        <w:t>e</w:t>
      </w:r>
      <w:r w:rsidRPr="005A15CA">
        <w:rPr>
          <w:rFonts w:ascii="Times New Roman" w:hAnsi="Times New Roman"/>
          <w:b/>
          <w:sz w:val="24"/>
          <w:szCs w:val="24"/>
        </w:rPr>
        <w:t>j únie.</w:t>
      </w:r>
    </w:p>
    <w:p w:rsidR="00B6710F" w:rsidRPr="003836EA" w:rsidRDefault="00B6710F" w:rsidP="00B6710F">
      <w:pPr>
        <w:autoSpaceDE w:val="0"/>
        <w:autoSpaceDN w:val="0"/>
        <w:adjustRightInd w:val="0"/>
        <w:spacing w:after="0" w:line="240" w:lineRule="auto"/>
        <w:jc w:val="both"/>
        <w:rPr>
          <w:rFonts w:ascii="Times New Roman" w:hAnsi="Times New Roman"/>
          <w:b/>
          <w:sz w:val="24"/>
          <w:szCs w:val="24"/>
        </w:rPr>
      </w:pPr>
    </w:p>
    <w:p w:rsidR="00B6710F" w:rsidRPr="003836EA" w:rsidRDefault="00B6710F" w:rsidP="00B6710F">
      <w:pPr>
        <w:autoSpaceDE w:val="0"/>
        <w:autoSpaceDN w:val="0"/>
        <w:adjustRightInd w:val="0"/>
        <w:spacing w:after="0" w:line="240" w:lineRule="auto"/>
        <w:jc w:val="both"/>
        <w:rPr>
          <w:rFonts w:ascii="Times New Roman" w:hAnsi="Times New Roman"/>
          <w:b/>
          <w:sz w:val="24"/>
          <w:szCs w:val="24"/>
        </w:rPr>
      </w:pPr>
    </w:p>
    <w:p w:rsidR="00B6710F" w:rsidRPr="005F0094" w:rsidRDefault="00B6710F" w:rsidP="00B6710F">
      <w:pPr>
        <w:widowControl w:val="0"/>
        <w:autoSpaceDE w:val="0"/>
        <w:autoSpaceDN w:val="0"/>
        <w:adjustRightInd w:val="0"/>
        <w:spacing w:after="0" w:line="240" w:lineRule="auto"/>
        <w:ind w:left="116" w:right="308"/>
        <w:jc w:val="both"/>
        <w:rPr>
          <w:rFonts w:ascii="Times New Roman" w:hAnsi="Times New Roman"/>
          <w:sz w:val="24"/>
          <w:szCs w:val="24"/>
        </w:rPr>
      </w:pPr>
      <w:r w:rsidRPr="003836EA">
        <w:rPr>
          <w:rFonts w:ascii="Times New Roman" w:hAnsi="Times New Roman"/>
          <w:b/>
          <w:bCs/>
          <w:sz w:val="24"/>
          <w:szCs w:val="24"/>
        </w:rPr>
        <w:t>V</w:t>
      </w:r>
      <w:r w:rsidRPr="003836EA">
        <w:rPr>
          <w:rFonts w:ascii="Times New Roman" w:hAnsi="Times New Roman"/>
          <w:b/>
          <w:bCs/>
          <w:spacing w:val="-1"/>
          <w:sz w:val="24"/>
          <w:szCs w:val="24"/>
        </w:rPr>
        <w:t>z</w:t>
      </w:r>
      <w:r w:rsidRPr="003836EA">
        <w:rPr>
          <w:rFonts w:ascii="Times New Roman" w:hAnsi="Times New Roman"/>
          <w:b/>
          <w:bCs/>
          <w:spacing w:val="1"/>
          <w:sz w:val="24"/>
          <w:szCs w:val="24"/>
        </w:rPr>
        <w:t>h</w:t>
      </w:r>
      <w:r w:rsidRPr="003836EA">
        <w:rPr>
          <w:rFonts w:ascii="Times New Roman" w:hAnsi="Times New Roman"/>
          <w:b/>
          <w:bCs/>
          <w:sz w:val="24"/>
          <w:szCs w:val="24"/>
        </w:rPr>
        <w:t>ľa</w:t>
      </w:r>
      <w:r w:rsidRPr="003836EA">
        <w:rPr>
          <w:rFonts w:ascii="Times New Roman" w:hAnsi="Times New Roman"/>
          <w:b/>
          <w:bCs/>
          <w:spacing w:val="1"/>
          <w:sz w:val="24"/>
          <w:szCs w:val="24"/>
        </w:rPr>
        <w:t>d</w:t>
      </w:r>
      <w:r w:rsidRPr="003836EA">
        <w:rPr>
          <w:rFonts w:ascii="Times New Roman" w:hAnsi="Times New Roman"/>
          <w:b/>
          <w:bCs/>
          <w:sz w:val="24"/>
          <w:szCs w:val="24"/>
        </w:rPr>
        <w:t>om</w:t>
      </w:r>
      <w:r w:rsidRPr="003836EA">
        <w:rPr>
          <w:rFonts w:ascii="Times New Roman" w:hAnsi="Times New Roman"/>
          <w:b/>
          <w:bCs/>
          <w:spacing w:val="-3"/>
          <w:sz w:val="24"/>
          <w:szCs w:val="24"/>
        </w:rPr>
        <w:t xml:space="preserve"> </w:t>
      </w:r>
      <w:r w:rsidRPr="003836EA">
        <w:rPr>
          <w:rFonts w:ascii="Times New Roman" w:hAnsi="Times New Roman"/>
          <w:b/>
          <w:bCs/>
          <w:spacing w:val="1"/>
          <w:sz w:val="24"/>
          <w:szCs w:val="24"/>
        </w:rPr>
        <w:t>n</w:t>
      </w:r>
      <w:r w:rsidRPr="003836EA">
        <w:rPr>
          <w:rFonts w:ascii="Times New Roman" w:hAnsi="Times New Roman"/>
          <w:b/>
          <w:bCs/>
          <w:sz w:val="24"/>
          <w:szCs w:val="24"/>
        </w:rPr>
        <w:t>a v</w:t>
      </w:r>
      <w:r w:rsidRPr="003836EA">
        <w:rPr>
          <w:rFonts w:ascii="Times New Roman" w:hAnsi="Times New Roman"/>
          <w:b/>
          <w:bCs/>
          <w:spacing w:val="1"/>
          <w:sz w:val="24"/>
          <w:szCs w:val="24"/>
        </w:rPr>
        <w:t>nú</w:t>
      </w:r>
      <w:r w:rsidRPr="003836EA">
        <w:rPr>
          <w:rFonts w:ascii="Times New Roman" w:hAnsi="Times New Roman"/>
          <w:b/>
          <w:bCs/>
          <w:spacing w:val="-1"/>
          <w:sz w:val="24"/>
          <w:szCs w:val="24"/>
        </w:rPr>
        <w:t>tr</w:t>
      </w:r>
      <w:r w:rsidRPr="003836EA">
        <w:rPr>
          <w:rFonts w:ascii="Times New Roman" w:hAnsi="Times New Roman"/>
          <w:b/>
          <w:bCs/>
          <w:sz w:val="24"/>
          <w:szCs w:val="24"/>
        </w:rPr>
        <w:t>oš</w:t>
      </w:r>
      <w:r w:rsidRPr="003836EA">
        <w:rPr>
          <w:rFonts w:ascii="Times New Roman" w:hAnsi="Times New Roman"/>
          <w:b/>
          <w:bCs/>
          <w:spacing w:val="2"/>
          <w:sz w:val="24"/>
          <w:szCs w:val="24"/>
        </w:rPr>
        <w:t>t</w:t>
      </w:r>
      <w:r w:rsidRPr="003836EA">
        <w:rPr>
          <w:rFonts w:ascii="Times New Roman" w:hAnsi="Times New Roman"/>
          <w:b/>
          <w:bCs/>
          <w:sz w:val="24"/>
          <w:szCs w:val="24"/>
        </w:rPr>
        <w:t>á</w:t>
      </w:r>
      <w:r w:rsidRPr="003836EA">
        <w:rPr>
          <w:rFonts w:ascii="Times New Roman" w:hAnsi="Times New Roman"/>
          <w:b/>
          <w:bCs/>
          <w:spacing w:val="-1"/>
          <w:sz w:val="24"/>
          <w:szCs w:val="24"/>
        </w:rPr>
        <w:t>t</w:t>
      </w:r>
      <w:r w:rsidRPr="003836EA">
        <w:rPr>
          <w:rFonts w:ascii="Times New Roman" w:hAnsi="Times New Roman"/>
          <w:b/>
          <w:bCs/>
          <w:spacing w:val="1"/>
          <w:sz w:val="24"/>
          <w:szCs w:val="24"/>
        </w:rPr>
        <w:t>n</w:t>
      </w:r>
      <w:r w:rsidRPr="003836EA">
        <w:rPr>
          <w:rFonts w:ascii="Times New Roman" w:hAnsi="Times New Roman"/>
          <w:b/>
          <w:bCs/>
          <w:sz w:val="24"/>
          <w:szCs w:val="24"/>
        </w:rPr>
        <w:t xml:space="preserve">y </w:t>
      </w:r>
      <w:r w:rsidRPr="003836EA">
        <w:rPr>
          <w:rFonts w:ascii="Times New Roman" w:hAnsi="Times New Roman"/>
          <w:b/>
          <w:bCs/>
          <w:spacing w:val="-1"/>
          <w:sz w:val="24"/>
          <w:szCs w:val="24"/>
        </w:rPr>
        <w:t>c</w:t>
      </w:r>
      <w:r w:rsidRPr="003836EA">
        <w:rPr>
          <w:rFonts w:ascii="Times New Roman" w:hAnsi="Times New Roman"/>
          <w:b/>
          <w:bCs/>
          <w:spacing w:val="1"/>
          <w:sz w:val="24"/>
          <w:szCs w:val="24"/>
        </w:rPr>
        <w:t>h</w:t>
      </w:r>
      <w:r w:rsidRPr="003836EA">
        <w:rPr>
          <w:rFonts w:ascii="Times New Roman" w:hAnsi="Times New Roman"/>
          <w:b/>
          <w:bCs/>
          <w:sz w:val="24"/>
          <w:szCs w:val="24"/>
        </w:rPr>
        <w:t>a</w:t>
      </w:r>
      <w:r w:rsidRPr="003836EA">
        <w:rPr>
          <w:rFonts w:ascii="Times New Roman" w:hAnsi="Times New Roman"/>
          <w:b/>
          <w:bCs/>
          <w:spacing w:val="-1"/>
          <w:sz w:val="24"/>
          <w:szCs w:val="24"/>
        </w:rPr>
        <w:t>r</w:t>
      </w:r>
      <w:r w:rsidRPr="003836EA">
        <w:rPr>
          <w:rFonts w:ascii="Times New Roman" w:hAnsi="Times New Roman"/>
          <w:b/>
          <w:bCs/>
          <w:sz w:val="24"/>
          <w:szCs w:val="24"/>
        </w:rPr>
        <w:t>a</w:t>
      </w:r>
      <w:r w:rsidRPr="003836EA">
        <w:rPr>
          <w:rFonts w:ascii="Times New Roman" w:hAnsi="Times New Roman"/>
          <w:b/>
          <w:bCs/>
          <w:spacing w:val="1"/>
          <w:sz w:val="24"/>
          <w:szCs w:val="24"/>
        </w:rPr>
        <w:t>k</w:t>
      </w:r>
      <w:r w:rsidRPr="003836EA">
        <w:rPr>
          <w:rFonts w:ascii="Times New Roman" w:hAnsi="Times New Roman"/>
          <w:b/>
          <w:bCs/>
          <w:spacing w:val="-1"/>
          <w:sz w:val="24"/>
          <w:szCs w:val="24"/>
        </w:rPr>
        <w:t>te</w:t>
      </w:r>
      <w:r w:rsidRPr="003836EA">
        <w:rPr>
          <w:rFonts w:ascii="Times New Roman" w:hAnsi="Times New Roman"/>
          <w:b/>
          <w:bCs/>
          <w:sz w:val="24"/>
          <w:szCs w:val="24"/>
        </w:rPr>
        <w:t>r</w:t>
      </w:r>
      <w:r w:rsidRPr="003836EA">
        <w:rPr>
          <w:rFonts w:ascii="Times New Roman" w:hAnsi="Times New Roman"/>
          <w:b/>
          <w:bCs/>
          <w:spacing w:val="-1"/>
          <w:sz w:val="24"/>
          <w:szCs w:val="24"/>
        </w:rPr>
        <w:t xml:space="preserve"> </w:t>
      </w:r>
      <w:r w:rsidRPr="003836EA">
        <w:rPr>
          <w:rFonts w:ascii="Times New Roman" w:hAnsi="Times New Roman"/>
          <w:b/>
          <w:bCs/>
          <w:spacing w:val="1"/>
          <w:sz w:val="24"/>
          <w:szCs w:val="24"/>
        </w:rPr>
        <w:t>n</w:t>
      </w:r>
      <w:r w:rsidRPr="003836EA">
        <w:rPr>
          <w:rFonts w:ascii="Times New Roman" w:hAnsi="Times New Roman"/>
          <w:b/>
          <w:bCs/>
          <w:sz w:val="24"/>
          <w:szCs w:val="24"/>
        </w:rPr>
        <w:t>av</w:t>
      </w:r>
      <w:r w:rsidRPr="003836EA">
        <w:rPr>
          <w:rFonts w:ascii="Times New Roman" w:hAnsi="Times New Roman"/>
          <w:b/>
          <w:bCs/>
          <w:spacing w:val="-1"/>
          <w:sz w:val="24"/>
          <w:szCs w:val="24"/>
        </w:rPr>
        <w:t>r</w:t>
      </w:r>
      <w:r w:rsidRPr="003836EA">
        <w:rPr>
          <w:rFonts w:ascii="Times New Roman" w:hAnsi="Times New Roman"/>
          <w:b/>
          <w:bCs/>
          <w:spacing w:val="1"/>
          <w:sz w:val="24"/>
          <w:szCs w:val="24"/>
        </w:rPr>
        <w:t>h</w:t>
      </w:r>
      <w:r w:rsidRPr="003836EA">
        <w:rPr>
          <w:rFonts w:ascii="Times New Roman" w:hAnsi="Times New Roman"/>
          <w:b/>
          <w:bCs/>
          <w:sz w:val="24"/>
          <w:szCs w:val="24"/>
        </w:rPr>
        <w:t>o</w:t>
      </w:r>
      <w:r w:rsidRPr="003836EA">
        <w:rPr>
          <w:rFonts w:ascii="Times New Roman" w:hAnsi="Times New Roman"/>
          <w:b/>
          <w:bCs/>
          <w:spacing w:val="2"/>
          <w:sz w:val="24"/>
          <w:szCs w:val="24"/>
        </w:rPr>
        <w:t>v</w:t>
      </w:r>
      <w:r w:rsidRPr="003836EA">
        <w:rPr>
          <w:rFonts w:ascii="Times New Roman" w:hAnsi="Times New Roman"/>
          <w:b/>
          <w:bCs/>
          <w:sz w:val="24"/>
          <w:szCs w:val="24"/>
        </w:rPr>
        <w:t>a</w:t>
      </w:r>
      <w:r w:rsidRPr="003836EA">
        <w:rPr>
          <w:rFonts w:ascii="Times New Roman" w:hAnsi="Times New Roman"/>
          <w:b/>
          <w:bCs/>
          <w:spacing w:val="1"/>
          <w:sz w:val="24"/>
          <w:szCs w:val="24"/>
        </w:rPr>
        <w:t>n</w:t>
      </w:r>
      <w:r w:rsidRPr="003836EA">
        <w:rPr>
          <w:rFonts w:ascii="Times New Roman" w:hAnsi="Times New Roman"/>
          <w:b/>
          <w:bCs/>
          <w:spacing w:val="-1"/>
          <w:sz w:val="24"/>
          <w:szCs w:val="24"/>
        </w:rPr>
        <w:t>é</w:t>
      </w:r>
      <w:r w:rsidRPr="003836EA">
        <w:rPr>
          <w:rFonts w:ascii="Times New Roman" w:hAnsi="Times New Roman"/>
          <w:b/>
          <w:bCs/>
          <w:spacing w:val="1"/>
          <w:sz w:val="24"/>
          <w:szCs w:val="24"/>
        </w:rPr>
        <w:t>h</w:t>
      </w:r>
      <w:r w:rsidRPr="003836EA">
        <w:rPr>
          <w:rFonts w:ascii="Times New Roman" w:hAnsi="Times New Roman"/>
          <w:b/>
          <w:bCs/>
          <w:sz w:val="24"/>
          <w:szCs w:val="24"/>
        </w:rPr>
        <w:t xml:space="preserve">o </w:t>
      </w:r>
      <w:r>
        <w:rPr>
          <w:rFonts w:ascii="Times New Roman" w:hAnsi="Times New Roman"/>
          <w:b/>
          <w:bCs/>
          <w:spacing w:val="1"/>
          <w:sz w:val="24"/>
          <w:szCs w:val="24"/>
        </w:rPr>
        <w:t xml:space="preserve">zákona </w:t>
      </w:r>
      <w:r>
        <w:rPr>
          <w:rFonts w:ascii="Times New Roman" w:hAnsi="Times New Roman"/>
          <w:b/>
          <w:bCs/>
          <w:spacing w:val="-1"/>
          <w:sz w:val="24"/>
          <w:szCs w:val="24"/>
        </w:rPr>
        <w:t>j</w:t>
      </w:r>
      <w:r>
        <w:rPr>
          <w:rFonts w:ascii="Times New Roman" w:hAnsi="Times New Roman"/>
          <w:b/>
          <w:bCs/>
          <w:sz w:val="24"/>
          <w:szCs w:val="24"/>
        </w:rPr>
        <w:t>e</w:t>
      </w:r>
      <w:r>
        <w:rPr>
          <w:rFonts w:ascii="Times New Roman" w:hAnsi="Times New Roman"/>
          <w:b/>
          <w:bCs/>
          <w:spacing w:val="-1"/>
          <w:sz w:val="24"/>
          <w:szCs w:val="24"/>
        </w:rPr>
        <w:t> </w:t>
      </w:r>
      <w:r>
        <w:rPr>
          <w:rFonts w:ascii="Times New Roman" w:hAnsi="Times New Roman"/>
          <w:b/>
          <w:bCs/>
          <w:spacing w:val="1"/>
          <w:sz w:val="24"/>
          <w:szCs w:val="24"/>
        </w:rPr>
        <w:t>b</w:t>
      </w:r>
      <w:r>
        <w:rPr>
          <w:rFonts w:ascii="Times New Roman" w:hAnsi="Times New Roman"/>
          <w:b/>
          <w:bCs/>
          <w:spacing w:val="-1"/>
          <w:sz w:val="24"/>
          <w:szCs w:val="24"/>
        </w:rPr>
        <w:t>ez</w:t>
      </w:r>
      <w:r>
        <w:rPr>
          <w:rFonts w:ascii="Times New Roman" w:hAnsi="Times New Roman"/>
          <w:b/>
          <w:bCs/>
          <w:spacing w:val="1"/>
          <w:sz w:val="24"/>
          <w:szCs w:val="24"/>
        </w:rPr>
        <w:t>p</w:t>
      </w:r>
      <w:r>
        <w:rPr>
          <w:rFonts w:ascii="Times New Roman" w:hAnsi="Times New Roman"/>
          <w:b/>
          <w:bCs/>
          <w:spacing w:val="-1"/>
          <w:sz w:val="24"/>
          <w:szCs w:val="24"/>
        </w:rPr>
        <w:t>re</w:t>
      </w:r>
      <w:r>
        <w:rPr>
          <w:rFonts w:ascii="Times New Roman" w:hAnsi="Times New Roman"/>
          <w:b/>
          <w:bCs/>
          <w:spacing w:val="3"/>
          <w:sz w:val="24"/>
          <w:szCs w:val="24"/>
        </w:rPr>
        <w:t>d</w:t>
      </w:r>
      <w:r>
        <w:rPr>
          <w:rFonts w:ascii="Times New Roman" w:hAnsi="Times New Roman"/>
          <w:b/>
          <w:bCs/>
          <w:spacing w:val="-3"/>
          <w:sz w:val="24"/>
          <w:szCs w:val="24"/>
        </w:rPr>
        <w:t>m</w:t>
      </w:r>
      <w:r>
        <w:rPr>
          <w:rFonts w:ascii="Times New Roman" w:hAnsi="Times New Roman"/>
          <w:b/>
          <w:bCs/>
          <w:spacing w:val="1"/>
          <w:sz w:val="24"/>
          <w:szCs w:val="24"/>
        </w:rPr>
        <w:t>e</w:t>
      </w:r>
      <w:r>
        <w:rPr>
          <w:rFonts w:ascii="Times New Roman" w:hAnsi="Times New Roman"/>
          <w:b/>
          <w:bCs/>
          <w:spacing w:val="-1"/>
          <w:sz w:val="24"/>
          <w:szCs w:val="24"/>
        </w:rPr>
        <w:t>t</w:t>
      </w:r>
      <w:r>
        <w:rPr>
          <w:rFonts w:ascii="Times New Roman" w:hAnsi="Times New Roman"/>
          <w:b/>
          <w:bCs/>
          <w:spacing w:val="1"/>
          <w:sz w:val="24"/>
          <w:szCs w:val="24"/>
        </w:rPr>
        <w:t>n</w:t>
      </w:r>
      <w:r>
        <w:rPr>
          <w:rFonts w:ascii="Times New Roman" w:hAnsi="Times New Roman"/>
          <w:b/>
          <w:bCs/>
          <w:sz w:val="24"/>
          <w:szCs w:val="24"/>
        </w:rPr>
        <w:t>é vy</w:t>
      </w:r>
      <w:r>
        <w:rPr>
          <w:rFonts w:ascii="Times New Roman" w:hAnsi="Times New Roman"/>
          <w:b/>
          <w:bCs/>
          <w:spacing w:val="-1"/>
          <w:sz w:val="24"/>
          <w:szCs w:val="24"/>
        </w:rPr>
        <w:t>j</w:t>
      </w:r>
      <w:r>
        <w:rPr>
          <w:rFonts w:ascii="Times New Roman" w:hAnsi="Times New Roman"/>
          <w:b/>
          <w:bCs/>
          <w:sz w:val="24"/>
          <w:szCs w:val="24"/>
        </w:rPr>
        <w:t>a</w:t>
      </w:r>
      <w:r>
        <w:rPr>
          <w:rFonts w:ascii="Times New Roman" w:hAnsi="Times New Roman"/>
          <w:b/>
          <w:bCs/>
          <w:spacing w:val="1"/>
          <w:sz w:val="24"/>
          <w:szCs w:val="24"/>
        </w:rPr>
        <w:t>d</w:t>
      </w:r>
      <w:r>
        <w:rPr>
          <w:rFonts w:ascii="Times New Roman" w:hAnsi="Times New Roman"/>
          <w:b/>
          <w:bCs/>
          <w:spacing w:val="-1"/>
          <w:sz w:val="24"/>
          <w:szCs w:val="24"/>
        </w:rPr>
        <w:t>r</w:t>
      </w:r>
      <w:r>
        <w:rPr>
          <w:rFonts w:ascii="Times New Roman" w:hAnsi="Times New Roman"/>
          <w:b/>
          <w:bCs/>
          <w:sz w:val="24"/>
          <w:szCs w:val="24"/>
        </w:rPr>
        <w:t>ovať sa k</w:t>
      </w:r>
      <w:r>
        <w:rPr>
          <w:rFonts w:ascii="Times New Roman" w:hAnsi="Times New Roman"/>
          <w:b/>
          <w:bCs/>
          <w:spacing w:val="1"/>
          <w:sz w:val="24"/>
          <w:szCs w:val="24"/>
        </w:rPr>
        <w:t xml:space="preserve"> b</w:t>
      </w:r>
      <w:r>
        <w:rPr>
          <w:rFonts w:ascii="Times New Roman" w:hAnsi="Times New Roman"/>
          <w:b/>
          <w:bCs/>
          <w:sz w:val="24"/>
          <w:szCs w:val="24"/>
        </w:rPr>
        <w:t>o</w:t>
      </w:r>
      <w:r>
        <w:rPr>
          <w:rFonts w:ascii="Times New Roman" w:hAnsi="Times New Roman"/>
          <w:b/>
          <w:bCs/>
          <w:spacing w:val="1"/>
          <w:sz w:val="24"/>
          <w:szCs w:val="24"/>
        </w:rPr>
        <w:t>d</w:t>
      </w:r>
      <w:r>
        <w:rPr>
          <w:rFonts w:ascii="Times New Roman" w:hAnsi="Times New Roman"/>
          <w:b/>
          <w:bCs/>
          <w:sz w:val="24"/>
          <w:szCs w:val="24"/>
        </w:rPr>
        <w:t>om</w:t>
      </w:r>
      <w:r>
        <w:rPr>
          <w:rFonts w:ascii="Times New Roman" w:hAnsi="Times New Roman"/>
          <w:b/>
          <w:bCs/>
          <w:spacing w:val="-1"/>
          <w:sz w:val="24"/>
          <w:szCs w:val="24"/>
        </w:rPr>
        <w:t xml:space="preserve"> </w:t>
      </w:r>
      <w:r>
        <w:rPr>
          <w:rFonts w:ascii="Times New Roman" w:hAnsi="Times New Roman"/>
          <w:b/>
          <w:bCs/>
          <w:sz w:val="24"/>
          <w:szCs w:val="24"/>
        </w:rPr>
        <w:t xml:space="preserve">4. a 5.  </w:t>
      </w:r>
      <w:r>
        <w:rPr>
          <w:rFonts w:ascii="Times New Roman" w:hAnsi="Times New Roman"/>
          <w:b/>
          <w:bCs/>
          <w:spacing w:val="1"/>
          <w:sz w:val="24"/>
          <w:szCs w:val="24"/>
        </w:rPr>
        <w:t>d</w:t>
      </w:r>
      <w:r>
        <w:rPr>
          <w:rFonts w:ascii="Times New Roman" w:hAnsi="Times New Roman"/>
          <w:b/>
          <w:bCs/>
          <w:sz w:val="24"/>
          <w:szCs w:val="24"/>
        </w:rPr>
        <w:t>olo</w:t>
      </w:r>
      <w:r>
        <w:rPr>
          <w:rFonts w:ascii="Times New Roman" w:hAnsi="Times New Roman"/>
          <w:b/>
          <w:bCs/>
          <w:spacing w:val="-1"/>
          <w:sz w:val="24"/>
          <w:szCs w:val="24"/>
        </w:rPr>
        <w:t>ž</w:t>
      </w:r>
      <w:r>
        <w:rPr>
          <w:rFonts w:ascii="Times New Roman" w:hAnsi="Times New Roman"/>
          <w:b/>
          <w:bCs/>
          <w:spacing w:val="1"/>
          <w:sz w:val="24"/>
          <w:szCs w:val="24"/>
        </w:rPr>
        <w:t>k</w:t>
      </w:r>
      <w:r>
        <w:rPr>
          <w:rFonts w:ascii="Times New Roman" w:hAnsi="Times New Roman"/>
          <w:b/>
          <w:bCs/>
          <w:sz w:val="24"/>
          <w:szCs w:val="24"/>
        </w:rPr>
        <w:t xml:space="preserve">y </w:t>
      </w:r>
      <w:r>
        <w:rPr>
          <w:rFonts w:ascii="Times New Roman" w:hAnsi="Times New Roman"/>
          <w:b/>
          <w:bCs/>
          <w:spacing w:val="-1"/>
          <w:sz w:val="24"/>
          <w:szCs w:val="24"/>
        </w:rPr>
        <w:t>z</w:t>
      </w:r>
      <w:r>
        <w:rPr>
          <w:rFonts w:ascii="Times New Roman" w:hAnsi="Times New Roman"/>
          <w:b/>
          <w:bCs/>
          <w:sz w:val="24"/>
          <w:szCs w:val="24"/>
        </w:rPr>
        <w:t>l</w:t>
      </w:r>
      <w:r>
        <w:rPr>
          <w:rFonts w:ascii="Times New Roman" w:hAnsi="Times New Roman"/>
          <w:b/>
          <w:bCs/>
          <w:spacing w:val="1"/>
          <w:sz w:val="24"/>
          <w:szCs w:val="24"/>
        </w:rPr>
        <w:t>u</w:t>
      </w:r>
      <w:r>
        <w:rPr>
          <w:rFonts w:ascii="Times New Roman" w:hAnsi="Times New Roman"/>
          <w:b/>
          <w:bCs/>
          <w:spacing w:val="-1"/>
          <w:sz w:val="24"/>
          <w:szCs w:val="24"/>
        </w:rPr>
        <w:t>č</w:t>
      </w:r>
      <w:r>
        <w:rPr>
          <w:rFonts w:ascii="Times New Roman" w:hAnsi="Times New Roman"/>
          <w:b/>
          <w:bCs/>
          <w:sz w:val="24"/>
          <w:szCs w:val="24"/>
        </w:rPr>
        <w:t>i</w:t>
      </w:r>
      <w:r>
        <w:rPr>
          <w:rFonts w:ascii="Times New Roman" w:hAnsi="Times New Roman"/>
          <w:b/>
          <w:bCs/>
          <w:spacing w:val="-1"/>
          <w:sz w:val="24"/>
          <w:szCs w:val="24"/>
        </w:rPr>
        <w:t>te</w:t>
      </w:r>
      <w:r>
        <w:rPr>
          <w:rFonts w:ascii="Times New Roman" w:hAnsi="Times New Roman"/>
          <w:b/>
          <w:bCs/>
          <w:sz w:val="24"/>
          <w:szCs w:val="24"/>
        </w:rPr>
        <w:t>ľ</w:t>
      </w:r>
      <w:r>
        <w:rPr>
          <w:rFonts w:ascii="Times New Roman" w:hAnsi="Times New Roman"/>
          <w:b/>
          <w:bCs/>
          <w:spacing w:val="1"/>
          <w:sz w:val="24"/>
          <w:szCs w:val="24"/>
        </w:rPr>
        <w:t>n</w:t>
      </w:r>
      <w:r>
        <w:rPr>
          <w:rFonts w:ascii="Times New Roman" w:hAnsi="Times New Roman"/>
          <w:b/>
          <w:bCs/>
          <w:sz w:val="24"/>
          <w:szCs w:val="24"/>
        </w:rPr>
        <w:t>os</w:t>
      </w:r>
      <w:r>
        <w:rPr>
          <w:rFonts w:ascii="Times New Roman" w:hAnsi="Times New Roman"/>
          <w:b/>
          <w:bCs/>
          <w:spacing w:val="-1"/>
          <w:sz w:val="24"/>
          <w:szCs w:val="24"/>
        </w:rPr>
        <w:t>t</w:t>
      </w:r>
      <w:r>
        <w:rPr>
          <w:rFonts w:ascii="Times New Roman" w:hAnsi="Times New Roman"/>
          <w:b/>
          <w:bCs/>
          <w:sz w:val="24"/>
          <w:szCs w:val="24"/>
        </w:rPr>
        <w:t>i.</w:t>
      </w:r>
    </w:p>
    <w:p w:rsidR="00F83DD0" w:rsidRDefault="00B6710F" w:rsidP="00F83DD0">
      <w:pPr>
        <w:spacing w:after="0" w:line="240" w:lineRule="auto"/>
        <w:ind w:firstLine="709"/>
        <w:jc w:val="both"/>
        <w:rPr>
          <w:rFonts w:ascii="Times New Roman" w:hAnsi="Times New Roman" w:cs="Times New Roman"/>
          <w:b/>
          <w:bCs/>
          <w:sz w:val="24"/>
          <w:szCs w:val="24"/>
          <w:u w:val="single"/>
          <w:lang w:eastAsia="sk-SK"/>
        </w:rPr>
      </w:pPr>
      <w:r>
        <w:rPr>
          <w:rFonts w:ascii="Times New Roman" w:hAnsi="Times New Roman" w:cs="Times New Roman"/>
          <w:b/>
          <w:bCs/>
          <w:sz w:val="24"/>
          <w:szCs w:val="24"/>
          <w:u w:val="single"/>
          <w:lang w:eastAsia="sk-SK"/>
        </w:rPr>
        <w:br w:type="page"/>
      </w:r>
      <w:r w:rsidR="00F83DD0">
        <w:rPr>
          <w:rFonts w:ascii="Times New Roman" w:hAnsi="Times New Roman" w:cs="Times New Roman"/>
          <w:b/>
          <w:bCs/>
          <w:sz w:val="24"/>
          <w:szCs w:val="24"/>
          <w:u w:val="single"/>
          <w:lang w:eastAsia="sk-SK"/>
        </w:rPr>
        <w:lastRenderedPageBreak/>
        <w:t>K článku I</w:t>
      </w:r>
    </w:p>
    <w:p w:rsidR="00F83DD0" w:rsidRDefault="00F83DD0" w:rsidP="00F83DD0">
      <w:pPr>
        <w:spacing w:after="0" w:line="240" w:lineRule="auto"/>
        <w:jc w:val="both"/>
        <w:rPr>
          <w:rFonts w:ascii="Times New Roman" w:hAnsi="Times New Roman" w:cs="Times New Roman"/>
          <w:sz w:val="24"/>
          <w:szCs w:val="24"/>
        </w:rPr>
      </w:pPr>
    </w:p>
    <w:p w:rsidR="00F83DD0" w:rsidRDefault="00F83DD0" w:rsidP="00F83DD0">
      <w:pPr>
        <w:spacing w:after="0" w:line="240" w:lineRule="auto"/>
        <w:ind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t>K bodu 1 (§ 68 ods. 17)</w:t>
      </w:r>
    </w:p>
    <w:p w:rsidR="00F83DD0" w:rsidRDefault="00F83DD0" w:rsidP="00F83DD0">
      <w:pPr>
        <w:spacing w:after="0" w:line="240" w:lineRule="auto"/>
        <w:ind w:firstLine="709"/>
        <w:jc w:val="both"/>
        <w:rPr>
          <w:rFonts w:ascii="Times New Roman" w:hAnsi="Times New Roman" w:cs="Times New Roman"/>
          <w:b/>
          <w:sz w:val="24"/>
          <w:szCs w:val="24"/>
          <w:u w:val="single"/>
        </w:rPr>
      </w:pPr>
    </w:p>
    <w:p w:rsidR="00F83DD0" w:rsidRDefault="00F83DD0" w:rsidP="00F83DD0">
      <w:pPr>
        <w:spacing w:after="0" w:line="240" w:lineRule="auto"/>
        <w:ind w:firstLine="697"/>
        <w:jc w:val="both"/>
        <w:rPr>
          <w:rFonts w:ascii="Times New Roman" w:hAnsi="Times New Roman" w:cs="Times New Roman"/>
          <w:snapToGrid w:val="0"/>
          <w:sz w:val="24"/>
          <w:szCs w:val="24"/>
          <w:lang w:eastAsia="sk-SK"/>
        </w:rPr>
      </w:pPr>
      <w:r>
        <w:rPr>
          <w:rFonts w:ascii="Times New Roman" w:hAnsi="Times New Roman"/>
          <w:sz w:val="24"/>
          <w:szCs w:val="24"/>
        </w:rPr>
        <w:t>Do ustanovenia § 68 ods. 17 bolo potrebné doplniť, že ak sa</w:t>
      </w:r>
      <w:r>
        <w:rPr>
          <w:rFonts w:ascii="Times New Roman" w:hAnsi="Times New Roman" w:cs="Times New Roman"/>
          <w:sz w:val="24"/>
          <w:szCs w:val="24"/>
        </w:rPr>
        <w:t xml:space="preserve"> výsluhový dôchodok zvyšoval v príslušnom kalendárnom roku pevnou sumou v závislosti od doby trvania služobného pomeru </w:t>
      </w:r>
      <w:r>
        <w:rPr>
          <w:rFonts w:ascii="Times New Roman" w:hAnsi="Times New Roman"/>
          <w:sz w:val="24"/>
          <w:szCs w:val="24"/>
        </w:rPr>
        <w:t xml:space="preserve">(aj podľa navrhovaného ustanovenia § 143aj ods. 2) </w:t>
      </w:r>
      <w:r>
        <w:rPr>
          <w:rFonts w:ascii="Times New Roman" w:hAnsi="Times New Roman" w:cs="Times New Roman"/>
          <w:sz w:val="24"/>
          <w:szCs w:val="24"/>
        </w:rPr>
        <w:t>a nevyplácal sa z dôvodu zániku nároku na jeho výplatu, pretože došlo k vzniku opätovného služobného pomeru, z ktorého po jeho skončení vzniká opätovný nárok na výplatu výsluhového dôchodku, odo dňa opätovného vzniku nároku na jeho výplatu sa výsluhový dôchodok zvýši za každý kalendárny rok, v ktorom sa nevyplácal, a to pevnou sumou, ktorá sa určí v závislosti na celkovej dobe trvania služobného pomeru, ktorá bola zhodnotená podľa § 58 pri novom skončení služobného pomeru.</w:t>
      </w:r>
      <w:r>
        <w:rPr>
          <w:rFonts w:ascii="Times New Roman" w:hAnsi="Times New Roman" w:cs="Times New Roman"/>
          <w:snapToGrid w:val="0"/>
          <w:sz w:val="24"/>
          <w:szCs w:val="24"/>
          <w:lang w:eastAsia="sk-SK"/>
        </w:rPr>
        <w:t xml:space="preserve"> </w:t>
      </w:r>
      <w:r>
        <w:rPr>
          <w:rFonts w:ascii="Times New Roman" w:hAnsi="Times New Roman"/>
          <w:sz w:val="24"/>
          <w:szCs w:val="24"/>
        </w:rPr>
        <w:t>Doplnené ustanovenie upravuje prípad zvyšovania nevyplácaného výsluhového dôchodku pevnou sumou v závislosti od celkovej doby trvania služobného pomeru, ktorý sa nevyplácal z dôvodu opätovného vzniku služobného pomeru</w:t>
      </w:r>
      <w:r>
        <w:rPr>
          <w:rFonts w:ascii="Times New Roman" w:hAnsi="Times New Roman" w:cs="Times New Roman"/>
          <w:sz w:val="24"/>
          <w:szCs w:val="24"/>
        </w:rPr>
        <w:t>.</w:t>
      </w:r>
      <w:r>
        <w:rPr>
          <w:rFonts w:ascii="Times New Roman" w:hAnsi="Times New Roman" w:cs="Times New Roman"/>
          <w:snapToGrid w:val="0"/>
          <w:sz w:val="24"/>
          <w:szCs w:val="24"/>
          <w:lang w:eastAsia="sk-SK"/>
        </w:rPr>
        <w:t xml:space="preserve"> </w:t>
      </w:r>
      <w:r>
        <w:rPr>
          <w:rFonts w:ascii="Times New Roman" w:hAnsi="Times New Roman"/>
          <w:sz w:val="24"/>
          <w:szCs w:val="24"/>
        </w:rPr>
        <w:t xml:space="preserve">V prípade opätovného vzniku nároku na vyplácanie výsluhového dôchodku po skončení  opätovného služobného pomeru, sa pri zvyšovaní výsluhového dôchodku za nevyplácané kalendárne roky berie v úvahu </w:t>
      </w:r>
      <w:r>
        <w:rPr>
          <w:rFonts w:ascii="Times New Roman" w:hAnsi="Times New Roman" w:cs="Times New Roman"/>
          <w:sz w:val="24"/>
          <w:szCs w:val="24"/>
        </w:rPr>
        <w:t xml:space="preserve">celková doba trvania služobného pomeru,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do úvahy sa berie aj doba opätovného vykonávania služobného pomeru. </w:t>
      </w:r>
    </w:p>
    <w:p w:rsidR="00F83DD0" w:rsidRDefault="00F83DD0" w:rsidP="00F83DD0">
      <w:pPr>
        <w:spacing w:after="0" w:line="240" w:lineRule="auto"/>
        <w:ind w:firstLine="709"/>
        <w:jc w:val="both"/>
        <w:rPr>
          <w:rFonts w:ascii="Times New Roman" w:hAnsi="Times New Roman" w:cs="Times New Roman"/>
          <w:b/>
          <w:sz w:val="24"/>
          <w:szCs w:val="24"/>
          <w:u w:val="single"/>
        </w:rPr>
      </w:pPr>
    </w:p>
    <w:p w:rsidR="00F83DD0" w:rsidRDefault="00F83DD0" w:rsidP="00F83DD0">
      <w:pPr>
        <w:spacing w:after="0" w:line="240" w:lineRule="auto"/>
        <w:ind w:firstLine="697"/>
        <w:jc w:val="both"/>
        <w:rPr>
          <w:rFonts w:ascii="Times New Roman" w:hAnsi="Times New Roman" w:cs="Times New Roman"/>
          <w:b/>
          <w:bCs/>
          <w:sz w:val="24"/>
          <w:szCs w:val="24"/>
          <w:u w:val="single"/>
          <w:lang w:eastAsia="sk-SK"/>
        </w:rPr>
      </w:pPr>
      <w:r>
        <w:rPr>
          <w:rFonts w:ascii="Times New Roman" w:hAnsi="Times New Roman" w:cs="Times New Roman"/>
          <w:b/>
          <w:bCs/>
          <w:sz w:val="24"/>
          <w:szCs w:val="24"/>
          <w:u w:val="single"/>
          <w:lang w:eastAsia="sk-SK"/>
        </w:rPr>
        <w:t>K bodom 2 a 3 (§ 85 ods. 1 písm. d) a § 87 ods. 2)</w:t>
      </w:r>
    </w:p>
    <w:p w:rsidR="00F83DD0" w:rsidRDefault="00F83DD0" w:rsidP="00F83DD0">
      <w:pPr>
        <w:spacing w:after="0" w:line="240" w:lineRule="auto"/>
        <w:ind w:firstLine="709"/>
        <w:jc w:val="both"/>
        <w:rPr>
          <w:rFonts w:ascii="Times New Roman" w:hAnsi="Times New Roman"/>
          <w:sz w:val="24"/>
          <w:szCs w:val="24"/>
        </w:rPr>
      </w:pPr>
      <w:r>
        <w:rPr>
          <w:rFonts w:ascii="Times New Roman" w:hAnsi="Times New Roman" w:cs="Times New Roman"/>
          <w:bCs/>
          <w:sz w:val="24"/>
          <w:szCs w:val="24"/>
          <w:lang w:eastAsia="sk-SK"/>
        </w:rPr>
        <w:t xml:space="preserve">Umožňuje sa v rámci lekárskej posudkovej činnosti vykonávať nielen kontrolu </w:t>
      </w:r>
      <w:r>
        <w:rPr>
          <w:rFonts w:ascii="Times New Roman" w:hAnsi="Times New Roman"/>
          <w:sz w:val="24"/>
          <w:szCs w:val="24"/>
        </w:rPr>
        <w:t xml:space="preserve">bodového ohodnotenia služobného úrazu na </w:t>
      </w:r>
      <w:r>
        <w:rPr>
          <w:rFonts w:ascii="Times New Roman" w:hAnsi="Times New Roman" w:cs="Times New Roman"/>
          <w:sz w:val="24"/>
          <w:szCs w:val="24"/>
        </w:rPr>
        <w:t>účely náhrady za bolesť a náhrady za sťaženie spoločenského uplatnenia,</w:t>
      </w:r>
      <w:r>
        <w:rPr>
          <w:rFonts w:ascii="Times New Roman" w:hAnsi="Times New Roman"/>
          <w:sz w:val="24"/>
          <w:szCs w:val="24"/>
        </w:rPr>
        <w:t xml:space="preserve"> ale aj možnosť vykonať prípadnú zmenu tohto bodového ohodnotenia. Predmetné doplnenie ustanovení zákona, ktoré sa týkajú lekárskej posudkovej činnosti v rámci osobitného systému sociálneho zabezpečenia, vychádza z potrieb aplikačnej praxe.</w:t>
      </w:r>
    </w:p>
    <w:p w:rsidR="00F83DD0" w:rsidRDefault="00F83DD0" w:rsidP="00F83DD0">
      <w:pPr>
        <w:spacing w:after="0" w:line="240" w:lineRule="auto"/>
        <w:ind w:firstLine="709"/>
        <w:jc w:val="both"/>
        <w:rPr>
          <w:rFonts w:ascii="Times New Roman" w:hAnsi="Times New Roman"/>
          <w:sz w:val="24"/>
          <w:szCs w:val="24"/>
        </w:rPr>
      </w:pPr>
    </w:p>
    <w:p w:rsidR="00F83DD0" w:rsidRDefault="00F83DD0" w:rsidP="00F83DD0">
      <w:pPr>
        <w:spacing w:after="0" w:line="240" w:lineRule="auto"/>
        <w:ind w:firstLine="709"/>
        <w:jc w:val="both"/>
        <w:rPr>
          <w:rFonts w:ascii="Times New Roman" w:hAnsi="Times New Roman"/>
          <w:b/>
          <w:color w:val="548DD4"/>
          <w:sz w:val="24"/>
          <w:szCs w:val="24"/>
          <w:u w:val="single"/>
        </w:rPr>
      </w:pPr>
      <w:r>
        <w:rPr>
          <w:rFonts w:ascii="Times New Roman" w:hAnsi="Times New Roman"/>
          <w:b/>
          <w:sz w:val="24"/>
          <w:szCs w:val="24"/>
          <w:u w:val="single"/>
        </w:rPr>
        <w:t>K bodu 4 (§ 143aj)</w:t>
      </w:r>
    </w:p>
    <w:p w:rsidR="00F83DD0" w:rsidRDefault="00F83DD0" w:rsidP="00F83DD0">
      <w:pPr>
        <w:spacing w:after="0" w:line="240" w:lineRule="auto"/>
        <w:ind w:firstLine="709"/>
        <w:jc w:val="both"/>
        <w:rPr>
          <w:rFonts w:ascii="Times New Roman" w:hAnsi="Times New Roman" w:cs="Times New Roman"/>
          <w:b/>
          <w:sz w:val="24"/>
          <w:szCs w:val="24"/>
          <w:u w:val="single"/>
        </w:rPr>
      </w:pPr>
    </w:p>
    <w:p w:rsidR="00F83DD0" w:rsidRDefault="00F83DD0" w:rsidP="00F83DD0">
      <w:pPr>
        <w:spacing w:after="0" w:line="240" w:lineRule="auto"/>
        <w:ind w:firstLine="709"/>
        <w:jc w:val="both"/>
        <w:rPr>
          <w:rFonts w:ascii="Times New Roman" w:hAnsi="Times New Roman"/>
          <w:sz w:val="24"/>
          <w:szCs w:val="24"/>
        </w:rPr>
      </w:pPr>
      <w:r>
        <w:rPr>
          <w:rFonts w:ascii="Times New Roman" w:hAnsi="Times New Roman"/>
          <w:sz w:val="24"/>
          <w:szCs w:val="24"/>
        </w:rPr>
        <w:t xml:space="preserve">Pri stanovovaní </w:t>
      </w:r>
      <w:r>
        <w:rPr>
          <w:rFonts w:ascii="Times New Roman" w:hAnsi="Times New Roman"/>
          <w:sz w:val="24"/>
          <w:szCs w:val="24"/>
          <w:lang w:eastAsia="sk-SK"/>
        </w:rPr>
        <w:t>spôsobu zvyšovania dávok výsluhového dôchodku, invalidného výsluhového dôchodku, vdovského výsluhového dôchodku, vdoveckého výsluhového dôchodku a sirotského  výsluhového dôchodku (ďalej len „dôchodková dávka výsluhového zabezpečenia“)</w:t>
      </w:r>
      <w:r>
        <w:rPr>
          <w:rFonts w:ascii="Times New Roman" w:hAnsi="Times New Roman"/>
          <w:sz w:val="24"/>
          <w:szCs w:val="24"/>
        </w:rPr>
        <w:t xml:space="preserve"> v rokoch 2019 až 2021 sa vychádzalo</w:t>
      </w:r>
      <w:r>
        <w:rPr>
          <w:rFonts w:ascii="Times New Roman" w:hAnsi="Times New Roman"/>
          <w:color w:val="FF0000"/>
          <w:sz w:val="24"/>
          <w:szCs w:val="24"/>
        </w:rPr>
        <w:t xml:space="preserve"> </w:t>
      </w:r>
      <w:r>
        <w:rPr>
          <w:rFonts w:ascii="Times New Roman" w:hAnsi="Times New Roman"/>
          <w:sz w:val="24"/>
          <w:szCs w:val="24"/>
        </w:rPr>
        <w:t>z počtu poberateľov týchto dôchodkových dávok výsluhového zabezpečenia v rámci útvarov sociálneho zabezpečenia Ministerstva vnútra SR, Slovenskej informačnej služby, Národného bezpečnostného úradu, Finančného riaditeľstva SR, Zboru väzenskej a justičnej stráže a Vojenského úradu sociálneho zabezpečenia a za základ zvyšovania dôchodkových dávok výsluhového zabezpečenia sa zvolila</w:t>
      </w:r>
      <w:r>
        <w:rPr>
          <w:rFonts w:ascii="Times New Roman" w:hAnsi="Times New Roman"/>
          <w:color w:val="FF0000"/>
          <w:sz w:val="24"/>
          <w:szCs w:val="24"/>
        </w:rPr>
        <w:t xml:space="preserve"> </w:t>
      </w:r>
      <w:r>
        <w:rPr>
          <w:rFonts w:ascii="Times New Roman" w:hAnsi="Times New Roman"/>
          <w:sz w:val="24"/>
          <w:szCs w:val="24"/>
        </w:rPr>
        <w:t xml:space="preserve">priemerná suma starobného dôchodku vykázaná Sociálnou poisťovňou ku dňu 30. júnu predchádzajúceho kalendárneho roka. Pri zvyšovaní dôchodkových dávok </w:t>
      </w:r>
      <w:r>
        <w:rPr>
          <w:rFonts w:ascii="Times New Roman" w:hAnsi="Times New Roman" w:cs="Times New Roman"/>
          <w:sz w:val="24"/>
          <w:szCs w:val="24"/>
          <w:lang w:eastAsia="sk-SK"/>
        </w:rPr>
        <w:t>výsluhového zabezpečenia</w:t>
      </w:r>
      <w:r>
        <w:rPr>
          <w:rFonts w:ascii="Times New Roman" w:hAnsi="Times New Roman"/>
          <w:sz w:val="24"/>
          <w:szCs w:val="24"/>
        </w:rPr>
        <w:t xml:space="preserve"> </w:t>
      </w:r>
      <w:r w:rsidR="003A4BB4">
        <w:rPr>
          <w:rFonts w:ascii="Times New Roman" w:hAnsi="Times New Roman"/>
          <w:sz w:val="24"/>
          <w:szCs w:val="24"/>
        </w:rPr>
        <w:t xml:space="preserve">v rokoch 2019 až 2021 </w:t>
      </w:r>
      <w:r>
        <w:rPr>
          <w:rFonts w:ascii="Times New Roman" w:hAnsi="Times New Roman"/>
          <w:sz w:val="24"/>
          <w:szCs w:val="24"/>
        </w:rPr>
        <w:t xml:space="preserve">bola za základ zvolená priemerná výška starobného dôchodku z dôvodu rozdielnych výšok dôchodkových dávok výsluhového zabezpečenia uhrádzaných v rámci jednotlivých útvarov sociálneho zabezpečenia a Vojenského úradu sociálneho zabezpečenia.  </w:t>
      </w:r>
    </w:p>
    <w:p w:rsidR="00F83DD0" w:rsidRDefault="00F83DD0" w:rsidP="00F83DD0">
      <w:pPr>
        <w:spacing w:after="0" w:line="240" w:lineRule="auto"/>
        <w:ind w:firstLine="709"/>
        <w:jc w:val="both"/>
        <w:rPr>
          <w:rFonts w:ascii="Times New Roman" w:hAnsi="Times New Roman"/>
          <w:sz w:val="24"/>
          <w:szCs w:val="24"/>
        </w:rPr>
      </w:pPr>
      <w:r>
        <w:rPr>
          <w:rFonts w:ascii="Times New Roman" w:hAnsi="Times New Roman"/>
          <w:sz w:val="24"/>
          <w:szCs w:val="24"/>
        </w:rPr>
        <w:t xml:space="preserve">Ustanovenie § 143aj ods. 2 obsahuje úpravu zvyšovania dávky výsluhového dôchodku v rokoch 2019 až 2021. Podľa navrhovaného znenia sa dávka výsluhového dôchodku zvyšuje o pevnú sumu, ktorá sa vypočíta ako podiel 2 % z priemernej sumy starobného dôchodku </w:t>
      </w:r>
      <w:r>
        <w:rPr>
          <w:rFonts w:ascii="Times New Roman" w:hAnsi="Times New Roman" w:cs="Times New Roman"/>
          <w:sz w:val="24"/>
          <w:szCs w:val="24"/>
        </w:rPr>
        <w:t>vykázanej Sociálnou poisťovňou k 30. júnu</w:t>
      </w:r>
      <w:r>
        <w:rPr>
          <w:rFonts w:ascii="Times New Roman" w:hAnsi="Times New Roman"/>
          <w:sz w:val="24"/>
          <w:szCs w:val="24"/>
        </w:rPr>
        <w:t xml:space="preserve"> kalendárneho roka, ktorý predchádza príslušnému kalendárnemu roku, v ktorom sa zvýšenie realizuje zaokrúhlenej na celé euro smerom nahor (napríklad: priemerná mesačná suma starobného dôchodku vykázaná Sociálnou poisťovňou ku </w:t>
      </w:r>
      <w:r>
        <w:rPr>
          <w:rFonts w:ascii="Times New Roman" w:hAnsi="Times New Roman"/>
          <w:sz w:val="24"/>
          <w:szCs w:val="24"/>
        </w:rPr>
        <w:lastRenderedPageBreak/>
        <w:t xml:space="preserve">dňu 30. júna </w:t>
      </w:r>
      <w:r>
        <w:rPr>
          <w:rFonts w:ascii="Times New Roman" w:hAnsi="Times New Roman" w:cs="Times New Roman"/>
          <w:sz w:val="24"/>
          <w:szCs w:val="24"/>
        </w:rPr>
        <w:t>2018 je 432,7650665 eur, pričom 2 % z tejto sumy je suma 8,65530133 eur, a táto suma sa zaokrúhli na najbližšie euro nahor na sumu 9,00 eur)</w:t>
      </w:r>
      <w:r>
        <w:rPr>
          <w:rFonts w:ascii="Times New Roman" w:hAnsi="Times New Roman"/>
          <w:sz w:val="24"/>
          <w:szCs w:val="24"/>
        </w:rPr>
        <w:t xml:space="preserve"> </w:t>
      </w:r>
      <w:r>
        <w:rPr>
          <w:rFonts w:ascii="Times New Roman" w:hAnsi="Times New Roman" w:cs="Times New Roman"/>
          <w:sz w:val="24"/>
          <w:szCs w:val="24"/>
        </w:rPr>
        <w:t xml:space="preserve">a čísla 15, čo zodpovedá dobe trvania služobného pomeru 15 rokov, ktorá bola potrebná na vznik nároku na výsluhový dôchodok, kde výsledok podielu sa zaokrúhľuje na desať eurocentov smerom nahor a pre stanovenie pevnej sumy zvýšenia sa výsledok podielu ešte vynásobí počtom skutočných rokov doby trvania služobného pomeru (napr. </w:t>
      </w:r>
      <w:r>
        <w:rPr>
          <w:rFonts w:ascii="Times New Roman" w:hAnsi="Times New Roman"/>
          <w:sz w:val="24"/>
          <w:szCs w:val="24"/>
        </w:rPr>
        <w:t xml:space="preserve">priemerná suma starobného dôchodku vykázaná Sociálnou poisťovňou ku dňu 30.06.2018 bola v sume 432,7650665 </w:t>
      </w:r>
      <w:r>
        <w:rPr>
          <w:rFonts w:ascii="Times New Roman" w:hAnsi="Times New Roman" w:cs="Times New Roman"/>
          <w:sz w:val="24"/>
          <w:szCs w:val="24"/>
        </w:rPr>
        <w:t>eur</w:t>
      </w:r>
      <w:r>
        <w:rPr>
          <w:rFonts w:ascii="Times New Roman" w:hAnsi="Times New Roman"/>
          <w:sz w:val="24"/>
          <w:szCs w:val="24"/>
        </w:rPr>
        <w:t xml:space="preserve">, pričom 2 % z tejto sumy je suma 8,65530133 </w:t>
      </w:r>
      <w:r>
        <w:rPr>
          <w:rFonts w:ascii="Times New Roman" w:hAnsi="Times New Roman" w:cs="Times New Roman"/>
          <w:sz w:val="24"/>
          <w:szCs w:val="24"/>
        </w:rPr>
        <w:t>eur</w:t>
      </w:r>
      <w:r>
        <w:rPr>
          <w:rFonts w:ascii="Times New Roman" w:hAnsi="Times New Roman"/>
          <w:sz w:val="24"/>
          <w:szCs w:val="24"/>
        </w:rPr>
        <w:t>,</w:t>
      </w:r>
      <w:r>
        <w:rPr>
          <w:rFonts w:ascii="Tahoma" w:hAnsi="Tahoma" w:cs="Tahoma"/>
          <w:sz w:val="17"/>
          <w:szCs w:val="17"/>
        </w:rPr>
        <w:t xml:space="preserve"> </w:t>
      </w:r>
      <w:r>
        <w:rPr>
          <w:rFonts w:ascii="Times New Roman" w:hAnsi="Times New Roman"/>
          <w:sz w:val="24"/>
          <w:szCs w:val="24"/>
        </w:rPr>
        <w:t xml:space="preserve">táto suma sa zaokrúhli na najbližšie celé euro smerom nahor na sumu 9,00 </w:t>
      </w:r>
      <w:r>
        <w:rPr>
          <w:rFonts w:ascii="Times New Roman" w:hAnsi="Times New Roman" w:cs="Times New Roman"/>
          <w:sz w:val="24"/>
          <w:szCs w:val="24"/>
        </w:rPr>
        <w:t>eur</w:t>
      </w:r>
      <w:r>
        <w:rPr>
          <w:rFonts w:ascii="Times New Roman" w:hAnsi="Times New Roman"/>
          <w:sz w:val="24"/>
          <w:szCs w:val="24"/>
        </w:rPr>
        <w:t xml:space="preserve">, táto sa potom delí 15, pričom výsledok je suma 0,60 </w:t>
      </w:r>
      <w:r>
        <w:rPr>
          <w:rFonts w:ascii="Times New Roman" w:hAnsi="Times New Roman" w:cs="Times New Roman"/>
          <w:sz w:val="24"/>
          <w:szCs w:val="24"/>
        </w:rPr>
        <w:t>eur</w:t>
      </w:r>
      <w:r>
        <w:rPr>
          <w:rFonts w:ascii="Times New Roman" w:hAnsi="Times New Roman"/>
          <w:sz w:val="24"/>
          <w:szCs w:val="24"/>
        </w:rPr>
        <w:t xml:space="preserve">; v tomto prípade sa výsledok nezaokrúhľuje a táto suma sa násobí počtom rokov doby trvania služobného pomeru; pri dobe trvania služobného pomeru 15 rokov je suma zvýšenia 9,00 </w:t>
      </w:r>
      <w:r>
        <w:rPr>
          <w:rFonts w:ascii="Times New Roman" w:hAnsi="Times New Roman" w:cs="Times New Roman"/>
          <w:sz w:val="24"/>
          <w:szCs w:val="24"/>
        </w:rPr>
        <w:t>eur</w:t>
      </w:r>
      <w:r>
        <w:rPr>
          <w:rFonts w:ascii="Times New Roman" w:hAnsi="Times New Roman"/>
          <w:sz w:val="24"/>
          <w:szCs w:val="24"/>
        </w:rPr>
        <w:t>).</w:t>
      </w:r>
    </w:p>
    <w:p w:rsidR="00F83DD0" w:rsidRDefault="00F83DD0" w:rsidP="00F83DD0">
      <w:pPr>
        <w:pStyle w:val="Normlnywebov"/>
        <w:spacing w:before="0" w:beforeAutospacing="0" w:after="0" w:afterAutospacing="0" w:line="240" w:lineRule="atLeast"/>
        <w:ind w:firstLine="697"/>
        <w:jc w:val="both"/>
        <w:rPr>
          <w:color w:val="FF0000"/>
        </w:rPr>
      </w:pPr>
      <w:r>
        <w:t>Pri určení pevnej sumy zvýšenia výsluhového dôchodku sú rozhodujúce len skutočne odslúžené roky trvania služobného pomeru; doba výkonu služby získaná zvýhodneným započítaním, a to či už podľa § 59 alebo podľa predchádzajúcich právnych predpisov, ktoré upravovali zvýhodnený zápočet alebo doba výkonu služby získaná zvýšením podľa § 123</w:t>
      </w:r>
      <w:r w:rsidR="00C07046">
        <w:t xml:space="preserve"> </w:t>
      </w:r>
      <w:r>
        <w:t>ods.</w:t>
      </w:r>
      <w:r w:rsidR="00C07046">
        <w:t> </w:t>
      </w:r>
      <w:r>
        <w:t>2 písm. a) sa do doby trvania služobného pomeru na účely výpočtu sumy zvýšenia nezapočítava.</w:t>
      </w:r>
    </w:p>
    <w:p w:rsidR="00F83DD0" w:rsidRDefault="00F83DD0" w:rsidP="00F83DD0">
      <w:pPr>
        <w:pStyle w:val="Odsekzoznamu"/>
        <w:ind w:left="0" w:firstLine="709"/>
        <w:jc w:val="both"/>
        <w:rPr>
          <w:rFonts w:ascii="Times New Roman" w:hAnsi="Times New Roman"/>
        </w:rPr>
      </w:pPr>
      <w:r>
        <w:rPr>
          <w:rFonts w:ascii="Times New Roman" w:hAnsi="Times New Roman"/>
        </w:rPr>
        <w:t>Výška zvýšenia sa viaže na kombináciu princípov solidarity a zásluhovosti; princíp zásluhovosti sa prejaví u tých poberateľov výsluhového dôchodku, ktorí odslúžili viac ako 15 rokov.</w:t>
      </w:r>
    </w:p>
    <w:p w:rsidR="00F83DD0" w:rsidRDefault="00F83DD0" w:rsidP="00F83DD0">
      <w:pPr>
        <w:spacing w:after="0" w:line="240" w:lineRule="auto"/>
        <w:ind w:firstLine="697"/>
        <w:jc w:val="both"/>
        <w:rPr>
          <w:rFonts w:ascii="Times New Roman" w:hAnsi="Times New Roman"/>
          <w:sz w:val="24"/>
          <w:szCs w:val="24"/>
        </w:rPr>
      </w:pPr>
      <w:r>
        <w:rPr>
          <w:rFonts w:ascii="Times New Roman" w:hAnsi="Times New Roman"/>
          <w:sz w:val="24"/>
          <w:szCs w:val="24"/>
        </w:rPr>
        <w:t>Pri stanovení valorizačného mechanizmu sa vychádzalo z toho, že osobitný systém sociálneho zabezpečenia sa od všeobecného systému sociálneho poistenia odlišuje viacerými znakmi, či už stanovenými podmienkami vzniku nároku na dôchodkovú dávku výsluhového zabezpečenia, ako aj výpočtom jej sumy, ako aj iným termínom zvýšenia a tým, že osobitný účet je tvorený odvodmi z platov tejto skupiny zamestnancov, z ktorého sú následne vyplácané dôchodkové dávky výsluhového zabezpečenia.</w:t>
      </w:r>
    </w:p>
    <w:p w:rsidR="00F83DD0" w:rsidRDefault="00F83DD0" w:rsidP="00F83DD0">
      <w:pPr>
        <w:pStyle w:val="Normlnywebov"/>
        <w:spacing w:before="0" w:beforeAutospacing="0" w:after="0" w:afterAutospacing="0" w:line="240" w:lineRule="atLeast"/>
        <w:ind w:firstLine="697"/>
        <w:jc w:val="both"/>
      </w:pPr>
      <w:r>
        <w:t>Ustanovenia § 143aj ods. 3 až 5 obsahujú úpravu nového spôsobu zvyšovania invalidného, vdovského, vdoveckého a sirotského výsluhového dôchodku v rokoch 2019 až 2021. Tieto výsluhové dôchodky budú zvýšené o pevnú sumu 2 % z priemernej sumy starobného dôchodku vykázanej Sociálnou</w:t>
      </w:r>
      <w:r>
        <w:rPr>
          <w:color w:val="FF0000"/>
        </w:rPr>
        <w:t xml:space="preserve"> </w:t>
      </w:r>
      <w:r>
        <w:t xml:space="preserve">poisťovňou k 30. júnu kalendárneho roka, ktorý predchádza príslušnému kalendárnemu roku, v ktorom sa zvýšenie realizuje, zaokrúhlenej na celé euro smerom nahor. </w:t>
      </w:r>
    </w:p>
    <w:p w:rsidR="00F83DD0" w:rsidRDefault="00F83DD0" w:rsidP="00F83DD0">
      <w:pPr>
        <w:pStyle w:val="Normlnywebov"/>
        <w:spacing w:before="0" w:beforeAutospacing="0" w:after="0" w:afterAutospacing="0" w:line="240" w:lineRule="atLeast"/>
        <w:ind w:firstLine="697"/>
        <w:jc w:val="both"/>
      </w:pPr>
      <w:r>
        <w:t>Invalidný výsluhový dôchodok sa v rokoch 2019 až 2021 navrhuje zvyšovať rovnakou pevnou sumou všetkým jeho poberateľom s poukázaním na to, že nárok na invalidný výsluhový dôchodok za predpokladu splnenia jeho podmienok môže vzniknúť aj príslušníkovi Policajného zboru, Hasičského a záchranného zboru, Horskej záchrannej služby, Slovenskej informačnej služby, Národného bezpečnostného úradu, Zboru väzenskej a justičnej stráže, colníkovi alebo profesionálnemu vojakovi, ktorého doba trvania služobného pomeru je kratšia ako doba trvania služobného pomeru potrebná na vznik nároku na výsluhový dôchodok.  Z uvedeného dôvodu nie je vhodné viazať zvýšenie tejto dávky na dobu trvania služobného pomeru pred vznikom nároku na túto dávku výsluhového zabezpečenia a preto sa navrhuje zvýšenie v závislosti od priemernej výšky starobného dôchodku v rámci všeobecného systému sociálneho  zabezpečenia. V prípade vzniku súbehu invalidného výsluhového dôchodku s dôchodkovými dávkami priznanými podľa všeobecného systému sociálneho poistenia, výplata invalidného výsluhového dôchodku sa neobmedzuje. Zároveň, pokiaľ ide o obdobie, ktoré bolo zhodnotené na vznik nároku na túto dávku výsluhového zabezpečenia, nie je obdobím dôchodkového poistenia podľa všeobecných predpisov o sociálnom poistení.</w:t>
      </w:r>
    </w:p>
    <w:p w:rsidR="00F83DD0" w:rsidRDefault="00F83DD0" w:rsidP="00F83DD0">
      <w:pPr>
        <w:pStyle w:val="Normlnywebov"/>
        <w:spacing w:before="0" w:beforeAutospacing="0" w:after="0" w:afterAutospacing="0" w:line="240" w:lineRule="atLeast"/>
        <w:ind w:firstLine="697"/>
        <w:jc w:val="both"/>
      </w:pPr>
      <w:r>
        <w:t>Pokiaľ ide o vdovský výsluhový dôchodok, vdovecký výsluhový dôchodok a sirotský výsluhový dôchodok</w:t>
      </w:r>
      <w:r w:rsidR="002F7920">
        <w:t>,</w:t>
      </w:r>
      <w:r>
        <w:t xml:space="preserve"> tieto dávky sa v rokoch 2019 až 2021 budú zvyšovať rovnakou pevnou sumou všetkým jeho poberateľom v závislosti od priemernej výšky starobného dôchodku.</w:t>
      </w:r>
    </w:p>
    <w:p w:rsidR="00F83DD0" w:rsidRDefault="00F83DD0" w:rsidP="00F83DD0">
      <w:pPr>
        <w:pStyle w:val="Normlnywebov"/>
        <w:spacing w:before="0" w:beforeAutospacing="0" w:after="0" w:afterAutospacing="0" w:line="240" w:lineRule="atLeast"/>
        <w:ind w:firstLine="697"/>
        <w:jc w:val="both"/>
      </w:pPr>
      <w:r>
        <w:lastRenderedPageBreak/>
        <w:t>Dôchodkové dávky výsluhového zabezpečenia v rokoch 2019 až 2021, ktoré budú priznané a vyplácané do 30. júna príslušného kalendárneho roka, budú zvyšované od 1. júla tohto kalendárneho roka a  dôchodkové dávky výsluhového zabezpečenia priznané od 1. júla do 31. decembra príslušného kalendárneho roka, budú zvyšované odo dňa ich priznania.</w:t>
      </w:r>
    </w:p>
    <w:p w:rsidR="00F83DD0" w:rsidRDefault="00F83DD0" w:rsidP="00F83DD0">
      <w:pPr>
        <w:pStyle w:val="Normlnywebov"/>
        <w:spacing w:before="0" w:beforeAutospacing="0" w:after="0" w:afterAutospacing="0" w:line="240" w:lineRule="atLeast"/>
        <w:ind w:firstLine="697"/>
        <w:jc w:val="both"/>
      </w:pPr>
      <w:r>
        <w:t xml:space="preserve">Ustanovením odseku 6 sa vylučuje pôsobnosť § 68 ods. 16 pre roky 2019 až 2021. </w:t>
      </w:r>
    </w:p>
    <w:p w:rsidR="00F83DD0" w:rsidRDefault="00F83DD0" w:rsidP="00F83DD0">
      <w:pPr>
        <w:spacing w:after="0" w:line="240" w:lineRule="auto"/>
        <w:ind w:firstLine="697"/>
        <w:jc w:val="both"/>
        <w:rPr>
          <w:rFonts w:ascii="Times New Roman" w:hAnsi="Times New Roman"/>
          <w:sz w:val="24"/>
          <w:szCs w:val="24"/>
        </w:rPr>
      </w:pPr>
    </w:p>
    <w:p w:rsidR="00F83DD0" w:rsidRDefault="00F83DD0" w:rsidP="00F83DD0">
      <w:pPr>
        <w:spacing w:after="0" w:line="240" w:lineRule="auto"/>
        <w:jc w:val="both"/>
        <w:rPr>
          <w:rFonts w:ascii="Times New Roman" w:hAnsi="Times New Roman" w:cs="Times New Roman"/>
          <w:bCs/>
          <w:sz w:val="24"/>
          <w:szCs w:val="24"/>
          <w:lang w:eastAsia="sk-SK"/>
        </w:rPr>
      </w:pPr>
    </w:p>
    <w:p w:rsidR="00F83DD0" w:rsidRDefault="00F83DD0" w:rsidP="00F83DD0">
      <w:pPr>
        <w:spacing w:after="0" w:line="240" w:lineRule="auto"/>
        <w:ind w:firstLine="709"/>
        <w:jc w:val="both"/>
        <w:rPr>
          <w:rFonts w:ascii="Times New Roman" w:hAnsi="Times New Roman" w:cs="Times New Roman"/>
          <w:b/>
          <w:bCs/>
          <w:sz w:val="24"/>
          <w:szCs w:val="24"/>
          <w:u w:val="single"/>
          <w:lang w:eastAsia="sk-SK"/>
        </w:rPr>
      </w:pPr>
      <w:r>
        <w:rPr>
          <w:rFonts w:ascii="Times New Roman" w:hAnsi="Times New Roman" w:cs="Times New Roman"/>
          <w:b/>
          <w:bCs/>
          <w:sz w:val="24"/>
          <w:szCs w:val="24"/>
          <w:u w:val="single"/>
          <w:lang w:eastAsia="sk-SK"/>
        </w:rPr>
        <w:t>K článku II</w:t>
      </w:r>
    </w:p>
    <w:p w:rsidR="00F83DD0" w:rsidRDefault="00F83DD0" w:rsidP="00F83D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Dátum účinnosti návrhu zákona sa navrhuje tak, aby zvýšenie </w:t>
      </w:r>
      <w:r w:rsidR="00132C91">
        <w:rPr>
          <w:rFonts w:ascii="Times New Roman" w:hAnsi="Times New Roman" w:cs="Times New Roman"/>
          <w:sz w:val="24"/>
          <w:szCs w:val="24"/>
        </w:rPr>
        <w:t xml:space="preserve">dôchodkových </w:t>
      </w:r>
      <w:r>
        <w:rPr>
          <w:rFonts w:ascii="Times New Roman" w:hAnsi="Times New Roman" w:cs="Times New Roman"/>
          <w:sz w:val="24"/>
          <w:szCs w:val="24"/>
        </w:rPr>
        <w:t>dávok výsluhového zabezpečenia mohlo byť podľa ustanovení § 143aj po prvýkrát realizované od 1.</w:t>
      </w:r>
      <w:r w:rsidR="00C07046">
        <w:rPr>
          <w:rFonts w:ascii="Times New Roman" w:hAnsi="Times New Roman" w:cs="Times New Roman"/>
          <w:sz w:val="24"/>
          <w:szCs w:val="24"/>
        </w:rPr>
        <w:t> </w:t>
      </w:r>
      <w:r>
        <w:rPr>
          <w:rFonts w:ascii="Times New Roman" w:hAnsi="Times New Roman" w:cs="Times New Roman"/>
          <w:sz w:val="24"/>
          <w:szCs w:val="24"/>
        </w:rPr>
        <w:t>júla 2019.</w:t>
      </w:r>
    </w:p>
    <w:p w:rsidR="00F83DD0" w:rsidRDefault="00F83DD0" w:rsidP="00F83DD0">
      <w:pPr>
        <w:spacing w:after="0" w:line="240" w:lineRule="auto"/>
        <w:ind w:firstLine="709"/>
        <w:jc w:val="both"/>
        <w:rPr>
          <w:rFonts w:ascii="Times New Roman" w:hAnsi="Times New Roman" w:cs="Times New Roman"/>
          <w:sz w:val="24"/>
          <w:szCs w:val="24"/>
          <w:u w:val="single"/>
        </w:rPr>
      </w:pPr>
    </w:p>
    <w:p w:rsidR="00F83DD0" w:rsidRDefault="00F83DD0" w:rsidP="00F83DD0">
      <w:pPr>
        <w:spacing w:after="0" w:line="240" w:lineRule="auto"/>
        <w:ind w:firstLine="709"/>
        <w:jc w:val="both"/>
        <w:rPr>
          <w:rFonts w:ascii="Times New Roman" w:hAnsi="Times New Roman" w:cs="Times New Roman"/>
          <w:sz w:val="24"/>
          <w:szCs w:val="24"/>
          <w:u w:val="single"/>
        </w:rPr>
      </w:pPr>
    </w:p>
    <w:p w:rsidR="00F7089B" w:rsidRPr="00F7089B" w:rsidRDefault="00F7089B" w:rsidP="00F7089B">
      <w:pPr>
        <w:spacing w:after="0" w:line="240" w:lineRule="auto"/>
        <w:jc w:val="both"/>
        <w:rPr>
          <w:rFonts w:ascii="Times New Roman" w:eastAsia="MS Mincho" w:hAnsi="Times New Roman" w:cs="Times New Roman"/>
          <w:sz w:val="24"/>
          <w:szCs w:val="24"/>
          <w:lang w:eastAsia="ja-JP"/>
        </w:rPr>
      </w:pPr>
      <w:r w:rsidRPr="00F7089B">
        <w:rPr>
          <w:rFonts w:ascii="Times New Roman" w:eastAsia="MS Mincho" w:hAnsi="Times New Roman" w:cs="Times New Roman"/>
          <w:sz w:val="24"/>
          <w:szCs w:val="24"/>
          <w:lang w:eastAsia="ja-JP"/>
        </w:rPr>
        <w:t xml:space="preserve">V Bratislave, </w:t>
      </w:r>
      <w:r>
        <w:rPr>
          <w:rFonts w:ascii="Times New Roman" w:eastAsia="MS Mincho" w:hAnsi="Times New Roman" w:cs="Times New Roman"/>
          <w:sz w:val="24"/>
          <w:szCs w:val="24"/>
          <w:lang w:eastAsia="ja-JP"/>
        </w:rPr>
        <w:t>6. marca 2019</w:t>
      </w:r>
    </w:p>
    <w:p w:rsidR="00F7089B" w:rsidRPr="00F7089B" w:rsidRDefault="00F7089B" w:rsidP="00F7089B">
      <w:pPr>
        <w:spacing w:after="0" w:line="240" w:lineRule="auto"/>
        <w:jc w:val="both"/>
        <w:rPr>
          <w:rFonts w:ascii="Times New Roman" w:eastAsia="MS Mincho" w:hAnsi="Times New Roman" w:cs="Times New Roman"/>
          <w:sz w:val="24"/>
          <w:szCs w:val="24"/>
          <w:lang w:eastAsia="ja-JP"/>
        </w:rPr>
      </w:pPr>
    </w:p>
    <w:p w:rsidR="00F7089B" w:rsidRPr="00F7089B" w:rsidRDefault="00F7089B" w:rsidP="00F7089B">
      <w:pPr>
        <w:spacing w:after="0" w:line="240" w:lineRule="auto"/>
        <w:jc w:val="both"/>
        <w:rPr>
          <w:rFonts w:ascii="Times New Roman" w:eastAsia="MS Mincho" w:hAnsi="Times New Roman" w:cs="Times New Roman"/>
          <w:sz w:val="24"/>
          <w:szCs w:val="24"/>
          <w:lang w:eastAsia="ja-JP"/>
        </w:rPr>
      </w:pPr>
    </w:p>
    <w:p w:rsidR="00F7089B" w:rsidRPr="00F7089B" w:rsidRDefault="00F7089B" w:rsidP="00F7089B">
      <w:pPr>
        <w:spacing w:after="0" w:line="240" w:lineRule="auto"/>
        <w:jc w:val="both"/>
        <w:rPr>
          <w:rFonts w:ascii="Times New Roman" w:eastAsia="MS Mincho" w:hAnsi="Times New Roman" w:cs="Times New Roman"/>
          <w:sz w:val="24"/>
          <w:szCs w:val="24"/>
          <w:lang w:eastAsia="ja-JP"/>
        </w:rPr>
      </w:pPr>
    </w:p>
    <w:p w:rsidR="00F7089B" w:rsidRPr="00F7089B" w:rsidRDefault="00F7089B" w:rsidP="00F7089B">
      <w:pPr>
        <w:spacing w:after="0" w:line="240" w:lineRule="auto"/>
        <w:jc w:val="both"/>
        <w:rPr>
          <w:rFonts w:ascii="Times New Roman" w:eastAsia="MS Mincho" w:hAnsi="Times New Roman" w:cs="Times New Roman"/>
          <w:sz w:val="24"/>
          <w:szCs w:val="24"/>
          <w:lang w:eastAsia="ja-JP"/>
        </w:rPr>
      </w:pPr>
    </w:p>
    <w:p w:rsidR="00F7089B" w:rsidRPr="00F7089B" w:rsidRDefault="00F7089B" w:rsidP="00F7089B">
      <w:pPr>
        <w:spacing w:after="0" w:line="240" w:lineRule="auto"/>
        <w:jc w:val="both"/>
        <w:rPr>
          <w:rFonts w:ascii="Times New Roman" w:eastAsia="MS Mincho" w:hAnsi="Times New Roman" w:cs="Times New Roman"/>
          <w:sz w:val="24"/>
          <w:szCs w:val="24"/>
          <w:lang w:eastAsia="ja-JP"/>
        </w:rPr>
      </w:pPr>
    </w:p>
    <w:p w:rsidR="00F7089B" w:rsidRPr="00F7089B" w:rsidRDefault="00F7089B" w:rsidP="00F7089B">
      <w:pPr>
        <w:spacing w:after="0" w:line="240" w:lineRule="auto"/>
        <w:jc w:val="both"/>
        <w:rPr>
          <w:rFonts w:ascii="Times New Roman" w:eastAsia="MS Mincho" w:hAnsi="Times New Roman" w:cs="Times New Roman"/>
          <w:sz w:val="24"/>
          <w:szCs w:val="24"/>
          <w:lang w:eastAsia="ja-JP"/>
        </w:rPr>
      </w:pPr>
    </w:p>
    <w:p w:rsidR="00F7089B" w:rsidRPr="00F7089B" w:rsidRDefault="00F7089B" w:rsidP="00F7089B">
      <w:pPr>
        <w:spacing w:after="0" w:line="240" w:lineRule="auto"/>
        <w:ind w:left="3402"/>
        <w:jc w:val="center"/>
        <w:rPr>
          <w:rFonts w:ascii="Times New Roman" w:eastAsia="MS Mincho" w:hAnsi="Times New Roman" w:cs="Times New Roman"/>
          <w:b/>
          <w:sz w:val="24"/>
          <w:szCs w:val="24"/>
          <w:lang w:eastAsia="ja-JP"/>
        </w:rPr>
      </w:pPr>
      <w:r w:rsidRPr="00F7089B">
        <w:rPr>
          <w:rFonts w:ascii="Times New Roman" w:eastAsia="MS Mincho" w:hAnsi="Times New Roman" w:cs="Times New Roman"/>
          <w:b/>
          <w:sz w:val="24"/>
          <w:szCs w:val="24"/>
          <w:lang w:eastAsia="ja-JP"/>
        </w:rPr>
        <w:t xml:space="preserve">Peter </w:t>
      </w:r>
      <w:proofErr w:type="spellStart"/>
      <w:r w:rsidRPr="00F7089B">
        <w:rPr>
          <w:rFonts w:ascii="Times New Roman" w:eastAsia="MS Mincho" w:hAnsi="Times New Roman" w:cs="Times New Roman"/>
          <w:b/>
          <w:sz w:val="24"/>
          <w:szCs w:val="24"/>
          <w:lang w:eastAsia="ja-JP"/>
        </w:rPr>
        <w:t>Pellegrini</w:t>
      </w:r>
      <w:proofErr w:type="spellEnd"/>
      <w:r w:rsidR="00EB29D3">
        <w:rPr>
          <w:rFonts w:ascii="Times New Roman" w:eastAsia="MS Mincho" w:hAnsi="Times New Roman" w:cs="Times New Roman"/>
          <w:b/>
          <w:sz w:val="24"/>
          <w:szCs w:val="24"/>
          <w:lang w:eastAsia="ja-JP"/>
        </w:rPr>
        <w:t>, v. r.</w:t>
      </w:r>
    </w:p>
    <w:p w:rsidR="00F7089B" w:rsidRPr="00F7089B" w:rsidRDefault="00F7089B" w:rsidP="00F7089B">
      <w:pPr>
        <w:spacing w:after="0" w:line="240" w:lineRule="auto"/>
        <w:ind w:left="3402"/>
        <w:jc w:val="center"/>
        <w:rPr>
          <w:rFonts w:ascii="Times New Roman" w:eastAsia="MS Mincho" w:hAnsi="Times New Roman" w:cs="Times New Roman"/>
          <w:sz w:val="24"/>
          <w:szCs w:val="24"/>
          <w:lang w:eastAsia="ja-JP"/>
        </w:rPr>
      </w:pPr>
      <w:r w:rsidRPr="00F7089B">
        <w:rPr>
          <w:rFonts w:ascii="Times New Roman" w:eastAsia="MS Mincho" w:hAnsi="Times New Roman" w:cs="Times New Roman"/>
          <w:sz w:val="24"/>
          <w:szCs w:val="24"/>
          <w:lang w:eastAsia="ja-JP"/>
        </w:rPr>
        <w:t xml:space="preserve">predseda vlády </w:t>
      </w:r>
    </w:p>
    <w:p w:rsidR="00F7089B" w:rsidRPr="00F7089B" w:rsidRDefault="00F7089B" w:rsidP="00F7089B">
      <w:pPr>
        <w:spacing w:after="0" w:line="240" w:lineRule="auto"/>
        <w:ind w:left="3402"/>
        <w:jc w:val="center"/>
        <w:rPr>
          <w:rFonts w:ascii="Times New Roman" w:eastAsia="MS Mincho" w:hAnsi="Times New Roman" w:cs="Times New Roman"/>
          <w:sz w:val="24"/>
          <w:szCs w:val="24"/>
          <w:lang w:eastAsia="ja-JP"/>
        </w:rPr>
      </w:pPr>
      <w:r w:rsidRPr="00F7089B">
        <w:rPr>
          <w:rFonts w:ascii="Times New Roman" w:eastAsia="MS Mincho" w:hAnsi="Times New Roman" w:cs="Times New Roman"/>
          <w:sz w:val="24"/>
          <w:szCs w:val="24"/>
          <w:lang w:eastAsia="ja-JP"/>
        </w:rPr>
        <w:t>Slovenskej republiky</w:t>
      </w:r>
    </w:p>
    <w:p w:rsidR="00F7089B" w:rsidRPr="00F7089B" w:rsidRDefault="00F7089B" w:rsidP="00F7089B">
      <w:pPr>
        <w:spacing w:after="0" w:line="240" w:lineRule="auto"/>
        <w:ind w:left="3402"/>
        <w:jc w:val="center"/>
        <w:rPr>
          <w:rFonts w:ascii="Times New Roman" w:eastAsia="MS Mincho" w:hAnsi="Times New Roman" w:cs="Times New Roman"/>
          <w:sz w:val="24"/>
          <w:szCs w:val="24"/>
          <w:lang w:eastAsia="ja-JP"/>
        </w:rPr>
      </w:pPr>
    </w:p>
    <w:p w:rsidR="00F7089B" w:rsidRPr="00F7089B" w:rsidRDefault="00F7089B" w:rsidP="00F7089B">
      <w:pPr>
        <w:spacing w:after="0" w:line="240" w:lineRule="auto"/>
        <w:ind w:left="3402"/>
        <w:jc w:val="center"/>
        <w:rPr>
          <w:rFonts w:ascii="Times New Roman" w:eastAsia="MS Mincho" w:hAnsi="Times New Roman" w:cs="Times New Roman"/>
          <w:sz w:val="24"/>
          <w:szCs w:val="24"/>
          <w:lang w:eastAsia="ja-JP"/>
        </w:rPr>
      </w:pPr>
    </w:p>
    <w:p w:rsidR="00F7089B" w:rsidRPr="00F7089B" w:rsidRDefault="00F7089B" w:rsidP="00F7089B">
      <w:pPr>
        <w:spacing w:after="0" w:line="240" w:lineRule="auto"/>
        <w:ind w:left="3402"/>
        <w:jc w:val="center"/>
        <w:rPr>
          <w:rFonts w:ascii="Times New Roman" w:eastAsia="MS Mincho" w:hAnsi="Times New Roman" w:cs="Times New Roman"/>
          <w:sz w:val="24"/>
          <w:szCs w:val="24"/>
          <w:lang w:eastAsia="ja-JP"/>
        </w:rPr>
      </w:pPr>
    </w:p>
    <w:p w:rsidR="00F7089B" w:rsidRPr="00F7089B" w:rsidRDefault="00F7089B" w:rsidP="00F7089B">
      <w:pPr>
        <w:spacing w:after="0" w:line="240" w:lineRule="auto"/>
        <w:ind w:left="3402"/>
        <w:jc w:val="center"/>
        <w:rPr>
          <w:rFonts w:ascii="Times New Roman" w:eastAsia="MS Mincho" w:hAnsi="Times New Roman" w:cs="Times New Roman"/>
          <w:sz w:val="24"/>
          <w:szCs w:val="24"/>
          <w:lang w:eastAsia="ja-JP"/>
        </w:rPr>
      </w:pPr>
    </w:p>
    <w:p w:rsidR="00F7089B" w:rsidRPr="00F7089B" w:rsidRDefault="00F7089B" w:rsidP="00F7089B">
      <w:pPr>
        <w:spacing w:after="0" w:line="240" w:lineRule="auto"/>
        <w:ind w:left="3402"/>
        <w:jc w:val="center"/>
        <w:rPr>
          <w:rFonts w:ascii="Times New Roman" w:eastAsia="MS Mincho" w:hAnsi="Times New Roman" w:cs="Times New Roman"/>
          <w:sz w:val="24"/>
          <w:szCs w:val="24"/>
          <w:lang w:eastAsia="ja-JP"/>
        </w:rPr>
      </w:pPr>
    </w:p>
    <w:p w:rsidR="00F7089B" w:rsidRPr="00F7089B" w:rsidRDefault="00F7089B" w:rsidP="00F7089B">
      <w:pPr>
        <w:spacing w:after="0" w:line="240" w:lineRule="auto"/>
        <w:ind w:left="3402"/>
        <w:jc w:val="center"/>
        <w:rPr>
          <w:rFonts w:ascii="Times New Roman" w:eastAsia="MS Mincho" w:hAnsi="Times New Roman" w:cs="Times New Roman"/>
          <w:b/>
          <w:sz w:val="24"/>
          <w:szCs w:val="24"/>
          <w:lang w:eastAsia="ja-JP"/>
        </w:rPr>
      </w:pPr>
      <w:r w:rsidRPr="00F7089B">
        <w:rPr>
          <w:rFonts w:ascii="Times New Roman" w:eastAsia="MS Mincho" w:hAnsi="Times New Roman" w:cs="Times New Roman"/>
          <w:b/>
          <w:sz w:val="24"/>
          <w:szCs w:val="24"/>
          <w:lang w:eastAsia="ja-JP"/>
        </w:rPr>
        <w:t>Denisa Saková</w:t>
      </w:r>
      <w:r w:rsidR="00EB29D3">
        <w:rPr>
          <w:rFonts w:ascii="Times New Roman" w:eastAsia="MS Mincho" w:hAnsi="Times New Roman" w:cs="Times New Roman"/>
          <w:b/>
          <w:sz w:val="24"/>
          <w:szCs w:val="24"/>
          <w:lang w:eastAsia="ja-JP"/>
        </w:rPr>
        <w:t xml:space="preserve">, v. </w:t>
      </w:r>
      <w:bookmarkStart w:id="1" w:name="_GoBack"/>
      <w:bookmarkEnd w:id="1"/>
      <w:r w:rsidR="00EB29D3">
        <w:rPr>
          <w:rFonts w:ascii="Times New Roman" w:eastAsia="MS Mincho" w:hAnsi="Times New Roman" w:cs="Times New Roman"/>
          <w:b/>
          <w:sz w:val="24"/>
          <w:szCs w:val="24"/>
          <w:lang w:eastAsia="ja-JP"/>
        </w:rPr>
        <w:t>r.</w:t>
      </w:r>
    </w:p>
    <w:p w:rsidR="00F7089B" w:rsidRPr="00F7089B" w:rsidRDefault="00F7089B" w:rsidP="00F7089B">
      <w:pPr>
        <w:spacing w:after="0" w:line="240" w:lineRule="auto"/>
        <w:ind w:left="3402"/>
        <w:jc w:val="center"/>
        <w:rPr>
          <w:rFonts w:ascii="Times New Roman" w:eastAsia="MS Mincho" w:hAnsi="Times New Roman" w:cs="Times New Roman"/>
          <w:sz w:val="24"/>
          <w:szCs w:val="24"/>
          <w:lang w:eastAsia="ja-JP"/>
        </w:rPr>
      </w:pPr>
      <w:r w:rsidRPr="00F7089B">
        <w:rPr>
          <w:rFonts w:ascii="Times New Roman" w:eastAsia="MS Mincho" w:hAnsi="Times New Roman" w:cs="Times New Roman"/>
          <w:sz w:val="24"/>
          <w:szCs w:val="24"/>
          <w:lang w:eastAsia="ja-JP"/>
        </w:rPr>
        <w:t xml:space="preserve">ministerka vnútra </w:t>
      </w:r>
    </w:p>
    <w:p w:rsidR="00F7089B" w:rsidRPr="00F7089B" w:rsidRDefault="00F7089B" w:rsidP="00F7089B">
      <w:pPr>
        <w:spacing w:after="0" w:line="240" w:lineRule="auto"/>
        <w:ind w:left="3402"/>
        <w:jc w:val="center"/>
        <w:rPr>
          <w:rFonts w:ascii="Times New Roman" w:eastAsia="MS Mincho" w:hAnsi="Times New Roman" w:cs="Times New Roman"/>
          <w:b/>
          <w:sz w:val="24"/>
          <w:szCs w:val="24"/>
          <w:lang w:eastAsia="ja-JP"/>
        </w:rPr>
      </w:pPr>
      <w:r w:rsidRPr="00F7089B">
        <w:rPr>
          <w:rFonts w:ascii="Times New Roman" w:eastAsia="MS Mincho" w:hAnsi="Times New Roman" w:cs="Times New Roman"/>
          <w:sz w:val="24"/>
          <w:szCs w:val="24"/>
          <w:lang w:eastAsia="ja-JP"/>
        </w:rPr>
        <w:t>Slovenskej republiky</w:t>
      </w:r>
    </w:p>
    <w:p w:rsidR="00F7089B" w:rsidRPr="00F7089B" w:rsidRDefault="00F7089B" w:rsidP="00F7089B">
      <w:pPr>
        <w:spacing w:after="0" w:line="240" w:lineRule="auto"/>
        <w:jc w:val="both"/>
        <w:rPr>
          <w:rFonts w:ascii="Times New Roman" w:eastAsia="MS Mincho" w:hAnsi="Times New Roman" w:cs="Times New Roman"/>
          <w:sz w:val="24"/>
          <w:szCs w:val="24"/>
          <w:lang w:eastAsia="ja-JP"/>
        </w:rPr>
      </w:pPr>
    </w:p>
    <w:p w:rsidR="00F7089B" w:rsidRPr="00F7089B" w:rsidRDefault="00F7089B" w:rsidP="00F7089B">
      <w:pPr>
        <w:rPr>
          <w:rFonts w:ascii="Times New Roman" w:hAnsi="Times New Roman" w:cs="Times New Roman"/>
          <w:sz w:val="24"/>
        </w:rPr>
      </w:pPr>
    </w:p>
    <w:p w:rsidR="00F7089B" w:rsidRPr="00F7089B" w:rsidRDefault="00F7089B" w:rsidP="00F7089B">
      <w:pPr>
        <w:spacing w:after="0" w:line="240" w:lineRule="auto"/>
        <w:rPr>
          <w:rFonts w:ascii="Times New Roman" w:eastAsia="MS Mincho" w:hAnsi="Times New Roman" w:cs="Times New Roman"/>
          <w:sz w:val="24"/>
          <w:szCs w:val="24"/>
          <w:lang w:eastAsia="ja-JP"/>
        </w:rPr>
      </w:pPr>
    </w:p>
    <w:p w:rsidR="00F83DD0" w:rsidRDefault="00F83DD0" w:rsidP="00F83DD0"/>
    <w:p w:rsidR="00F83DD0" w:rsidRDefault="00F83DD0" w:rsidP="00F83DD0">
      <w:pPr>
        <w:spacing w:after="0" w:line="240" w:lineRule="auto"/>
        <w:ind w:firstLine="709"/>
        <w:jc w:val="both"/>
        <w:rPr>
          <w:rFonts w:ascii="Times New Roman" w:hAnsi="Times New Roman" w:cs="Times New Roman"/>
          <w:sz w:val="24"/>
          <w:szCs w:val="24"/>
          <w:u w:val="single"/>
        </w:rPr>
      </w:pPr>
    </w:p>
    <w:p w:rsidR="00F83DD0" w:rsidRDefault="00F83DD0" w:rsidP="00F83DD0">
      <w:pPr>
        <w:spacing w:after="0" w:line="240" w:lineRule="auto"/>
        <w:ind w:firstLine="709"/>
        <w:jc w:val="both"/>
        <w:rPr>
          <w:rFonts w:ascii="Times New Roman" w:hAnsi="Times New Roman" w:cs="Times New Roman"/>
          <w:sz w:val="24"/>
          <w:szCs w:val="24"/>
          <w:u w:val="single"/>
        </w:rPr>
      </w:pPr>
    </w:p>
    <w:p w:rsidR="00F83DD0" w:rsidRDefault="00F83DD0" w:rsidP="00A23841">
      <w:pPr>
        <w:spacing w:after="0" w:line="240" w:lineRule="auto"/>
        <w:jc w:val="both"/>
        <w:rPr>
          <w:rFonts w:ascii="Times New Roman" w:hAnsi="Times New Roman" w:cs="Times New Roman"/>
          <w:sz w:val="24"/>
          <w:szCs w:val="24"/>
          <w:lang w:eastAsia="sk-SK"/>
        </w:rPr>
      </w:pPr>
    </w:p>
    <w:sectPr w:rsidR="00F83DD0" w:rsidSect="00F44A0F">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361" w:right="1418" w:bottom="1418" w:left="1418" w:header="284"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78C" w:rsidRDefault="00BE178C" w:rsidP="00D21218">
      <w:pPr>
        <w:spacing w:after="0" w:line="240" w:lineRule="auto"/>
      </w:pPr>
      <w:r>
        <w:separator/>
      </w:r>
    </w:p>
  </w:endnote>
  <w:endnote w:type="continuationSeparator" w:id="0">
    <w:p w:rsidR="00BE178C" w:rsidRDefault="00BE178C" w:rsidP="00D2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altName w:val="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51" w:rsidRDefault="00134B5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134B51" w:rsidRDefault="00134B5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51" w:rsidRPr="00C86835" w:rsidRDefault="00134B51" w:rsidP="009E6C3E">
    <w:pPr>
      <w:pStyle w:val="Pta"/>
      <w:jc w:val="center"/>
      <w:rPr>
        <w:rFonts w:ascii="Times New Roman" w:hAnsi="Times New Roman"/>
      </w:rPr>
    </w:pPr>
    <w:r w:rsidRPr="00C86835">
      <w:rPr>
        <w:rFonts w:ascii="Times New Roman" w:hAnsi="Times New Roman"/>
      </w:rPr>
      <w:fldChar w:fldCharType="begin"/>
    </w:r>
    <w:r w:rsidRPr="00C86835">
      <w:rPr>
        <w:rFonts w:ascii="Times New Roman" w:hAnsi="Times New Roman"/>
      </w:rPr>
      <w:instrText>PAGE   \* MERGEFORMAT</w:instrText>
    </w:r>
    <w:r w:rsidRPr="00C86835">
      <w:rPr>
        <w:rFonts w:ascii="Times New Roman" w:hAnsi="Times New Roman"/>
      </w:rPr>
      <w:fldChar w:fldCharType="separate"/>
    </w:r>
    <w:r w:rsidR="00EB29D3">
      <w:rPr>
        <w:rFonts w:ascii="Times New Roman" w:hAnsi="Times New Roman"/>
        <w:noProof/>
      </w:rPr>
      <w:t>15</w:t>
    </w:r>
    <w:r w:rsidRPr="00C86835">
      <w:rPr>
        <w:rFonts w:ascii="Times New Roman" w:hAnsi="Times New Roman"/>
      </w:rPr>
      <w:fldChar w:fldCharType="end"/>
    </w:r>
  </w:p>
  <w:p w:rsidR="00134B51" w:rsidRDefault="00134B51">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51" w:rsidRDefault="00134B51">
    <w:pPr>
      <w:pStyle w:val="Pta"/>
      <w:jc w:val="right"/>
    </w:pPr>
    <w:r>
      <w:fldChar w:fldCharType="begin"/>
    </w:r>
    <w:r>
      <w:instrText>PAGE   \* MERGEFORMAT</w:instrText>
    </w:r>
    <w:r>
      <w:fldChar w:fldCharType="separate"/>
    </w:r>
    <w:r>
      <w:rPr>
        <w:noProof/>
      </w:rPr>
      <w:t>0</w:t>
    </w:r>
    <w:r>
      <w:fldChar w:fldCharType="end"/>
    </w:r>
  </w:p>
  <w:p w:rsidR="00134B51" w:rsidRDefault="00134B51">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0A" w:rsidRDefault="007C260A">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882" w:rsidRDefault="00F44A0F" w:rsidP="00F44A0F">
    <w:pPr>
      <w:pStyle w:val="Pta"/>
      <w:jc w:val="center"/>
    </w:pPr>
    <w:r>
      <w:fldChar w:fldCharType="begin"/>
    </w:r>
    <w:r>
      <w:instrText>PAGE   \* MERGEFORMAT</w:instrText>
    </w:r>
    <w:r>
      <w:fldChar w:fldCharType="separate"/>
    </w:r>
    <w:r w:rsidR="00EB29D3">
      <w:rPr>
        <w:noProof/>
      </w:rPr>
      <w:t>18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0A" w:rsidRDefault="007C26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78C" w:rsidRDefault="00BE178C" w:rsidP="00D21218">
      <w:pPr>
        <w:spacing w:after="0" w:line="240" w:lineRule="auto"/>
      </w:pPr>
      <w:r>
        <w:separator/>
      </w:r>
    </w:p>
  </w:footnote>
  <w:footnote w:type="continuationSeparator" w:id="0">
    <w:p w:rsidR="00BE178C" w:rsidRDefault="00BE178C" w:rsidP="00D21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51" w:rsidRDefault="00134B51" w:rsidP="0051724E">
    <w:pPr>
      <w:pStyle w:val="Hlavika"/>
      <w:jc w:val="right"/>
    </w:pPr>
    <w:r>
      <w:t>Príloha č. 2</w:t>
    </w:r>
  </w:p>
  <w:p w:rsidR="00134B51" w:rsidRPr="00EB59C8" w:rsidRDefault="00134B51" w:rsidP="0051724E">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51" w:rsidRPr="0024067A" w:rsidRDefault="00134B51">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51" w:rsidRPr="000A15AE" w:rsidRDefault="00134B51" w:rsidP="0051724E">
    <w:pPr>
      <w:pStyle w:val="Hlavika"/>
      <w:jc w:val="right"/>
    </w:pPr>
    <w: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73A" w:rsidRPr="00143415" w:rsidRDefault="00AE673A" w:rsidP="00143415">
    <w:pPr>
      <w:pStyle w:val="Hlavika"/>
      <w:jc w:val="right"/>
      <w:rPr>
        <w:rFonts w:ascii="Times New Roman" w:hAnsi="Times New Roman"/>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0A" w:rsidRDefault="007C260A">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0A" w:rsidRDefault="007C260A">
    <w:pPr>
      <w:pStyle w:val="Hlavik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60A" w:rsidRDefault="007C260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3586E"/>
    <w:multiLevelType w:val="hybridMultilevel"/>
    <w:tmpl w:val="C346D5BE"/>
    <w:lvl w:ilvl="0" w:tplc="663C6A48">
      <w:start w:val="1"/>
      <w:numFmt w:val="decimal"/>
      <w:lvlText w:val="(%1)"/>
      <w:lvlJc w:val="left"/>
      <w:pPr>
        <w:ind w:left="900" w:hanging="360"/>
      </w:pPr>
      <w:rPr>
        <w:rFonts w:cs="Times New Roman" w:hint="default"/>
      </w:rPr>
    </w:lvl>
    <w:lvl w:ilvl="1" w:tplc="041B0019">
      <w:start w:val="1"/>
      <w:numFmt w:val="lowerLetter"/>
      <w:lvlText w:val="%2."/>
      <w:lvlJc w:val="left"/>
      <w:pPr>
        <w:ind w:left="1620" w:hanging="360"/>
      </w:pPr>
      <w:rPr>
        <w:rFonts w:cs="Times New Roman"/>
      </w:rPr>
    </w:lvl>
    <w:lvl w:ilvl="2" w:tplc="041B001B">
      <w:start w:val="1"/>
      <w:numFmt w:val="lowerRoman"/>
      <w:lvlText w:val="%3."/>
      <w:lvlJc w:val="right"/>
      <w:pPr>
        <w:ind w:left="2340" w:hanging="180"/>
      </w:pPr>
      <w:rPr>
        <w:rFonts w:cs="Times New Roman"/>
      </w:rPr>
    </w:lvl>
    <w:lvl w:ilvl="3" w:tplc="041B000F">
      <w:start w:val="1"/>
      <w:numFmt w:val="decimal"/>
      <w:lvlText w:val="%4."/>
      <w:lvlJc w:val="left"/>
      <w:pPr>
        <w:ind w:left="3060" w:hanging="360"/>
      </w:pPr>
      <w:rPr>
        <w:rFonts w:cs="Times New Roman"/>
      </w:rPr>
    </w:lvl>
    <w:lvl w:ilvl="4" w:tplc="041B0019">
      <w:start w:val="1"/>
      <w:numFmt w:val="lowerLetter"/>
      <w:lvlText w:val="%5."/>
      <w:lvlJc w:val="left"/>
      <w:pPr>
        <w:ind w:left="3780" w:hanging="360"/>
      </w:pPr>
      <w:rPr>
        <w:rFonts w:cs="Times New Roman"/>
      </w:rPr>
    </w:lvl>
    <w:lvl w:ilvl="5" w:tplc="041B001B">
      <w:start w:val="1"/>
      <w:numFmt w:val="lowerRoman"/>
      <w:lvlText w:val="%6."/>
      <w:lvlJc w:val="right"/>
      <w:pPr>
        <w:ind w:left="4500" w:hanging="180"/>
      </w:pPr>
      <w:rPr>
        <w:rFonts w:cs="Times New Roman"/>
      </w:rPr>
    </w:lvl>
    <w:lvl w:ilvl="6" w:tplc="041B000F">
      <w:start w:val="1"/>
      <w:numFmt w:val="decimal"/>
      <w:lvlText w:val="%7."/>
      <w:lvlJc w:val="left"/>
      <w:pPr>
        <w:ind w:left="5220" w:hanging="360"/>
      </w:pPr>
      <w:rPr>
        <w:rFonts w:cs="Times New Roman"/>
      </w:rPr>
    </w:lvl>
    <w:lvl w:ilvl="7" w:tplc="041B0019">
      <w:start w:val="1"/>
      <w:numFmt w:val="lowerLetter"/>
      <w:lvlText w:val="%8."/>
      <w:lvlJc w:val="left"/>
      <w:pPr>
        <w:ind w:left="5940" w:hanging="360"/>
      </w:pPr>
      <w:rPr>
        <w:rFonts w:cs="Times New Roman"/>
      </w:rPr>
    </w:lvl>
    <w:lvl w:ilvl="8" w:tplc="041B001B">
      <w:start w:val="1"/>
      <w:numFmt w:val="lowerRoman"/>
      <w:lvlText w:val="%9."/>
      <w:lvlJc w:val="right"/>
      <w:pPr>
        <w:ind w:left="6660" w:hanging="180"/>
      </w:pPr>
      <w:rPr>
        <w:rFonts w:cs="Times New Roman"/>
      </w:rPr>
    </w:lvl>
  </w:abstractNum>
  <w:abstractNum w:abstractNumId="1" w15:restartNumberingAfterBreak="0">
    <w:nsid w:val="11104D37"/>
    <w:multiLevelType w:val="hybridMultilevel"/>
    <w:tmpl w:val="B6E28B9E"/>
    <w:lvl w:ilvl="0" w:tplc="48FE8C6C">
      <w:start w:val="1"/>
      <w:numFmt w:val="lowerLetter"/>
      <w:lvlText w:val="%1)"/>
      <w:lvlJc w:val="left"/>
      <w:pPr>
        <w:ind w:left="786" w:hanging="360"/>
      </w:pPr>
      <w:rPr>
        <w:rFonts w:cs="Times New Roman" w:hint="default"/>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2" w15:restartNumberingAfterBreak="0">
    <w:nsid w:val="12393560"/>
    <w:multiLevelType w:val="multilevel"/>
    <w:tmpl w:val="3580E9C8"/>
    <w:lvl w:ilvl="0">
      <w:start w:val="1"/>
      <w:numFmt w:val="decimal"/>
      <w:lvlText w:val="%1."/>
      <w:lvlJc w:val="left"/>
      <w:pPr>
        <w:tabs>
          <w:tab w:val="num" w:pos="1060"/>
        </w:tabs>
        <w:ind w:left="10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3" w15:restartNumberingAfterBreak="0">
    <w:nsid w:val="1610096E"/>
    <w:multiLevelType w:val="hybridMultilevel"/>
    <w:tmpl w:val="8A4C037C"/>
    <w:lvl w:ilvl="0" w:tplc="9DCE89DE">
      <w:numFmt w:val="bullet"/>
      <w:suff w:val="nothing"/>
      <w:lvlText w:val="-"/>
      <w:lvlJc w:val="left"/>
      <w:rPr>
        <w:rFonts w:ascii="Times New Roman" w:eastAsia="Times New Roman" w:hAnsi="Times New Roman" w:hint="default"/>
      </w:rPr>
    </w:lvl>
    <w:lvl w:ilvl="1" w:tplc="041B0003">
      <w:start w:val="1"/>
      <w:numFmt w:val="bullet"/>
      <w:lvlText w:val="o"/>
      <w:lvlJc w:val="left"/>
      <w:pPr>
        <w:ind w:left="-687" w:hanging="360"/>
      </w:pPr>
      <w:rPr>
        <w:rFonts w:ascii="Courier New" w:hAnsi="Courier New" w:hint="default"/>
      </w:rPr>
    </w:lvl>
    <w:lvl w:ilvl="2" w:tplc="041B0005">
      <w:start w:val="1"/>
      <w:numFmt w:val="bullet"/>
      <w:lvlText w:val=""/>
      <w:lvlJc w:val="left"/>
      <w:pPr>
        <w:ind w:left="33" w:hanging="360"/>
      </w:pPr>
      <w:rPr>
        <w:rFonts w:ascii="Wingdings" w:hAnsi="Wingdings" w:hint="default"/>
      </w:rPr>
    </w:lvl>
    <w:lvl w:ilvl="3" w:tplc="041B0001">
      <w:start w:val="1"/>
      <w:numFmt w:val="bullet"/>
      <w:lvlText w:val=""/>
      <w:lvlJc w:val="left"/>
      <w:pPr>
        <w:ind w:left="753" w:hanging="360"/>
      </w:pPr>
      <w:rPr>
        <w:rFonts w:ascii="Symbol" w:hAnsi="Symbol" w:hint="default"/>
      </w:rPr>
    </w:lvl>
    <w:lvl w:ilvl="4" w:tplc="041B0003">
      <w:start w:val="1"/>
      <w:numFmt w:val="bullet"/>
      <w:lvlText w:val="o"/>
      <w:lvlJc w:val="left"/>
      <w:pPr>
        <w:ind w:left="1473" w:hanging="360"/>
      </w:pPr>
      <w:rPr>
        <w:rFonts w:ascii="Courier New" w:hAnsi="Courier New" w:hint="default"/>
      </w:rPr>
    </w:lvl>
    <w:lvl w:ilvl="5" w:tplc="041B0005">
      <w:start w:val="1"/>
      <w:numFmt w:val="bullet"/>
      <w:lvlText w:val=""/>
      <w:lvlJc w:val="left"/>
      <w:pPr>
        <w:ind w:left="2193" w:hanging="360"/>
      </w:pPr>
      <w:rPr>
        <w:rFonts w:ascii="Wingdings" w:hAnsi="Wingdings" w:hint="default"/>
      </w:rPr>
    </w:lvl>
    <w:lvl w:ilvl="6" w:tplc="041B0001">
      <w:start w:val="1"/>
      <w:numFmt w:val="bullet"/>
      <w:lvlText w:val=""/>
      <w:lvlJc w:val="left"/>
      <w:pPr>
        <w:ind w:left="2913" w:hanging="360"/>
      </w:pPr>
      <w:rPr>
        <w:rFonts w:ascii="Symbol" w:hAnsi="Symbol" w:hint="default"/>
      </w:rPr>
    </w:lvl>
    <w:lvl w:ilvl="7" w:tplc="041B0003">
      <w:start w:val="1"/>
      <w:numFmt w:val="bullet"/>
      <w:lvlText w:val="o"/>
      <w:lvlJc w:val="left"/>
      <w:pPr>
        <w:ind w:left="3633" w:hanging="360"/>
      </w:pPr>
      <w:rPr>
        <w:rFonts w:ascii="Courier New" w:hAnsi="Courier New" w:hint="default"/>
      </w:rPr>
    </w:lvl>
    <w:lvl w:ilvl="8" w:tplc="041B0005">
      <w:start w:val="1"/>
      <w:numFmt w:val="bullet"/>
      <w:lvlText w:val=""/>
      <w:lvlJc w:val="left"/>
      <w:pPr>
        <w:ind w:left="4353" w:hanging="360"/>
      </w:pPr>
      <w:rPr>
        <w:rFonts w:ascii="Wingdings" w:hAnsi="Wingdings" w:hint="default"/>
      </w:rPr>
    </w:lvl>
  </w:abstractNum>
  <w:abstractNum w:abstractNumId="4"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2A832964"/>
    <w:multiLevelType w:val="hybridMultilevel"/>
    <w:tmpl w:val="D6505A6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365E64DA"/>
    <w:multiLevelType w:val="hybridMultilevel"/>
    <w:tmpl w:val="8C08A2FC"/>
    <w:lvl w:ilvl="0" w:tplc="E6CA62B8">
      <w:start w:val="1"/>
      <w:numFmt w:val="decimal"/>
      <w:lvlText w:val="%1."/>
      <w:lvlJc w:val="left"/>
      <w:pPr>
        <w:ind w:left="360" w:hanging="360"/>
      </w:pPr>
      <w:rPr>
        <w:rFonts w:ascii="Times" w:hAnsi="Times" w:cs="Times"/>
        <w:color w:val="auto"/>
        <w:vertAlign w:val="baseli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A7655D8"/>
    <w:multiLevelType w:val="hybridMultilevel"/>
    <w:tmpl w:val="A1C0F41E"/>
    <w:lvl w:ilvl="0" w:tplc="E05E2432">
      <w:start w:val="1"/>
      <w:numFmt w:val="lowerLetter"/>
      <w:lvlText w:val="%1)"/>
      <w:lvlJc w:val="left"/>
      <w:pPr>
        <w:ind w:left="720" w:hanging="360"/>
      </w:pPr>
      <w:rPr>
        <w:rFonts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4F721EDD"/>
    <w:multiLevelType w:val="hybridMultilevel"/>
    <w:tmpl w:val="C44E848C"/>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5D2D58DE"/>
    <w:multiLevelType w:val="hybridMultilevel"/>
    <w:tmpl w:val="D054BCB4"/>
    <w:lvl w:ilvl="0" w:tplc="B900B7B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5D7F08BF"/>
    <w:multiLevelType w:val="multilevel"/>
    <w:tmpl w:val="3580E9C8"/>
    <w:lvl w:ilvl="0">
      <w:start w:val="1"/>
      <w:numFmt w:val="decimal"/>
      <w:lvlText w:val="%1."/>
      <w:lvlJc w:val="left"/>
      <w:pPr>
        <w:tabs>
          <w:tab w:val="num" w:pos="1060"/>
        </w:tabs>
        <w:ind w:left="10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12" w15:restartNumberingAfterBreak="0">
    <w:nsid w:val="5F2B3458"/>
    <w:multiLevelType w:val="hybridMultilevel"/>
    <w:tmpl w:val="5F18AEB2"/>
    <w:lvl w:ilvl="0" w:tplc="3D5A2BD8">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60ED1D96"/>
    <w:multiLevelType w:val="hybridMultilevel"/>
    <w:tmpl w:val="FB28C9B4"/>
    <w:lvl w:ilvl="0" w:tplc="C8F84590">
      <w:start w:val="1"/>
      <w:numFmt w:val="decimal"/>
      <w:lvlText w:val="(%1)"/>
      <w:lvlJc w:val="left"/>
      <w:pPr>
        <w:ind w:left="2346" w:hanging="360"/>
      </w:pPr>
      <w:rPr>
        <w:rFonts w:cs="Times New Roman" w:hint="default"/>
        <w:color w:val="auto"/>
      </w:rPr>
    </w:lvl>
    <w:lvl w:ilvl="1" w:tplc="041B0019">
      <w:start w:val="1"/>
      <w:numFmt w:val="lowerLetter"/>
      <w:lvlText w:val="%2."/>
      <w:lvlJc w:val="left"/>
      <w:pPr>
        <w:ind w:left="3066" w:hanging="360"/>
      </w:pPr>
      <w:rPr>
        <w:rFonts w:cs="Times New Roman"/>
      </w:rPr>
    </w:lvl>
    <w:lvl w:ilvl="2" w:tplc="041B001B">
      <w:start w:val="1"/>
      <w:numFmt w:val="lowerRoman"/>
      <w:lvlText w:val="%3."/>
      <w:lvlJc w:val="right"/>
      <w:pPr>
        <w:ind w:left="3786" w:hanging="180"/>
      </w:pPr>
      <w:rPr>
        <w:rFonts w:cs="Times New Roman"/>
      </w:rPr>
    </w:lvl>
    <w:lvl w:ilvl="3" w:tplc="041B000F">
      <w:start w:val="1"/>
      <w:numFmt w:val="decimal"/>
      <w:lvlText w:val="%4."/>
      <w:lvlJc w:val="left"/>
      <w:pPr>
        <w:ind w:left="4506" w:hanging="360"/>
      </w:pPr>
      <w:rPr>
        <w:rFonts w:cs="Times New Roman"/>
      </w:rPr>
    </w:lvl>
    <w:lvl w:ilvl="4" w:tplc="041B0019">
      <w:start w:val="1"/>
      <w:numFmt w:val="lowerLetter"/>
      <w:lvlText w:val="%5."/>
      <w:lvlJc w:val="left"/>
      <w:pPr>
        <w:ind w:left="5226" w:hanging="360"/>
      </w:pPr>
      <w:rPr>
        <w:rFonts w:cs="Times New Roman"/>
      </w:rPr>
    </w:lvl>
    <w:lvl w:ilvl="5" w:tplc="041B001B">
      <w:start w:val="1"/>
      <w:numFmt w:val="lowerRoman"/>
      <w:lvlText w:val="%6."/>
      <w:lvlJc w:val="right"/>
      <w:pPr>
        <w:ind w:left="5946" w:hanging="180"/>
      </w:pPr>
      <w:rPr>
        <w:rFonts w:cs="Times New Roman"/>
      </w:rPr>
    </w:lvl>
    <w:lvl w:ilvl="6" w:tplc="041B000F">
      <w:start w:val="1"/>
      <w:numFmt w:val="decimal"/>
      <w:lvlText w:val="%7."/>
      <w:lvlJc w:val="left"/>
      <w:pPr>
        <w:ind w:left="6666" w:hanging="360"/>
      </w:pPr>
      <w:rPr>
        <w:rFonts w:cs="Times New Roman"/>
      </w:rPr>
    </w:lvl>
    <w:lvl w:ilvl="7" w:tplc="041B0019">
      <w:start w:val="1"/>
      <w:numFmt w:val="lowerLetter"/>
      <w:lvlText w:val="%8."/>
      <w:lvlJc w:val="left"/>
      <w:pPr>
        <w:ind w:left="7386" w:hanging="360"/>
      </w:pPr>
      <w:rPr>
        <w:rFonts w:cs="Times New Roman"/>
      </w:rPr>
    </w:lvl>
    <w:lvl w:ilvl="8" w:tplc="041B001B">
      <w:start w:val="1"/>
      <w:numFmt w:val="lowerRoman"/>
      <w:lvlText w:val="%9."/>
      <w:lvlJc w:val="right"/>
      <w:pPr>
        <w:ind w:left="8106" w:hanging="180"/>
      </w:pPr>
      <w:rPr>
        <w:rFonts w:cs="Times New Roman"/>
      </w:rPr>
    </w:lvl>
  </w:abstractNum>
  <w:abstractNum w:abstractNumId="14" w15:restartNumberingAfterBreak="0">
    <w:nsid w:val="6153767B"/>
    <w:multiLevelType w:val="hybridMultilevel"/>
    <w:tmpl w:val="DF541E30"/>
    <w:lvl w:ilvl="0" w:tplc="9D08EACA">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64F148D2"/>
    <w:multiLevelType w:val="hybridMultilevel"/>
    <w:tmpl w:val="ECB212EE"/>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16" w15:restartNumberingAfterBreak="0">
    <w:nsid w:val="662D1A46"/>
    <w:multiLevelType w:val="hybridMultilevel"/>
    <w:tmpl w:val="AA063CF6"/>
    <w:lvl w:ilvl="0" w:tplc="EB8850AE">
      <w:start w:val="1"/>
      <w:numFmt w:val="lowerLetter"/>
      <w:lvlText w:val="%1)"/>
      <w:lvlJc w:val="left"/>
      <w:pPr>
        <w:ind w:left="705" w:hanging="360"/>
      </w:pPr>
      <w:rPr>
        <w:rFonts w:cs="Times New Roman" w:hint="default"/>
      </w:rPr>
    </w:lvl>
    <w:lvl w:ilvl="1" w:tplc="041B0019">
      <w:start w:val="1"/>
      <w:numFmt w:val="lowerLetter"/>
      <w:lvlText w:val="%2."/>
      <w:lvlJc w:val="left"/>
      <w:pPr>
        <w:ind w:left="1425" w:hanging="360"/>
      </w:pPr>
      <w:rPr>
        <w:rFonts w:cs="Times New Roman"/>
      </w:rPr>
    </w:lvl>
    <w:lvl w:ilvl="2" w:tplc="041B001B">
      <w:start w:val="1"/>
      <w:numFmt w:val="lowerRoman"/>
      <w:lvlText w:val="%3."/>
      <w:lvlJc w:val="right"/>
      <w:pPr>
        <w:ind w:left="2145" w:hanging="180"/>
      </w:pPr>
      <w:rPr>
        <w:rFonts w:cs="Times New Roman"/>
      </w:rPr>
    </w:lvl>
    <w:lvl w:ilvl="3" w:tplc="041B000F">
      <w:start w:val="1"/>
      <w:numFmt w:val="decimal"/>
      <w:lvlText w:val="%4."/>
      <w:lvlJc w:val="left"/>
      <w:pPr>
        <w:ind w:left="2865" w:hanging="360"/>
      </w:pPr>
      <w:rPr>
        <w:rFonts w:cs="Times New Roman"/>
      </w:rPr>
    </w:lvl>
    <w:lvl w:ilvl="4" w:tplc="041B0019">
      <w:start w:val="1"/>
      <w:numFmt w:val="lowerLetter"/>
      <w:lvlText w:val="%5."/>
      <w:lvlJc w:val="left"/>
      <w:pPr>
        <w:ind w:left="3585" w:hanging="360"/>
      </w:pPr>
      <w:rPr>
        <w:rFonts w:cs="Times New Roman"/>
      </w:rPr>
    </w:lvl>
    <w:lvl w:ilvl="5" w:tplc="041B001B">
      <w:start w:val="1"/>
      <w:numFmt w:val="lowerRoman"/>
      <w:lvlText w:val="%6."/>
      <w:lvlJc w:val="right"/>
      <w:pPr>
        <w:ind w:left="4305" w:hanging="180"/>
      </w:pPr>
      <w:rPr>
        <w:rFonts w:cs="Times New Roman"/>
      </w:rPr>
    </w:lvl>
    <w:lvl w:ilvl="6" w:tplc="041B000F">
      <w:start w:val="1"/>
      <w:numFmt w:val="decimal"/>
      <w:lvlText w:val="%7."/>
      <w:lvlJc w:val="left"/>
      <w:pPr>
        <w:ind w:left="5025" w:hanging="360"/>
      </w:pPr>
      <w:rPr>
        <w:rFonts w:cs="Times New Roman"/>
      </w:rPr>
    </w:lvl>
    <w:lvl w:ilvl="7" w:tplc="041B0019">
      <w:start w:val="1"/>
      <w:numFmt w:val="lowerLetter"/>
      <w:lvlText w:val="%8."/>
      <w:lvlJc w:val="left"/>
      <w:pPr>
        <w:ind w:left="5745" w:hanging="360"/>
      </w:pPr>
      <w:rPr>
        <w:rFonts w:cs="Times New Roman"/>
      </w:rPr>
    </w:lvl>
    <w:lvl w:ilvl="8" w:tplc="041B001B">
      <w:start w:val="1"/>
      <w:numFmt w:val="lowerRoman"/>
      <w:lvlText w:val="%9."/>
      <w:lvlJc w:val="right"/>
      <w:pPr>
        <w:ind w:left="6465" w:hanging="180"/>
      </w:pPr>
      <w:rPr>
        <w:rFonts w:cs="Times New Roman"/>
      </w:rPr>
    </w:lvl>
  </w:abstractNum>
  <w:abstractNum w:abstractNumId="17" w15:restartNumberingAfterBreak="0">
    <w:nsid w:val="67934723"/>
    <w:multiLevelType w:val="hybridMultilevel"/>
    <w:tmpl w:val="F8124CC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6FD220F5"/>
    <w:multiLevelType w:val="hybridMultilevel"/>
    <w:tmpl w:val="213A2D3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71A33DE7"/>
    <w:multiLevelType w:val="hybridMultilevel"/>
    <w:tmpl w:val="1C64A950"/>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75E7749E"/>
    <w:multiLevelType w:val="hybridMultilevel"/>
    <w:tmpl w:val="E61C5214"/>
    <w:lvl w:ilvl="0" w:tplc="2A927D38">
      <w:start w:val="1"/>
      <w:numFmt w:val="decimal"/>
      <w:lvlText w:val="%1."/>
      <w:lvlJc w:val="left"/>
      <w:pPr>
        <w:ind w:left="720" w:hanging="360"/>
      </w:pPr>
      <w:rPr>
        <w:rFonts w:ascii="Times New Roman" w:eastAsia="Times New Roman" w:hAnsi="Times New Roman" w:cs="Times New Roman"/>
        <w:b w:val="0"/>
        <w:bCs w:val="0"/>
        <w:i w:val="0"/>
        <w:iCs w:val="0"/>
        <w:sz w:val="24"/>
        <w:szCs w:val="24"/>
        <w:vertAlign w:val="baseli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76351E61"/>
    <w:multiLevelType w:val="hybridMultilevel"/>
    <w:tmpl w:val="1FB4A0EE"/>
    <w:lvl w:ilvl="0" w:tplc="73EC8448">
      <w:start w:val="1"/>
      <w:numFmt w:val="lowerLetter"/>
      <w:lvlText w:val="%1)"/>
      <w:lvlJc w:val="left"/>
      <w:pPr>
        <w:ind w:left="600" w:hanging="360"/>
      </w:pPr>
      <w:rPr>
        <w:rFonts w:cs="Times New Roman" w:hint="default"/>
      </w:rPr>
    </w:lvl>
    <w:lvl w:ilvl="1" w:tplc="041B0019">
      <w:start w:val="1"/>
      <w:numFmt w:val="lowerLetter"/>
      <w:lvlText w:val="%2."/>
      <w:lvlJc w:val="left"/>
      <w:pPr>
        <w:ind w:left="1320" w:hanging="360"/>
      </w:pPr>
      <w:rPr>
        <w:rFonts w:cs="Times New Roman"/>
      </w:rPr>
    </w:lvl>
    <w:lvl w:ilvl="2" w:tplc="041B001B">
      <w:start w:val="1"/>
      <w:numFmt w:val="lowerRoman"/>
      <w:lvlText w:val="%3."/>
      <w:lvlJc w:val="right"/>
      <w:pPr>
        <w:ind w:left="2040" w:hanging="180"/>
      </w:pPr>
      <w:rPr>
        <w:rFonts w:cs="Times New Roman"/>
      </w:rPr>
    </w:lvl>
    <w:lvl w:ilvl="3" w:tplc="041B000F">
      <w:start w:val="1"/>
      <w:numFmt w:val="decimal"/>
      <w:lvlText w:val="%4."/>
      <w:lvlJc w:val="left"/>
      <w:pPr>
        <w:ind w:left="2760" w:hanging="360"/>
      </w:pPr>
      <w:rPr>
        <w:rFonts w:cs="Times New Roman"/>
      </w:rPr>
    </w:lvl>
    <w:lvl w:ilvl="4" w:tplc="041B0019">
      <w:start w:val="1"/>
      <w:numFmt w:val="lowerLetter"/>
      <w:lvlText w:val="%5."/>
      <w:lvlJc w:val="left"/>
      <w:pPr>
        <w:ind w:left="3480" w:hanging="360"/>
      </w:pPr>
      <w:rPr>
        <w:rFonts w:cs="Times New Roman"/>
      </w:rPr>
    </w:lvl>
    <w:lvl w:ilvl="5" w:tplc="041B001B">
      <w:start w:val="1"/>
      <w:numFmt w:val="lowerRoman"/>
      <w:lvlText w:val="%6."/>
      <w:lvlJc w:val="right"/>
      <w:pPr>
        <w:ind w:left="4200" w:hanging="180"/>
      </w:pPr>
      <w:rPr>
        <w:rFonts w:cs="Times New Roman"/>
      </w:rPr>
    </w:lvl>
    <w:lvl w:ilvl="6" w:tplc="041B000F">
      <w:start w:val="1"/>
      <w:numFmt w:val="decimal"/>
      <w:lvlText w:val="%7."/>
      <w:lvlJc w:val="left"/>
      <w:pPr>
        <w:ind w:left="4920" w:hanging="360"/>
      </w:pPr>
      <w:rPr>
        <w:rFonts w:cs="Times New Roman"/>
      </w:rPr>
    </w:lvl>
    <w:lvl w:ilvl="7" w:tplc="041B0019">
      <w:start w:val="1"/>
      <w:numFmt w:val="lowerLetter"/>
      <w:lvlText w:val="%8."/>
      <w:lvlJc w:val="left"/>
      <w:pPr>
        <w:ind w:left="5640" w:hanging="360"/>
      </w:pPr>
      <w:rPr>
        <w:rFonts w:cs="Times New Roman"/>
      </w:rPr>
    </w:lvl>
    <w:lvl w:ilvl="8" w:tplc="041B001B">
      <w:start w:val="1"/>
      <w:numFmt w:val="lowerRoman"/>
      <w:lvlText w:val="%9."/>
      <w:lvlJc w:val="right"/>
      <w:pPr>
        <w:ind w:left="6360" w:hanging="180"/>
      </w:pPr>
      <w:rPr>
        <w:rFonts w:cs="Times New Roman"/>
      </w:rPr>
    </w:lvl>
  </w:abstractNum>
  <w:abstractNum w:abstractNumId="22" w15:restartNumberingAfterBreak="0">
    <w:nsid w:val="7BDE54EF"/>
    <w:multiLevelType w:val="hybridMultilevel"/>
    <w:tmpl w:val="82C42ECE"/>
    <w:lvl w:ilvl="0" w:tplc="B560AD86">
      <w:start w:val="1"/>
      <w:numFmt w:val="decimal"/>
      <w:lvlText w:val="%1."/>
      <w:lvlJc w:val="left"/>
      <w:pPr>
        <w:ind w:left="360"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2"/>
  </w:num>
  <w:num w:numId="9">
    <w:abstractNumId w:val="15"/>
  </w:num>
  <w:num w:numId="10">
    <w:abstractNumId w:val="17"/>
  </w:num>
  <w:num w:numId="11">
    <w:abstractNumId w:val="19"/>
  </w:num>
  <w:num w:numId="12">
    <w:abstractNumId w:val="5"/>
  </w:num>
  <w:num w:numId="13">
    <w:abstractNumId w:val="1"/>
  </w:num>
  <w:num w:numId="14">
    <w:abstractNumId w:val="9"/>
  </w:num>
  <w:num w:numId="15">
    <w:abstractNumId w:val="8"/>
  </w:num>
  <w:num w:numId="16">
    <w:abstractNumId w:val="16"/>
  </w:num>
  <w:num w:numId="17">
    <w:abstractNumId w:val="0"/>
  </w:num>
  <w:num w:numId="18">
    <w:abstractNumId w:val="10"/>
  </w:num>
  <w:num w:numId="19">
    <w:abstractNumId w:val="14"/>
  </w:num>
  <w:num w:numId="20">
    <w:abstractNumId w:val="12"/>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23"/>
    <w:rsid w:val="000035CE"/>
    <w:rsid w:val="00005130"/>
    <w:rsid w:val="000114D5"/>
    <w:rsid w:val="00011A59"/>
    <w:rsid w:val="000144A6"/>
    <w:rsid w:val="00020C3C"/>
    <w:rsid w:val="00022772"/>
    <w:rsid w:val="00022B79"/>
    <w:rsid w:val="000243E7"/>
    <w:rsid w:val="000257CB"/>
    <w:rsid w:val="00027E1F"/>
    <w:rsid w:val="00032F40"/>
    <w:rsid w:val="00034A16"/>
    <w:rsid w:val="00035FC1"/>
    <w:rsid w:val="00036E1C"/>
    <w:rsid w:val="00037EFE"/>
    <w:rsid w:val="00043018"/>
    <w:rsid w:val="00045303"/>
    <w:rsid w:val="000519BF"/>
    <w:rsid w:val="0005478E"/>
    <w:rsid w:val="00057A0A"/>
    <w:rsid w:val="000611A9"/>
    <w:rsid w:val="00062BEB"/>
    <w:rsid w:val="00064AAC"/>
    <w:rsid w:val="00065653"/>
    <w:rsid w:val="0006761E"/>
    <w:rsid w:val="00071EDB"/>
    <w:rsid w:val="0007420A"/>
    <w:rsid w:val="00080ACA"/>
    <w:rsid w:val="0008175E"/>
    <w:rsid w:val="00083542"/>
    <w:rsid w:val="00083B59"/>
    <w:rsid w:val="00085910"/>
    <w:rsid w:val="000900AE"/>
    <w:rsid w:val="000905C5"/>
    <w:rsid w:val="00090E76"/>
    <w:rsid w:val="00091D54"/>
    <w:rsid w:val="000924F6"/>
    <w:rsid w:val="000927D6"/>
    <w:rsid w:val="000968C6"/>
    <w:rsid w:val="000A15AE"/>
    <w:rsid w:val="000A3528"/>
    <w:rsid w:val="000B3B36"/>
    <w:rsid w:val="000D0E2D"/>
    <w:rsid w:val="000D124D"/>
    <w:rsid w:val="000D1FBD"/>
    <w:rsid w:val="000D76D7"/>
    <w:rsid w:val="000D7B31"/>
    <w:rsid w:val="000E13B4"/>
    <w:rsid w:val="000E2CA8"/>
    <w:rsid w:val="000E3A89"/>
    <w:rsid w:val="000E4D8A"/>
    <w:rsid w:val="000E57CB"/>
    <w:rsid w:val="000E5C51"/>
    <w:rsid w:val="000F0467"/>
    <w:rsid w:val="000F4401"/>
    <w:rsid w:val="000F4703"/>
    <w:rsid w:val="000F5E63"/>
    <w:rsid w:val="000F6461"/>
    <w:rsid w:val="000F671C"/>
    <w:rsid w:val="0010006A"/>
    <w:rsid w:val="00100829"/>
    <w:rsid w:val="00100F5D"/>
    <w:rsid w:val="001045E4"/>
    <w:rsid w:val="00105C3B"/>
    <w:rsid w:val="00107909"/>
    <w:rsid w:val="0011052C"/>
    <w:rsid w:val="0011270D"/>
    <w:rsid w:val="00113936"/>
    <w:rsid w:val="00114875"/>
    <w:rsid w:val="001158DC"/>
    <w:rsid w:val="001164D0"/>
    <w:rsid w:val="00117584"/>
    <w:rsid w:val="00120060"/>
    <w:rsid w:val="001213DD"/>
    <w:rsid w:val="00121F24"/>
    <w:rsid w:val="00132846"/>
    <w:rsid w:val="00132917"/>
    <w:rsid w:val="00132ABA"/>
    <w:rsid w:val="00132C91"/>
    <w:rsid w:val="00134B51"/>
    <w:rsid w:val="00135BEA"/>
    <w:rsid w:val="00142094"/>
    <w:rsid w:val="00142341"/>
    <w:rsid w:val="00143415"/>
    <w:rsid w:val="00145383"/>
    <w:rsid w:val="00145F43"/>
    <w:rsid w:val="00147B08"/>
    <w:rsid w:val="00155D60"/>
    <w:rsid w:val="001569B5"/>
    <w:rsid w:val="00156BB1"/>
    <w:rsid w:val="00166B0A"/>
    <w:rsid w:val="00166B2E"/>
    <w:rsid w:val="00166D9B"/>
    <w:rsid w:val="00180403"/>
    <w:rsid w:val="001830FE"/>
    <w:rsid w:val="001837F9"/>
    <w:rsid w:val="00183FAF"/>
    <w:rsid w:val="0019043E"/>
    <w:rsid w:val="00192351"/>
    <w:rsid w:val="00193127"/>
    <w:rsid w:val="00193AAB"/>
    <w:rsid w:val="00193D52"/>
    <w:rsid w:val="00195E4E"/>
    <w:rsid w:val="001A029A"/>
    <w:rsid w:val="001A4A36"/>
    <w:rsid w:val="001A7196"/>
    <w:rsid w:val="001A781E"/>
    <w:rsid w:val="001B0D27"/>
    <w:rsid w:val="001B18B7"/>
    <w:rsid w:val="001B4446"/>
    <w:rsid w:val="001B546C"/>
    <w:rsid w:val="001B5D49"/>
    <w:rsid w:val="001B63CD"/>
    <w:rsid w:val="001C16C6"/>
    <w:rsid w:val="001C640D"/>
    <w:rsid w:val="001C6447"/>
    <w:rsid w:val="001C7640"/>
    <w:rsid w:val="001D0322"/>
    <w:rsid w:val="001D4B30"/>
    <w:rsid w:val="001D5DBF"/>
    <w:rsid w:val="001E3B4A"/>
    <w:rsid w:val="001E4597"/>
    <w:rsid w:val="001E56FA"/>
    <w:rsid w:val="001E5801"/>
    <w:rsid w:val="001E61E4"/>
    <w:rsid w:val="001E7851"/>
    <w:rsid w:val="001F2D90"/>
    <w:rsid w:val="001F35A7"/>
    <w:rsid w:val="001F448C"/>
    <w:rsid w:val="001F5343"/>
    <w:rsid w:val="001F5A30"/>
    <w:rsid w:val="001F65DA"/>
    <w:rsid w:val="002001C4"/>
    <w:rsid w:val="002005B4"/>
    <w:rsid w:val="0020457E"/>
    <w:rsid w:val="002045EA"/>
    <w:rsid w:val="00210B0B"/>
    <w:rsid w:val="00212894"/>
    <w:rsid w:val="00213E2F"/>
    <w:rsid w:val="00215543"/>
    <w:rsid w:val="00215697"/>
    <w:rsid w:val="00221615"/>
    <w:rsid w:val="002237CD"/>
    <w:rsid w:val="00223943"/>
    <w:rsid w:val="002276F8"/>
    <w:rsid w:val="00227E6E"/>
    <w:rsid w:val="00232363"/>
    <w:rsid w:val="00236170"/>
    <w:rsid w:val="0024056A"/>
    <w:rsid w:val="0024067A"/>
    <w:rsid w:val="00242E1C"/>
    <w:rsid w:val="00243811"/>
    <w:rsid w:val="0025493C"/>
    <w:rsid w:val="002559B6"/>
    <w:rsid w:val="00257DD2"/>
    <w:rsid w:val="00261D3F"/>
    <w:rsid w:val="00261DCD"/>
    <w:rsid w:val="00264404"/>
    <w:rsid w:val="0026460D"/>
    <w:rsid w:val="002661B3"/>
    <w:rsid w:val="00267418"/>
    <w:rsid w:val="00272F74"/>
    <w:rsid w:val="00274AE4"/>
    <w:rsid w:val="0027536F"/>
    <w:rsid w:val="002762B8"/>
    <w:rsid w:val="00281C6F"/>
    <w:rsid w:val="0028582A"/>
    <w:rsid w:val="00285CFE"/>
    <w:rsid w:val="00286882"/>
    <w:rsid w:val="00287850"/>
    <w:rsid w:val="00287F04"/>
    <w:rsid w:val="002909BC"/>
    <w:rsid w:val="002912D8"/>
    <w:rsid w:val="00291349"/>
    <w:rsid w:val="00292731"/>
    <w:rsid w:val="00292D48"/>
    <w:rsid w:val="00293E1C"/>
    <w:rsid w:val="002A0075"/>
    <w:rsid w:val="002A14F7"/>
    <w:rsid w:val="002A1866"/>
    <w:rsid w:val="002A2DE2"/>
    <w:rsid w:val="002A3CC8"/>
    <w:rsid w:val="002B0055"/>
    <w:rsid w:val="002B1358"/>
    <w:rsid w:val="002B3157"/>
    <w:rsid w:val="002B3D3D"/>
    <w:rsid w:val="002B77BE"/>
    <w:rsid w:val="002C1BCF"/>
    <w:rsid w:val="002C35A5"/>
    <w:rsid w:val="002C42A2"/>
    <w:rsid w:val="002C6956"/>
    <w:rsid w:val="002C6CB3"/>
    <w:rsid w:val="002C7CDD"/>
    <w:rsid w:val="002C7FA5"/>
    <w:rsid w:val="002D0D65"/>
    <w:rsid w:val="002D3D97"/>
    <w:rsid w:val="002D45D2"/>
    <w:rsid w:val="002D5D75"/>
    <w:rsid w:val="002D6BB0"/>
    <w:rsid w:val="002D6C61"/>
    <w:rsid w:val="002D6F8C"/>
    <w:rsid w:val="002D795B"/>
    <w:rsid w:val="002E0AF4"/>
    <w:rsid w:val="002E0B83"/>
    <w:rsid w:val="002E3848"/>
    <w:rsid w:val="002E410D"/>
    <w:rsid w:val="002E61C9"/>
    <w:rsid w:val="002E7D64"/>
    <w:rsid w:val="002F3059"/>
    <w:rsid w:val="002F3616"/>
    <w:rsid w:val="002F36FD"/>
    <w:rsid w:val="002F544E"/>
    <w:rsid w:val="002F7920"/>
    <w:rsid w:val="003016B9"/>
    <w:rsid w:val="00304111"/>
    <w:rsid w:val="00310E64"/>
    <w:rsid w:val="00312CE4"/>
    <w:rsid w:val="00314E47"/>
    <w:rsid w:val="003220EF"/>
    <w:rsid w:val="00327681"/>
    <w:rsid w:val="00335A42"/>
    <w:rsid w:val="00341034"/>
    <w:rsid w:val="00344561"/>
    <w:rsid w:val="003456DC"/>
    <w:rsid w:val="00352ED0"/>
    <w:rsid w:val="00352FD8"/>
    <w:rsid w:val="003616E1"/>
    <w:rsid w:val="00363F7B"/>
    <w:rsid w:val="00364F74"/>
    <w:rsid w:val="00365A6E"/>
    <w:rsid w:val="00367FA1"/>
    <w:rsid w:val="00370498"/>
    <w:rsid w:val="00371B1D"/>
    <w:rsid w:val="00371CC6"/>
    <w:rsid w:val="00371D7D"/>
    <w:rsid w:val="00372BAD"/>
    <w:rsid w:val="00373F82"/>
    <w:rsid w:val="00374179"/>
    <w:rsid w:val="00374323"/>
    <w:rsid w:val="00375E19"/>
    <w:rsid w:val="00376B4B"/>
    <w:rsid w:val="00377825"/>
    <w:rsid w:val="0037787A"/>
    <w:rsid w:val="00377F01"/>
    <w:rsid w:val="003836EA"/>
    <w:rsid w:val="0038648D"/>
    <w:rsid w:val="003869CE"/>
    <w:rsid w:val="00387218"/>
    <w:rsid w:val="0038762B"/>
    <w:rsid w:val="00387BEA"/>
    <w:rsid w:val="00387E5C"/>
    <w:rsid w:val="0039188B"/>
    <w:rsid w:val="00394B6F"/>
    <w:rsid w:val="003959DB"/>
    <w:rsid w:val="00395FBC"/>
    <w:rsid w:val="003965F1"/>
    <w:rsid w:val="003975C8"/>
    <w:rsid w:val="00397AC8"/>
    <w:rsid w:val="003A2AB7"/>
    <w:rsid w:val="003A3711"/>
    <w:rsid w:val="003A4BB4"/>
    <w:rsid w:val="003A5A1D"/>
    <w:rsid w:val="003A5CF0"/>
    <w:rsid w:val="003B3666"/>
    <w:rsid w:val="003B4B86"/>
    <w:rsid w:val="003B5D4B"/>
    <w:rsid w:val="003B6940"/>
    <w:rsid w:val="003B6B7D"/>
    <w:rsid w:val="003C208F"/>
    <w:rsid w:val="003C5B21"/>
    <w:rsid w:val="003C7512"/>
    <w:rsid w:val="003D010D"/>
    <w:rsid w:val="003D40BE"/>
    <w:rsid w:val="003D43A4"/>
    <w:rsid w:val="003D6185"/>
    <w:rsid w:val="003E168F"/>
    <w:rsid w:val="003E1D54"/>
    <w:rsid w:val="003E2371"/>
    <w:rsid w:val="003E4170"/>
    <w:rsid w:val="003E55AE"/>
    <w:rsid w:val="003E6523"/>
    <w:rsid w:val="003E6E52"/>
    <w:rsid w:val="003E79BE"/>
    <w:rsid w:val="003F109D"/>
    <w:rsid w:val="003F352F"/>
    <w:rsid w:val="003F6E8D"/>
    <w:rsid w:val="003F772A"/>
    <w:rsid w:val="004007A5"/>
    <w:rsid w:val="004126EB"/>
    <w:rsid w:val="00413189"/>
    <w:rsid w:val="0041487F"/>
    <w:rsid w:val="00415BF5"/>
    <w:rsid w:val="00416C2D"/>
    <w:rsid w:val="00417C94"/>
    <w:rsid w:val="00421B25"/>
    <w:rsid w:val="00423B0A"/>
    <w:rsid w:val="004259F3"/>
    <w:rsid w:val="00435497"/>
    <w:rsid w:val="004365DB"/>
    <w:rsid w:val="004448C8"/>
    <w:rsid w:val="00444B08"/>
    <w:rsid w:val="00445FB1"/>
    <w:rsid w:val="0044752F"/>
    <w:rsid w:val="00447FB8"/>
    <w:rsid w:val="00451155"/>
    <w:rsid w:val="00455EBD"/>
    <w:rsid w:val="004602C4"/>
    <w:rsid w:val="004609ED"/>
    <w:rsid w:val="00464FA9"/>
    <w:rsid w:val="004736E5"/>
    <w:rsid w:val="00474C71"/>
    <w:rsid w:val="0048193B"/>
    <w:rsid w:val="004869F7"/>
    <w:rsid w:val="00487EFC"/>
    <w:rsid w:val="004921AA"/>
    <w:rsid w:val="00493DD7"/>
    <w:rsid w:val="004953CE"/>
    <w:rsid w:val="004954AD"/>
    <w:rsid w:val="00496A70"/>
    <w:rsid w:val="004B54F3"/>
    <w:rsid w:val="004B5CEF"/>
    <w:rsid w:val="004B68D9"/>
    <w:rsid w:val="004B7534"/>
    <w:rsid w:val="004B7F88"/>
    <w:rsid w:val="004C0EFE"/>
    <w:rsid w:val="004C1FD2"/>
    <w:rsid w:val="004C5574"/>
    <w:rsid w:val="004C610C"/>
    <w:rsid w:val="004C67C6"/>
    <w:rsid w:val="004C77C6"/>
    <w:rsid w:val="004C7D08"/>
    <w:rsid w:val="004C7D36"/>
    <w:rsid w:val="004D571D"/>
    <w:rsid w:val="004E15E8"/>
    <w:rsid w:val="004E1F20"/>
    <w:rsid w:val="004E4C86"/>
    <w:rsid w:val="004E6195"/>
    <w:rsid w:val="004E720C"/>
    <w:rsid w:val="004F18AF"/>
    <w:rsid w:val="004F5ABD"/>
    <w:rsid w:val="004F6903"/>
    <w:rsid w:val="005030F7"/>
    <w:rsid w:val="00504992"/>
    <w:rsid w:val="00505B76"/>
    <w:rsid w:val="005067A3"/>
    <w:rsid w:val="00507678"/>
    <w:rsid w:val="00513A22"/>
    <w:rsid w:val="0051724E"/>
    <w:rsid w:val="00517C86"/>
    <w:rsid w:val="00520F54"/>
    <w:rsid w:val="005211B7"/>
    <w:rsid w:val="005214E8"/>
    <w:rsid w:val="0052345C"/>
    <w:rsid w:val="005234B8"/>
    <w:rsid w:val="005240C0"/>
    <w:rsid w:val="0052499A"/>
    <w:rsid w:val="00527E57"/>
    <w:rsid w:val="00531ED0"/>
    <w:rsid w:val="005335A9"/>
    <w:rsid w:val="00534B97"/>
    <w:rsid w:val="00537885"/>
    <w:rsid w:val="00542E16"/>
    <w:rsid w:val="00543B9A"/>
    <w:rsid w:val="00543C59"/>
    <w:rsid w:val="00543E6F"/>
    <w:rsid w:val="00544F2F"/>
    <w:rsid w:val="00547C84"/>
    <w:rsid w:val="00547F40"/>
    <w:rsid w:val="00550C34"/>
    <w:rsid w:val="0055116B"/>
    <w:rsid w:val="00552DBC"/>
    <w:rsid w:val="005541B6"/>
    <w:rsid w:val="00556CD8"/>
    <w:rsid w:val="00560546"/>
    <w:rsid w:val="005659B4"/>
    <w:rsid w:val="00567EB4"/>
    <w:rsid w:val="0057130A"/>
    <w:rsid w:val="00574544"/>
    <w:rsid w:val="00580F8F"/>
    <w:rsid w:val="0058294B"/>
    <w:rsid w:val="005830D2"/>
    <w:rsid w:val="00586FBE"/>
    <w:rsid w:val="00587410"/>
    <w:rsid w:val="00594031"/>
    <w:rsid w:val="00594EF6"/>
    <w:rsid w:val="00596977"/>
    <w:rsid w:val="005A15B8"/>
    <w:rsid w:val="005A15CA"/>
    <w:rsid w:val="005A3656"/>
    <w:rsid w:val="005A43A3"/>
    <w:rsid w:val="005A6597"/>
    <w:rsid w:val="005A69F0"/>
    <w:rsid w:val="005A7481"/>
    <w:rsid w:val="005B013D"/>
    <w:rsid w:val="005B0D85"/>
    <w:rsid w:val="005B0F59"/>
    <w:rsid w:val="005B1DB1"/>
    <w:rsid w:val="005B64F4"/>
    <w:rsid w:val="005B77DA"/>
    <w:rsid w:val="005C2196"/>
    <w:rsid w:val="005C3528"/>
    <w:rsid w:val="005C36E6"/>
    <w:rsid w:val="005C3E12"/>
    <w:rsid w:val="005C617E"/>
    <w:rsid w:val="005D0052"/>
    <w:rsid w:val="005D0AA0"/>
    <w:rsid w:val="005D2542"/>
    <w:rsid w:val="005D3D14"/>
    <w:rsid w:val="005E0362"/>
    <w:rsid w:val="005E1354"/>
    <w:rsid w:val="005E4D4B"/>
    <w:rsid w:val="005E51DF"/>
    <w:rsid w:val="005F0094"/>
    <w:rsid w:val="005F3A4D"/>
    <w:rsid w:val="005F4853"/>
    <w:rsid w:val="005F55E3"/>
    <w:rsid w:val="005F6576"/>
    <w:rsid w:val="00601452"/>
    <w:rsid w:val="0060280E"/>
    <w:rsid w:val="006051B7"/>
    <w:rsid w:val="006063CC"/>
    <w:rsid w:val="00607346"/>
    <w:rsid w:val="00612686"/>
    <w:rsid w:val="00613ADE"/>
    <w:rsid w:val="006147A3"/>
    <w:rsid w:val="006168D2"/>
    <w:rsid w:val="006203C2"/>
    <w:rsid w:val="0062056D"/>
    <w:rsid w:val="0062446A"/>
    <w:rsid w:val="00627505"/>
    <w:rsid w:val="00631D94"/>
    <w:rsid w:val="00633BDA"/>
    <w:rsid w:val="00633EB2"/>
    <w:rsid w:val="00641B9A"/>
    <w:rsid w:val="00642F0A"/>
    <w:rsid w:val="00643089"/>
    <w:rsid w:val="006438D2"/>
    <w:rsid w:val="006456C4"/>
    <w:rsid w:val="006500A8"/>
    <w:rsid w:val="00651DED"/>
    <w:rsid w:val="00654A36"/>
    <w:rsid w:val="006555CF"/>
    <w:rsid w:val="00656AA4"/>
    <w:rsid w:val="00660DC7"/>
    <w:rsid w:val="00662705"/>
    <w:rsid w:val="00662FE3"/>
    <w:rsid w:val="0066316D"/>
    <w:rsid w:val="006643F8"/>
    <w:rsid w:val="00665C0D"/>
    <w:rsid w:val="00665C30"/>
    <w:rsid w:val="00667EFF"/>
    <w:rsid w:val="006700F6"/>
    <w:rsid w:val="006705DE"/>
    <w:rsid w:val="00671B54"/>
    <w:rsid w:val="006739C0"/>
    <w:rsid w:val="00674F47"/>
    <w:rsid w:val="00675449"/>
    <w:rsid w:val="00675FDC"/>
    <w:rsid w:val="00677235"/>
    <w:rsid w:val="0068243B"/>
    <w:rsid w:val="00683804"/>
    <w:rsid w:val="00685728"/>
    <w:rsid w:val="0068713F"/>
    <w:rsid w:val="00692164"/>
    <w:rsid w:val="006943E4"/>
    <w:rsid w:val="00694DCA"/>
    <w:rsid w:val="00695C65"/>
    <w:rsid w:val="00697339"/>
    <w:rsid w:val="006A53F0"/>
    <w:rsid w:val="006B0A0A"/>
    <w:rsid w:val="006B2211"/>
    <w:rsid w:val="006B52EB"/>
    <w:rsid w:val="006C0049"/>
    <w:rsid w:val="006C00F0"/>
    <w:rsid w:val="006C0135"/>
    <w:rsid w:val="006C0270"/>
    <w:rsid w:val="006C0346"/>
    <w:rsid w:val="006C0FE4"/>
    <w:rsid w:val="006C235D"/>
    <w:rsid w:val="006C2381"/>
    <w:rsid w:val="006C2908"/>
    <w:rsid w:val="006C3D72"/>
    <w:rsid w:val="006C4871"/>
    <w:rsid w:val="006C5AA1"/>
    <w:rsid w:val="006C5AD0"/>
    <w:rsid w:val="006C719F"/>
    <w:rsid w:val="006D1110"/>
    <w:rsid w:val="006D1616"/>
    <w:rsid w:val="006D36BB"/>
    <w:rsid w:val="006D3A4F"/>
    <w:rsid w:val="006D4930"/>
    <w:rsid w:val="006D6156"/>
    <w:rsid w:val="006E0E4C"/>
    <w:rsid w:val="006E0F24"/>
    <w:rsid w:val="006E1BE7"/>
    <w:rsid w:val="006E238C"/>
    <w:rsid w:val="006E4ADD"/>
    <w:rsid w:val="006E578D"/>
    <w:rsid w:val="006E64E2"/>
    <w:rsid w:val="006F4D52"/>
    <w:rsid w:val="00703331"/>
    <w:rsid w:val="007039BA"/>
    <w:rsid w:val="00704514"/>
    <w:rsid w:val="00704695"/>
    <w:rsid w:val="00704ED8"/>
    <w:rsid w:val="00706006"/>
    <w:rsid w:val="0070678D"/>
    <w:rsid w:val="00711046"/>
    <w:rsid w:val="00713C0B"/>
    <w:rsid w:val="00714D85"/>
    <w:rsid w:val="0071505E"/>
    <w:rsid w:val="00717BBB"/>
    <w:rsid w:val="00723DF2"/>
    <w:rsid w:val="00726880"/>
    <w:rsid w:val="00727550"/>
    <w:rsid w:val="007275A9"/>
    <w:rsid w:val="00730332"/>
    <w:rsid w:val="00731A93"/>
    <w:rsid w:val="007320D0"/>
    <w:rsid w:val="00734A3B"/>
    <w:rsid w:val="00742494"/>
    <w:rsid w:val="00742DA8"/>
    <w:rsid w:val="0074310C"/>
    <w:rsid w:val="007435A0"/>
    <w:rsid w:val="00744DC7"/>
    <w:rsid w:val="00747A3B"/>
    <w:rsid w:val="00750F7B"/>
    <w:rsid w:val="007520BC"/>
    <w:rsid w:val="00753AB4"/>
    <w:rsid w:val="00753E82"/>
    <w:rsid w:val="007546FF"/>
    <w:rsid w:val="00755984"/>
    <w:rsid w:val="00762DE3"/>
    <w:rsid w:val="00765C80"/>
    <w:rsid w:val="007675D7"/>
    <w:rsid w:val="00772E09"/>
    <w:rsid w:val="00772F48"/>
    <w:rsid w:val="007735F5"/>
    <w:rsid w:val="0077457A"/>
    <w:rsid w:val="0077684C"/>
    <w:rsid w:val="007823A7"/>
    <w:rsid w:val="00782BFC"/>
    <w:rsid w:val="007830DD"/>
    <w:rsid w:val="00784EA7"/>
    <w:rsid w:val="007940DF"/>
    <w:rsid w:val="00795585"/>
    <w:rsid w:val="007972EB"/>
    <w:rsid w:val="007A105A"/>
    <w:rsid w:val="007B0D55"/>
    <w:rsid w:val="007B5F64"/>
    <w:rsid w:val="007B6F1C"/>
    <w:rsid w:val="007C260A"/>
    <w:rsid w:val="007C303A"/>
    <w:rsid w:val="007C5687"/>
    <w:rsid w:val="007D0855"/>
    <w:rsid w:val="007D2961"/>
    <w:rsid w:val="007D4DC5"/>
    <w:rsid w:val="007D5748"/>
    <w:rsid w:val="007E04E0"/>
    <w:rsid w:val="007E0B1D"/>
    <w:rsid w:val="007E0BB4"/>
    <w:rsid w:val="007E7BE6"/>
    <w:rsid w:val="007F2841"/>
    <w:rsid w:val="008019DC"/>
    <w:rsid w:val="00801B59"/>
    <w:rsid w:val="00804ED6"/>
    <w:rsid w:val="008061C9"/>
    <w:rsid w:val="008069BD"/>
    <w:rsid w:val="0081319C"/>
    <w:rsid w:val="00814DAA"/>
    <w:rsid w:val="00821E99"/>
    <w:rsid w:val="008237D9"/>
    <w:rsid w:val="00825274"/>
    <w:rsid w:val="008256EE"/>
    <w:rsid w:val="0083029C"/>
    <w:rsid w:val="00830DA4"/>
    <w:rsid w:val="00832AC9"/>
    <w:rsid w:val="008346B2"/>
    <w:rsid w:val="00835425"/>
    <w:rsid w:val="008377F6"/>
    <w:rsid w:val="00840EEA"/>
    <w:rsid w:val="008447AF"/>
    <w:rsid w:val="00846E84"/>
    <w:rsid w:val="0085026F"/>
    <w:rsid w:val="008516D6"/>
    <w:rsid w:val="00852C51"/>
    <w:rsid w:val="00861814"/>
    <w:rsid w:val="00865399"/>
    <w:rsid w:val="00865469"/>
    <w:rsid w:val="00870054"/>
    <w:rsid w:val="008732C9"/>
    <w:rsid w:val="0088400F"/>
    <w:rsid w:val="00885550"/>
    <w:rsid w:val="0088769A"/>
    <w:rsid w:val="00891632"/>
    <w:rsid w:val="00893719"/>
    <w:rsid w:val="008A2D71"/>
    <w:rsid w:val="008A56FD"/>
    <w:rsid w:val="008A65B0"/>
    <w:rsid w:val="008B179B"/>
    <w:rsid w:val="008B2809"/>
    <w:rsid w:val="008C4221"/>
    <w:rsid w:val="008C47CC"/>
    <w:rsid w:val="008C5FDA"/>
    <w:rsid w:val="008C61CC"/>
    <w:rsid w:val="008C77BF"/>
    <w:rsid w:val="008D0700"/>
    <w:rsid w:val="008D1A4F"/>
    <w:rsid w:val="008D1FE6"/>
    <w:rsid w:val="008D339D"/>
    <w:rsid w:val="008D3987"/>
    <w:rsid w:val="008D6111"/>
    <w:rsid w:val="008E06EA"/>
    <w:rsid w:val="008E093A"/>
    <w:rsid w:val="008E14DB"/>
    <w:rsid w:val="008E31AF"/>
    <w:rsid w:val="008E57A6"/>
    <w:rsid w:val="008F3F63"/>
    <w:rsid w:val="008F542B"/>
    <w:rsid w:val="008F65BA"/>
    <w:rsid w:val="008F6F8F"/>
    <w:rsid w:val="00900C44"/>
    <w:rsid w:val="009042B2"/>
    <w:rsid w:val="00904B77"/>
    <w:rsid w:val="00911E6A"/>
    <w:rsid w:val="00912EB1"/>
    <w:rsid w:val="00912F57"/>
    <w:rsid w:val="0091414A"/>
    <w:rsid w:val="0091764E"/>
    <w:rsid w:val="009207A0"/>
    <w:rsid w:val="00920D5B"/>
    <w:rsid w:val="00921D59"/>
    <w:rsid w:val="009229A4"/>
    <w:rsid w:val="00924D09"/>
    <w:rsid w:val="00925C34"/>
    <w:rsid w:val="00926679"/>
    <w:rsid w:val="00927AFE"/>
    <w:rsid w:val="00931426"/>
    <w:rsid w:val="00931FAD"/>
    <w:rsid w:val="00933FC1"/>
    <w:rsid w:val="00941558"/>
    <w:rsid w:val="00943745"/>
    <w:rsid w:val="00945342"/>
    <w:rsid w:val="00946F35"/>
    <w:rsid w:val="00953F20"/>
    <w:rsid w:val="00953F9B"/>
    <w:rsid w:val="00957F6B"/>
    <w:rsid w:val="00960D0A"/>
    <w:rsid w:val="009632AD"/>
    <w:rsid w:val="00964D5F"/>
    <w:rsid w:val="0097128B"/>
    <w:rsid w:val="00973169"/>
    <w:rsid w:val="00973A70"/>
    <w:rsid w:val="00975119"/>
    <w:rsid w:val="0097729A"/>
    <w:rsid w:val="00982AAE"/>
    <w:rsid w:val="009834AE"/>
    <w:rsid w:val="00983634"/>
    <w:rsid w:val="009836B4"/>
    <w:rsid w:val="00983FC5"/>
    <w:rsid w:val="009852DB"/>
    <w:rsid w:val="00985F23"/>
    <w:rsid w:val="00986AF5"/>
    <w:rsid w:val="00987F31"/>
    <w:rsid w:val="00996223"/>
    <w:rsid w:val="009A1795"/>
    <w:rsid w:val="009A6B42"/>
    <w:rsid w:val="009B0ECA"/>
    <w:rsid w:val="009B6A80"/>
    <w:rsid w:val="009B785A"/>
    <w:rsid w:val="009C2192"/>
    <w:rsid w:val="009C6460"/>
    <w:rsid w:val="009C6468"/>
    <w:rsid w:val="009C7578"/>
    <w:rsid w:val="009D0CBD"/>
    <w:rsid w:val="009D5C5E"/>
    <w:rsid w:val="009E0E14"/>
    <w:rsid w:val="009E2092"/>
    <w:rsid w:val="009E500F"/>
    <w:rsid w:val="009E5973"/>
    <w:rsid w:val="009E6C3E"/>
    <w:rsid w:val="009F1ECA"/>
    <w:rsid w:val="00A00B49"/>
    <w:rsid w:val="00A0219B"/>
    <w:rsid w:val="00A12E6C"/>
    <w:rsid w:val="00A130A2"/>
    <w:rsid w:val="00A21CE9"/>
    <w:rsid w:val="00A22675"/>
    <w:rsid w:val="00A23841"/>
    <w:rsid w:val="00A23931"/>
    <w:rsid w:val="00A25971"/>
    <w:rsid w:val="00A25A3B"/>
    <w:rsid w:val="00A26D84"/>
    <w:rsid w:val="00A27033"/>
    <w:rsid w:val="00A42BAD"/>
    <w:rsid w:val="00A431EA"/>
    <w:rsid w:val="00A4591C"/>
    <w:rsid w:val="00A45EAB"/>
    <w:rsid w:val="00A46741"/>
    <w:rsid w:val="00A47870"/>
    <w:rsid w:val="00A51003"/>
    <w:rsid w:val="00A545D5"/>
    <w:rsid w:val="00A54AAC"/>
    <w:rsid w:val="00A55424"/>
    <w:rsid w:val="00A56B64"/>
    <w:rsid w:val="00A56ED5"/>
    <w:rsid w:val="00A57F6B"/>
    <w:rsid w:val="00A60E7F"/>
    <w:rsid w:val="00A63E2B"/>
    <w:rsid w:val="00A642D2"/>
    <w:rsid w:val="00A6573A"/>
    <w:rsid w:val="00A75313"/>
    <w:rsid w:val="00A773E1"/>
    <w:rsid w:val="00A82033"/>
    <w:rsid w:val="00A8393F"/>
    <w:rsid w:val="00A84056"/>
    <w:rsid w:val="00A86AFF"/>
    <w:rsid w:val="00A92FA1"/>
    <w:rsid w:val="00A94C1B"/>
    <w:rsid w:val="00A96665"/>
    <w:rsid w:val="00A96B1E"/>
    <w:rsid w:val="00AA0735"/>
    <w:rsid w:val="00AA0C8C"/>
    <w:rsid w:val="00AA6E4D"/>
    <w:rsid w:val="00AA7369"/>
    <w:rsid w:val="00AA7593"/>
    <w:rsid w:val="00AB1401"/>
    <w:rsid w:val="00AB175F"/>
    <w:rsid w:val="00AB1AE2"/>
    <w:rsid w:val="00AB524D"/>
    <w:rsid w:val="00AB5AF6"/>
    <w:rsid w:val="00AB5D8D"/>
    <w:rsid w:val="00AB6ED6"/>
    <w:rsid w:val="00AB7CB8"/>
    <w:rsid w:val="00AB7FDE"/>
    <w:rsid w:val="00AC2807"/>
    <w:rsid w:val="00AC50DF"/>
    <w:rsid w:val="00AC6935"/>
    <w:rsid w:val="00AC78AA"/>
    <w:rsid w:val="00AD014C"/>
    <w:rsid w:val="00AD1EC1"/>
    <w:rsid w:val="00AD27AF"/>
    <w:rsid w:val="00AD37E1"/>
    <w:rsid w:val="00AD5212"/>
    <w:rsid w:val="00AD7C18"/>
    <w:rsid w:val="00AE0666"/>
    <w:rsid w:val="00AE1FED"/>
    <w:rsid w:val="00AE26B7"/>
    <w:rsid w:val="00AE673A"/>
    <w:rsid w:val="00AF09CF"/>
    <w:rsid w:val="00AF1152"/>
    <w:rsid w:val="00AF2FDB"/>
    <w:rsid w:val="00AF7F06"/>
    <w:rsid w:val="00AF7F8F"/>
    <w:rsid w:val="00B0179A"/>
    <w:rsid w:val="00B04983"/>
    <w:rsid w:val="00B05FC6"/>
    <w:rsid w:val="00B10AE9"/>
    <w:rsid w:val="00B15CBE"/>
    <w:rsid w:val="00B232D4"/>
    <w:rsid w:val="00B31CCB"/>
    <w:rsid w:val="00B328B4"/>
    <w:rsid w:val="00B34AAB"/>
    <w:rsid w:val="00B359E3"/>
    <w:rsid w:val="00B35DB2"/>
    <w:rsid w:val="00B36024"/>
    <w:rsid w:val="00B4086C"/>
    <w:rsid w:val="00B420F5"/>
    <w:rsid w:val="00B43A1D"/>
    <w:rsid w:val="00B4788C"/>
    <w:rsid w:val="00B5292E"/>
    <w:rsid w:val="00B52CDD"/>
    <w:rsid w:val="00B53A3A"/>
    <w:rsid w:val="00B616CB"/>
    <w:rsid w:val="00B6197B"/>
    <w:rsid w:val="00B61A53"/>
    <w:rsid w:val="00B61BA5"/>
    <w:rsid w:val="00B62143"/>
    <w:rsid w:val="00B62A95"/>
    <w:rsid w:val="00B63AD5"/>
    <w:rsid w:val="00B6710F"/>
    <w:rsid w:val="00B67900"/>
    <w:rsid w:val="00B67AA3"/>
    <w:rsid w:val="00B70920"/>
    <w:rsid w:val="00B71E0F"/>
    <w:rsid w:val="00B72C99"/>
    <w:rsid w:val="00B76D19"/>
    <w:rsid w:val="00B77A05"/>
    <w:rsid w:val="00B83A70"/>
    <w:rsid w:val="00B85326"/>
    <w:rsid w:val="00B853D1"/>
    <w:rsid w:val="00B856CD"/>
    <w:rsid w:val="00B871EE"/>
    <w:rsid w:val="00B873A7"/>
    <w:rsid w:val="00B923F6"/>
    <w:rsid w:val="00B93E29"/>
    <w:rsid w:val="00BA1480"/>
    <w:rsid w:val="00BA2CE8"/>
    <w:rsid w:val="00BA38B3"/>
    <w:rsid w:val="00BA56B7"/>
    <w:rsid w:val="00BB0192"/>
    <w:rsid w:val="00BB48DD"/>
    <w:rsid w:val="00BB6D82"/>
    <w:rsid w:val="00BC04CD"/>
    <w:rsid w:val="00BC37A8"/>
    <w:rsid w:val="00BC471B"/>
    <w:rsid w:val="00BD0D05"/>
    <w:rsid w:val="00BD33C4"/>
    <w:rsid w:val="00BD3BD6"/>
    <w:rsid w:val="00BD6A5B"/>
    <w:rsid w:val="00BD6CF5"/>
    <w:rsid w:val="00BD767D"/>
    <w:rsid w:val="00BD77A6"/>
    <w:rsid w:val="00BE1052"/>
    <w:rsid w:val="00BE178C"/>
    <w:rsid w:val="00BE1C8E"/>
    <w:rsid w:val="00BE34C5"/>
    <w:rsid w:val="00BE49E3"/>
    <w:rsid w:val="00BE4FD7"/>
    <w:rsid w:val="00BE716D"/>
    <w:rsid w:val="00BF05D4"/>
    <w:rsid w:val="00C07046"/>
    <w:rsid w:val="00C07C36"/>
    <w:rsid w:val="00C10A0E"/>
    <w:rsid w:val="00C1715C"/>
    <w:rsid w:val="00C17353"/>
    <w:rsid w:val="00C17EE9"/>
    <w:rsid w:val="00C2147F"/>
    <w:rsid w:val="00C2157D"/>
    <w:rsid w:val="00C21587"/>
    <w:rsid w:val="00C21648"/>
    <w:rsid w:val="00C21E86"/>
    <w:rsid w:val="00C25FCB"/>
    <w:rsid w:val="00C269F8"/>
    <w:rsid w:val="00C30D1E"/>
    <w:rsid w:val="00C333DF"/>
    <w:rsid w:val="00C36754"/>
    <w:rsid w:val="00C37E5E"/>
    <w:rsid w:val="00C4464A"/>
    <w:rsid w:val="00C47212"/>
    <w:rsid w:val="00C52FB2"/>
    <w:rsid w:val="00C60FA5"/>
    <w:rsid w:val="00C61FB4"/>
    <w:rsid w:val="00C63C9E"/>
    <w:rsid w:val="00C64EA5"/>
    <w:rsid w:val="00C650D3"/>
    <w:rsid w:val="00C705BA"/>
    <w:rsid w:val="00C72A03"/>
    <w:rsid w:val="00C731E0"/>
    <w:rsid w:val="00C76819"/>
    <w:rsid w:val="00C80C14"/>
    <w:rsid w:val="00C81403"/>
    <w:rsid w:val="00C81853"/>
    <w:rsid w:val="00C8230B"/>
    <w:rsid w:val="00C84552"/>
    <w:rsid w:val="00C86835"/>
    <w:rsid w:val="00C8720B"/>
    <w:rsid w:val="00C94EA5"/>
    <w:rsid w:val="00C95F6C"/>
    <w:rsid w:val="00C9762F"/>
    <w:rsid w:val="00CA3CAE"/>
    <w:rsid w:val="00CA4343"/>
    <w:rsid w:val="00CA441A"/>
    <w:rsid w:val="00CA6609"/>
    <w:rsid w:val="00CB2654"/>
    <w:rsid w:val="00CB3680"/>
    <w:rsid w:val="00CB3914"/>
    <w:rsid w:val="00CB566E"/>
    <w:rsid w:val="00CB65B7"/>
    <w:rsid w:val="00CB6D80"/>
    <w:rsid w:val="00CC4329"/>
    <w:rsid w:val="00CC59C8"/>
    <w:rsid w:val="00CC79B6"/>
    <w:rsid w:val="00CC7E26"/>
    <w:rsid w:val="00CD3B18"/>
    <w:rsid w:val="00CD54B2"/>
    <w:rsid w:val="00CD6A1F"/>
    <w:rsid w:val="00CD6D2B"/>
    <w:rsid w:val="00CE10FC"/>
    <w:rsid w:val="00CE1B9A"/>
    <w:rsid w:val="00CE3354"/>
    <w:rsid w:val="00CE6474"/>
    <w:rsid w:val="00CF074D"/>
    <w:rsid w:val="00D0000C"/>
    <w:rsid w:val="00D01729"/>
    <w:rsid w:val="00D01D12"/>
    <w:rsid w:val="00D10261"/>
    <w:rsid w:val="00D134C8"/>
    <w:rsid w:val="00D14B00"/>
    <w:rsid w:val="00D1501C"/>
    <w:rsid w:val="00D15F9F"/>
    <w:rsid w:val="00D16082"/>
    <w:rsid w:val="00D16F67"/>
    <w:rsid w:val="00D21218"/>
    <w:rsid w:val="00D21B9F"/>
    <w:rsid w:val="00D22CD6"/>
    <w:rsid w:val="00D2405D"/>
    <w:rsid w:val="00D3664E"/>
    <w:rsid w:val="00D3759B"/>
    <w:rsid w:val="00D4046C"/>
    <w:rsid w:val="00D40C7B"/>
    <w:rsid w:val="00D433C4"/>
    <w:rsid w:val="00D4416C"/>
    <w:rsid w:val="00D44B8D"/>
    <w:rsid w:val="00D4568F"/>
    <w:rsid w:val="00D459A7"/>
    <w:rsid w:val="00D465EB"/>
    <w:rsid w:val="00D5119F"/>
    <w:rsid w:val="00D569CE"/>
    <w:rsid w:val="00D5717A"/>
    <w:rsid w:val="00D611F3"/>
    <w:rsid w:val="00D62429"/>
    <w:rsid w:val="00D63115"/>
    <w:rsid w:val="00D65415"/>
    <w:rsid w:val="00D736C5"/>
    <w:rsid w:val="00D7564B"/>
    <w:rsid w:val="00D8016F"/>
    <w:rsid w:val="00D8038F"/>
    <w:rsid w:val="00D80742"/>
    <w:rsid w:val="00D81767"/>
    <w:rsid w:val="00D82D2F"/>
    <w:rsid w:val="00D839E6"/>
    <w:rsid w:val="00D83E54"/>
    <w:rsid w:val="00D852ED"/>
    <w:rsid w:val="00D91A7A"/>
    <w:rsid w:val="00D94E03"/>
    <w:rsid w:val="00D9534D"/>
    <w:rsid w:val="00D95424"/>
    <w:rsid w:val="00D956CE"/>
    <w:rsid w:val="00DA0A6C"/>
    <w:rsid w:val="00DA1E13"/>
    <w:rsid w:val="00DA64F0"/>
    <w:rsid w:val="00DB2FBD"/>
    <w:rsid w:val="00DB50D8"/>
    <w:rsid w:val="00DC156B"/>
    <w:rsid w:val="00DC324E"/>
    <w:rsid w:val="00DC5F7E"/>
    <w:rsid w:val="00DD0791"/>
    <w:rsid w:val="00DD091F"/>
    <w:rsid w:val="00DD24C2"/>
    <w:rsid w:val="00DE183E"/>
    <w:rsid w:val="00DE2007"/>
    <w:rsid w:val="00DE242E"/>
    <w:rsid w:val="00DE3989"/>
    <w:rsid w:val="00DE3C9A"/>
    <w:rsid w:val="00DE46A2"/>
    <w:rsid w:val="00DE55FC"/>
    <w:rsid w:val="00DF4159"/>
    <w:rsid w:val="00DF6864"/>
    <w:rsid w:val="00DF6E92"/>
    <w:rsid w:val="00DF7538"/>
    <w:rsid w:val="00E021BF"/>
    <w:rsid w:val="00E02FDD"/>
    <w:rsid w:val="00E06A7D"/>
    <w:rsid w:val="00E1094C"/>
    <w:rsid w:val="00E11F10"/>
    <w:rsid w:val="00E13230"/>
    <w:rsid w:val="00E13E5C"/>
    <w:rsid w:val="00E14014"/>
    <w:rsid w:val="00E16303"/>
    <w:rsid w:val="00E166CA"/>
    <w:rsid w:val="00E17D83"/>
    <w:rsid w:val="00E21852"/>
    <w:rsid w:val="00E22925"/>
    <w:rsid w:val="00E23A4E"/>
    <w:rsid w:val="00E2751D"/>
    <w:rsid w:val="00E30199"/>
    <w:rsid w:val="00E31F8F"/>
    <w:rsid w:val="00E4050F"/>
    <w:rsid w:val="00E434B5"/>
    <w:rsid w:val="00E43525"/>
    <w:rsid w:val="00E4539D"/>
    <w:rsid w:val="00E45DAE"/>
    <w:rsid w:val="00E5108F"/>
    <w:rsid w:val="00E51C55"/>
    <w:rsid w:val="00E5287D"/>
    <w:rsid w:val="00E54AB6"/>
    <w:rsid w:val="00E5510A"/>
    <w:rsid w:val="00E56601"/>
    <w:rsid w:val="00E60C3D"/>
    <w:rsid w:val="00E643A3"/>
    <w:rsid w:val="00E701E5"/>
    <w:rsid w:val="00E7026E"/>
    <w:rsid w:val="00E727FD"/>
    <w:rsid w:val="00E73F21"/>
    <w:rsid w:val="00E742FA"/>
    <w:rsid w:val="00E74329"/>
    <w:rsid w:val="00E768A9"/>
    <w:rsid w:val="00E77714"/>
    <w:rsid w:val="00E80EF9"/>
    <w:rsid w:val="00E81A6F"/>
    <w:rsid w:val="00E84271"/>
    <w:rsid w:val="00E85F72"/>
    <w:rsid w:val="00E865F6"/>
    <w:rsid w:val="00E92102"/>
    <w:rsid w:val="00E9275B"/>
    <w:rsid w:val="00E93995"/>
    <w:rsid w:val="00E94C31"/>
    <w:rsid w:val="00EA4507"/>
    <w:rsid w:val="00EA67A4"/>
    <w:rsid w:val="00EB29D3"/>
    <w:rsid w:val="00EB56D3"/>
    <w:rsid w:val="00EB59C8"/>
    <w:rsid w:val="00EB7D78"/>
    <w:rsid w:val="00EC1086"/>
    <w:rsid w:val="00EC2303"/>
    <w:rsid w:val="00ED1E38"/>
    <w:rsid w:val="00ED27FA"/>
    <w:rsid w:val="00ED344C"/>
    <w:rsid w:val="00ED4F42"/>
    <w:rsid w:val="00ED5F45"/>
    <w:rsid w:val="00ED674F"/>
    <w:rsid w:val="00EE0945"/>
    <w:rsid w:val="00EE4838"/>
    <w:rsid w:val="00EE5090"/>
    <w:rsid w:val="00EE62A2"/>
    <w:rsid w:val="00EE7176"/>
    <w:rsid w:val="00EF00D3"/>
    <w:rsid w:val="00EF4889"/>
    <w:rsid w:val="00EF55E1"/>
    <w:rsid w:val="00EF657D"/>
    <w:rsid w:val="00EF65B2"/>
    <w:rsid w:val="00F036F8"/>
    <w:rsid w:val="00F0571B"/>
    <w:rsid w:val="00F05CC9"/>
    <w:rsid w:val="00F07D91"/>
    <w:rsid w:val="00F10B4B"/>
    <w:rsid w:val="00F11CEB"/>
    <w:rsid w:val="00F13395"/>
    <w:rsid w:val="00F165E4"/>
    <w:rsid w:val="00F16A11"/>
    <w:rsid w:val="00F20190"/>
    <w:rsid w:val="00F25222"/>
    <w:rsid w:val="00F25622"/>
    <w:rsid w:val="00F27075"/>
    <w:rsid w:val="00F330C8"/>
    <w:rsid w:val="00F34BDF"/>
    <w:rsid w:val="00F44A0F"/>
    <w:rsid w:val="00F45866"/>
    <w:rsid w:val="00F45CF6"/>
    <w:rsid w:val="00F461E3"/>
    <w:rsid w:val="00F470A1"/>
    <w:rsid w:val="00F51268"/>
    <w:rsid w:val="00F5327E"/>
    <w:rsid w:val="00F54132"/>
    <w:rsid w:val="00F568A6"/>
    <w:rsid w:val="00F57AEF"/>
    <w:rsid w:val="00F6144C"/>
    <w:rsid w:val="00F64672"/>
    <w:rsid w:val="00F67FFC"/>
    <w:rsid w:val="00F7089B"/>
    <w:rsid w:val="00F70BCA"/>
    <w:rsid w:val="00F74A7D"/>
    <w:rsid w:val="00F77641"/>
    <w:rsid w:val="00F838ED"/>
    <w:rsid w:val="00F83DD0"/>
    <w:rsid w:val="00F84D7B"/>
    <w:rsid w:val="00F856A5"/>
    <w:rsid w:val="00F87A75"/>
    <w:rsid w:val="00F92789"/>
    <w:rsid w:val="00F9695C"/>
    <w:rsid w:val="00F96DDE"/>
    <w:rsid w:val="00F975CA"/>
    <w:rsid w:val="00FA07E1"/>
    <w:rsid w:val="00FA1B5A"/>
    <w:rsid w:val="00FA2EA0"/>
    <w:rsid w:val="00FB168B"/>
    <w:rsid w:val="00FB2E85"/>
    <w:rsid w:val="00FB3300"/>
    <w:rsid w:val="00FB3694"/>
    <w:rsid w:val="00FB397C"/>
    <w:rsid w:val="00FC25F1"/>
    <w:rsid w:val="00FC535C"/>
    <w:rsid w:val="00FC5FC5"/>
    <w:rsid w:val="00FC6444"/>
    <w:rsid w:val="00FD420B"/>
    <w:rsid w:val="00FD4DFF"/>
    <w:rsid w:val="00FD5EAB"/>
    <w:rsid w:val="00FE0DE0"/>
    <w:rsid w:val="00FE3170"/>
    <w:rsid w:val="00FE6C9B"/>
    <w:rsid w:val="00FE75BD"/>
    <w:rsid w:val="00FE78E8"/>
    <w:rsid w:val="00FF28DA"/>
    <w:rsid w:val="00FF511C"/>
    <w:rsid w:val="00FF648E"/>
    <w:rsid w:val="00FF77F4"/>
    <w:rsid w:val="00FF7B8F"/>
    <w:rsid w:val="00FF7C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22C5A6"/>
  <w14:defaultImageDpi w14:val="0"/>
  <w15:docId w15:val="{36E9C7F3-EA13-4B36-AFEE-6F81C0E8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5A1D"/>
    <w:pPr>
      <w:spacing w:after="200" w:line="276" w:lineRule="auto"/>
    </w:pPr>
    <w:rPr>
      <w:sz w:val="22"/>
      <w:szCs w:val="22"/>
      <w:lang w:eastAsia="en-US"/>
    </w:rPr>
  </w:style>
  <w:style w:type="paragraph" w:styleId="Nadpis1">
    <w:name w:val="heading 1"/>
    <w:basedOn w:val="Normlny"/>
    <w:next w:val="Normlny"/>
    <w:link w:val="Nadpis1Char"/>
    <w:uiPriority w:val="99"/>
    <w:qFormat/>
    <w:rsid w:val="00374323"/>
    <w:pPr>
      <w:keepNext/>
      <w:spacing w:after="0" w:line="240" w:lineRule="auto"/>
      <w:jc w:val="center"/>
      <w:outlineLvl w:val="0"/>
    </w:pPr>
    <w:rPr>
      <w:rFonts w:ascii="Arial" w:hAnsi="Arial" w:cs="Arial"/>
      <w:b/>
      <w:bCs/>
      <w:color w:val="000000"/>
      <w:sz w:val="28"/>
      <w:szCs w:val="28"/>
      <w:lang w:eastAsia="sk-SK"/>
    </w:rPr>
  </w:style>
  <w:style w:type="paragraph" w:styleId="Nadpis5">
    <w:name w:val="heading 5"/>
    <w:basedOn w:val="Normlny"/>
    <w:next w:val="Normlny"/>
    <w:link w:val="Nadpis5Char"/>
    <w:uiPriority w:val="99"/>
    <w:qFormat/>
    <w:rsid w:val="00374323"/>
    <w:pPr>
      <w:keepNext/>
      <w:spacing w:after="0" w:line="240" w:lineRule="auto"/>
      <w:jc w:val="both"/>
      <w:outlineLvl w:val="4"/>
    </w:pPr>
    <w:rPr>
      <w:rFonts w:ascii="Arial" w:hAnsi="Arial" w:cs="Arial"/>
      <w:color w:val="FF0000"/>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374323"/>
    <w:rPr>
      <w:rFonts w:ascii="Arial" w:hAnsi="Arial" w:cs="Times New Roman"/>
      <w:b/>
      <w:color w:val="000000"/>
      <w:sz w:val="24"/>
      <w:lang w:val="x-none" w:eastAsia="sk-SK"/>
    </w:rPr>
  </w:style>
  <w:style w:type="character" w:customStyle="1" w:styleId="Nadpis5Char">
    <w:name w:val="Nadpis 5 Char"/>
    <w:link w:val="Nadpis5"/>
    <w:uiPriority w:val="99"/>
    <w:semiHidden/>
    <w:locked/>
    <w:rsid w:val="00374323"/>
    <w:rPr>
      <w:rFonts w:ascii="Arial" w:hAnsi="Arial" w:cs="Times New Roman"/>
      <w:color w:val="FF0000"/>
      <w:sz w:val="24"/>
      <w:lang w:val="x-none" w:eastAsia="sk-SK"/>
    </w:rPr>
  </w:style>
  <w:style w:type="paragraph" w:styleId="Hlavika">
    <w:name w:val="header"/>
    <w:basedOn w:val="Normlny"/>
    <w:link w:val="HlavikaChar"/>
    <w:uiPriority w:val="99"/>
    <w:rsid w:val="00374323"/>
    <w:pPr>
      <w:tabs>
        <w:tab w:val="center" w:pos="4536"/>
        <w:tab w:val="right" w:pos="9072"/>
      </w:tabs>
      <w:spacing w:after="0" w:line="240" w:lineRule="auto"/>
    </w:pPr>
    <w:rPr>
      <w:rFonts w:cs="Times New Roman"/>
      <w:sz w:val="24"/>
      <w:szCs w:val="24"/>
      <w:lang w:eastAsia="sk-SK"/>
    </w:rPr>
  </w:style>
  <w:style w:type="character" w:customStyle="1" w:styleId="HlavikaChar">
    <w:name w:val="Hlavička Char"/>
    <w:link w:val="Hlavika"/>
    <w:uiPriority w:val="99"/>
    <w:locked/>
    <w:rsid w:val="00374323"/>
    <w:rPr>
      <w:rFonts w:ascii="Times New Roman" w:hAnsi="Times New Roman" w:cs="Times New Roman"/>
      <w:sz w:val="24"/>
      <w:lang w:val="x-none" w:eastAsia="sk-SK"/>
    </w:rPr>
  </w:style>
  <w:style w:type="paragraph" w:styleId="Pta">
    <w:name w:val="footer"/>
    <w:basedOn w:val="Normlny"/>
    <w:link w:val="PtaChar"/>
    <w:uiPriority w:val="99"/>
    <w:rsid w:val="00374323"/>
    <w:pPr>
      <w:tabs>
        <w:tab w:val="center" w:pos="4536"/>
        <w:tab w:val="right" w:pos="9072"/>
      </w:tabs>
      <w:spacing w:after="0" w:line="240" w:lineRule="auto"/>
    </w:pPr>
    <w:rPr>
      <w:rFonts w:cs="Times New Roman"/>
      <w:sz w:val="24"/>
      <w:szCs w:val="24"/>
      <w:lang w:eastAsia="sk-SK"/>
    </w:rPr>
  </w:style>
  <w:style w:type="character" w:customStyle="1" w:styleId="PtaChar">
    <w:name w:val="Päta Char"/>
    <w:link w:val="Pta"/>
    <w:uiPriority w:val="99"/>
    <w:locked/>
    <w:rsid w:val="00374323"/>
    <w:rPr>
      <w:rFonts w:ascii="Times New Roman" w:hAnsi="Times New Roman" w:cs="Times New Roman"/>
      <w:sz w:val="24"/>
      <w:lang w:val="x-none" w:eastAsia="sk-SK"/>
    </w:rPr>
  </w:style>
  <w:style w:type="paragraph" w:styleId="Zkladntext">
    <w:name w:val="Body Text"/>
    <w:basedOn w:val="Normlny"/>
    <w:link w:val="ZkladntextChar"/>
    <w:uiPriority w:val="99"/>
    <w:semiHidden/>
    <w:rsid w:val="00374323"/>
    <w:pPr>
      <w:spacing w:after="240" w:line="240" w:lineRule="auto"/>
    </w:pPr>
    <w:rPr>
      <w:rFonts w:ascii="ms sans serif" w:hAnsi="ms sans serif" w:cs="ms sans serif"/>
      <w:color w:val="000000"/>
      <w:sz w:val="20"/>
      <w:szCs w:val="20"/>
      <w:lang w:eastAsia="sk-SK"/>
    </w:rPr>
  </w:style>
  <w:style w:type="character" w:customStyle="1" w:styleId="ZkladntextChar">
    <w:name w:val="Základný text Char"/>
    <w:link w:val="Zkladntext"/>
    <w:uiPriority w:val="99"/>
    <w:semiHidden/>
    <w:locked/>
    <w:rsid w:val="00374323"/>
    <w:rPr>
      <w:rFonts w:ascii="ms sans serif" w:hAnsi="ms sans serif" w:cs="Times New Roman"/>
      <w:color w:val="000000"/>
      <w:sz w:val="20"/>
      <w:lang w:val="x-none" w:eastAsia="sk-SK"/>
    </w:rPr>
  </w:style>
  <w:style w:type="paragraph" w:styleId="Zarkazkladnhotextu">
    <w:name w:val="Body Text Indent"/>
    <w:basedOn w:val="Normlny"/>
    <w:link w:val="ZarkazkladnhotextuChar"/>
    <w:uiPriority w:val="99"/>
    <w:semiHidden/>
    <w:rsid w:val="00374323"/>
    <w:pPr>
      <w:spacing w:after="0" w:line="240" w:lineRule="auto"/>
      <w:ind w:left="360"/>
    </w:pPr>
    <w:rPr>
      <w:rFonts w:ascii="Arial" w:hAnsi="Arial" w:cs="Arial"/>
      <w:color w:val="000000"/>
      <w:sz w:val="20"/>
      <w:szCs w:val="20"/>
      <w:lang w:eastAsia="sk-SK"/>
    </w:rPr>
  </w:style>
  <w:style w:type="character" w:customStyle="1" w:styleId="ZarkazkladnhotextuChar">
    <w:name w:val="Zarážka základného textu Char"/>
    <w:link w:val="Zarkazkladnhotextu"/>
    <w:uiPriority w:val="99"/>
    <w:semiHidden/>
    <w:locked/>
    <w:rsid w:val="00374323"/>
    <w:rPr>
      <w:rFonts w:ascii="Arial" w:hAnsi="Arial" w:cs="Times New Roman"/>
      <w:color w:val="000000"/>
      <w:sz w:val="20"/>
      <w:lang w:val="x-none" w:eastAsia="sk-SK"/>
    </w:rPr>
  </w:style>
  <w:style w:type="paragraph" w:styleId="Zkladntext2">
    <w:name w:val="Body Text 2"/>
    <w:basedOn w:val="Normlny"/>
    <w:link w:val="Zkladntext2Char"/>
    <w:uiPriority w:val="99"/>
    <w:semiHidden/>
    <w:rsid w:val="00374323"/>
    <w:pPr>
      <w:spacing w:before="100" w:beforeAutospacing="1" w:after="100" w:afterAutospacing="1" w:line="240" w:lineRule="auto"/>
      <w:outlineLvl w:val="4"/>
    </w:pPr>
    <w:rPr>
      <w:rFonts w:ascii="Arial" w:hAnsi="Arial" w:cs="Arial"/>
      <w:sz w:val="20"/>
      <w:szCs w:val="20"/>
      <w:lang w:eastAsia="sk-SK"/>
    </w:rPr>
  </w:style>
  <w:style w:type="character" w:customStyle="1" w:styleId="Zkladntext2Char">
    <w:name w:val="Základný text 2 Char"/>
    <w:link w:val="Zkladntext2"/>
    <w:uiPriority w:val="99"/>
    <w:semiHidden/>
    <w:locked/>
    <w:rsid w:val="00374323"/>
    <w:rPr>
      <w:rFonts w:ascii="Arial" w:hAnsi="Arial" w:cs="Times New Roman"/>
      <w:sz w:val="24"/>
      <w:lang w:val="x-none" w:eastAsia="sk-SK"/>
    </w:rPr>
  </w:style>
  <w:style w:type="paragraph" w:styleId="Zkladntext3">
    <w:name w:val="Body Text 3"/>
    <w:basedOn w:val="Normlny"/>
    <w:link w:val="Zkladntext3Char"/>
    <w:uiPriority w:val="99"/>
    <w:semiHidden/>
    <w:rsid w:val="00374323"/>
    <w:pPr>
      <w:spacing w:before="100" w:beforeAutospacing="1" w:after="100" w:afterAutospacing="1" w:line="240" w:lineRule="auto"/>
      <w:jc w:val="center"/>
      <w:outlineLvl w:val="4"/>
    </w:pPr>
    <w:rPr>
      <w:rFonts w:ascii="Arial" w:hAnsi="Arial" w:cs="Arial"/>
      <w:b/>
      <w:bCs/>
      <w:color w:val="333333"/>
      <w:sz w:val="20"/>
      <w:szCs w:val="20"/>
      <w:lang w:eastAsia="sk-SK"/>
    </w:rPr>
  </w:style>
  <w:style w:type="character" w:customStyle="1" w:styleId="Zkladntext3Char">
    <w:name w:val="Základný text 3 Char"/>
    <w:link w:val="Zkladntext3"/>
    <w:uiPriority w:val="99"/>
    <w:semiHidden/>
    <w:locked/>
    <w:rsid w:val="00374323"/>
    <w:rPr>
      <w:rFonts w:ascii="Arial" w:hAnsi="Arial" w:cs="Times New Roman"/>
      <w:b/>
      <w:color w:val="333333"/>
      <w:sz w:val="20"/>
      <w:lang w:val="x-none" w:eastAsia="sk-SK"/>
    </w:rPr>
  </w:style>
  <w:style w:type="paragraph" w:styleId="Zarkazkladnhotextu2">
    <w:name w:val="Body Text Indent 2"/>
    <w:basedOn w:val="Normlny"/>
    <w:link w:val="Zarkazkladnhotextu2Char"/>
    <w:uiPriority w:val="99"/>
    <w:semiHidden/>
    <w:rsid w:val="00374323"/>
    <w:pPr>
      <w:spacing w:after="0" w:line="240" w:lineRule="auto"/>
      <w:ind w:left="1080"/>
    </w:pPr>
    <w:rPr>
      <w:rFonts w:ascii="Arial" w:hAnsi="Arial" w:cs="Arial"/>
      <w:color w:val="000000"/>
      <w:sz w:val="20"/>
      <w:szCs w:val="20"/>
      <w:lang w:eastAsia="sk-SK"/>
    </w:rPr>
  </w:style>
  <w:style w:type="character" w:customStyle="1" w:styleId="Zarkazkladnhotextu2Char">
    <w:name w:val="Zarážka základného textu 2 Char"/>
    <w:link w:val="Zarkazkladnhotextu2"/>
    <w:uiPriority w:val="99"/>
    <w:semiHidden/>
    <w:locked/>
    <w:rsid w:val="00374323"/>
    <w:rPr>
      <w:rFonts w:ascii="Arial" w:hAnsi="Arial" w:cs="Times New Roman"/>
      <w:color w:val="000000"/>
      <w:sz w:val="20"/>
      <w:lang w:val="x-none" w:eastAsia="sk-SK"/>
    </w:rPr>
  </w:style>
  <w:style w:type="paragraph" w:styleId="Zarkazkladnhotextu3">
    <w:name w:val="Body Text Indent 3"/>
    <w:basedOn w:val="Normlny"/>
    <w:link w:val="Zarkazkladnhotextu3Char"/>
    <w:uiPriority w:val="99"/>
    <w:semiHidden/>
    <w:rsid w:val="00374323"/>
    <w:pPr>
      <w:spacing w:after="0" w:line="240" w:lineRule="auto"/>
      <w:ind w:firstLine="340"/>
      <w:jc w:val="both"/>
    </w:pPr>
    <w:rPr>
      <w:rFonts w:ascii="Arial" w:hAnsi="Arial" w:cs="Arial"/>
      <w:color w:val="008000"/>
      <w:sz w:val="20"/>
      <w:szCs w:val="20"/>
      <w:lang w:eastAsia="sk-SK"/>
    </w:rPr>
  </w:style>
  <w:style w:type="character" w:customStyle="1" w:styleId="Zarkazkladnhotextu3Char">
    <w:name w:val="Zarážka základného textu 3 Char"/>
    <w:link w:val="Zarkazkladnhotextu3"/>
    <w:uiPriority w:val="99"/>
    <w:semiHidden/>
    <w:locked/>
    <w:rsid w:val="00374323"/>
    <w:rPr>
      <w:rFonts w:ascii="Arial" w:hAnsi="Arial" w:cs="Times New Roman"/>
      <w:color w:val="008000"/>
      <w:sz w:val="24"/>
      <w:lang w:val="x-none" w:eastAsia="sk-SK"/>
    </w:rPr>
  </w:style>
  <w:style w:type="paragraph" w:styleId="Textbubliny">
    <w:name w:val="Balloon Text"/>
    <w:basedOn w:val="Normlny"/>
    <w:link w:val="TextbublinyChar"/>
    <w:uiPriority w:val="99"/>
    <w:semiHidden/>
    <w:rsid w:val="00374323"/>
    <w:pPr>
      <w:spacing w:after="0" w:line="240" w:lineRule="auto"/>
    </w:pPr>
    <w:rPr>
      <w:rFonts w:ascii="Tahoma" w:hAnsi="Tahoma" w:cs="Tahoma"/>
      <w:sz w:val="16"/>
      <w:szCs w:val="16"/>
      <w:lang w:eastAsia="sk-SK"/>
    </w:rPr>
  </w:style>
  <w:style w:type="character" w:customStyle="1" w:styleId="TextbublinyChar">
    <w:name w:val="Text bubliny Char"/>
    <w:link w:val="Textbubliny"/>
    <w:uiPriority w:val="99"/>
    <w:semiHidden/>
    <w:locked/>
    <w:rsid w:val="00374323"/>
    <w:rPr>
      <w:rFonts w:ascii="Tahoma" w:hAnsi="Tahoma" w:cs="Times New Roman"/>
      <w:sz w:val="16"/>
      <w:lang w:val="x-none" w:eastAsia="sk-SK"/>
    </w:rPr>
  </w:style>
  <w:style w:type="paragraph" w:styleId="Odsekzoznamu">
    <w:name w:val="List Paragraph"/>
    <w:basedOn w:val="Normlny"/>
    <w:uiPriority w:val="99"/>
    <w:qFormat/>
    <w:rsid w:val="00374323"/>
    <w:pPr>
      <w:spacing w:after="0" w:line="240" w:lineRule="auto"/>
      <w:ind w:left="720"/>
    </w:pPr>
    <w:rPr>
      <w:rFonts w:cs="Times New Roman"/>
      <w:sz w:val="24"/>
      <w:szCs w:val="24"/>
      <w:lang w:eastAsia="sk-SK"/>
    </w:rPr>
  </w:style>
  <w:style w:type="paragraph" w:customStyle="1" w:styleId="NormlnNormlny12">
    <w:name w:val="Normální.Normálny+12"/>
    <w:uiPriority w:val="99"/>
    <w:rsid w:val="00374323"/>
    <w:rPr>
      <w:rFonts w:cs="Times New Roman"/>
      <w:sz w:val="24"/>
      <w:szCs w:val="24"/>
    </w:rPr>
  </w:style>
  <w:style w:type="paragraph" w:styleId="Textvysvetlivky">
    <w:name w:val="endnote text"/>
    <w:basedOn w:val="Normlny"/>
    <w:link w:val="TextvysvetlivkyChar"/>
    <w:uiPriority w:val="99"/>
    <w:semiHidden/>
    <w:rsid w:val="00D21218"/>
    <w:pPr>
      <w:spacing w:after="0" w:line="240" w:lineRule="auto"/>
    </w:pPr>
    <w:rPr>
      <w:sz w:val="20"/>
      <w:szCs w:val="20"/>
    </w:rPr>
  </w:style>
  <w:style w:type="character" w:customStyle="1" w:styleId="TextvysvetlivkyChar">
    <w:name w:val="Text vysvetlivky Char"/>
    <w:link w:val="Textvysvetlivky"/>
    <w:uiPriority w:val="99"/>
    <w:semiHidden/>
    <w:locked/>
    <w:rsid w:val="00D21218"/>
    <w:rPr>
      <w:rFonts w:cs="Times New Roman"/>
      <w:sz w:val="20"/>
    </w:rPr>
  </w:style>
  <w:style w:type="character" w:styleId="Odkaznavysvetlivku">
    <w:name w:val="endnote reference"/>
    <w:uiPriority w:val="99"/>
    <w:semiHidden/>
    <w:rsid w:val="00D21218"/>
    <w:rPr>
      <w:rFonts w:cs="Times New Roman"/>
      <w:vertAlign w:val="superscript"/>
    </w:rPr>
  </w:style>
  <w:style w:type="character" w:styleId="Hypertextovprepojenie">
    <w:name w:val="Hyperlink"/>
    <w:uiPriority w:val="99"/>
    <w:semiHidden/>
    <w:rsid w:val="003A5CF0"/>
    <w:rPr>
      <w:rFonts w:cs="Times New Roman"/>
      <w:color w:val="auto"/>
      <w:u w:val="none"/>
      <w:effect w:val="none"/>
    </w:rPr>
  </w:style>
  <w:style w:type="paragraph" w:styleId="Normlnywebov">
    <w:name w:val="Normal (Web)"/>
    <w:basedOn w:val="Normlny"/>
    <w:uiPriority w:val="99"/>
    <w:rsid w:val="0025493C"/>
    <w:pPr>
      <w:spacing w:before="100" w:beforeAutospacing="1" w:after="100" w:afterAutospacing="1" w:line="240" w:lineRule="auto"/>
    </w:pPr>
    <w:rPr>
      <w:rFonts w:ascii="Times New Roman" w:hAnsi="Times New Roman" w:cs="Times New Roman"/>
      <w:sz w:val="24"/>
      <w:szCs w:val="24"/>
      <w:lang w:eastAsia="sk-SK"/>
    </w:rPr>
  </w:style>
  <w:style w:type="paragraph" w:styleId="Bezriadkovania">
    <w:name w:val="No Spacing"/>
    <w:uiPriority w:val="1"/>
    <w:qFormat/>
    <w:rsid w:val="00005130"/>
    <w:rPr>
      <w:sz w:val="22"/>
      <w:szCs w:val="22"/>
      <w:lang w:eastAsia="en-US"/>
    </w:rPr>
  </w:style>
  <w:style w:type="table" w:styleId="Mriekatabuky">
    <w:name w:val="Table Grid"/>
    <w:basedOn w:val="Normlnatabuka"/>
    <w:uiPriority w:val="59"/>
    <w:locked/>
    <w:rsid w:val="00134B51"/>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uiPriority w:val="99"/>
    <w:rsid w:val="00134B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470962">
      <w:marLeft w:val="0"/>
      <w:marRight w:val="0"/>
      <w:marTop w:val="0"/>
      <w:marBottom w:val="0"/>
      <w:divBdr>
        <w:top w:val="none" w:sz="0" w:space="0" w:color="auto"/>
        <w:left w:val="none" w:sz="0" w:space="0" w:color="auto"/>
        <w:bottom w:val="none" w:sz="0" w:space="0" w:color="auto"/>
        <w:right w:val="none" w:sz="0" w:space="0" w:color="auto"/>
      </w:divBdr>
    </w:div>
    <w:div w:id="607470963">
      <w:marLeft w:val="0"/>
      <w:marRight w:val="0"/>
      <w:marTop w:val="0"/>
      <w:marBottom w:val="0"/>
      <w:divBdr>
        <w:top w:val="none" w:sz="0" w:space="0" w:color="auto"/>
        <w:left w:val="none" w:sz="0" w:space="0" w:color="auto"/>
        <w:bottom w:val="none" w:sz="0" w:space="0" w:color="auto"/>
        <w:right w:val="none" w:sz="0" w:space="0" w:color="auto"/>
      </w:divBdr>
    </w:div>
    <w:div w:id="607470964">
      <w:marLeft w:val="0"/>
      <w:marRight w:val="0"/>
      <w:marTop w:val="0"/>
      <w:marBottom w:val="0"/>
      <w:divBdr>
        <w:top w:val="none" w:sz="0" w:space="0" w:color="auto"/>
        <w:left w:val="none" w:sz="0" w:space="0" w:color="auto"/>
        <w:bottom w:val="none" w:sz="0" w:space="0" w:color="auto"/>
        <w:right w:val="none" w:sz="0" w:space="0" w:color="auto"/>
      </w:divBdr>
    </w:div>
    <w:div w:id="607470965">
      <w:marLeft w:val="0"/>
      <w:marRight w:val="0"/>
      <w:marTop w:val="0"/>
      <w:marBottom w:val="0"/>
      <w:divBdr>
        <w:top w:val="none" w:sz="0" w:space="0" w:color="auto"/>
        <w:left w:val="none" w:sz="0" w:space="0" w:color="auto"/>
        <w:bottom w:val="none" w:sz="0" w:space="0" w:color="auto"/>
        <w:right w:val="none" w:sz="0" w:space="0" w:color="auto"/>
      </w:divBdr>
    </w:div>
    <w:div w:id="607470966">
      <w:marLeft w:val="0"/>
      <w:marRight w:val="0"/>
      <w:marTop w:val="0"/>
      <w:marBottom w:val="0"/>
      <w:divBdr>
        <w:top w:val="none" w:sz="0" w:space="0" w:color="auto"/>
        <w:left w:val="none" w:sz="0" w:space="0" w:color="auto"/>
        <w:bottom w:val="none" w:sz="0" w:space="0" w:color="auto"/>
        <w:right w:val="none" w:sz="0" w:space="0" w:color="auto"/>
      </w:divBdr>
    </w:div>
    <w:div w:id="607470967">
      <w:marLeft w:val="0"/>
      <w:marRight w:val="0"/>
      <w:marTop w:val="0"/>
      <w:marBottom w:val="0"/>
      <w:divBdr>
        <w:top w:val="none" w:sz="0" w:space="0" w:color="auto"/>
        <w:left w:val="none" w:sz="0" w:space="0" w:color="auto"/>
        <w:bottom w:val="none" w:sz="0" w:space="0" w:color="auto"/>
        <w:right w:val="none" w:sz="0" w:space="0" w:color="auto"/>
      </w:divBdr>
    </w:div>
    <w:div w:id="607470968">
      <w:marLeft w:val="0"/>
      <w:marRight w:val="0"/>
      <w:marTop w:val="0"/>
      <w:marBottom w:val="0"/>
      <w:divBdr>
        <w:top w:val="none" w:sz="0" w:space="0" w:color="auto"/>
        <w:left w:val="none" w:sz="0" w:space="0" w:color="auto"/>
        <w:bottom w:val="none" w:sz="0" w:space="0" w:color="auto"/>
        <w:right w:val="none" w:sz="0" w:space="0" w:color="auto"/>
      </w:divBdr>
    </w:div>
    <w:div w:id="607470969">
      <w:marLeft w:val="0"/>
      <w:marRight w:val="0"/>
      <w:marTop w:val="0"/>
      <w:marBottom w:val="0"/>
      <w:divBdr>
        <w:top w:val="none" w:sz="0" w:space="0" w:color="auto"/>
        <w:left w:val="none" w:sz="0" w:space="0" w:color="auto"/>
        <w:bottom w:val="none" w:sz="0" w:space="0" w:color="auto"/>
        <w:right w:val="none" w:sz="0" w:space="0" w:color="auto"/>
      </w:divBdr>
    </w:div>
    <w:div w:id="607470970">
      <w:marLeft w:val="0"/>
      <w:marRight w:val="0"/>
      <w:marTop w:val="0"/>
      <w:marBottom w:val="0"/>
      <w:divBdr>
        <w:top w:val="none" w:sz="0" w:space="0" w:color="auto"/>
        <w:left w:val="none" w:sz="0" w:space="0" w:color="auto"/>
        <w:bottom w:val="none" w:sz="0" w:space="0" w:color="auto"/>
        <w:right w:val="none" w:sz="0" w:space="0" w:color="auto"/>
      </w:divBdr>
    </w:div>
    <w:div w:id="607470971">
      <w:marLeft w:val="0"/>
      <w:marRight w:val="0"/>
      <w:marTop w:val="0"/>
      <w:marBottom w:val="0"/>
      <w:divBdr>
        <w:top w:val="none" w:sz="0" w:space="0" w:color="auto"/>
        <w:left w:val="none" w:sz="0" w:space="0" w:color="auto"/>
        <w:bottom w:val="none" w:sz="0" w:space="0" w:color="auto"/>
        <w:right w:val="none" w:sz="0" w:space="0" w:color="auto"/>
      </w:divBdr>
    </w:div>
    <w:div w:id="607470972">
      <w:marLeft w:val="0"/>
      <w:marRight w:val="0"/>
      <w:marTop w:val="0"/>
      <w:marBottom w:val="0"/>
      <w:divBdr>
        <w:top w:val="none" w:sz="0" w:space="0" w:color="auto"/>
        <w:left w:val="none" w:sz="0" w:space="0" w:color="auto"/>
        <w:bottom w:val="none" w:sz="0" w:space="0" w:color="auto"/>
        <w:right w:val="none" w:sz="0" w:space="0" w:color="auto"/>
      </w:divBdr>
    </w:div>
    <w:div w:id="607470973">
      <w:marLeft w:val="0"/>
      <w:marRight w:val="0"/>
      <w:marTop w:val="0"/>
      <w:marBottom w:val="0"/>
      <w:divBdr>
        <w:top w:val="none" w:sz="0" w:space="0" w:color="auto"/>
        <w:left w:val="none" w:sz="0" w:space="0" w:color="auto"/>
        <w:bottom w:val="none" w:sz="0" w:space="0" w:color="auto"/>
        <w:right w:val="none" w:sz="0" w:space="0" w:color="auto"/>
      </w:divBdr>
    </w:div>
    <w:div w:id="607470974">
      <w:marLeft w:val="0"/>
      <w:marRight w:val="0"/>
      <w:marTop w:val="0"/>
      <w:marBottom w:val="0"/>
      <w:divBdr>
        <w:top w:val="none" w:sz="0" w:space="0" w:color="auto"/>
        <w:left w:val="none" w:sz="0" w:space="0" w:color="auto"/>
        <w:bottom w:val="none" w:sz="0" w:space="0" w:color="auto"/>
        <w:right w:val="none" w:sz="0" w:space="0" w:color="auto"/>
      </w:divBdr>
    </w:div>
    <w:div w:id="607470975">
      <w:marLeft w:val="0"/>
      <w:marRight w:val="0"/>
      <w:marTop w:val="0"/>
      <w:marBottom w:val="0"/>
      <w:divBdr>
        <w:top w:val="none" w:sz="0" w:space="0" w:color="auto"/>
        <w:left w:val="none" w:sz="0" w:space="0" w:color="auto"/>
        <w:bottom w:val="none" w:sz="0" w:space="0" w:color="auto"/>
        <w:right w:val="none" w:sz="0" w:space="0" w:color="auto"/>
      </w:divBdr>
    </w:div>
    <w:div w:id="607470976">
      <w:marLeft w:val="0"/>
      <w:marRight w:val="0"/>
      <w:marTop w:val="0"/>
      <w:marBottom w:val="0"/>
      <w:divBdr>
        <w:top w:val="none" w:sz="0" w:space="0" w:color="auto"/>
        <w:left w:val="none" w:sz="0" w:space="0" w:color="auto"/>
        <w:bottom w:val="none" w:sz="0" w:space="0" w:color="auto"/>
        <w:right w:val="none" w:sz="0" w:space="0" w:color="auto"/>
      </w:divBdr>
    </w:div>
    <w:div w:id="607470977">
      <w:marLeft w:val="0"/>
      <w:marRight w:val="0"/>
      <w:marTop w:val="0"/>
      <w:marBottom w:val="0"/>
      <w:divBdr>
        <w:top w:val="none" w:sz="0" w:space="0" w:color="auto"/>
        <w:left w:val="none" w:sz="0" w:space="0" w:color="auto"/>
        <w:bottom w:val="none" w:sz="0" w:space="0" w:color="auto"/>
        <w:right w:val="none" w:sz="0" w:space="0" w:color="auto"/>
      </w:divBdr>
    </w:div>
    <w:div w:id="607470978">
      <w:marLeft w:val="0"/>
      <w:marRight w:val="0"/>
      <w:marTop w:val="0"/>
      <w:marBottom w:val="0"/>
      <w:divBdr>
        <w:top w:val="none" w:sz="0" w:space="0" w:color="auto"/>
        <w:left w:val="none" w:sz="0" w:space="0" w:color="auto"/>
        <w:bottom w:val="none" w:sz="0" w:space="0" w:color="auto"/>
        <w:right w:val="none" w:sz="0" w:space="0" w:color="auto"/>
      </w:divBdr>
    </w:div>
    <w:div w:id="607470979">
      <w:marLeft w:val="0"/>
      <w:marRight w:val="0"/>
      <w:marTop w:val="0"/>
      <w:marBottom w:val="0"/>
      <w:divBdr>
        <w:top w:val="none" w:sz="0" w:space="0" w:color="auto"/>
        <w:left w:val="none" w:sz="0" w:space="0" w:color="auto"/>
        <w:bottom w:val="none" w:sz="0" w:space="0" w:color="auto"/>
        <w:right w:val="none" w:sz="0" w:space="0" w:color="auto"/>
      </w:divBdr>
    </w:div>
    <w:div w:id="607470980">
      <w:marLeft w:val="0"/>
      <w:marRight w:val="0"/>
      <w:marTop w:val="0"/>
      <w:marBottom w:val="0"/>
      <w:divBdr>
        <w:top w:val="none" w:sz="0" w:space="0" w:color="auto"/>
        <w:left w:val="none" w:sz="0" w:space="0" w:color="auto"/>
        <w:bottom w:val="none" w:sz="0" w:space="0" w:color="auto"/>
        <w:right w:val="none" w:sz="0" w:space="0" w:color="auto"/>
      </w:divBdr>
    </w:div>
    <w:div w:id="607470981">
      <w:marLeft w:val="0"/>
      <w:marRight w:val="0"/>
      <w:marTop w:val="0"/>
      <w:marBottom w:val="0"/>
      <w:divBdr>
        <w:top w:val="none" w:sz="0" w:space="0" w:color="auto"/>
        <w:left w:val="none" w:sz="0" w:space="0" w:color="auto"/>
        <w:bottom w:val="none" w:sz="0" w:space="0" w:color="auto"/>
        <w:right w:val="none" w:sz="0" w:space="0" w:color="auto"/>
      </w:divBdr>
    </w:div>
    <w:div w:id="607470982">
      <w:marLeft w:val="0"/>
      <w:marRight w:val="0"/>
      <w:marTop w:val="0"/>
      <w:marBottom w:val="0"/>
      <w:divBdr>
        <w:top w:val="none" w:sz="0" w:space="0" w:color="auto"/>
        <w:left w:val="none" w:sz="0" w:space="0" w:color="auto"/>
        <w:bottom w:val="none" w:sz="0" w:space="0" w:color="auto"/>
        <w:right w:val="none" w:sz="0" w:space="0" w:color="auto"/>
      </w:divBdr>
    </w:div>
    <w:div w:id="607470983">
      <w:marLeft w:val="0"/>
      <w:marRight w:val="0"/>
      <w:marTop w:val="0"/>
      <w:marBottom w:val="0"/>
      <w:divBdr>
        <w:top w:val="none" w:sz="0" w:space="0" w:color="auto"/>
        <w:left w:val="none" w:sz="0" w:space="0" w:color="auto"/>
        <w:bottom w:val="none" w:sz="0" w:space="0" w:color="auto"/>
        <w:right w:val="none" w:sz="0" w:space="0" w:color="auto"/>
      </w:divBdr>
    </w:div>
    <w:div w:id="607470984">
      <w:marLeft w:val="0"/>
      <w:marRight w:val="0"/>
      <w:marTop w:val="0"/>
      <w:marBottom w:val="0"/>
      <w:divBdr>
        <w:top w:val="none" w:sz="0" w:space="0" w:color="auto"/>
        <w:left w:val="none" w:sz="0" w:space="0" w:color="auto"/>
        <w:bottom w:val="none" w:sz="0" w:space="0" w:color="auto"/>
        <w:right w:val="none" w:sz="0" w:space="0" w:color="auto"/>
      </w:divBdr>
    </w:div>
    <w:div w:id="6074709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van.fufal@minv.sk"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7100</Words>
  <Characters>40472</Characters>
  <Application>Microsoft Office Word</Application>
  <DocSecurity>0</DocSecurity>
  <Lines>337</Lines>
  <Paragraphs>94</Paragraphs>
  <ScaleCrop>false</ScaleCrop>
  <HeadingPairs>
    <vt:vector size="2" baseType="variant">
      <vt:variant>
        <vt:lpstr>Názov</vt:lpstr>
      </vt:variant>
      <vt:variant>
        <vt:i4>1</vt:i4>
      </vt:variant>
    </vt:vector>
  </HeadingPairs>
  <TitlesOfParts>
    <vt:vector size="1" baseType="lpstr">
      <vt:lpstr>(Návrh)</vt:lpstr>
    </vt:vector>
  </TitlesOfParts>
  <Company>MVSR</Company>
  <LinksUpToDate>false</LinksUpToDate>
  <CharactersWithSpaces>47478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subject/>
  <dc:creator>User</dc:creator>
  <cp:keywords/>
  <dc:description/>
  <cp:lastModifiedBy>Nataša Wiedemannová</cp:lastModifiedBy>
  <cp:revision>4</cp:revision>
  <cp:lastPrinted>2019-03-06T11:27:00Z</cp:lastPrinted>
  <dcterms:created xsi:type="dcterms:W3CDTF">2019-03-06T08:20:00Z</dcterms:created>
  <dcterms:modified xsi:type="dcterms:W3CDTF">2019-03-06T11:29:00Z</dcterms:modified>
</cp:coreProperties>
</file>