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2B7" w:rsidRDefault="00B34E23" w:rsidP="00C579E9">
      <w:pPr>
        <w:pStyle w:val="Normlnywebov"/>
        <w:spacing w:before="0" w:beforeAutospacing="0" w:after="0" w:afterAutospacing="0"/>
        <w:jc w:val="center"/>
        <w:rPr>
          <w:b/>
          <w:bCs/>
          <w:sz w:val="28"/>
          <w:szCs w:val="28"/>
        </w:rPr>
      </w:pPr>
      <w:bookmarkStart w:id="0" w:name="_GoBack"/>
      <w:bookmarkEnd w:id="0"/>
      <w:r w:rsidRPr="00C579E9">
        <w:rPr>
          <w:b/>
          <w:bCs/>
          <w:sz w:val="28"/>
          <w:szCs w:val="28"/>
        </w:rPr>
        <w:t>D</w:t>
      </w:r>
      <w:r w:rsidR="00C579E9" w:rsidRPr="00C579E9">
        <w:rPr>
          <w:b/>
          <w:bCs/>
          <w:sz w:val="28"/>
          <w:szCs w:val="28"/>
        </w:rPr>
        <w:t xml:space="preserve">oložka </w:t>
      </w:r>
      <w:r w:rsidRPr="00C579E9">
        <w:rPr>
          <w:b/>
          <w:bCs/>
          <w:sz w:val="28"/>
          <w:szCs w:val="28"/>
        </w:rPr>
        <w:t>vybraných vplyvov</w:t>
      </w:r>
    </w:p>
    <w:p w:rsidR="004307E2" w:rsidRDefault="004307E2"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53"/>
        <w:gridCol w:w="3635"/>
      </w:tblGrid>
      <w:tr w:rsidR="004307E2">
        <w:trPr>
          <w:divId w:val="1742411731"/>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4307E2" w:rsidRDefault="004307E2">
            <w:pPr>
              <w:rPr>
                <w:rFonts w:ascii="Times" w:hAnsi="Times" w:cs="Times"/>
                <w:b/>
                <w:bCs/>
                <w:sz w:val="22"/>
                <w:szCs w:val="22"/>
              </w:rPr>
            </w:pPr>
            <w:r>
              <w:rPr>
                <w:rFonts w:ascii="Times" w:hAnsi="Times" w:cs="Times"/>
                <w:b/>
                <w:bCs/>
                <w:sz w:val="22"/>
                <w:szCs w:val="22"/>
              </w:rPr>
              <w:t>  1.  Základné údaje</w:t>
            </w:r>
          </w:p>
        </w:tc>
      </w:tr>
      <w:tr w:rsidR="004307E2">
        <w:trPr>
          <w:divId w:val="174241173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4307E2" w:rsidRDefault="004307E2">
            <w:pPr>
              <w:rPr>
                <w:rFonts w:ascii="Times" w:hAnsi="Times" w:cs="Times"/>
                <w:b/>
                <w:bCs/>
                <w:sz w:val="22"/>
                <w:szCs w:val="22"/>
              </w:rPr>
            </w:pPr>
            <w:r>
              <w:rPr>
                <w:rFonts w:ascii="Times" w:hAnsi="Times" w:cs="Times"/>
                <w:b/>
                <w:bCs/>
                <w:sz w:val="22"/>
                <w:szCs w:val="22"/>
              </w:rPr>
              <w:t>  Názov materiálu</w:t>
            </w:r>
          </w:p>
        </w:tc>
      </w:tr>
      <w:tr w:rsidR="004307E2">
        <w:trPr>
          <w:divId w:val="174241173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4307E2" w:rsidRDefault="004307E2">
            <w:pPr>
              <w:rPr>
                <w:rFonts w:ascii="Times" w:hAnsi="Times" w:cs="Times"/>
                <w:sz w:val="20"/>
                <w:szCs w:val="20"/>
              </w:rPr>
            </w:pPr>
            <w:r>
              <w:rPr>
                <w:rFonts w:ascii="Times" w:hAnsi="Times" w:cs="Times"/>
                <w:sz w:val="20"/>
                <w:szCs w:val="20"/>
              </w:rPr>
              <w:t>Zákon, ktorým sa mení a dopĺňa zákon č. 396/2012 Z. z. o Fonde na podporu vzdelávania v znení neskorších predpisov</w:t>
            </w:r>
          </w:p>
        </w:tc>
      </w:tr>
      <w:tr w:rsidR="004307E2">
        <w:trPr>
          <w:divId w:val="174241173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4307E2" w:rsidRDefault="004307E2">
            <w:pPr>
              <w:rPr>
                <w:rFonts w:ascii="Times" w:hAnsi="Times" w:cs="Times"/>
                <w:b/>
                <w:bCs/>
                <w:sz w:val="22"/>
                <w:szCs w:val="22"/>
              </w:rPr>
            </w:pPr>
            <w:r>
              <w:rPr>
                <w:rFonts w:ascii="Times" w:hAnsi="Times" w:cs="Times"/>
                <w:b/>
                <w:bCs/>
                <w:sz w:val="22"/>
                <w:szCs w:val="22"/>
              </w:rPr>
              <w:t>  Predkladateľ (a spolupredkladateľ)</w:t>
            </w:r>
          </w:p>
        </w:tc>
      </w:tr>
      <w:tr w:rsidR="004307E2">
        <w:trPr>
          <w:divId w:val="1742411731"/>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4307E2" w:rsidRDefault="004307E2">
            <w:pPr>
              <w:rPr>
                <w:rFonts w:ascii="Times" w:hAnsi="Times" w:cs="Times"/>
                <w:sz w:val="20"/>
                <w:szCs w:val="20"/>
              </w:rPr>
            </w:pPr>
            <w:r>
              <w:rPr>
                <w:rFonts w:ascii="Times" w:hAnsi="Times" w:cs="Times"/>
                <w:sz w:val="20"/>
                <w:szCs w:val="20"/>
              </w:rPr>
              <w:t>Ministerstvo školstva, vedy, výskumu a športu Slovenskej republiky</w:t>
            </w:r>
          </w:p>
        </w:tc>
      </w:tr>
      <w:tr w:rsidR="004307E2">
        <w:trPr>
          <w:divId w:val="1742411731"/>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307E2" w:rsidRDefault="004307E2">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4307E2">
        <w:trPr>
          <w:divId w:val="1742411731"/>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4307E2">
        <w:trPr>
          <w:divId w:val="1742411731"/>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4307E2">
        <w:trPr>
          <w:divId w:val="1742411731"/>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4307E2" w:rsidRDefault="004307E2">
            <w:pPr>
              <w:rPr>
                <w:rFonts w:ascii="Times" w:hAnsi="Times" w:cs="Times"/>
                <w:sz w:val="20"/>
                <w:szCs w:val="20"/>
              </w:rPr>
            </w:pPr>
          </w:p>
        </w:tc>
      </w:tr>
      <w:tr w:rsidR="004307E2">
        <w:trPr>
          <w:divId w:val="1742411731"/>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4307E2" w:rsidRDefault="004307E2">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4307E2" w:rsidRDefault="004307E2">
            <w:pPr>
              <w:rPr>
                <w:rFonts w:ascii="Times" w:hAnsi="Times" w:cs="Times"/>
                <w:sz w:val="20"/>
                <w:szCs w:val="20"/>
              </w:rPr>
            </w:pPr>
            <w:r>
              <w:rPr>
                <w:rFonts w:ascii="Times" w:hAnsi="Times" w:cs="Times"/>
                <w:sz w:val="20"/>
                <w:szCs w:val="20"/>
              </w:rPr>
              <w:t>Začiatok:    ..</w:t>
            </w:r>
            <w:r>
              <w:rPr>
                <w:rFonts w:ascii="Times" w:hAnsi="Times" w:cs="Times"/>
                <w:sz w:val="20"/>
                <w:szCs w:val="20"/>
              </w:rPr>
              <w:br/>
              <w:t>Ukončenie: ..</w:t>
            </w:r>
          </w:p>
        </w:tc>
      </w:tr>
      <w:tr w:rsidR="004307E2">
        <w:trPr>
          <w:divId w:val="1742411731"/>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4307E2" w:rsidRDefault="004307E2">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4307E2" w:rsidRDefault="004307E2">
            <w:pPr>
              <w:rPr>
                <w:rFonts w:ascii="Times" w:hAnsi="Times" w:cs="Times"/>
                <w:sz w:val="20"/>
                <w:szCs w:val="20"/>
              </w:rPr>
            </w:pPr>
            <w:r>
              <w:rPr>
                <w:rFonts w:ascii="Times" w:hAnsi="Times" w:cs="Times"/>
                <w:sz w:val="20"/>
                <w:szCs w:val="20"/>
              </w:rPr>
              <w:t>14.2.2019</w:t>
            </w:r>
          </w:p>
        </w:tc>
      </w:tr>
      <w:tr w:rsidR="004307E2">
        <w:trPr>
          <w:divId w:val="1742411731"/>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4307E2" w:rsidRDefault="004307E2">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4307E2" w:rsidRDefault="004307E2">
            <w:pPr>
              <w:rPr>
                <w:rFonts w:ascii="Times" w:hAnsi="Times" w:cs="Times"/>
                <w:sz w:val="20"/>
                <w:szCs w:val="20"/>
              </w:rPr>
            </w:pPr>
            <w:r>
              <w:rPr>
                <w:rFonts w:ascii="Times" w:hAnsi="Times" w:cs="Times"/>
                <w:sz w:val="20"/>
                <w:szCs w:val="20"/>
              </w:rPr>
              <w:t>6.3.2019</w:t>
            </w:r>
          </w:p>
        </w:tc>
      </w:tr>
    </w:tbl>
    <w:p w:rsidR="00325440" w:rsidRDefault="00325440" w:rsidP="00C579E9">
      <w:pPr>
        <w:pStyle w:val="Normlnywebov"/>
        <w:spacing w:before="0" w:beforeAutospacing="0" w:after="0" w:afterAutospacing="0"/>
        <w:rPr>
          <w:bCs/>
          <w:sz w:val="22"/>
          <w:szCs w:val="22"/>
        </w:rPr>
      </w:pPr>
    </w:p>
    <w:p w:rsidR="004307E2" w:rsidRDefault="004307E2"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4307E2">
        <w:trPr>
          <w:divId w:val="132050192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307E2" w:rsidRDefault="004307E2">
            <w:pPr>
              <w:rPr>
                <w:rFonts w:ascii="Times" w:hAnsi="Times" w:cs="Times"/>
                <w:b/>
                <w:bCs/>
                <w:sz w:val="22"/>
                <w:szCs w:val="22"/>
              </w:rPr>
            </w:pPr>
            <w:r>
              <w:rPr>
                <w:rFonts w:ascii="Times" w:hAnsi="Times" w:cs="Times"/>
                <w:b/>
                <w:bCs/>
                <w:sz w:val="22"/>
                <w:szCs w:val="22"/>
              </w:rPr>
              <w:t>  2.  Definícia problému</w:t>
            </w:r>
          </w:p>
        </w:tc>
      </w:tr>
      <w:tr w:rsidR="004307E2">
        <w:trPr>
          <w:divId w:val="1320501921"/>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4307E2" w:rsidRDefault="00D15EF0" w:rsidP="00594876">
            <w:pPr>
              <w:jc w:val="both"/>
              <w:rPr>
                <w:rFonts w:ascii="Times" w:hAnsi="Times" w:cs="Times"/>
                <w:sz w:val="20"/>
                <w:szCs w:val="20"/>
              </w:rPr>
            </w:pPr>
            <w:r>
              <w:rPr>
                <w:rFonts w:ascii="Times" w:hAnsi="Times" w:cs="Times"/>
                <w:sz w:val="20"/>
                <w:szCs w:val="20"/>
              </w:rPr>
              <w:t xml:space="preserve">Finančnými nástrojmi zaviesť motiváciu študentov na štúdium vybraných študijných odborov a následnou motiváciou </w:t>
            </w:r>
            <w:r w:rsidR="00024CFF">
              <w:rPr>
                <w:rFonts w:ascii="Times" w:hAnsi="Times" w:cs="Times"/>
                <w:sz w:val="20"/>
                <w:szCs w:val="20"/>
              </w:rPr>
              <w:t xml:space="preserve">na </w:t>
            </w:r>
            <w:r>
              <w:rPr>
                <w:rFonts w:ascii="Times" w:hAnsi="Times" w:cs="Times"/>
                <w:sz w:val="20"/>
                <w:szCs w:val="20"/>
              </w:rPr>
              <w:t>výkon povolania v Slovenskej republike, v nadväznosti na uznesenie vlády SR č. 404/2018 z 5. septembra 2018 k </w:t>
            </w:r>
            <w:r w:rsidR="00AF2BAB">
              <w:rPr>
                <w:rFonts w:ascii="Times" w:hAnsi="Times" w:cs="Times"/>
                <w:sz w:val="20"/>
                <w:szCs w:val="20"/>
              </w:rPr>
              <w:t>I</w:t>
            </w:r>
            <w:r>
              <w:rPr>
                <w:rFonts w:ascii="Times" w:hAnsi="Times" w:cs="Times"/>
                <w:sz w:val="20"/>
                <w:szCs w:val="20"/>
              </w:rPr>
              <w:t>nformácii o stave zdravotníckeho personálu v Slovenskej republike.</w:t>
            </w:r>
          </w:p>
        </w:tc>
      </w:tr>
      <w:tr w:rsidR="004307E2">
        <w:trPr>
          <w:divId w:val="132050192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307E2" w:rsidRDefault="004307E2" w:rsidP="00594876">
            <w:pPr>
              <w:jc w:val="both"/>
              <w:rPr>
                <w:rFonts w:ascii="Times" w:hAnsi="Times" w:cs="Times"/>
                <w:b/>
                <w:bCs/>
                <w:sz w:val="22"/>
                <w:szCs w:val="22"/>
              </w:rPr>
            </w:pPr>
            <w:r>
              <w:rPr>
                <w:rFonts w:ascii="Times" w:hAnsi="Times" w:cs="Times"/>
                <w:b/>
                <w:bCs/>
                <w:sz w:val="22"/>
                <w:szCs w:val="22"/>
              </w:rPr>
              <w:t>  3.  Ciele a výsledný stav</w:t>
            </w:r>
          </w:p>
        </w:tc>
      </w:tr>
      <w:tr w:rsidR="004307E2">
        <w:trPr>
          <w:divId w:val="1320501921"/>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4307E2" w:rsidRDefault="004307E2" w:rsidP="00594876">
            <w:pPr>
              <w:jc w:val="both"/>
              <w:rPr>
                <w:rFonts w:ascii="Times" w:hAnsi="Times" w:cs="Times"/>
                <w:sz w:val="20"/>
                <w:szCs w:val="20"/>
              </w:rPr>
            </w:pPr>
            <w:r>
              <w:rPr>
                <w:rFonts w:ascii="Times" w:hAnsi="Times" w:cs="Times"/>
                <w:sz w:val="20"/>
                <w:szCs w:val="20"/>
              </w:rPr>
              <w:t>Zvýšiť motiváciu maturantov začať a pokračovať v štúdiu na vybraných študijných odboroch alebo kombinácií študijných odborov a následne vykonávať povolanie, na ktoré sa štúdiom na vysokej škole pripravovali na trhu práce v Slovenskej republike.</w:t>
            </w:r>
          </w:p>
        </w:tc>
      </w:tr>
      <w:tr w:rsidR="004307E2">
        <w:trPr>
          <w:divId w:val="132050192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307E2" w:rsidRDefault="004307E2" w:rsidP="00594876">
            <w:pPr>
              <w:jc w:val="both"/>
              <w:rPr>
                <w:rFonts w:ascii="Times" w:hAnsi="Times" w:cs="Times"/>
                <w:b/>
                <w:bCs/>
                <w:sz w:val="22"/>
                <w:szCs w:val="22"/>
              </w:rPr>
            </w:pPr>
            <w:r>
              <w:rPr>
                <w:rFonts w:ascii="Times" w:hAnsi="Times" w:cs="Times"/>
                <w:b/>
                <w:bCs/>
                <w:sz w:val="22"/>
                <w:szCs w:val="22"/>
              </w:rPr>
              <w:t>  4.  Dotknuté subjekty</w:t>
            </w:r>
          </w:p>
        </w:tc>
      </w:tr>
      <w:tr w:rsidR="004307E2">
        <w:trPr>
          <w:divId w:val="1320501921"/>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D15EF0" w:rsidRDefault="004307E2" w:rsidP="00594876">
            <w:pPr>
              <w:jc w:val="both"/>
              <w:rPr>
                <w:rFonts w:ascii="Times" w:hAnsi="Times" w:cs="Times"/>
                <w:sz w:val="20"/>
                <w:szCs w:val="20"/>
              </w:rPr>
            </w:pPr>
            <w:r>
              <w:rPr>
                <w:rFonts w:ascii="Times" w:hAnsi="Times" w:cs="Times"/>
                <w:sz w:val="20"/>
                <w:szCs w:val="20"/>
              </w:rPr>
              <w:t>Priamo dotknutí – klienti fondu - študenti vysokých škôl vo všetkých stupňoch vysokoškolského štúdia vo vybraných študijných odboroch alebo kombinácii študijných odborov.</w:t>
            </w:r>
            <w:r>
              <w:rPr>
                <w:rFonts w:ascii="Times" w:hAnsi="Times" w:cs="Times"/>
                <w:sz w:val="20"/>
                <w:szCs w:val="20"/>
              </w:rPr>
              <w:br/>
              <w:t>Nepriamo dotknutí – potenciálni klienti fondu, teda žiadatelia o pôžičku.</w:t>
            </w:r>
          </w:p>
        </w:tc>
      </w:tr>
      <w:tr w:rsidR="004307E2">
        <w:trPr>
          <w:divId w:val="132050192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307E2" w:rsidRDefault="004307E2">
            <w:pPr>
              <w:rPr>
                <w:rFonts w:ascii="Times" w:hAnsi="Times" w:cs="Times"/>
                <w:b/>
                <w:bCs/>
                <w:sz w:val="22"/>
                <w:szCs w:val="22"/>
              </w:rPr>
            </w:pPr>
            <w:r>
              <w:rPr>
                <w:rFonts w:ascii="Times" w:hAnsi="Times" w:cs="Times"/>
                <w:b/>
                <w:bCs/>
                <w:sz w:val="22"/>
                <w:szCs w:val="22"/>
              </w:rPr>
              <w:t>  5.  Alternatívne riešenia</w:t>
            </w:r>
          </w:p>
        </w:tc>
      </w:tr>
      <w:tr w:rsidR="004307E2">
        <w:trPr>
          <w:divId w:val="1320501921"/>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D15EF0" w:rsidRDefault="00D15EF0" w:rsidP="00594876">
            <w:pPr>
              <w:jc w:val="both"/>
              <w:rPr>
                <w:rFonts w:ascii="Times" w:hAnsi="Times" w:cs="Times"/>
                <w:sz w:val="20"/>
                <w:szCs w:val="20"/>
              </w:rPr>
            </w:pPr>
            <w:r>
              <w:rPr>
                <w:rFonts w:ascii="Times" w:hAnsi="Times" w:cs="Times"/>
                <w:sz w:val="20"/>
                <w:szCs w:val="20"/>
              </w:rPr>
              <w:t>Alternatívne riešenia sú :</w:t>
            </w:r>
          </w:p>
          <w:p w:rsidR="004307E2" w:rsidRDefault="004307E2" w:rsidP="00594876">
            <w:pPr>
              <w:pStyle w:val="Odsekzoznamu"/>
              <w:numPr>
                <w:ilvl w:val="0"/>
                <w:numId w:val="1"/>
              </w:numPr>
              <w:jc w:val="both"/>
              <w:rPr>
                <w:rFonts w:ascii="Times" w:hAnsi="Times" w:cs="Times"/>
                <w:sz w:val="20"/>
                <w:szCs w:val="20"/>
              </w:rPr>
            </w:pPr>
            <w:r w:rsidRPr="00D15EF0">
              <w:rPr>
                <w:rFonts w:ascii="Times" w:hAnsi="Times" w:cs="Times"/>
                <w:sz w:val="20"/>
                <w:szCs w:val="20"/>
              </w:rPr>
              <w:t xml:space="preserve">nulový variant, teda neprijatie návrhu právneho predpisu, čo by znamenalo, že </w:t>
            </w:r>
            <w:r w:rsidR="00024CFF">
              <w:rPr>
                <w:rFonts w:ascii="Times" w:hAnsi="Times" w:cs="Times"/>
                <w:sz w:val="20"/>
                <w:szCs w:val="20"/>
              </w:rPr>
              <w:t xml:space="preserve">by </w:t>
            </w:r>
            <w:r w:rsidRPr="00D15EF0">
              <w:rPr>
                <w:rFonts w:ascii="Times" w:hAnsi="Times" w:cs="Times"/>
                <w:sz w:val="20"/>
                <w:szCs w:val="20"/>
              </w:rPr>
              <w:t>nedošlo k udržaniu a zvýšeniu zamestnanosti vo vybraných povolaniach</w:t>
            </w:r>
            <w:r w:rsidR="00D15EF0">
              <w:rPr>
                <w:rFonts w:ascii="Times" w:hAnsi="Times" w:cs="Times"/>
                <w:sz w:val="20"/>
                <w:szCs w:val="20"/>
              </w:rPr>
              <w:t xml:space="preserve"> v súlade s uznesením vlády SR č. 404/2018 z 5. septembra 2018</w:t>
            </w:r>
            <w:r w:rsidRPr="00D15EF0">
              <w:rPr>
                <w:rFonts w:ascii="Times" w:hAnsi="Times" w:cs="Times"/>
                <w:sz w:val="20"/>
                <w:szCs w:val="20"/>
              </w:rPr>
              <w:t xml:space="preserve">. </w:t>
            </w:r>
          </w:p>
          <w:p w:rsidR="00D15EF0" w:rsidRDefault="00D15EF0" w:rsidP="00594876">
            <w:pPr>
              <w:pStyle w:val="Odsekzoznamu"/>
              <w:numPr>
                <w:ilvl w:val="0"/>
                <w:numId w:val="1"/>
              </w:numPr>
              <w:jc w:val="both"/>
              <w:rPr>
                <w:rFonts w:ascii="Times" w:hAnsi="Times" w:cs="Times"/>
                <w:sz w:val="20"/>
                <w:szCs w:val="20"/>
              </w:rPr>
            </w:pPr>
            <w:r>
              <w:rPr>
                <w:rFonts w:ascii="Times" w:hAnsi="Times" w:cs="Times"/>
                <w:sz w:val="20"/>
                <w:szCs w:val="20"/>
              </w:rPr>
              <w:t>rozšírenie schémy motivačných štipendií pre študentov vo vybraných študijných odborov – tento variant upravuje len prípadnú motiváciu k štúdiu vybraného študijného od</w:t>
            </w:r>
            <w:r w:rsidR="00AF2BAB">
              <w:rPr>
                <w:rFonts w:ascii="Times" w:hAnsi="Times" w:cs="Times"/>
                <w:sz w:val="20"/>
                <w:szCs w:val="20"/>
              </w:rPr>
              <w:t xml:space="preserve">boru, ale nerieši </w:t>
            </w:r>
            <w:r w:rsidR="00024CFF">
              <w:rPr>
                <w:rFonts w:ascii="Times" w:hAnsi="Times" w:cs="Times"/>
                <w:sz w:val="20"/>
                <w:szCs w:val="20"/>
              </w:rPr>
              <w:t xml:space="preserve">motiváciu na výkon povolania </w:t>
            </w:r>
            <w:r>
              <w:rPr>
                <w:rFonts w:ascii="Times" w:hAnsi="Times" w:cs="Times"/>
                <w:sz w:val="20"/>
                <w:szCs w:val="20"/>
              </w:rPr>
              <w:t>v SR, nakoľko pri poskytovaní štipendia nevznikajú poberateľovi štipendia ďalšie záväzky</w:t>
            </w:r>
            <w:r w:rsidR="00AF2BAB">
              <w:rPr>
                <w:rFonts w:ascii="Times" w:hAnsi="Times" w:cs="Times"/>
                <w:sz w:val="20"/>
                <w:szCs w:val="20"/>
              </w:rPr>
              <w:t xml:space="preserve"> vo vzťahu k poskytovateľovi štipendia</w:t>
            </w:r>
          </w:p>
          <w:p w:rsidR="00D15EF0" w:rsidRDefault="00D15EF0" w:rsidP="00594876">
            <w:pPr>
              <w:pStyle w:val="Odsekzoznamu"/>
              <w:numPr>
                <w:ilvl w:val="0"/>
                <w:numId w:val="1"/>
              </w:numPr>
              <w:jc w:val="both"/>
              <w:rPr>
                <w:rFonts w:ascii="Times" w:hAnsi="Times" w:cs="Times"/>
                <w:sz w:val="20"/>
                <w:szCs w:val="20"/>
              </w:rPr>
            </w:pPr>
            <w:r>
              <w:rPr>
                <w:rFonts w:ascii="Times" w:hAnsi="Times" w:cs="Times"/>
                <w:sz w:val="20"/>
                <w:szCs w:val="20"/>
              </w:rPr>
              <w:t>administrácia schémy jednotlivými vysokými školami, ktoré uskutočňujú študijné programy vo vybraných študijných odboroch – s ohľadom na to, že je potrebné sledovať plnenie podmienok aj niekoľko rokov po skončení štúdia, znamenalo by to duplicitné budovanie kapacít na jednotlivých vysokých školách, zvyšovalo by to administratívnu náročnosť, pri čom už existuje infraštruktúra na poskytovanie pôžičiek študentom – a to je Fond na podporu vzdelávania, so zavedenými procesmi</w:t>
            </w:r>
            <w:r w:rsidR="00AF2BAB">
              <w:rPr>
                <w:rFonts w:ascii="Times" w:hAnsi="Times" w:cs="Times"/>
                <w:sz w:val="20"/>
                <w:szCs w:val="20"/>
              </w:rPr>
              <w:t>,  </w:t>
            </w:r>
            <w:r>
              <w:rPr>
                <w:rFonts w:ascii="Times" w:hAnsi="Times" w:cs="Times"/>
                <w:sz w:val="20"/>
                <w:szCs w:val="20"/>
              </w:rPr>
              <w:t>postupmi</w:t>
            </w:r>
            <w:r w:rsidR="00AF2BAB">
              <w:rPr>
                <w:rFonts w:ascii="Times" w:hAnsi="Times" w:cs="Times"/>
                <w:sz w:val="20"/>
                <w:szCs w:val="20"/>
              </w:rPr>
              <w:t xml:space="preserve"> a skúsenosťami</w:t>
            </w:r>
          </w:p>
          <w:p w:rsidR="00D15EF0" w:rsidRDefault="00D15EF0" w:rsidP="00594876">
            <w:pPr>
              <w:pStyle w:val="Odsekzoznamu"/>
              <w:numPr>
                <w:ilvl w:val="0"/>
                <w:numId w:val="1"/>
              </w:numPr>
              <w:jc w:val="both"/>
              <w:rPr>
                <w:rFonts w:ascii="Times" w:hAnsi="Times" w:cs="Times"/>
                <w:sz w:val="20"/>
                <w:szCs w:val="20"/>
              </w:rPr>
            </w:pPr>
            <w:r>
              <w:rPr>
                <w:rFonts w:ascii="Times" w:hAnsi="Times" w:cs="Times"/>
                <w:sz w:val="20"/>
                <w:szCs w:val="20"/>
              </w:rPr>
              <w:t xml:space="preserve">zvyšovať atraktivitu samotného povolania, bez podpory počas štúdia a nadväzujúceho záväzku </w:t>
            </w:r>
            <w:r w:rsidR="00AF2BAB">
              <w:rPr>
                <w:rFonts w:ascii="Times" w:hAnsi="Times" w:cs="Times"/>
                <w:sz w:val="20"/>
                <w:szCs w:val="20"/>
              </w:rPr>
              <w:t xml:space="preserve">(prakticky obdoba nulového variantu) </w:t>
            </w:r>
            <w:r>
              <w:rPr>
                <w:rFonts w:ascii="Times" w:hAnsi="Times" w:cs="Times"/>
                <w:sz w:val="20"/>
                <w:szCs w:val="20"/>
              </w:rPr>
              <w:t>– aj materiál schválený vládou SR uznesením č. 404/2018 dňa 5. septembra 2018 upozorňuje na potrebu ďalších krokov, ktoré vedú k vyššej atraktívnosti pre výkon v tomto prípade povolania sestry,  ale súčasne považuje za potrebné aj doplňujúce opatrenia podpory počas štúdia a na to nadväzujúce záväzky po skončení štúdia.</w:t>
            </w:r>
            <w:r w:rsidR="009A77CD">
              <w:rPr>
                <w:rFonts w:ascii="Times" w:hAnsi="Times" w:cs="Times"/>
                <w:sz w:val="20"/>
                <w:szCs w:val="20"/>
              </w:rPr>
              <w:t xml:space="preserve"> Bez zavedenie stabilizačných pôžičiek by </w:t>
            </w:r>
            <w:r w:rsidR="009A77CD">
              <w:rPr>
                <w:rFonts w:ascii="Times" w:hAnsi="Times" w:cs="Times"/>
                <w:sz w:val="20"/>
                <w:szCs w:val="20"/>
              </w:rPr>
              <w:lastRenderedPageBreak/>
              <w:t>nebol naplnený zámer schválený vládou SR vo vzťahu k študentom ošetrovateľstva</w:t>
            </w:r>
            <w:r w:rsidR="00AF2BAB">
              <w:rPr>
                <w:rFonts w:ascii="Times" w:hAnsi="Times" w:cs="Times"/>
                <w:sz w:val="20"/>
                <w:szCs w:val="20"/>
              </w:rPr>
              <w:t>, a teda na systémovej úrovni aj pre ostatné regulované povolania identifikované zavádzaným mechanizmom ako nedostatkové</w:t>
            </w:r>
            <w:r w:rsidR="009A77CD">
              <w:rPr>
                <w:rFonts w:ascii="Times" w:hAnsi="Times" w:cs="Times"/>
                <w:sz w:val="20"/>
                <w:szCs w:val="20"/>
              </w:rPr>
              <w:t xml:space="preserve">. </w:t>
            </w:r>
          </w:p>
        </w:tc>
      </w:tr>
      <w:tr w:rsidR="004307E2">
        <w:trPr>
          <w:divId w:val="132050192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307E2" w:rsidRDefault="004307E2">
            <w:pPr>
              <w:rPr>
                <w:rFonts w:ascii="Times" w:hAnsi="Times" w:cs="Times"/>
                <w:b/>
                <w:bCs/>
                <w:sz w:val="22"/>
                <w:szCs w:val="22"/>
              </w:rPr>
            </w:pPr>
            <w:r>
              <w:rPr>
                <w:rFonts w:ascii="Times" w:hAnsi="Times" w:cs="Times"/>
                <w:b/>
                <w:bCs/>
                <w:sz w:val="22"/>
                <w:szCs w:val="22"/>
              </w:rPr>
              <w:lastRenderedPageBreak/>
              <w:t>  6.  Vykonávacie predpisy</w:t>
            </w:r>
          </w:p>
        </w:tc>
      </w:tr>
      <w:tr w:rsidR="004307E2">
        <w:trPr>
          <w:divId w:val="1320501921"/>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4307E2" w:rsidRDefault="004307E2" w:rsidP="009A77CD">
            <w:pPr>
              <w:rPr>
                <w:rFonts w:ascii="Times" w:hAnsi="Times" w:cs="Times"/>
                <w:sz w:val="20"/>
                <w:szCs w:val="20"/>
              </w:rPr>
            </w:pPr>
            <w:r>
              <w:rPr>
                <w:rFonts w:ascii="Times" w:hAnsi="Times" w:cs="Times"/>
                <w:sz w:val="20"/>
                <w:szCs w:val="20"/>
              </w:rPr>
              <w:t>Predpokladá sa prijatie/zmena vykonávacích predpisov?                          </w:t>
            </w:r>
            <w:r w:rsidR="009A77CD">
              <w:rPr>
                <w:rFonts w:ascii="Wingdings 2" w:hAnsi="Wingdings 2" w:cs="Times"/>
                <w:sz w:val="20"/>
                <w:szCs w:val="20"/>
              </w:rPr>
              <w:t></w:t>
            </w:r>
            <w:r>
              <w:rPr>
                <w:rFonts w:ascii="Times" w:hAnsi="Times" w:cs="Times"/>
                <w:sz w:val="20"/>
                <w:szCs w:val="20"/>
              </w:rPr>
              <w:t xml:space="preserve">   Áno            </w:t>
            </w:r>
            <w:r w:rsidR="009A77CD">
              <w:rPr>
                <w:rFonts w:ascii="Wingdings 2" w:hAnsi="Wingdings 2" w:cs="Times"/>
                <w:sz w:val="28"/>
                <w:szCs w:val="28"/>
              </w:rPr>
              <w:t></w:t>
            </w:r>
            <w:r>
              <w:rPr>
                <w:rFonts w:ascii="Times" w:hAnsi="Times" w:cs="Times"/>
                <w:sz w:val="20"/>
                <w:szCs w:val="20"/>
              </w:rPr>
              <w:t>  Nie</w:t>
            </w:r>
          </w:p>
        </w:tc>
      </w:tr>
      <w:tr w:rsidR="004307E2">
        <w:trPr>
          <w:divId w:val="132050192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307E2" w:rsidRDefault="004307E2">
            <w:pPr>
              <w:rPr>
                <w:rFonts w:ascii="Times" w:hAnsi="Times" w:cs="Times"/>
                <w:b/>
                <w:bCs/>
                <w:sz w:val="22"/>
                <w:szCs w:val="22"/>
              </w:rPr>
            </w:pPr>
            <w:r>
              <w:rPr>
                <w:rFonts w:ascii="Times" w:hAnsi="Times" w:cs="Times"/>
                <w:b/>
                <w:bCs/>
                <w:sz w:val="22"/>
                <w:szCs w:val="22"/>
              </w:rPr>
              <w:t xml:space="preserve">  7.  Transpozícia práva EÚ </w:t>
            </w:r>
          </w:p>
        </w:tc>
      </w:tr>
      <w:tr w:rsidR="004307E2">
        <w:trPr>
          <w:divId w:val="1320501921"/>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4307E2" w:rsidRDefault="004307E2">
            <w:pPr>
              <w:rPr>
                <w:rFonts w:ascii="Times" w:hAnsi="Times" w:cs="Times"/>
                <w:sz w:val="20"/>
                <w:szCs w:val="20"/>
              </w:rPr>
            </w:pPr>
            <w:r>
              <w:rPr>
                <w:rFonts w:ascii="Times" w:hAnsi="Times" w:cs="Times"/>
                <w:sz w:val="20"/>
                <w:szCs w:val="20"/>
              </w:rPr>
              <w:t>bezpredmetné</w:t>
            </w:r>
          </w:p>
        </w:tc>
      </w:tr>
      <w:tr w:rsidR="004307E2">
        <w:trPr>
          <w:divId w:val="132050192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307E2" w:rsidRDefault="004307E2">
            <w:pPr>
              <w:rPr>
                <w:rFonts w:ascii="Times" w:hAnsi="Times" w:cs="Times"/>
                <w:b/>
                <w:bCs/>
                <w:sz w:val="22"/>
                <w:szCs w:val="22"/>
              </w:rPr>
            </w:pPr>
            <w:r>
              <w:rPr>
                <w:rFonts w:ascii="Times" w:hAnsi="Times" w:cs="Times"/>
                <w:b/>
                <w:bCs/>
                <w:sz w:val="22"/>
                <w:szCs w:val="22"/>
              </w:rPr>
              <w:t>  8.  Preskúmanie účelnosti**</w:t>
            </w:r>
          </w:p>
        </w:tc>
      </w:tr>
      <w:tr w:rsidR="004307E2">
        <w:trPr>
          <w:divId w:val="1320501921"/>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4307E2" w:rsidRDefault="004307E2">
            <w:pPr>
              <w:rPr>
                <w:rFonts w:ascii="Times" w:hAnsi="Times" w:cs="Times"/>
                <w:sz w:val="20"/>
                <w:szCs w:val="20"/>
              </w:rPr>
            </w:pPr>
            <w:r>
              <w:rPr>
                <w:rFonts w:ascii="Times" w:hAnsi="Times" w:cs="Times"/>
                <w:sz w:val="20"/>
                <w:szCs w:val="20"/>
              </w:rPr>
              <w:t>---</w:t>
            </w:r>
          </w:p>
        </w:tc>
      </w:tr>
    </w:tbl>
    <w:p w:rsidR="00325440" w:rsidRDefault="00325440" w:rsidP="00C579E9">
      <w:pPr>
        <w:pStyle w:val="Normlnywebov"/>
        <w:spacing w:before="0" w:beforeAutospacing="0" w:after="0" w:afterAutospacing="0"/>
        <w:rPr>
          <w:bCs/>
          <w:sz w:val="22"/>
          <w:szCs w:val="22"/>
        </w:rPr>
      </w:pPr>
    </w:p>
    <w:p w:rsidR="00543B8E" w:rsidRPr="00543B8E" w:rsidRDefault="00543B8E" w:rsidP="00543B8E">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543B8E" w:rsidRDefault="00543B8E" w:rsidP="00543B8E">
      <w:pPr>
        <w:pStyle w:val="Normlnywebov"/>
        <w:spacing w:before="0" w:beforeAutospacing="0" w:after="0" w:afterAutospacing="0"/>
        <w:rPr>
          <w:sz w:val="20"/>
          <w:szCs w:val="20"/>
        </w:rPr>
      </w:pPr>
      <w:r w:rsidRPr="00543B8E">
        <w:rPr>
          <w:sz w:val="20"/>
          <w:szCs w:val="20"/>
        </w:rPr>
        <w:t>** nepovinné</w:t>
      </w:r>
    </w:p>
    <w:p w:rsidR="006931EC" w:rsidRDefault="006931EC" w:rsidP="00543B8E">
      <w:pPr>
        <w:pStyle w:val="Normlnywebov"/>
        <w:spacing w:before="0" w:beforeAutospacing="0" w:after="0" w:afterAutospacing="0"/>
        <w:rPr>
          <w:sz w:val="20"/>
          <w:szCs w:val="20"/>
        </w:rPr>
      </w:pPr>
    </w:p>
    <w:p w:rsidR="004307E2" w:rsidRDefault="004307E2"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34"/>
        <w:gridCol w:w="1818"/>
        <w:gridCol w:w="1818"/>
        <w:gridCol w:w="1818"/>
      </w:tblGrid>
      <w:tr w:rsidR="004307E2">
        <w:trPr>
          <w:divId w:val="241649874"/>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4307E2" w:rsidRDefault="004307E2">
            <w:pPr>
              <w:rPr>
                <w:rFonts w:ascii="Times" w:hAnsi="Times" w:cs="Times"/>
                <w:b/>
                <w:bCs/>
                <w:sz w:val="20"/>
                <w:szCs w:val="20"/>
              </w:rPr>
            </w:pPr>
            <w:r>
              <w:rPr>
                <w:rFonts w:ascii="Times" w:hAnsi="Times" w:cs="Times"/>
                <w:b/>
                <w:bCs/>
                <w:sz w:val="20"/>
                <w:szCs w:val="20"/>
              </w:rPr>
              <w:t>  9.   Vplyvy navrhovaného materiálu</w:t>
            </w:r>
          </w:p>
        </w:tc>
      </w:tr>
      <w:tr w:rsidR="004307E2">
        <w:trPr>
          <w:divId w:val="241649874"/>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307E2" w:rsidRDefault="004307E2">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w:t>
            </w:r>
            <w:r w:rsidR="00AF2BAB">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w:t>
            </w:r>
            <w:r w:rsidR="009A77CD">
              <w:rPr>
                <w:rFonts w:ascii="Wingdings 2" w:hAnsi="Wingdings 2" w:cs="Times"/>
                <w:sz w:val="20"/>
                <w:szCs w:val="20"/>
              </w:rPr>
              <w:t></w:t>
            </w:r>
            <w:r>
              <w:rPr>
                <w:rFonts w:ascii="Times" w:hAnsi="Times" w:cs="Times"/>
                <w:sz w:val="20"/>
                <w:szCs w:val="20"/>
              </w:rPr>
              <w:t xml:space="preserve">   Negatívne</w:t>
            </w:r>
          </w:p>
        </w:tc>
      </w:tr>
      <w:tr w:rsidR="004307E2">
        <w:trPr>
          <w:divId w:val="241649874"/>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w:t>
            </w:r>
            <w:r w:rsidR="009A77CD">
              <w:rPr>
                <w:rFonts w:ascii="Wingdings 2" w:hAnsi="Wingdings 2" w:cs="Times"/>
                <w:sz w:val="20"/>
                <w:szCs w:val="20"/>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4307E2">
        <w:trPr>
          <w:divId w:val="241649874"/>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307E2" w:rsidRDefault="004307E2">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4307E2">
        <w:trPr>
          <w:divId w:val="241649874"/>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4307E2">
        <w:trPr>
          <w:divId w:val="24164987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307E2" w:rsidRDefault="004307E2">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w:t>
            </w:r>
            <w:r w:rsidR="009A77CD">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w:t>
            </w:r>
            <w:r w:rsidR="00AF2BAB">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4307E2">
        <w:trPr>
          <w:divId w:val="24164987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307E2" w:rsidRDefault="004307E2">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4307E2">
        <w:trPr>
          <w:divId w:val="24164987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307E2" w:rsidRDefault="004307E2">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4307E2">
        <w:trPr>
          <w:divId w:val="241649874"/>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307E2" w:rsidRDefault="004307E2">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4307E2">
        <w:trPr>
          <w:divId w:val="241649874"/>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4307E2">
        <w:trPr>
          <w:divId w:val="24164987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307E2" w:rsidRDefault="004307E2">
            <w:pPr>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307E2" w:rsidRDefault="004307E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RDefault="006931EC" w:rsidP="00543B8E">
      <w:pPr>
        <w:pStyle w:val="Normlnywebov"/>
        <w:spacing w:before="0" w:beforeAutospacing="0" w:after="0" w:afterAutospacing="0"/>
        <w:rPr>
          <w:sz w:val="20"/>
          <w:szCs w:val="20"/>
        </w:rPr>
      </w:pPr>
    </w:p>
    <w:p w:rsidR="004307E2" w:rsidRDefault="004307E2"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4307E2">
        <w:trPr>
          <w:divId w:val="141219721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307E2" w:rsidRDefault="004307E2">
            <w:pPr>
              <w:rPr>
                <w:rFonts w:ascii="Times" w:hAnsi="Times" w:cs="Times"/>
                <w:b/>
                <w:bCs/>
                <w:sz w:val="22"/>
                <w:szCs w:val="22"/>
              </w:rPr>
            </w:pPr>
            <w:r>
              <w:rPr>
                <w:rFonts w:ascii="Times" w:hAnsi="Times" w:cs="Times"/>
                <w:b/>
                <w:bCs/>
                <w:sz w:val="22"/>
                <w:szCs w:val="22"/>
              </w:rPr>
              <w:t>  10.  Poznámky</w:t>
            </w:r>
          </w:p>
        </w:tc>
      </w:tr>
      <w:tr w:rsidR="004307E2">
        <w:trPr>
          <w:divId w:val="1412197215"/>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4307E2" w:rsidRDefault="004307E2" w:rsidP="00594876">
            <w:pPr>
              <w:jc w:val="both"/>
              <w:rPr>
                <w:rFonts w:ascii="Times" w:hAnsi="Times" w:cs="Times"/>
                <w:sz w:val="20"/>
                <w:szCs w:val="20"/>
              </w:rPr>
            </w:pPr>
          </w:p>
        </w:tc>
      </w:tr>
      <w:tr w:rsidR="004307E2">
        <w:trPr>
          <w:divId w:val="141219721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307E2" w:rsidRDefault="004307E2">
            <w:pPr>
              <w:rPr>
                <w:rFonts w:ascii="Times" w:hAnsi="Times" w:cs="Times"/>
                <w:b/>
                <w:bCs/>
                <w:sz w:val="22"/>
                <w:szCs w:val="22"/>
              </w:rPr>
            </w:pPr>
            <w:r>
              <w:rPr>
                <w:rFonts w:ascii="Times" w:hAnsi="Times" w:cs="Times"/>
                <w:b/>
                <w:bCs/>
                <w:sz w:val="22"/>
                <w:szCs w:val="22"/>
              </w:rPr>
              <w:t>  11.  Kontakt na spracovateľa</w:t>
            </w:r>
          </w:p>
        </w:tc>
      </w:tr>
      <w:tr w:rsidR="004307E2">
        <w:trPr>
          <w:divId w:val="1412197215"/>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4307E2" w:rsidRDefault="004307E2">
            <w:pPr>
              <w:rPr>
                <w:rFonts w:ascii="Times" w:hAnsi="Times" w:cs="Times"/>
                <w:sz w:val="20"/>
                <w:szCs w:val="20"/>
              </w:rPr>
            </w:pPr>
            <w:r>
              <w:rPr>
                <w:rFonts w:ascii="Times" w:hAnsi="Times" w:cs="Times"/>
                <w:sz w:val="20"/>
                <w:szCs w:val="20"/>
              </w:rPr>
              <w:t>JUDr. René Kasenčák, odbor legislatívy, rene.kasencak@minedu.sk, 02/59374491</w:t>
            </w:r>
          </w:p>
        </w:tc>
      </w:tr>
      <w:tr w:rsidR="004307E2">
        <w:trPr>
          <w:divId w:val="141219721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307E2" w:rsidRDefault="004307E2">
            <w:pPr>
              <w:rPr>
                <w:rFonts w:ascii="Times" w:hAnsi="Times" w:cs="Times"/>
                <w:b/>
                <w:bCs/>
                <w:sz w:val="22"/>
                <w:szCs w:val="22"/>
              </w:rPr>
            </w:pPr>
            <w:r>
              <w:rPr>
                <w:rFonts w:ascii="Times" w:hAnsi="Times" w:cs="Times"/>
                <w:b/>
                <w:bCs/>
                <w:sz w:val="22"/>
                <w:szCs w:val="22"/>
              </w:rPr>
              <w:t>  12.  Zdroje</w:t>
            </w:r>
          </w:p>
        </w:tc>
      </w:tr>
      <w:tr w:rsidR="004307E2">
        <w:trPr>
          <w:divId w:val="1412197215"/>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4307E2" w:rsidRDefault="004307E2">
            <w:pPr>
              <w:rPr>
                <w:rFonts w:ascii="Times" w:hAnsi="Times" w:cs="Times"/>
                <w:sz w:val="20"/>
                <w:szCs w:val="20"/>
              </w:rPr>
            </w:pPr>
            <w:r>
              <w:rPr>
                <w:rFonts w:ascii="Times" w:hAnsi="Times" w:cs="Times"/>
                <w:sz w:val="20"/>
                <w:szCs w:val="20"/>
              </w:rPr>
              <w:t>Napríklad Informácia o stave zdravotníckeho personálu v Slovenskej republike, nezaradený materiál Ministerstva zdravotníctva SR na rokovanie vlády SR, http://www.rokovania.sk/Rokovanie.aspx/NezaradenyMaterialDetail?idMaterial=27741.</w:t>
            </w:r>
          </w:p>
        </w:tc>
      </w:tr>
      <w:tr w:rsidR="004307E2">
        <w:trPr>
          <w:divId w:val="141219721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307E2" w:rsidRDefault="004307E2">
            <w:pPr>
              <w:rPr>
                <w:rFonts w:ascii="Times" w:hAnsi="Times" w:cs="Times"/>
                <w:b/>
                <w:bCs/>
                <w:sz w:val="22"/>
                <w:szCs w:val="22"/>
              </w:rPr>
            </w:pPr>
            <w:r>
              <w:rPr>
                <w:rFonts w:ascii="Times" w:hAnsi="Times" w:cs="Times"/>
                <w:b/>
                <w:bCs/>
                <w:sz w:val="22"/>
                <w:szCs w:val="22"/>
              </w:rPr>
              <w:t>  13.  Stanovisko Komisie pre posudzovanie vybraných vplyvov z PPK</w:t>
            </w:r>
          </w:p>
        </w:tc>
      </w:tr>
      <w:tr w:rsidR="004307E2">
        <w:trPr>
          <w:divId w:val="1412197215"/>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4307E2" w:rsidRDefault="004307E2">
            <w:pPr>
              <w:rPr>
                <w:rFonts w:ascii="Times" w:hAnsi="Times" w:cs="Times"/>
                <w:b/>
                <w:bCs/>
                <w:sz w:val="22"/>
                <w:szCs w:val="22"/>
              </w:rPr>
            </w:pPr>
          </w:p>
        </w:tc>
      </w:tr>
    </w:tbl>
    <w:p w:rsidR="006931EC" w:rsidRPr="00543B8E" w:rsidRDefault="006931EC" w:rsidP="00543B8E">
      <w:pPr>
        <w:pStyle w:val="Normlnywebov"/>
        <w:spacing w:before="0" w:beforeAutospacing="0" w:after="0" w:afterAutospacing="0"/>
        <w:rPr>
          <w:bCs/>
          <w:sz w:val="20"/>
          <w:szCs w:val="20"/>
        </w:rPr>
      </w:pPr>
    </w:p>
    <w:sectPr w:rsidR="006931EC" w:rsidRPr="00543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EB5" w:rsidRDefault="00174EB5">
      <w:r>
        <w:separator/>
      </w:r>
    </w:p>
  </w:endnote>
  <w:endnote w:type="continuationSeparator" w:id="0">
    <w:p w:rsidR="00174EB5" w:rsidRDefault="0017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EB5" w:rsidRDefault="00174EB5">
      <w:r>
        <w:separator/>
      </w:r>
    </w:p>
  </w:footnote>
  <w:footnote w:type="continuationSeparator" w:id="0">
    <w:p w:rsidR="00174EB5" w:rsidRDefault="00174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D2922"/>
    <w:multiLevelType w:val="hybridMultilevel"/>
    <w:tmpl w:val="C7D23BE0"/>
    <w:lvl w:ilvl="0" w:tplc="E8022946">
      <w:start w:val="5"/>
      <w:numFmt w:val="bullet"/>
      <w:lvlText w:val="-"/>
      <w:lvlJc w:val="left"/>
      <w:pPr>
        <w:ind w:left="720" w:hanging="360"/>
      </w:pPr>
      <w:rPr>
        <w:rFonts w:ascii="Times" w:eastAsia="Times New Roman" w:hAnsi="Times" w:cs="Time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BA"/>
    <w:rsid w:val="000016CD"/>
    <w:rsid w:val="00001877"/>
    <w:rsid w:val="000065A9"/>
    <w:rsid w:val="00007944"/>
    <w:rsid w:val="00012287"/>
    <w:rsid w:val="00021860"/>
    <w:rsid w:val="00024CFF"/>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062"/>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4EB5"/>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6862"/>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C6FB1"/>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07E2"/>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86D2F"/>
    <w:rsid w:val="005906C5"/>
    <w:rsid w:val="00590B43"/>
    <w:rsid w:val="00591017"/>
    <w:rsid w:val="005924B2"/>
    <w:rsid w:val="0059354D"/>
    <w:rsid w:val="00593640"/>
    <w:rsid w:val="00594876"/>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B51"/>
    <w:rsid w:val="00994EB9"/>
    <w:rsid w:val="00994EDA"/>
    <w:rsid w:val="00995F62"/>
    <w:rsid w:val="00996751"/>
    <w:rsid w:val="00997DEF"/>
    <w:rsid w:val="009A1B17"/>
    <w:rsid w:val="009A73E4"/>
    <w:rsid w:val="009A77CD"/>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34CFF"/>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2BA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63FEF"/>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15EF0"/>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02B"/>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DE073FDC-B61C-45EB-A58A-BF1ED645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rPr>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rPr>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semiHidden/>
    <w:rPr>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rsid w:val="00543B8E"/>
    <w:rPr>
      <w:sz w:val="20"/>
      <w:szCs w:val="20"/>
    </w:rPr>
  </w:style>
  <w:style w:type="paragraph" w:styleId="Odsekzoznamu">
    <w:name w:val="List Paragraph"/>
    <w:basedOn w:val="Normlny"/>
    <w:uiPriority w:val="34"/>
    <w:qFormat/>
    <w:rsid w:val="00D15EF0"/>
    <w:pPr>
      <w:ind w:left="720"/>
      <w:contextualSpacing/>
    </w:pPr>
  </w:style>
  <w:style w:type="paragraph" w:styleId="Textbubliny">
    <w:name w:val="Balloon Text"/>
    <w:basedOn w:val="Normlny"/>
    <w:link w:val="TextbublinyChar"/>
    <w:uiPriority w:val="99"/>
    <w:semiHidden/>
    <w:unhideWhenUsed/>
    <w:rsid w:val="00024CFF"/>
    <w:rPr>
      <w:rFonts w:ascii="Tahoma" w:hAnsi="Tahoma" w:cs="Tahoma"/>
      <w:sz w:val="16"/>
      <w:szCs w:val="16"/>
    </w:rPr>
  </w:style>
  <w:style w:type="character" w:customStyle="1" w:styleId="TextbublinyChar">
    <w:name w:val="Text bubliny Char"/>
    <w:basedOn w:val="Predvolenpsmoodseku"/>
    <w:link w:val="Textbubliny"/>
    <w:uiPriority w:val="99"/>
    <w:semiHidden/>
    <w:rsid w:val="00024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9874">
      <w:bodyDiv w:val="1"/>
      <w:marLeft w:val="0"/>
      <w:marRight w:val="0"/>
      <w:marTop w:val="0"/>
      <w:marBottom w:val="0"/>
      <w:divBdr>
        <w:top w:val="none" w:sz="0" w:space="0" w:color="auto"/>
        <w:left w:val="none" w:sz="0" w:space="0" w:color="auto"/>
        <w:bottom w:val="none" w:sz="0" w:space="0" w:color="auto"/>
        <w:right w:val="none" w:sz="0" w:space="0" w:color="auto"/>
      </w:divBdr>
    </w:div>
    <w:div w:id="1045758610">
      <w:marLeft w:val="0"/>
      <w:marRight w:val="0"/>
      <w:marTop w:val="0"/>
      <w:marBottom w:val="0"/>
      <w:divBdr>
        <w:top w:val="none" w:sz="0" w:space="0" w:color="auto"/>
        <w:left w:val="none" w:sz="0" w:space="0" w:color="auto"/>
        <w:bottom w:val="none" w:sz="0" w:space="0" w:color="auto"/>
        <w:right w:val="none" w:sz="0" w:space="0" w:color="auto"/>
      </w:divBdr>
      <w:divsChild>
        <w:div w:id="1045758611">
          <w:marLeft w:val="0"/>
          <w:marRight w:val="0"/>
          <w:marTop w:val="0"/>
          <w:marBottom w:val="0"/>
          <w:divBdr>
            <w:top w:val="none" w:sz="0" w:space="0" w:color="auto"/>
            <w:left w:val="none" w:sz="0" w:space="0" w:color="auto"/>
            <w:bottom w:val="none" w:sz="0" w:space="0" w:color="auto"/>
            <w:right w:val="none" w:sz="0" w:space="0" w:color="auto"/>
          </w:divBdr>
        </w:div>
      </w:divsChild>
    </w:div>
    <w:div w:id="1320501921">
      <w:bodyDiv w:val="1"/>
      <w:marLeft w:val="0"/>
      <w:marRight w:val="0"/>
      <w:marTop w:val="0"/>
      <w:marBottom w:val="0"/>
      <w:divBdr>
        <w:top w:val="none" w:sz="0" w:space="0" w:color="auto"/>
        <w:left w:val="none" w:sz="0" w:space="0" w:color="auto"/>
        <w:bottom w:val="none" w:sz="0" w:space="0" w:color="auto"/>
        <w:right w:val="none" w:sz="0" w:space="0" w:color="auto"/>
      </w:divBdr>
    </w:div>
    <w:div w:id="1412197215">
      <w:bodyDiv w:val="1"/>
      <w:marLeft w:val="0"/>
      <w:marRight w:val="0"/>
      <w:marTop w:val="0"/>
      <w:marBottom w:val="0"/>
      <w:divBdr>
        <w:top w:val="none" w:sz="0" w:space="0" w:color="auto"/>
        <w:left w:val="none" w:sz="0" w:space="0" w:color="auto"/>
        <w:bottom w:val="none" w:sz="0" w:space="0" w:color="auto"/>
        <w:right w:val="none" w:sz="0" w:space="0" w:color="auto"/>
      </w:divBdr>
    </w:div>
    <w:div w:id="174241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14.2.2019 16:27:46"/>
    <f:field ref="objchangedby" par="" text="Administrator, System"/>
    <f:field ref="objmodifiedat" par="" text="14.2.2019 16:27:48"/>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754</Words>
  <Characters>4304</Characters>
  <Application>Microsoft Office Word</Application>
  <DocSecurity>0</DocSecurity>
  <Lines>35</Lines>
  <Paragraphs>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Doložka vybraných vplyvov</vt:lpstr>
      <vt:lpstr>Doložka vybraných vplyvov</vt:lpstr>
    </vt:vector>
  </TitlesOfParts>
  <Company>UVSR</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Kasenčák René</dc:creator>
  <cp:lastModifiedBy>Kasenčák René</cp:lastModifiedBy>
  <cp:revision>6</cp:revision>
  <cp:lastPrinted>2019-02-28T11:37:00Z</cp:lastPrinted>
  <dcterms:created xsi:type="dcterms:W3CDTF">2019-02-26T15:15:00Z</dcterms:created>
  <dcterms:modified xsi:type="dcterms:W3CDTF">2019-02-28T11:37:00Z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Vyhodnotenie medzirezortného pripomienkového konania</vt:lpwstr>
  </property>
  <property fmtid="{D5CDD505-2E9C-101B-9397-08002B2CF9AE}" pid="4" name="FSC#SKEDITIONSLOVLEX@103.510:povodpredpis">
    <vt:lpwstr>Slovlex (eLeg)</vt:lpwstr>
  </property>
  <property fmtid="{D5CDD505-2E9C-101B-9397-08002B2CF9AE}" pid="5" name="FSC#SKEDITIONSLOVLEX@103.510:legoblast">
    <vt:lpwstr>Vysoké a vyššie školstvo</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JUDr. René Kasenčák</vt:lpwstr>
  </property>
  <property fmtid="{D5CDD505-2E9C-101B-9397-08002B2CF9AE}" pid="9" name="FSC#SKEDITIONSLOVLEX@103.510:zodppredkladatel">
    <vt:lpwstr>Martina Lubyová</vt:lpwstr>
  </property>
  <property fmtid="{D5CDD505-2E9C-101B-9397-08002B2CF9AE}" pid="10" name="FSC#SKEDITIONSLOVLEX@103.510:nazovpredpis">
    <vt:lpwstr>, ktorým sa mení a dopĺňa zákon č. 396/2012 Z. z. o Fonde na podporu vzdelávania v znení neskorších predpisov</vt:lpwstr>
  </property>
  <property fmtid="{D5CDD505-2E9C-101B-9397-08002B2CF9AE}" pid="11" name="FSC#SKEDITIONSLOVLEX@103.510:cislopredpis">
    <vt:lpwstr/>
  </property>
  <property fmtid="{D5CDD505-2E9C-101B-9397-08002B2CF9AE}" pid="12" name="FSC#SKEDITIONSLOVLEX@103.510:zodpinstitucia">
    <vt:lpwstr>Ministerstvo školstva, vedy, výskumu a športu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Uznesenie vlády Slovenskej republiky č. 404 z 5. septembra 2018</vt:lpwstr>
  </property>
  <property fmtid="{D5CDD505-2E9C-101B-9397-08002B2CF9AE}" pid="16" name="FSC#SKEDITIONSLOVLEX@103.510:plnynazovpredpis">
    <vt:lpwstr> Zákon, ktorým sa mení a dopĺňa zákon č. 396/2012 Z. z. o Fonde na podporu vzdelávania v znení neskorších predpisov</vt:lpwstr>
  </property>
  <property fmtid="{D5CDD505-2E9C-101B-9397-08002B2CF9AE}" pid="17" name="FSC#SKEDITIONSLOVLEX@103.510:rezortcislopredpis">
    <vt:lpwstr>spis č. 2019/7714-A1810</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LP/2019/117</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nie je upravený v práve Európskej únie</vt:lpwstr>
  </property>
  <property fmtid="{D5CDD505-2E9C-101B-9397-08002B2CF9AE}" pid="36" name="FSC#SKEDITIONSLOVLEX@103.510:AttrStrListDocPropPrimarnePravoEU">
    <vt:lpwstr/>
  </property>
  <property fmtid="{D5CDD505-2E9C-101B-9397-08002B2CF9AE}" pid="37" name="FSC#SKEDITIONSLOVLEX@103.510:AttrStrListDocPropSekundarneLegPravoPO">
    <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úplne</vt:lpwstr>
  </property>
  <property fmtid="{D5CDD505-2E9C-101B-9397-08002B2CF9AE}" pid="47" name="FSC#SKEDITIONSLOVLEX@103.510:AttrStrListDocPropGestorSpolupRezorty">
    <vt:lpwstr/>
  </property>
  <property fmtid="{D5CDD505-2E9C-101B-9397-08002B2CF9AE}" pid="48" name="FSC#SKEDITIONSLOVLEX@103.510:AttrDateDocPropZaciatokPKK">
    <vt:lpwstr/>
  </property>
  <property fmtid="{D5CDD505-2E9C-101B-9397-08002B2CF9AE}" pid="49" name="FSC#SKEDITIONSLOVLEX@103.510:AttrDateDocPropUkonceniePKK">
    <vt:lpwstr/>
  </property>
  <property fmtid="{D5CDD505-2E9C-101B-9397-08002B2CF9AE}" pid="50" name="FSC#SKEDITIONSLOVLEX@103.510:AttrStrDocPropVplyvRozpocetVS">
    <vt:lpwstr>Žiadne</vt:lpwstr>
  </property>
  <property fmtid="{D5CDD505-2E9C-101B-9397-08002B2CF9AE}" pid="51" name="FSC#SKEDITIONSLOVLEX@103.510:AttrStrDocPropVplyvPodnikatelskeProstr">
    <vt:lpwstr>Žiadne</vt:lpwstr>
  </property>
  <property fmtid="{D5CDD505-2E9C-101B-9397-08002B2CF9AE}" pid="52" name="FSC#SKEDITIONSLOVLEX@103.510:AttrStrDocPropVplyvSocialny">
    <vt:lpwstr>Žiadne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Samotný návrh novely zákona o fonde nebude mať žiadne sledované vplyvy.&amp;nbsp;</vt:lpwstr>
  </property>
  <property fmtid="{D5CDD505-2E9C-101B-9397-08002B2CF9AE}" pid="56" name="FSC#SKEDITIONSLOVLEX@103.510:AttrStrListDocPropAltRiesenia">
    <vt:lpwstr>Alternatívnym riešením je nulový variant, teda neprijatie návrhu právneho predpisu, čo by znamenalo, že nedošlo by ku udržaniu a zvýšeniu zamestnanosti vo vybraných povolaniach. </vt:lpwstr>
  </property>
  <property fmtid="{D5CDD505-2E9C-101B-9397-08002B2CF9AE}" pid="57" name="FSC#SKEDITIONSLOVLEX@103.510:AttrStrListDocPropStanoviskoGest">
    <vt:lpwstr/>
  </property>
  <property fmtid="{D5CDD505-2E9C-101B-9397-08002B2CF9AE}" pid="58" name="FSC#SKEDITIONSLOVLEX@103.510:AttrStrListDocPropTextKomunike">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
ministerka školstva, vedy, výskumu a športu Slovenskej republiky</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style="text-align:justify;text-justify:inter-ideograph"&gt;Ministerstvo školstva, vedy, výskumu a&amp;nbsp;športu Slovenskej republiky (ďalej len „ministerstvo“) predkladá návrh zákona, ktorým sa mení a dopĺňa zákon č. 396/2012 Z. z. o Fonde na podporu vzdelá</vt:lpwstr>
  </property>
  <property fmtid="{D5CDD505-2E9C-101B-9397-08002B2CF9AE}" pid="130" name="FSC#COOSYSTEM@1.1:Container">
    <vt:lpwstr>COO.2145.1000.3.3211482</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&lt;p&gt;Verejnosť je o návrhu zákona informovaná v rámci MPK.&lt;/p&gt;</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hlavný štátny radca</vt:lpwstr>
  </property>
  <property fmtid="{D5CDD505-2E9C-101B-9397-08002B2CF9AE}" pid="142" name="FSC#SKEDITIONSLOVLEX@103.510:funkciaPredAkuzativ">
    <vt:lpwstr>hlavného štátneho radcu</vt:lpwstr>
  </property>
  <property fmtid="{D5CDD505-2E9C-101B-9397-08002B2CF9AE}" pid="143" name="FSC#SKEDITIONSLOVLEX@103.510:funkciaPredDativ">
    <vt:lpwstr>hlavnému štátnemu radcovi</vt:lpwstr>
  </property>
  <property fmtid="{D5CDD505-2E9C-101B-9397-08002B2CF9AE}" pid="144" name="FSC#SKEDITIONSLOVLEX@103.510:funkciaZodpPred">
    <vt:lpwstr>ministerka školstva, vedy, výskumu a športu Slovenskej republiky</vt:lpwstr>
  </property>
  <property fmtid="{D5CDD505-2E9C-101B-9397-08002B2CF9AE}" pid="145" name="FSC#SKEDITIONSLOVLEX@103.510:funkciaZodpPredAkuzativ">
    <vt:lpwstr>ministerke školstva, vedy, výskumu a športu Slovenskej republiky</vt:lpwstr>
  </property>
  <property fmtid="{D5CDD505-2E9C-101B-9397-08002B2CF9AE}" pid="146" name="FSC#SKEDITIONSLOVLEX@103.510:funkciaZodpPredDativ">
    <vt:lpwstr>ministerky školstva, vedy, výskumu a športu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Martina Lubyová_x000d_
ministerka školstva, vedy, výskumu a športu Slovenskej republiky</vt:lpwstr>
  </property>
  <property fmtid="{D5CDD505-2E9C-101B-9397-08002B2CF9AE}" pid="151" name="FSC#SKEDITIONSLOVLEX@103.510:aktualnyrok">
    <vt:lpwstr>2019</vt:lpwstr>
  </property>
  <property fmtid="{D5CDD505-2E9C-101B-9397-08002B2CF9AE}" pid="152" name="FSC#SKEDITIONSLOVLEX@103.510:vytvorenedna">
    <vt:lpwstr>14. 2. 2019</vt:lpwstr>
  </property>
</Properties>
</file>