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32C" w:rsidRPr="009A3CA2" w:rsidRDefault="0082232C" w:rsidP="00CF0CDF">
      <w:pPr>
        <w:jc w:val="both"/>
        <w:rPr>
          <w:rFonts w:ascii="Times New Roman" w:hAnsi="Times New Roman"/>
          <w:b/>
          <w:sz w:val="24"/>
          <w:szCs w:val="24"/>
        </w:rPr>
      </w:pPr>
      <w:r w:rsidRPr="009A3CA2">
        <w:rPr>
          <w:rFonts w:ascii="Times New Roman" w:hAnsi="Times New Roman"/>
          <w:b/>
          <w:sz w:val="24"/>
          <w:szCs w:val="24"/>
        </w:rPr>
        <w:t>B. OSOBITNÁ ČASŤ</w:t>
      </w:r>
    </w:p>
    <w:p w:rsidR="00EE4A56" w:rsidRPr="00400BF2" w:rsidRDefault="00EE4A56" w:rsidP="00CF0CDF">
      <w:pPr>
        <w:spacing w:after="240"/>
        <w:jc w:val="both"/>
        <w:rPr>
          <w:rFonts w:ascii="Times New Roman" w:hAnsi="Times New Roman"/>
          <w:b/>
          <w:sz w:val="24"/>
          <w:szCs w:val="24"/>
        </w:rPr>
      </w:pPr>
      <w:r w:rsidRPr="00400BF2">
        <w:rPr>
          <w:rFonts w:ascii="Times New Roman" w:hAnsi="Times New Roman"/>
          <w:b/>
          <w:sz w:val="24"/>
          <w:szCs w:val="24"/>
        </w:rPr>
        <w:t>K čl. I</w:t>
      </w:r>
    </w:p>
    <w:p w:rsidR="00EE4A56" w:rsidRPr="00341720" w:rsidRDefault="00EE4A56" w:rsidP="00684F0E">
      <w:pPr>
        <w:spacing w:after="120"/>
        <w:jc w:val="both"/>
        <w:rPr>
          <w:rFonts w:ascii="Times New Roman" w:hAnsi="Times New Roman"/>
          <w:sz w:val="24"/>
          <w:szCs w:val="24"/>
        </w:rPr>
      </w:pPr>
      <w:r w:rsidRPr="00341720">
        <w:rPr>
          <w:rFonts w:ascii="Times New Roman" w:hAnsi="Times New Roman"/>
          <w:sz w:val="24"/>
          <w:szCs w:val="24"/>
        </w:rPr>
        <w:t>K bodu 1</w:t>
      </w:r>
    </w:p>
    <w:p w:rsidR="00D26E75" w:rsidRPr="00341720" w:rsidRDefault="00D26E75" w:rsidP="00CF0CDF">
      <w:pPr>
        <w:spacing w:after="240"/>
        <w:jc w:val="both"/>
        <w:rPr>
          <w:rFonts w:ascii="Times New Roman" w:hAnsi="Times New Roman"/>
          <w:sz w:val="24"/>
          <w:szCs w:val="24"/>
        </w:rPr>
      </w:pPr>
      <w:r w:rsidRPr="00341720">
        <w:rPr>
          <w:rFonts w:ascii="Times New Roman" w:hAnsi="Times New Roman"/>
          <w:sz w:val="24"/>
          <w:szCs w:val="24"/>
        </w:rPr>
        <w:t>Legislatívna úprava z dôvodu jednoznačného určenia v</w:t>
      </w:r>
      <w:r w:rsidR="00460770" w:rsidRPr="00341720">
        <w:rPr>
          <w:rFonts w:ascii="Times New Roman" w:hAnsi="Times New Roman"/>
          <w:sz w:val="24"/>
          <w:szCs w:val="24"/>
        </w:rPr>
        <w:t>šetkých druhov pôžičiek, ktoré F</w:t>
      </w:r>
      <w:r w:rsidRPr="00341720">
        <w:rPr>
          <w:rFonts w:ascii="Times New Roman" w:hAnsi="Times New Roman"/>
          <w:sz w:val="24"/>
          <w:szCs w:val="24"/>
        </w:rPr>
        <w:t>ond</w:t>
      </w:r>
      <w:r w:rsidR="00460770" w:rsidRPr="00341720">
        <w:rPr>
          <w:rFonts w:ascii="Times New Roman" w:hAnsi="Times New Roman"/>
          <w:sz w:val="24"/>
          <w:szCs w:val="24"/>
        </w:rPr>
        <w:t xml:space="preserve"> na podporu vzdelávania (ďalej len „fond“)</w:t>
      </w:r>
      <w:r w:rsidRPr="00341720">
        <w:rPr>
          <w:rFonts w:ascii="Times New Roman" w:hAnsi="Times New Roman"/>
          <w:sz w:val="24"/>
          <w:szCs w:val="24"/>
        </w:rPr>
        <w:t xml:space="preserve"> poskytuje.</w:t>
      </w:r>
      <w:r w:rsidR="00220062" w:rsidRPr="00341720">
        <w:rPr>
          <w:rFonts w:ascii="Times New Roman" w:hAnsi="Times New Roman"/>
          <w:sz w:val="24"/>
          <w:szCs w:val="24"/>
        </w:rPr>
        <w:t xml:space="preserve"> Vzhľadom na to, že sa zavádza nový druh pôžičky pre študentov, je potrebné medzi hlavné činnosti fondu zaradiť aj poskytovanie stabilizačnej pôžičky.</w:t>
      </w:r>
    </w:p>
    <w:p w:rsidR="00A21118" w:rsidRPr="00341720" w:rsidRDefault="0032486C" w:rsidP="00684F0E">
      <w:pPr>
        <w:spacing w:after="120"/>
        <w:jc w:val="both"/>
        <w:rPr>
          <w:rFonts w:ascii="Times New Roman" w:hAnsi="Times New Roman"/>
          <w:sz w:val="24"/>
          <w:szCs w:val="24"/>
        </w:rPr>
      </w:pPr>
      <w:r>
        <w:rPr>
          <w:rFonts w:ascii="Times New Roman" w:hAnsi="Times New Roman"/>
          <w:sz w:val="24"/>
          <w:szCs w:val="24"/>
        </w:rPr>
        <w:t>K bodu 2</w:t>
      </w:r>
    </w:p>
    <w:p w:rsidR="004E6AD6" w:rsidRPr="00341720" w:rsidRDefault="007F1F10" w:rsidP="004E6AD6">
      <w:pPr>
        <w:spacing w:after="240"/>
        <w:jc w:val="both"/>
        <w:rPr>
          <w:rFonts w:ascii="Times New Roman" w:hAnsi="Times New Roman"/>
          <w:sz w:val="24"/>
          <w:szCs w:val="24"/>
        </w:rPr>
      </w:pPr>
      <w:r w:rsidRPr="00341720">
        <w:rPr>
          <w:rFonts w:ascii="Times New Roman" w:hAnsi="Times New Roman"/>
          <w:sz w:val="24"/>
          <w:szCs w:val="24"/>
        </w:rPr>
        <w:t>Zamedzuje sa, aby fond čerpal úver na stabilizačné pôžičky, keďže tieto štandardne nebudú generovať jeho príjem na splácanie takejto pôžičky.</w:t>
      </w:r>
    </w:p>
    <w:p w:rsidR="004E6AD6" w:rsidRPr="00341720" w:rsidRDefault="0032486C" w:rsidP="00684F0E">
      <w:pPr>
        <w:spacing w:after="120"/>
        <w:jc w:val="both"/>
        <w:rPr>
          <w:rFonts w:ascii="Times New Roman" w:hAnsi="Times New Roman"/>
          <w:sz w:val="24"/>
          <w:szCs w:val="24"/>
        </w:rPr>
      </w:pPr>
      <w:r>
        <w:rPr>
          <w:rFonts w:ascii="Times New Roman" w:hAnsi="Times New Roman"/>
          <w:sz w:val="24"/>
          <w:szCs w:val="24"/>
        </w:rPr>
        <w:t>K bodu 3</w:t>
      </w:r>
    </w:p>
    <w:p w:rsidR="00D26E75" w:rsidRPr="00341720" w:rsidRDefault="00D26E75" w:rsidP="00CF0CDF">
      <w:pPr>
        <w:spacing w:after="240"/>
        <w:jc w:val="both"/>
        <w:rPr>
          <w:rFonts w:ascii="Times New Roman" w:hAnsi="Times New Roman"/>
          <w:sz w:val="24"/>
          <w:szCs w:val="24"/>
        </w:rPr>
      </w:pPr>
      <w:r w:rsidRPr="00341720">
        <w:rPr>
          <w:rFonts w:ascii="Times New Roman" w:hAnsi="Times New Roman"/>
          <w:sz w:val="24"/>
          <w:szCs w:val="24"/>
        </w:rPr>
        <w:t xml:space="preserve">Zavádza sa možnosť poskytnutia dotácie </w:t>
      </w:r>
      <w:r w:rsidR="00460770" w:rsidRPr="00341720">
        <w:rPr>
          <w:rFonts w:ascii="Times New Roman" w:hAnsi="Times New Roman"/>
          <w:sz w:val="24"/>
          <w:szCs w:val="24"/>
        </w:rPr>
        <w:t xml:space="preserve">fondu </w:t>
      </w:r>
      <w:r w:rsidR="00220062" w:rsidRPr="00341720">
        <w:rPr>
          <w:rFonts w:ascii="Times New Roman" w:hAnsi="Times New Roman"/>
          <w:sz w:val="24"/>
          <w:szCs w:val="24"/>
        </w:rPr>
        <w:t xml:space="preserve">aj </w:t>
      </w:r>
      <w:r w:rsidRPr="00341720">
        <w:rPr>
          <w:rFonts w:ascii="Times New Roman" w:hAnsi="Times New Roman"/>
          <w:sz w:val="24"/>
          <w:szCs w:val="24"/>
        </w:rPr>
        <w:t xml:space="preserve">na </w:t>
      </w:r>
      <w:r w:rsidR="00860978" w:rsidRPr="00341720">
        <w:rPr>
          <w:rFonts w:ascii="Times New Roman" w:hAnsi="Times New Roman"/>
          <w:sz w:val="24"/>
          <w:szCs w:val="24"/>
        </w:rPr>
        <w:t xml:space="preserve">stabilizačné </w:t>
      </w:r>
      <w:r w:rsidRPr="00341720">
        <w:rPr>
          <w:rFonts w:ascii="Times New Roman" w:hAnsi="Times New Roman"/>
          <w:sz w:val="24"/>
          <w:szCs w:val="24"/>
        </w:rPr>
        <w:t>pôžičky</w:t>
      </w:r>
      <w:r w:rsidR="00460770" w:rsidRPr="00341720">
        <w:rPr>
          <w:rFonts w:ascii="Times New Roman" w:hAnsi="Times New Roman"/>
          <w:sz w:val="24"/>
          <w:szCs w:val="24"/>
        </w:rPr>
        <w:t>, pričom ak sa jednou zmluvou upravuje dotácia na viaceré typy pôžičiek, vymedzuje sa aj objem na jednotlivé typy pôžičiek.</w:t>
      </w:r>
    </w:p>
    <w:p w:rsidR="00A21118" w:rsidRPr="00341720" w:rsidRDefault="0032486C" w:rsidP="00684F0E">
      <w:pPr>
        <w:spacing w:after="120"/>
        <w:jc w:val="both"/>
        <w:rPr>
          <w:rFonts w:ascii="Times New Roman" w:hAnsi="Times New Roman"/>
          <w:sz w:val="24"/>
          <w:szCs w:val="24"/>
        </w:rPr>
      </w:pPr>
      <w:r>
        <w:rPr>
          <w:rFonts w:ascii="Times New Roman" w:hAnsi="Times New Roman"/>
          <w:sz w:val="24"/>
          <w:szCs w:val="24"/>
        </w:rPr>
        <w:t>K bodu 4</w:t>
      </w:r>
    </w:p>
    <w:p w:rsidR="00460770" w:rsidRPr="00341720" w:rsidRDefault="00460770" w:rsidP="00CF0CDF">
      <w:pPr>
        <w:spacing w:after="240"/>
        <w:jc w:val="both"/>
        <w:rPr>
          <w:rFonts w:ascii="Times New Roman" w:hAnsi="Times New Roman"/>
          <w:sz w:val="24"/>
          <w:szCs w:val="24"/>
        </w:rPr>
      </w:pPr>
      <w:r w:rsidRPr="00341720">
        <w:rPr>
          <w:rFonts w:ascii="Times New Roman" w:hAnsi="Times New Roman"/>
          <w:sz w:val="24"/>
          <w:szCs w:val="24"/>
        </w:rPr>
        <w:t>V prípade dotácie na poskytovanie stabilizačnej pôžičky je povinnou náležitosťou zmluvy aj objem finančných prostriedkov, ktoré sa vyčleňujú na stabilizačné pôžičky pre jednotlivé nedostatkové regulované povolania. Zabezpečuje sa tým cielenejšie nastavenie s</w:t>
      </w:r>
      <w:r w:rsidR="00341720">
        <w:rPr>
          <w:rFonts w:ascii="Times New Roman" w:hAnsi="Times New Roman"/>
          <w:sz w:val="24"/>
          <w:szCs w:val="24"/>
        </w:rPr>
        <w:t>ystému, keďže v opačnom prípade</w:t>
      </w:r>
      <w:r w:rsidRPr="00341720">
        <w:rPr>
          <w:rFonts w:ascii="Times New Roman" w:hAnsi="Times New Roman"/>
          <w:sz w:val="24"/>
          <w:szCs w:val="24"/>
        </w:rPr>
        <w:t xml:space="preserve"> by študenti pripravujúci sa na výkon jedného nedostatkového regulovaného povolania, boli pri získaní stabilizačnej pôžičky závislí na počte žiadateľov pripravujúcich sa na iné nedostatkové regulované povolanie, čo nie je žiaduce. Takto vyčlenením osobitného objemu finančných prostriedkov na jednotlivé nedostatkové regulované povolania je možné cielenejšie nastavenie systému stabilizácie s ohľadom na potreby pracovného trhu.</w:t>
      </w:r>
      <w:r w:rsidR="00B9130D">
        <w:rPr>
          <w:rFonts w:ascii="Times New Roman" w:hAnsi="Times New Roman"/>
          <w:sz w:val="24"/>
          <w:szCs w:val="24"/>
        </w:rPr>
        <w:t xml:space="preserve"> Zároveň sa zavádza, že výšku stabilizačnej pôžičky nebude určovať rada fondu, ale bude to upravovať priamo dotačná zmluva.  </w:t>
      </w:r>
    </w:p>
    <w:p w:rsidR="00460770" w:rsidRPr="00341720" w:rsidRDefault="0032486C" w:rsidP="00CF0CDF">
      <w:pPr>
        <w:spacing w:after="240"/>
        <w:jc w:val="both"/>
        <w:rPr>
          <w:rFonts w:ascii="Times New Roman" w:hAnsi="Times New Roman"/>
          <w:sz w:val="24"/>
          <w:szCs w:val="24"/>
        </w:rPr>
      </w:pPr>
      <w:r>
        <w:rPr>
          <w:rFonts w:ascii="Times New Roman" w:hAnsi="Times New Roman"/>
          <w:sz w:val="24"/>
          <w:szCs w:val="24"/>
        </w:rPr>
        <w:t>K bodu 5</w:t>
      </w:r>
    </w:p>
    <w:p w:rsidR="00CF0CDF" w:rsidRPr="00341720" w:rsidRDefault="002E2BAF" w:rsidP="00CF0CDF">
      <w:pPr>
        <w:spacing w:after="240"/>
        <w:jc w:val="both"/>
        <w:rPr>
          <w:rFonts w:ascii="Times New Roman" w:hAnsi="Times New Roman"/>
          <w:sz w:val="24"/>
          <w:szCs w:val="24"/>
        </w:rPr>
      </w:pPr>
      <w:r w:rsidRPr="00341720">
        <w:rPr>
          <w:rFonts w:ascii="Times New Roman" w:hAnsi="Times New Roman"/>
          <w:sz w:val="24"/>
          <w:szCs w:val="24"/>
        </w:rPr>
        <w:t>V nadväznosti na zavedenie nového typu pôžičky  - stabilizačnej pôžičky, sa rozširuje možnosť použitia dotácie pre fond aj na financovanie stabilizačných pôžičiek.</w:t>
      </w:r>
      <w:r w:rsidR="00CA238F" w:rsidRPr="00341720">
        <w:rPr>
          <w:rFonts w:ascii="Times New Roman" w:hAnsi="Times New Roman"/>
          <w:sz w:val="24"/>
          <w:szCs w:val="24"/>
        </w:rPr>
        <w:t xml:space="preserve"> Keďže tieto pôžičky nebudú štandardne generovať príjem pre fond z dôvodu odpúšťania istiny v nadväznosti na výkon nedostatkového regulovaného povolania, umožňuje sa, aby dotácia vykryla aj náklady spojené s administráciou pôžičiek. Súčasne sa umožňuje pri napr. rozširovaní doterajších študentských pôžičiek a pôžičiek pre pedagógov, </w:t>
      </w:r>
      <w:r w:rsidR="00341720">
        <w:rPr>
          <w:rFonts w:ascii="Times New Roman" w:hAnsi="Times New Roman"/>
          <w:sz w:val="24"/>
          <w:szCs w:val="24"/>
        </w:rPr>
        <w:t xml:space="preserve">aby </w:t>
      </w:r>
      <w:r w:rsidR="00CA238F" w:rsidRPr="00341720">
        <w:rPr>
          <w:rFonts w:ascii="Times New Roman" w:hAnsi="Times New Roman"/>
          <w:sz w:val="24"/>
          <w:szCs w:val="24"/>
        </w:rPr>
        <w:t xml:space="preserve">bolo možné podporiť aj súvisiace náklady na správu fondu účelovou dotáciou. </w:t>
      </w:r>
    </w:p>
    <w:p w:rsidR="000D2285" w:rsidRPr="00341720" w:rsidRDefault="0032486C" w:rsidP="000D2285">
      <w:pPr>
        <w:spacing w:after="120"/>
        <w:jc w:val="both"/>
        <w:rPr>
          <w:rFonts w:ascii="Times New Roman" w:hAnsi="Times New Roman"/>
          <w:sz w:val="24"/>
          <w:szCs w:val="24"/>
        </w:rPr>
      </w:pPr>
      <w:r>
        <w:rPr>
          <w:rFonts w:ascii="Times New Roman" w:hAnsi="Times New Roman"/>
          <w:sz w:val="24"/>
          <w:szCs w:val="24"/>
        </w:rPr>
        <w:lastRenderedPageBreak/>
        <w:t>K bodu 6</w:t>
      </w:r>
    </w:p>
    <w:p w:rsidR="000D2285" w:rsidRPr="00341720" w:rsidRDefault="000D2285" w:rsidP="000D2285">
      <w:pPr>
        <w:spacing w:after="240"/>
        <w:jc w:val="both"/>
        <w:rPr>
          <w:rFonts w:ascii="Times New Roman" w:hAnsi="Times New Roman"/>
          <w:sz w:val="24"/>
          <w:szCs w:val="24"/>
        </w:rPr>
      </w:pPr>
      <w:r w:rsidRPr="00341720">
        <w:rPr>
          <w:rFonts w:ascii="Times New Roman" w:hAnsi="Times New Roman"/>
          <w:sz w:val="24"/>
          <w:szCs w:val="24"/>
        </w:rPr>
        <w:t>Legislatívno-technická úprava</w:t>
      </w:r>
      <w:r w:rsidR="00220062" w:rsidRPr="00341720">
        <w:rPr>
          <w:rFonts w:ascii="Times New Roman" w:hAnsi="Times New Roman"/>
          <w:sz w:val="24"/>
          <w:szCs w:val="24"/>
        </w:rPr>
        <w:t xml:space="preserve"> z dôvodu, že do § 9 bol vložený nový odsek 8</w:t>
      </w:r>
      <w:r w:rsidRPr="00341720">
        <w:rPr>
          <w:rFonts w:ascii="Times New Roman" w:hAnsi="Times New Roman"/>
          <w:sz w:val="24"/>
          <w:szCs w:val="24"/>
        </w:rPr>
        <w:t>.</w:t>
      </w:r>
    </w:p>
    <w:p w:rsidR="00A21118" w:rsidRPr="00341720" w:rsidRDefault="00CF0CDF" w:rsidP="000D2285">
      <w:pPr>
        <w:spacing w:after="120"/>
        <w:jc w:val="both"/>
        <w:rPr>
          <w:rFonts w:ascii="Times New Roman" w:hAnsi="Times New Roman"/>
          <w:sz w:val="24"/>
          <w:szCs w:val="24"/>
        </w:rPr>
      </w:pPr>
      <w:r w:rsidRPr="00341720">
        <w:rPr>
          <w:rFonts w:ascii="Times New Roman" w:hAnsi="Times New Roman"/>
          <w:sz w:val="24"/>
          <w:szCs w:val="24"/>
        </w:rPr>
        <w:t>K b</w:t>
      </w:r>
      <w:r w:rsidR="0032486C">
        <w:rPr>
          <w:rFonts w:ascii="Times New Roman" w:hAnsi="Times New Roman"/>
          <w:sz w:val="24"/>
          <w:szCs w:val="24"/>
        </w:rPr>
        <w:t>odom 7</w:t>
      </w:r>
      <w:r w:rsidR="00CA238F" w:rsidRPr="00341720">
        <w:rPr>
          <w:rFonts w:ascii="Times New Roman" w:hAnsi="Times New Roman"/>
          <w:sz w:val="24"/>
          <w:szCs w:val="24"/>
        </w:rPr>
        <w:t xml:space="preserve"> až</w:t>
      </w:r>
      <w:r w:rsidRPr="00341720">
        <w:rPr>
          <w:rFonts w:ascii="Times New Roman" w:hAnsi="Times New Roman"/>
          <w:sz w:val="24"/>
          <w:szCs w:val="24"/>
        </w:rPr>
        <w:t xml:space="preserve"> </w:t>
      </w:r>
      <w:r w:rsidR="0032486C">
        <w:rPr>
          <w:rFonts w:ascii="Times New Roman" w:hAnsi="Times New Roman"/>
          <w:sz w:val="24"/>
          <w:szCs w:val="24"/>
        </w:rPr>
        <w:t>9</w:t>
      </w:r>
    </w:p>
    <w:p w:rsidR="00CF0CDF" w:rsidRPr="00341720" w:rsidRDefault="00CF0CDF" w:rsidP="000D2285">
      <w:pPr>
        <w:spacing w:after="120"/>
        <w:jc w:val="both"/>
        <w:rPr>
          <w:rFonts w:ascii="Times New Roman" w:hAnsi="Times New Roman"/>
          <w:sz w:val="24"/>
          <w:szCs w:val="24"/>
        </w:rPr>
      </w:pPr>
      <w:r w:rsidRPr="00341720">
        <w:rPr>
          <w:rFonts w:ascii="Times New Roman" w:hAnsi="Times New Roman"/>
          <w:sz w:val="24"/>
          <w:szCs w:val="24"/>
        </w:rPr>
        <w:t>Určuje sa, že finančné prostriedky určené pre jeden druh pôžičky nemôž</w:t>
      </w:r>
      <w:r w:rsidR="00860978" w:rsidRPr="00341720">
        <w:rPr>
          <w:rFonts w:ascii="Times New Roman" w:hAnsi="Times New Roman"/>
          <w:sz w:val="24"/>
          <w:szCs w:val="24"/>
        </w:rPr>
        <w:t>u byť použité</w:t>
      </w:r>
      <w:r w:rsidR="00236EC6" w:rsidRPr="00341720">
        <w:rPr>
          <w:rFonts w:ascii="Times New Roman" w:hAnsi="Times New Roman"/>
          <w:sz w:val="24"/>
          <w:szCs w:val="24"/>
        </w:rPr>
        <w:t xml:space="preserve"> pre iný druh pôžičky z dôvodu, aby finančné prostriedky, ktoré boli poskytnuté len na poskytovanie pôžičiek pre študentov/stabilizačných pôžičiek/pôžičiek pre pedagógov, mohli byť použité len na ten-ktorý druh pôžičky.</w:t>
      </w:r>
      <w:r w:rsidR="00CA238F" w:rsidRPr="00341720">
        <w:rPr>
          <w:rFonts w:ascii="Times New Roman" w:hAnsi="Times New Roman"/>
          <w:sz w:val="24"/>
          <w:szCs w:val="24"/>
        </w:rPr>
        <w:t xml:space="preserve"> Prípadné výnosy zo stabilizačných pôžičiek a ich splátky sa umožňuje využiť na náklady na správu fondu, keďže v danom čase už nemusí byť poskytovaná stabilizačná pôžička pre povolanie, ktoré bolo pôvodne zaradené medzi nedostatkové regulované povolania, ale fond bude mať stále náklady na administráciu týchto pôžičiek. </w:t>
      </w:r>
      <w:r w:rsidR="00FD483B" w:rsidRPr="00341720">
        <w:rPr>
          <w:rFonts w:ascii="Times New Roman" w:hAnsi="Times New Roman"/>
          <w:sz w:val="24"/>
          <w:szCs w:val="24"/>
        </w:rPr>
        <w:t xml:space="preserve">Tak ako </w:t>
      </w:r>
      <w:r w:rsidR="00341720">
        <w:rPr>
          <w:rFonts w:ascii="Times New Roman" w:hAnsi="Times New Roman"/>
          <w:sz w:val="24"/>
          <w:szCs w:val="24"/>
        </w:rPr>
        <w:t xml:space="preserve">pri ostatných druhoch pôžičiek, </w:t>
      </w:r>
      <w:r w:rsidR="00CA238F" w:rsidRPr="00341720">
        <w:rPr>
          <w:rFonts w:ascii="Times New Roman" w:hAnsi="Times New Roman"/>
          <w:sz w:val="24"/>
          <w:szCs w:val="24"/>
        </w:rPr>
        <w:t xml:space="preserve">tieto zdroje </w:t>
      </w:r>
      <w:r w:rsidR="00FD483B" w:rsidRPr="00341720">
        <w:rPr>
          <w:rFonts w:ascii="Times New Roman" w:hAnsi="Times New Roman"/>
          <w:sz w:val="24"/>
          <w:szCs w:val="24"/>
        </w:rPr>
        <w:t xml:space="preserve">bude fond používať </w:t>
      </w:r>
      <w:r w:rsidR="00341720">
        <w:rPr>
          <w:rFonts w:ascii="Times New Roman" w:hAnsi="Times New Roman"/>
          <w:sz w:val="24"/>
          <w:szCs w:val="24"/>
        </w:rPr>
        <w:t xml:space="preserve">aj </w:t>
      </w:r>
      <w:r w:rsidR="00CA238F" w:rsidRPr="00341720">
        <w:rPr>
          <w:rFonts w:ascii="Times New Roman" w:hAnsi="Times New Roman"/>
          <w:sz w:val="24"/>
          <w:szCs w:val="24"/>
        </w:rPr>
        <w:t>na financovanie aktuálnych stabilizačných pôžičiek</w:t>
      </w:r>
      <w:r w:rsidR="00FD483B" w:rsidRPr="00341720">
        <w:rPr>
          <w:rFonts w:ascii="Times New Roman" w:hAnsi="Times New Roman"/>
          <w:sz w:val="24"/>
          <w:szCs w:val="24"/>
        </w:rPr>
        <w:t xml:space="preserve"> (bez obmedzenia na regulované povolanie, na ktoré bola pôvodne poskytnutá dotácia)</w:t>
      </w:r>
      <w:r w:rsidR="00CA238F" w:rsidRPr="00341720">
        <w:rPr>
          <w:rFonts w:ascii="Times New Roman" w:hAnsi="Times New Roman"/>
          <w:sz w:val="24"/>
          <w:szCs w:val="24"/>
        </w:rPr>
        <w:t xml:space="preserve">. </w:t>
      </w:r>
    </w:p>
    <w:p w:rsidR="00A21118" w:rsidRPr="00341720" w:rsidRDefault="0032486C" w:rsidP="00684F0E">
      <w:pPr>
        <w:spacing w:after="120"/>
        <w:jc w:val="both"/>
        <w:rPr>
          <w:rFonts w:ascii="Times New Roman" w:hAnsi="Times New Roman"/>
          <w:sz w:val="24"/>
          <w:szCs w:val="24"/>
        </w:rPr>
      </w:pPr>
      <w:r>
        <w:rPr>
          <w:rFonts w:ascii="Times New Roman" w:hAnsi="Times New Roman"/>
          <w:sz w:val="24"/>
          <w:szCs w:val="24"/>
        </w:rPr>
        <w:t>K bodu 10</w:t>
      </w:r>
    </w:p>
    <w:p w:rsidR="00CF0CDF" w:rsidRPr="00341720" w:rsidRDefault="00CF0CDF" w:rsidP="00CF0CDF">
      <w:pPr>
        <w:spacing w:after="240"/>
        <w:jc w:val="both"/>
        <w:rPr>
          <w:rFonts w:ascii="Times New Roman" w:hAnsi="Times New Roman"/>
          <w:sz w:val="24"/>
          <w:szCs w:val="24"/>
        </w:rPr>
      </w:pPr>
      <w:r w:rsidRPr="00341720">
        <w:rPr>
          <w:rFonts w:ascii="Times New Roman" w:hAnsi="Times New Roman"/>
          <w:sz w:val="24"/>
          <w:szCs w:val="24"/>
        </w:rPr>
        <w:t>Legislatívno-technická úprava vzhľadom na potrebu odstrániť nesúlad v zákone. Od 1. januára 2017 na základe ostatnej novely zákona je potrebné vylúčiť z nákladov na správu fondu aj inštitút zníženia istiny študentovi.</w:t>
      </w:r>
    </w:p>
    <w:p w:rsidR="00A21118" w:rsidRPr="00341720" w:rsidRDefault="0032486C" w:rsidP="00684F0E">
      <w:pPr>
        <w:spacing w:after="120"/>
        <w:jc w:val="both"/>
        <w:rPr>
          <w:rFonts w:ascii="Times New Roman" w:hAnsi="Times New Roman"/>
          <w:sz w:val="24"/>
          <w:szCs w:val="24"/>
        </w:rPr>
      </w:pPr>
      <w:r>
        <w:rPr>
          <w:rFonts w:ascii="Times New Roman" w:hAnsi="Times New Roman"/>
          <w:sz w:val="24"/>
          <w:szCs w:val="24"/>
        </w:rPr>
        <w:t>K bodu 11</w:t>
      </w:r>
    </w:p>
    <w:p w:rsidR="000D2285" w:rsidRPr="00341720" w:rsidRDefault="00FD483B" w:rsidP="00711436">
      <w:pPr>
        <w:spacing w:after="240"/>
        <w:jc w:val="both"/>
        <w:rPr>
          <w:rFonts w:ascii="Times New Roman" w:hAnsi="Times New Roman"/>
          <w:sz w:val="24"/>
          <w:szCs w:val="24"/>
        </w:rPr>
      </w:pPr>
      <w:r w:rsidRPr="00341720">
        <w:rPr>
          <w:rFonts w:ascii="Times New Roman" w:hAnsi="Times New Roman"/>
          <w:sz w:val="24"/>
          <w:szCs w:val="24"/>
        </w:rPr>
        <w:t>Keďže stabilizačné pôžičky nemajú byť štandardne splácané a teda negenerujú príjmy fondu, ktoré je možné použiť na náklady na jeho činnosť, upravuje sa možnosť, aby fond použil časť dotácie na financovanie nákladov na správu. Tieto náklady nie sú obmedzené len na náklady spojené s poskytovaním stabilizačnej pôžičky, ale umožňuje sa do určeného limitu zo sumy poskytnutej dotácie a pri zachovaní obmedzenia podľa § 9 ods. 10 zákona o fonde, financovať celkové náklady na správu fondu</w:t>
      </w:r>
      <w:r w:rsidR="000D2285" w:rsidRPr="00341720">
        <w:rPr>
          <w:rFonts w:ascii="Times New Roman" w:hAnsi="Times New Roman"/>
          <w:sz w:val="24"/>
          <w:szCs w:val="24"/>
        </w:rPr>
        <w:t>.</w:t>
      </w:r>
      <w:r w:rsidRPr="00341720">
        <w:rPr>
          <w:rFonts w:ascii="Times New Roman" w:hAnsi="Times New Roman"/>
          <w:sz w:val="24"/>
          <w:szCs w:val="24"/>
        </w:rPr>
        <w:t xml:space="preserve"> Súčasne v ďalších rokoch, keď už nebude poskytovaná dotácia na stabilizačné pôžičky na dané nedostatkové regulované povolanie, bude fond financovať náklady spojené s ich administráciou</w:t>
      </w:r>
      <w:r w:rsidR="00341720">
        <w:rPr>
          <w:rFonts w:ascii="Times New Roman" w:hAnsi="Times New Roman"/>
          <w:sz w:val="24"/>
          <w:szCs w:val="24"/>
        </w:rPr>
        <w:t xml:space="preserve"> </w:t>
      </w:r>
      <w:r w:rsidRPr="00341720">
        <w:rPr>
          <w:rFonts w:ascii="Times New Roman" w:hAnsi="Times New Roman"/>
          <w:sz w:val="24"/>
          <w:szCs w:val="24"/>
        </w:rPr>
        <w:t>z vlastných zdrojov. Limit 3,5 % z dotácie vychádza z doterajšej väzby na rovnakom podiely na nesplatenej istin</w:t>
      </w:r>
      <w:r w:rsidR="00341720">
        <w:rPr>
          <w:rFonts w:ascii="Times New Roman" w:hAnsi="Times New Roman"/>
          <w:sz w:val="24"/>
          <w:szCs w:val="24"/>
        </w:rPr>
        <w:t>e</w:t>
      </w:r>
      <w:r w:rsidRPr="00341720">
        <w:rPr>
          <w:rFonts w:ascii="Times New Roman" w:hAnsi="Times New Roman"/>
          <w:sz w:val="24"/>
          <w:szCs w:val="24"/>
        </w:rPr>
        <w:t>, keďže z dotácie budú poskytované pôžičky v danom objeme.</w:t>
      </w:r>
    </w:p>
    <w:p w:rsidR="000D2285" w:rsidRPr="00341720" w:rsidRDefault="0032486C" w:rsidP="00711436">
      <w:pPr>
        <w:spacing w:after="240"/>
        <w:jc w:val="both"/>
        <w:rPr>
          <w:rFonts w:ascii="Times New Roman" w:hAnsi="Times New Roman"/>
          <w:sz w:val="24"/>
          <w:szCs w:val="24"/>
        </w:rPr>
      </w:pPr>
      <w:r>
        <w:rPr>
          <w:rFonts w:ascii="Times New Roman" w:hAnsi="Times New Roman"/>
          <w:sz w:val="24"/>
          <w:szCs w:val="24"/>
        </w:rPr>
        <w:t>K bodu 12</w:t>
      </w:r>
    </w:p>
    <w:p w:rsidR="00A63B73" w:rsidRPr="00341720" w:rsidRDefault="00A63B73" w:rsidP="00711436">
      <w:pPr>
        <w:spacing w:after="240"/>
        <w:jc w:val="both"/>
        <w:rPr>
          <w:rFonts w:ascii="Times New Roman" w:hAnsi="Times New Roman"/>
          <w:sz w:val="24"/>
          <w:szCs w:val="24"/>
          <w:highlight w:val="yellow"/>
        </w:rPr>
      </w:pPr>
      <w:r w:rsidRPr="00341720">
        <w:rPr>
          <w:rStyle w:val="normaltextrun"/>
          <w:rFonts w:ascii="Times New Roman" w:hAnsi="Times New Roman"/>
          <w:sz w:val="24"/>
          <w:szCs w:val="24"/>
        </w:rPr>
        <w:t>Vzhľadom na praktické skúsenosti sa rozširuje cieľová skupin</w:t>
      </w:r>
      <w:r w:rsidR="00341720">
        <w:rPr>
          <w:rStyle w:val="normaltextrun"/>
          <w:rFonts w:ascii="Times New Roman" w:hAnsi="Times New Roman"/>
          <w:sz w:val="24"/>
          <w:szCs w:val="24"/>
        </w:rPr>
        <w:t>a</w:t>
      </w:r>
      <w:r w:rsidRPr="00341720">
        <w:rPr>
          <w:rStyle w:val="normaltextrun"/>
          <w:rFonts w:ascii="Times New Roman" w:hAnsi="Times New Roman"/>
          <w:sz w:val="24"/>
          <w:szCs w:val="24"/>
        </w:rPr>
        <w:t xml:space="preserve"> aj o iné druhy súdnych rozhodnutí, na základe ktorých môže byť dieťa umiestnené do zariadenia sociálnoprávnej ochrany detí a sociálnej kurately.</w:t>
      </w:r>
    </w:p>
    <w:p w:rsidR="009509AB" w:rsidRPr="00341720" w:rsidRDefault="0032486C" w:rsidP="009509AB">
      <w:pPr>
        <w:spacing w:after="240"/>
        <w:jc w:val="both"/>
        <w:rPr>
          <w:rFonts w:ascii="Times New Roman" w:hAnsi="Times New Roman"/>
          <w:sz w:val="24"/>
          <w:szCs w:val="24"/>
        </w:rPr>
      </w:pPr>
      <w:r>
        <w:rPr>
          <w:rFonts w:ascii="Times New Roman" w:hAnsi="Times New Roman"/>
          <w:sz w:val="24"/>
          <w:szCs w:val="24"/>
        </w:rPr>
        <w:t>K bodu 13</w:t>
      </w:r>
    </w:p>
    <w:p w:rsidR="00D60633" w:rsidRPr="00341720" w:rsidRDefault="009509AB" w:rsidP="00CF0CDF">
      <w:pPr>
        <w:spacing w:after="240"/>
        <w:jc w:val="both"/>
        <w:rPr>
          <w:rStyle w:val="normaltextrun"/>
          <w:rFonts w:ascii="Times New Roman" w:hAnsi="Times New Roman"/>
          <w:sz w:val="24"/>
          <w:szCs w:val="24"/>
        </w:rPr>
      </w:pPr>
      <w:r w:rsidRPr="00341720">
        <w:rPr>
          <w:rStyle w:val="normaltextrun"/>
          <w:rFonts w:ascii="Times New Roman" w:hAnsi="Times New Roman"/>
          <w:sz w:val="24"/>
          <w:szCs w:val="24"/>
        </w:rPr>
        <w:t xml:space="preserve">Zavádza sa nové prednostné kritérium s cieľom uprednostniť pri poskytovaní študentských pôžičiek deti z náhradných rodín, čím sa im môže významne prispieť k úhrade nákladov </w:t>
      </w:r>
      <w:r w:rsidRPr="00341720">
        <w:rPr>
          <w:rStyle w:val="normaltextrun"/>
          <w:rFonts w:ascii="Times New Roman" w:hAnsi="Times New Roman"/>
          <w:sz w:val="24"/>
          <w:szCs w:val="24"/>
        </w:rPr>
        <w:lastRenderedPageBreak/>
        <w:t>spojených so štúdiom počas ich štúdia na vysokej škole, a tak im dopomôcť aj k úspešnému ukončeniu štúdia, ktoré je významným predpokladom k úspešnému uplatneniu sa na trhu práce. </w:t>
      </w:r>
    </w:p>
    <w:p w:rsidR="009509AB" w:rsidRPr="00341720" w:rsidRDefault="0032486C" w:rsidP="00CF0CDF">
      <w:pPr>
        <w:spacing w:after="240"/>
        <w:jc w:val="both"/>
        <w:rPr>
          <w:rFonts w:ascii="Times New Roman" w:hAnsi="Times New Roman"/>
          <w:sz w:val="24"/>
          <w:szCs w:val="24"/>
        </w:rPr>
      </w:pPr>
      <w:r>
        <w:rPr>
          <w:rFonts w:ascii="Times New Roman" w:hAnsi="Times New Roman"/>
          <w:sz w:val="24"/>
          <w:szCs w:val="24"/>
        </w:rPr>
        <w:t>K bodu 14</w:t>
      </w:r>
    </w:p>
    <w:p w:rsidR="009509AB" w:rsidRPr="00341720" w:rsidRDefault="009509AB" w:rsidP="00CF0CDF">
      <w:pPr>
        <w:spacing w:after="240"/>
        <w:jc w:val="both"/>
        <w:rPr>
          <w:rFonts w:ascii="Times New Roman" w:hAnsi="Times New Roman"/>
          <w:sz w:val="24"/>
          <w:szCs w:val="24"/>
        </w:rPr>
      </w:pPr>
      <w:r w:rsidRPr="00341720">
        <w:rPr>
          <w:rFonts w:ascii="Times New Roman" w:hAnsi="Times New Roman"/>
          <w:sz w:val="24"/>
          <w:szCs w:val="24"/>
        </w:rPr>
        <w:t>Aby získanie stabilizačnej pôžičky neznevýhodňovalo žiadateľov o študentskú pôžičku, spresňuje sa, že na zostavovanie poradia žiadateľov o študentskú pôžičku, nebudú mať vplyv ostatné druhy pôžičiek.</w:t>
      </w:r>
    </w:p>
    <w:p w:rsidR="009509AB" w:rsidRPr="00341720" w:rsidRDefault="0032486C" w:rsidP="00CF0CDF">
      <w:pPr>
        <w:spacing w:after="240"/>
        <w:jc w:val="both"/>
        <w:rPr>
          <w:rFonts w:ascii="Times New Roman" w:hAnsi="Times New Roman"/>
          <w:sz w:val="24"/>
          <w:szCs w:val="24"/>
        </w:rPr>
      </w:pPr>
      <w:r>
        <w:rPr>
          <w:rFonts w:ascii="Times New Roman" w:hAnsi="Times New Roman"/>
          <w:sz w:val="24"/>
          <w:szCs w:val="24"/>
        </w:rPr>
        <w:t>K bodu 15</w:t>
      </w:r>
    </w:p>
    <w:p w:rsidR="00ED1442" w:rsidRPr="00341720" w:rsidRDefault="00ED1442" w:rsidP="00ED1442">
      <w:pPr>
        <w:spacing w:after="240"/>
        <w:jc w:val="both"/>
        <w:rPr>
          <w:rFonts w:ascii="Times New Roman" w:hAnsi="Times New Roman"/>
          <w:sz w:val="24"/>
          <w:szCs w:val="24"/>
        </w:rPr>
      </w:pPr>
      <w:r w:rsidRPr="00341720">
        <w:rPr>
          <w:rFonts w:ascii="Times New Roman" w:hAnsi="Times New Roman"/>
          <w:sz w:val="24"/>
          <w:szCs w:val="24"/>
        </w:rPr>
        <w:t>Pri posudzovaní splnenia kritéria študijných výsledkov sa navrhuje, aby fond akceptoval len maturitné vysvedčenie za školský rok predchádzajúci roku</w:t>
      </w:r>
      <w:r w:rsidR="00236EC6" w:rsidRPr="00341720">
        <w:rPr>
          <w:rFonts w:ascii="Times New Roman" w:hAnsi="Times New Roman"/>
          <w:sz w:val="24"/>
          <w:szCs w:val="24"/>
        </w:rPr>
        <w:t>,</w:t>
      </w:r>
      <w:r w:rsidRPr="00341720">
        <w:rPr>
          <w:rFonts w:ascii="Times New Roman" w:hAnsi="Times New Roman"/>
          <w:sz w:val="24"/>
          <w:szCs w:val="24"/>
        </w:rPr>
        <w:t xml:space="preserve"> v ktorom sa poskytuje pôžička z dôvodu podporiť prednostne aktuálnych maturantov.</w:t>
      </w:r>
      <w:r w:rsidR="004C15E4" w:rsidRPr="00341720">
        <w:rPr>
          <w:rFonts w:ascii="Times New Roman" w:hAnsi="Times New Roman"/>
          <w:sz w:val="24"/>
          <w:szCs w:val="24"/>
        </w:rPr>
        <w:t xml:space="preserve"> V prípade, že žiadateľ maturoval v predchádzajúcich rokoch, nie je vylúčený z možnosti získania pôžičky, ale jeho študijné výsledky ho nebudú uprednostňovať v poradí žiadateľov.</w:t>
      </w:r>
    </w:p>
    <w:p w:rsidR="00ED1442" w:rsidRPr="00341720" w:rsidRDefault="00ED1442" w:rsidP="00CF0CDF">
      <w:pPr>
        <w:spacing w:after="240"/>
        <w:jc w:val="both"/>
        <w:rPr>
          <w:rFonts w:ascii="Times New Roman" w:hAnsi="Times New Roman"/>
          <w:sz w:val="24"/>
          <w:szCs w:val="24"/>
        </w:rPr>
      </w:pPr>
      <w:r w:rsidRPr="00341720">
        <w:rPr>
          <w:rFonts w:ascii="Times New Roman" w:hAnsi="Times New Roman"/>
          <w:sz w:val="24"/>
          <w:szCs w:val="24"/>
        </w:rPr>
        <w:t>K bodu 1</w:t>
      </w:r>
      <w:r w:rsidR="0032486C">
        <w:rPr>
          <w:rFonts w:ascii="Times New Roman" w:hAnsi="Times New Roman"/>
          <w:sz w:val="24"/>
          <w:szCs w:val="24"/>
        </w:rPr>
        <w:t>6</w:t>
      </w:r>
    </w:p>
    <w:p w:rsidR="00843AF9" w:rsidRPr="00341720" w:rsidRDefault="00860978" w:rsidP="00CF0CDF">
      <w:pPr>
        <w:spacing w:after="240"/>
        <w:jc w:val="both"/>
        <w:rPr>
          <w:rFonts w:ascii="Times New Roman" w:hAnsi="Times New Roman"/>
          <w:sz w:val="24"/>
          <w:szCs w:val="24"/>
        </w:rPr>
      </w:pPr>
      <w:r w:rsidRPr="00341720">
        <w:rPr>
          <w:rFonts w:ascii="Times New Roman" w:hAnsi="Times New Roman"/>
          <w:sz w:val="24"/>
          <w:szCs w:val="24"/>
        </w:rPr>
        <w:t>Navrhuje sa obmedziť kumulácia</w:t>
      </w:r>
      <w:r w:rsidR="00843AF9" w:rsidRPr="00341720">
        <w:rPr>
          <w:rFonts w:ascii="Times New Roman" w:hAnsi="Times New Roman"/>
          <w:sz w:val="24"/>
          <w:szCs w:val="24"/>
        </w:rPr>
        <w:t xml:space="preserve"> postupne uzavretých zmlúv, ak sa na základe nich poskytujú viaceré druhy pôžičiek z dôvodu rozdielnych podmienok ich poskytovania.</w:t>
      </w:r>
    </w:p>
    <w:p w:rsidR="00843AF9" w:rsidRPr="00341720" w:rsidRDefault="004C15E4" w:rsidP="00684F0E">
      <w:pPr>
        <w:spacing w:after="120"/>
        <w:jc w:val="both"/>
        <w:rPr>
          <w:rFonts w:ascii="Times New Roman" w:hAnsi="Times New Roman"/>
          <w:sz w:val="24"/>
          <w:szCs w:val="24"/>
        </w:rPr>
      </w:pPr>
      <w:r w:rsidRPr="00341720">
        <w:rPr>
          <w:rFonts w:ascii="Times New Roman" w:hAnsi="Times New Roman"/>
          <w:sz w:val="24"/>
          <w:szCs w:val="24"/>
        </w:rPr>
        <w:t>K bodom</w:t>
      </w:r>
      <w:r w:rsidR="00A21118" w:rsidRPr="00341720">
        <w:rPr>
          <w:rFonts w:ascii="Times New Roman" w:hAnsi="Times New Roman"/>
          <w:sz w:val="24"/>
          <w:szCs w:val="24"/>
        </w:rPr>
        <w:t xml:space="preserve"> </w:t>
      </w:r>
      <w:r w:rsidR="0032486C">
        <w:rPr>
          <w:rFonts w:ascii="Times New Roman" w:hAnsi="Times New Roman"/>
          <w:sz w:val="24"/>
          <w:szCs w:val="24"/>
        </w:rPr>
        <w:t>17 a 18</w:t>
      </w:r>
    </w:p>
    <w:p w:rsidR="004C15E4" w:rsidRPr="00341720" w:rsidRDefault="004C15E4" w:rsidP="00CF0CDF">
      <w:pPr>
        <w:spacing w:after="240"/>
        <w:jc w:val="both"/>
        <w:rPr>
          <w:rFonts w:ascii="Times New Roman" w:hAnsi="Times New Roman"/>
          <w:sz w:val="24"/>
          <w:szCs w:val="24"/>
        </w:rPr>
      </w:pPr>
      <w:r w:rsidRPr="00341720">
        <w:rPr>
          <w:rFonts w:ascii="Times New Roman" w:hAnsi="Times New Roman"/>
          <w:sz w:val="24"/>
          <w:szCs w:val="24"/>
        </w:rPr>
        <w:t>Na zákla</w:t>
      </w:r>
      <w:r w:rsidR="00341720">
        <w:rPr>
          <w:rFonts w:ascii="Times New Roman" w:hAnsi="Times New Roman"/>
          <w:sz w:val="24"/>
          <w:szCs w:val="24"/>
        </w:rPr>
        <w:t>de aplikačnej praxe sa spresňujú ustanovenia</w:t>
      </w:r>
      <w:r w:rsidRPr="00341720">
        <w:rPr>
          <w:rFonts w:ascii="Times New Roman" w:hAnsi="Times New Roman"/>
          <w:sz w:val="24"/>
          <w:szCs w:val="24"/>
        </w:rPr>
        <w:t xml:space="preserve"> na odklad splátok študentských pôžičiek, aby bol tento zo zákona aplikovaný aj pre študijné programy prvého stupňa.</w:t>
      </w:r>
    </w:p>
    <w:p w:rsidR="006B0739" w:rsidRDefault="006B0739" w:rsidP="00CF0CDF">
      <w:pPr>
        <w:spacing w:after="240"/>
        <w:jc w:val="both"/>
        <w:rPr>
          <w:rFonts w:ascii="Times New Roman" w:hAnsi="Times New Roman"/>
          <w:sz w:val="24"/>
          <w:szCs w:val="24"/>
        </w:rPr>
      </w:pPr>
      <w:r>
        <w:rPr>
          <w:rFonts w:ascii="Times New Roman" w:hAnsi="Times New Roman"/>
          <w:sz w:val="24"/>
          <w:szCs w:val="24"/>
        </w:rPr>
        <w:t>K bodu 19</w:t>
      </w:r>
    </w:p>
    <w:p w:rsidR="006B0739" w:rsidRDefault="006B0739" w:rsidP="00CF0CDF">
      <w:pPr>
        <w:spacing w:after="240"/>
        <w:jc w:val="both"/>
        <w:rPr>
          <w:rFonts w:ascii="Times New Roman" w:hAnsi="Times New Roman"/>
          <w:sz w:val="24"/>
          <w:szCs w:val="24"/>
        </w:rPr>
      </w:pPr>
      <w:r>
        <w:rPr>
          <w:rFonts w:ascii="Times New Roman" w:hAnsi="Times New Roman"/>
          <w:sz w:val="24"/>
          <w:szCs w:val="24"/>
        </w:rPr>
        <w:t xml:space="preserve">Legislatívno-technická úprava súvisiaca s vložením nového písmena do ustanovenia. </w:t>
      </w:r>
    </w:p>
    <w:p w:rsidR="004C15E4" w:rsidRPr="00341720" w:rsidRDefault="006B0739" w:rsidP="00CF0CDF">
      <w:pPr>
        <w:spacing w:after="240"/>
        <w:jc w:val="both"/>
        <w:rPr>
          <w:rFonts w:ascii="Times New Roman" w:hAnsi="Times New Roman"/>
          <w:sz w:val="24"/>
          <w:szCs w:val="24"/>
        </w:rPr>
      </w:pPr>
      <w:r>
        <w:rPr>
          <w:rFonts w:ascii="Times New Roman" w:hAnsi="Times New Roman"/>
          <w:sz w:val="24"/>
          <w:szCs w:val="24"/>
        </w:rPr>
        <w:t>K bodu 20</w:t>
      </w:r>
    </w:p>
    <w:p w:rsidR="004C15E4" w:rsidRPr="00341720" w:rsidRDefault="004C15E4" w:rsidP="00CF0CDF">
      <w:pPr>
        <w:spacing w:after="240"/>
        <w:jc w:val="both"/>
        <w:rPr>
          <w:rFonts w:ascii="Times New Roman" w:hAnsi="Times New Roman"/>
          <w:sz w:val="24"/>
          <w:szCs w:val="24"/>
        </w:rPr>
      </w:pPr>
      <w:r w:rsidRPr="00341720">
        <w:rPr>
          <w:rFonts w:ascii="Times New Roman" w:hAnsi="Times New Roman"/>
          <w:sz w:val="24"/>
          <w:szCs w:val="24"/>
        </w:rPr>
        <w:t>Za účelom podpory a zvýšenia atraktivity dobrovoľnej vojenskej prípravy sa zavádza ďalší dôvod na odklad splátok.</w:t>
      </w:r>
    </w:p>
    <w:p w:rsidR="004C15E4" w:rsidRPr="00341720" w:rsidRDefault="006B0739" w:rsidP="00CF0CDF">
      <w:pPr>
        <w:spacing w:after="240"/>
        <w:jc w:val="both"/>
        <w:rPr>
          <w:rFonts w:ascii="Times New Roman" w:hAnsi="Times New Roman"/>
          <w:sz w:val="24"/>
          <w:szCs w:val="24"/>
        </w:rPr>
      </w:pPr>
      <w:r>
        <w:rPr>
          <w:rFonts w:ascii="Times New Roman" w:hAnsi="Times New Roman"/>
          <w:sz w:val="24"/>
          <w:szCs w:val="24"/>
        </w:rPr>
        <w:t>K bodu 21</w:t>
      </w:r>
    </w:p>
    <w:p w:rsidR="004C15E4" w:rsidRPr="00341720" w:rsidRDefault="00341720" w:rsidP="00CF0CDF">
      <w:pPr>
        <w:spacing w:after="240"/>
        <w:jc w:val="both"/>
        <w:rPr>
          <w:rFonts w:ascii="Times New Roman" w:hAnsi="Times New Roman"/>
          <w:sz w:val="24"/>
          <w:szCs w:val="24"/>
        </w:rPr>
      </w:pPr>
      <w:r>
        <w:rPr>
          <w:rFonts w:ascii="Times New Roman" w:hAnsi="Times New Roman"/>
          <w:sz w:val="24"/>
          <w:szCs w:val="24"/>
        </w:rPr>
        <w:t>Vychádzajúc z</w:t>
      </w:r>
      <w:r w:rsidR="004C15E4" w:rsidRPr="00341720">
        <w:rPr>
          <w:rFonts w:ascii="Times New Roman" w:hAnsi="Times New Roman"/>
          <w:sz w:val="24"/>
          <w:szCs w:val="24"/>
        </w:rPr>
        <w:t xml:space="preserve">o zámeru vlády SR o zavedenie stabilizačných príspevkov pre študentov ošetrovateľstva sa vytvára všeobecný rámec, ktorý umožňuje stabilizáciu vybraného sektora, </w:t>
      </w:r>
      <w:r>
        <w:rPr>
          <w:rFonts w:ascii="Times New Roman" w:hAnsi="Times New Roman"/>
          <w:sz w:val="24"/>
          <w:szCs w:val="24"/>
        </w:rPr>
        <w:t xml:space="preserve">a to </w:t>
      </w:r>
      <w:r w:rsidR="004C15E4" w:rsidRPr="00341720">
        <w:rPr>
          <w:rFonts w:ascii="Times New Roman" w:hAnsi="Times New Roman"/>
          <w:sz w:val="24"/>
          <w:szCs w:val="24"/>
        </w:rPr>
        <w:t>formou zavedenia nov</w:t>
      </w:r>
      <w:r>
        <w:rPr>
          <w:rFonts w:ascii="Times New Roman" w:hAnsi="Times New Roman"/>
          <w:sz w:val="24"/>
          <w:szCs w:val="24"/>
        </w:rPr>
        <w:t>ého druhu pôžičky poskytovanej f</w:t>
      </w:r>
      <w:r w:rsidR="004C15E4" w:rsidRPr="00341720">
        <w:rPr>
          <w:rFonts w:ascii="Times New Roman" w:hAnsi="Times New Roman"/>
          <w:sz w:val="24"/>
          <w:szCs w:val="24"/>
        </w:rPr>
        <w:t>ondom - stabilizačnej pôžičky. Zámerom je podporiť občanov počas štúdia študijných programov, v ktorých získavajú kvalifikáciu na výkon regulovaného povolania, v ktorom je identifikovaný nedostatok pracovnej sily</w:t>
      </w:r>
      <w:r w:rsidR="00E43665" w:rsidRPr="00341720">
        <w:rPr>
          <w:rFonts w:ascii="Times New Roman" w:hAnsi="Times New Roman"/>
          <w:sz w:val="24"/>
          <w:szCs w:val="24"/>
        </w:rPr>
        <w:t>, teda sa vytvárajú predpoklady pre vyšší záujem o štúdium v týchto študijných programoch</w:t>
      </w:r>
      <w:r w:rsidR="004C15E4" w:rsidRPr="00341720">
        <w:rPr>
          <w:rFonts w:ascii="Times New Roman" w:hAnsi="Times New Roman"/>
          <w:sz w:val="24"/>
          <w:szCs w:val="24"/>
        </w:rPr>
        <w:t xml:space="preserve">. Obmedzenie </w:t>
      </w:r>
      <w:r w:rsidR="004C15E4" w:rsidRPr="00341720">
        <w:rPr>
          <w:rFonts w:ascii="Times New Roman" w:hAnsi="Times New Roman"/>
          <w:sz w:val="24"/>
          <w:szCs w:val="24"/>
        </w:rPr>
        <w:lastRenderedPageBreak/>
        <w:t>na regulované povolania sa zavádza z dôvodu, že je možné pre ne vopred overiť, či štúdiom v konkrétnych študijných programoch sa nadobudne potrebná kvalifikácia, čo pre neregulované povolania nie je možné.</w:t>
      </w:r>
    </w:p>
    <w:p w:rsidR="004C15E4" w:rsidRPr="00341720" w:rsidRDefault="004C15E4" w:rsidP="00CF0CDF">
      <w:pPr>
        <w:spacing w:after="240"/>
        <w:jc w:val="both"/>
        <w:rPr>
          <w:rFonts w:ascii="Times New Roman" w:hAnsi="Times New Roman"/>
          <w:sz w:val="24"/>
          <w:szCs w:val="24"/>
        </w:rPr>
      </w:pPr>
      <w:r w:rsidRPr="00341720">
        <w:rPr>
          <w:rFonts w:ascii="Times New Roman" w:hAnsi="Times New Roman"/>
          <w:sz w:val="24"/>
          <w:szCs w:val="24"/>
        </w:rPr>
        <w:t>Princípom stabilizačnej pôžičky je, že ak občan získa potrebnú kvalifikáciu a následne bude pracovať v danom regulovanom povolaní v Slovenskej republike, bude mu priebežne odpúšťaná istina z poskytnutej pôžičky a teda de facto pôjde o štipendium, ktoré ho bude podporovať počas štúdia na vysokej škole</w:t>
      </w:r>
      <w:r w:rsidR="00E43665" w:rsidRPr="00341720">
        <w:rPr>
          <w:rFonts w:ascii="Times New Roman" w:hAnsi="Times New Roman"/>
          <w:sz w:val="24"/>
          <w:szCs w:val="24"/>
        </w:rPr>
        <w:t xml:space="preserve"> a z ktorého mu nebudú vznikať záväzky pri výkone práce, teda ho to motivuje na výkon daného povolania, na ktoré bol pripravovaný</w:t>
      </w:r>
      <w:r w:rsidRPr="00341720">
        <w:rPr>
          <w:rFonts w:ascii="Times New Roman" w:hAnsi="Times New Roman"/>
          <w:sz w:val="24"/>
          <w:szCs w:val="24"/>
        </w:rPr>
        <w:t xml:space="preserve">. </w:t>
      </w:r>
    </w:p>
    <w:p w:rsidR="004C15E4" w:rsidRPr="00341720" w:rsidRDefault="004C15E4" w:rsidP="00CF0CDF">
      <w:pPr>
        <w:spacing w:after="240"/>
        <w:jc w:val="both"/>
        <w:rPr>
          <w:rFonts w:ascii="Times New Roman" w:hAnsi="Times New Roman"/>
          <w:sz w:val="24"/>
          <w:szCs w:val="24"/>
        </w:rPr>
      </w:pPr>
      <w:r w:rsidRPr="00341720">
        <w:rPr>
          <w:rFonts w:ascii="Times New Roman" w:hAnsi="Times New Roman"/>
          <w:sz w:val="24"/>
          <w:szCs w:val="24"/>
        </w:rPr>
        <w:t xml:space="preserve">Otázka identifikácie nedostatkových regulovaných povolaní sa upravuje tak, aby bola zabezpečená súčinnosť s Ministerstvom práce, sociálnych vecí a rodiny SR a rezortom, v ktorého pôsobnosti je úprava podmienok pre výkon daného povolania, a to z dôvodu, že </w:t>
      </w:r>
      <w:r w:rsidR="00341720">
        <w:rPr>
          <w:rFonts w:ascii="Times New Roman" w:hAnsi="Times New Roman"/>
          <w:sz w:val="24"/>
          <w:szCs w:val="24"/>
        </w:rPr>
        <w:t>M</w:t>
      </w:r>
      <w:r w:rsidRPr="00341720">
        <w:rPr>
          <w:rFonts w:ascii="Times New Roman" w:hAnsi="Times New Roman"/>
          <w:sz w:val="24"/>
          <w:szCs w:val="24"/>
        </w:rPr>
        <w:t xml:space="preserve">inisterstvo práce, sociálnych vecí a rodiny </w:t>
      </w:r>
      <w:r w:rsidR="00341720">
        <w:rPr>
          <w:rFonts w:ascii="Times New Roman" w:hAnsi="Times New Roman"/>
          <w:sz w:val="24"/>
          <w:szCs w:val="24"/>
        </w:rPr>
        <w:t xml:space="preserve">SR </w:t>
      </w:r>
      <w:r w:rsidRPr="00341720">
        <w:rPr>
          <w:rFonts w:ascii="Times New Roman" w:hAnsi="Times New Roman"/>
          <w:sz w:val="24"/>
          <w:szCs w:val="24"/>
        </w:rPr>
        <w:t xml:space="preserve">disponuje v rámci jeho kompetencií podľa zákona o službách zamestnanosti údajmi, ktoré sú relevantné pre identifikáciu </w:t>
      </w:r>
      <w:r w:rsidR="00E43665" w:rsidRPr="00341720">
        <w:rPr>
          <w:rFonts w:ascii="Times New Roman" w:hAnsi="Times New Roman"/>
          <w:sz w:val="24"/>
          <w:szCs w:val="24"/>
        </w:rPr>
        <w:t>povolaní, kde nie je dostatočný počet absolventov vysokoškolského štúdia. Aby bolo jasné, v ktorých študijných programoch sa získava potrebná kvalifikácia, bude zverejňovaný zoznam nedostatkových regulovaných povolaní, obsahovať aj zoznam zodpovedajúcich študijných programov.</w:t>
      </w:r>
    </w:p>
    <w:p w:rsidR="00E43665" w:rsidRPr="00341720" w:rsidRDefault="00E43665" w:rsidP="00CF0CDF">
      <w:pPr>
        <w:spacing w:after="240"/>
        <w:jc w:val="both"/>
        <w:rPr>
          <w:rFonts w:ascii="Times New Roman" w:hAnsi="Times New Roman"/>
          <w:sz w:val="24"/>
          <w:szCs w:val="24"/>
        </w:rPr>
      </w:pPr>
      <w:r w:rsidRPr="00341720">
        <w:rPr>
          <w:rFonts w:ascii="Times New Roman" w:hAnsi="Times New Roman"/>
          <w:sz w:val="24"/>
          <w:szCs w:val="24"/>
        </w:rPr>
        <w:t xml:space="preserve">Nakoľko jednotliví občania môžu využívať stabilizačnú pôžičku v rôznej výške, s cieľom zabezpečenia istej spravodlivosti, sa počet rokov, ktorých odpracovanie je potrebné na úplné odpustenie dlžnej sumy zo stabilizačnej pôžičky, upravuje vo väzbe na dlžnú sumu. Pri nižšom dlhu tak bude potrebné odpracovať menší počet rokov ako pri vyššom čerpaní pôžičiek, bez  ohľadu na počet poskytnutých stabilizačných pôžičiek počas štúdia. Keďže výška pôžičky a ďalšie faktory si vyžadujú flexibilitu, neuvádza priamo zákon vzťah istiny a rýchlosti odpúšťaniu dlhu, ale toto sa ponecháva na úpravu nižšou právnou normou, ktorú vydá ministerstvo. </w:t>
      </w:r>
    </w:p>
    <w:p w:rsidR="00FB1E6B" w:rsidRPr="00341720" w:rsidRDefault="00FB1E6B" w:rsidP="00CF0CDF">
      <w:pPr>
        <w:spacing w:after="240"/>
        <w:jc w:val="both"/>
        <w:rPr>
          <w:rFonts w:ascii="Times New Roman" w:hAnsi="Times New Roman"/>
          <w:sz w:val="24"/>
          <w:szCs w:val="24"/>
        </w:rPr>
      </w:pPr>
      <w:r w:rsidRPr="00341720">
        <w:rPr>
          <w:rFonts w:ascii="Times New Roman" w:hAnsi="Times New Roman"/>
          <w:sz w:val="24"/>
          <w:szCs w:val="24"/>
        </w:rPr>
        <w:t>Keďže cieľom stabilizačných pôžičiek je výkon nedostatkového regulovaného povolania, osobitne sa upravuje prípad, keď dlžník zomrie alebo je vyhlásený za mŕtveho. V týchto prípadoch nie je opodstatnené, aby jeho záväzok bol predmetom dedičského konania alebo prešiel na ručiteľa, keďže tým by sa nenaplnil účel stabilizačnej pôžičky – výkon daného povolania v SR. Toto sa vzťahuje len na prípad, keď dlžník v čase úmrtia alebo vyhlásenia za mŕtveho plnil podmienky odkladu splátok.</w:t>
      </w:r>
    </w:p>
    <w:p w:rsidR="00843AF9" w:rsidRPr="00341720" w:rsidRDefault="00341DA5" w:rsidP="00CF0CDF">
      <w:pPr>
        <w:spacing w:after="240"/>
        <w:jc w:val="both"/>
        <w:rPr>
          <w:rFonts w:ascii="Times New Roman" w:hAnsi="Times New Roman"/>
          <w:sz w:val="24"/>
          <w:szCs w:val="24"/>
        </w:rPr>
      </w:pPr>
      <w:r w:rsidRPr="00341720">
        <w:rPr>
          <w:rFonts w:ascii="Times New Roman" w:hAnsi="Times New Roman"/>
          <w:sz w:val="24"/>
          <w:szCs w:val="24"/>
        </w:rPr>
        <w:t>Zákonné podmienky, ktorých nastavenie sa vo vzťahu k súčasným pôžičkám pre študentov osvedčili</w:t>
      </w:r>
      <w:r w:rsidR="00E43665" w:rsidRPr="00341720">
        <w:rPr>
          <w:rFonts w:ascii="Times New Roman" w:hAnsi="Times New Roman"/>
          <w:sz w:val="24"/>
          <w:szCs w:val="24"/>
        </w:rPr>
        <w:t xml:space="preserve"> alebo sa zavádzajú touto novelou</w:t>
      </w:r>
      <w:r w:rsidR="005F75AE" w:rsidRPr="00341720">
        <w:rPr>
          <w:rFonts w:ascii="Times New Roman" w:hAnsi="Times New Roman"/>
          <w:sz w:val="24"/>
          <w:szCs w:val="24"/>
        </w:rPr>
        <w:t>,</w:t>
      </w:r>
      <w:r w:rsidRPr="00341720">
        <w:rPr>
          <w:rFonts w:ascii="Times New Roman" w:hAnsi="Times New Roman"/>
          <w:sz w:val="24"/>
          <w:szCs w:val="24"/>
        </w:rPr>
        <w:t xml:space="preserve"> sa budú vzťahovať aj na nový druh pôžičky.</w:t>
      </w:r>
    </w:p>
    <w:p w:rsidR="00A21118" w:rsidRPr="00341720" w:rsidRDefault="00A21118" w:rsidP="00684F0E">
      <w:pPr>
        <w:spacing w:after="120"/>
        <w:jc w:val="both"/>
        <w:rPr>
          <w:rFonts w:ascii="Times New Roman" w:hAnsi="Times New Roman"/>
          <w:sz w:val="24"/>
          <w:szCs w:val="24"/>
        </w:rPr>
      </w:pPr>
      <w:r w:rsidRPr="00341720">
        <w:rPr>
          <w:rFonts w:ascii="Times New Roman" w:hAnsi="Times New Roman"/>
          <w:sz w:val="24"/>
          <w:szCs w:val="24"/>
        </w:rPr>
        <w:t>K</w:t>
      </w:r>
      <w:r w:rsidR="005F75AE" w:rsidRPr="00341720">
        <w:rPr>
          <w:rFonts w:ascii="Times New Roman" w:hAnsi="Times New Roman"/>
          <w:sz w:val="24"/>
          <w:szCs w:val="24"/>
        </w:rPr>
        <w:t> </w:t>
      </w:r>
      <w:r w:rsidRPr="00341720">
        <w:rPr>
          <w:rFonts w:ascii="Times New Roman" w:hAnsi="Times New Roman"/>
          <w:sz w:val="24"/>
          <w:szCs w:val="24"/>
        </w:rPr>
        <w:t>bod</w:t>
      </w:r>
      <w:r w:rsidR="00ED1442" w:rsidRPr="00341720">
        <w:rPr>
          <w:rFonts w:ascii="Times New Roman" w:hAnsi="Times New Roman"/>
          <w:sz w:val="24"/>
          <w:szCs w:val="24"/>
        </w:rPr>
        <w:t xml:space="preserve">u </w:t>
      </w:r>
      <w:r w:rsidR="006B0739">
        <w:rPr>
          <w:rFonts w:ascii="Times New Roman" w:hAnsi="Times New Roman"/>
          <w:sz w:val="24"/>
          <w:szCs w:val="24"/>
        </w:rPr>
        <w:t>22</w:t>
      </w:r>
    </w:p>
    <w:p w:rsidR="00FB1E6B" w:rsidRPr="00341720" w:rsidRDefault="00871085" w:rsidP="00871085">
      <w:pPr>
        <w:spacing w:after="120"/>
        <w:jc w:val="both"/>
        <w:rPr>
          <w:rStyle w:val="normaltextrun"/>
          <w:rFonts w:ascii="Times New Roman" w:hAnsi="Times New Roman"/>
          <w:sz w:val="24"/>
          <w:szCs w:val="24"/>
        </w:rPr>
      </w:pPr>
      <w:r w:rsidRPr="00341720">
        <w:rPr>
          <w:rStyle w:val="normaltextrun"/>
          <w:rFonts w:ascii="Times New Roman" w:hAnsi="Times New Roman"/>
          <w:sz w:val="24"/>
          <w:szCs w:val="24"/>
        </w:rPr>
        <w:t xml:space="preserve">Keďže o pôžičku pre pedagógov môžu žiadať aj vysokoškolskí učitelia – profesionálni vojaci, ktorí sú odmeňovaní podľa </w:t>
      </w:r>
      <w:r w:rsidR="00FB1E6B" w:rsidRPr="00341720">
        <w:rPr>
          <w:rStyle w:val="normaltextrun"/>
          <w:rFonts w:ascii="Times New Roman" w:hAnsi="Times New Roman"/>
          <w:sz w:val="24"/>
          <w:szCs w:val="24"/>
        </w:rPr>
        <w:t>zákona č. 281/2015 Z. z. o štátnej službe profesionálnych vojakov</w:t>
      </w:r>
      <w:r w:rsidRPr="00341720">
        <w:rPr>
          <w:rStyle w:val="normaltextrun"/>
          <w:rFonts w:ascii="Times New Roman" w:hAnsi="Times New Roman"/>
          <w:sz w:val="24"/>
          <w:szCs w:val="24"/>
        </w:rPr>
        <w:t xml:space="preserve"> </w:t>
      </w:r>
      <w:r w:rsidR="00FB1E6B" w:rsidRPr="00341720">
        <w:rPr>
          <w:rStyle w:val="normaltextrun"/>
          <w:rFonts w:ascii="Times New Roman" w:hAnsi="Times New Roman"/>
          <w:sz w:val="24"/>
          <w:szCs w:val="24"/>
        </w:rPr>
        <w:t>a o zmene a doplnení niektorých zákonov v znení neskorších predpisov</w:t>
      </w:r>
      <w:r w:rsidRPr="00341720">
        <w:rPr>
          <w:rStyle w:val="normaltextrun"/>
          <w:rFonts w:ascii="Times New Roman" w:hAnsi="Times New Roman"/>
          <w:sz w:val="24"/>
          <w:szCs w:val="24"/>
        </w:rPr>
        <w:t xml:space="preserve"> a títo dostávajú </w:t>
      </w:r>
      <w:r w:rsidR="00357779" w:rsidRPr="00341720">
        <w:rPr>
          <w:rStyle w:val="normaltextrun"/>
          <w:rFonts w:ascii="Times New Roman" w:hAnsi="Times New Roman"/>
          <w:sz w:val="24"/>
          <w:szCs w:val="24"/>
        </w:rPr>
        <w:t>služobný</w:t>
      </w:r>
      <w:r w:rsidRPr="00341720">
        <w:rPr>
          <w:rStyle w:val="normaltextrun"/>
          <w:rFonts w:ascii="Times New Roman" w:hAnsi="Times New Roman"/>
          <w:sz w:val="24"/>
          <w:szCs w:val="24"/>
        </w:rPr>
        <w:t xml:space="preserve"> </w:t>
      </w:r>
      <w:r w:rsidRPr="00341720">
        <w:rPr>
          <w:rStyle w:val="normaltextrun"/>
          <w:rFonts w:ascii="Times New Roman" w:hAnsi="Times New Roman"/>
          <w:sz w:val="24"/>
          <w:szCs w:val="24"/>
        </w:rPr>
        <w:lastRenderedPageBreak/>
        <w:t xml:space="preserve">plat, ktorého výška je rozhodujúca pre posúdenia možnej výšky pôžičky pre pedagógov, upravuje sa, že aj tento druh príjmu sa považuje za príjem pri posudzovaní žiadostí o pôžičku </w:t>
      </w:r>
      <w:r w:rsidR="00357779" w:rsidRPr="00341720">
        <w:rPr>
          <w:rStyle w:val="normaltextrun"/>
          <w:rFonts w:ascii="Times New Roman" w:hAnsi="Times New Roman"/>
          <w:sz w:val="24"/>
          <w:szCs w:val="24"/>
        </w:rPr>
        <w:t>pre pedagógov.</w:t>
      </w:r>
    </w:p>
    <w:p w:rsidR="00B9130D" w:rsidRDefault="00B9130D" w:rsidP="00871085">
      <w:pPr>
        <w:spacing w:after="120"/>
        <w:jc w:val="both"/>
        <w:rPr>
          <w:rFonts w:ascii="Times New Roman" w:hAnsi="Times New Roman"/>
          <w:sz w:val="24"/>
          <w:szCs w:val="24"/>
        </w:rPr>
      </w:pPr>
      <w:r>
        <w:rPr>
          <w:rFonts w:ascii="Times New Roman" w:hAnsi="Times New Roman"/>
          <w:sz w:val="24"/>
          <w:szCs w:val="24"/>
        </w:rPr>
        <w:t>K bodu 23</w:t>
      </w:r>
    </w:p>
    <w:p w:rsidR="00B9130D" w:rsidRPr="00341720" w:rsidRDefault="00B9130D" w:rsidP="00B9130D">
      <w:pPr>
        <w:spacing w:after="240"/>
        <w:jc w:val="both"/>
        <w:rPr>
          <w:rFonts w:ascii="Times New Roman" w:hAnsi="Times New Roman"/>
          <w:sz w:val="24"/>
          <w:szCs w:val="24"/>
        </w:rPr>
      </w:pPr>
      <w:r w:rsidRPr="00341720">
        <w:rPr>
          <w:rFonts w:ascii="Times New Roman" w:hAnsi="Times New Roman"/>
          <w:sz w:val="24"/>
          <w:szCs w:val="24"/>
        </w:rPr>
        <w:t>Legislatívno-technická úprava súvisiaca s</w:t>
      </w:r>
      <w:r>
        <w:rPr>
          <w:rFonts w:ascii="Times New Roman" w:hAnsi="Times New Roman"/>
          <w:sz w:val="24"/>
          <w:szCs w:val="24"/>
        </w:rPr>
        <w:t> </w:t>
      </w:r>
      <w:r w:rsidRPr="00341720">
        <w:rPr>
          <w:rFonts w:ascii="Times New Roman" w:hAnsi="Times New Roman"/>
          <w:sz w:val="24"/>
          <w:szCs w:val="24"/>
        </w:rPr>
        <w:t>bod</w:t>
      </w:r>
      <w:r>
        <w:rPr>
          <w:rFonts w:ascii="Times New Roman" w:hAnsi="Times New Roman"/>
          <w:sz w:val="24"/>
          <w:szCs w:val="24"/>
        </w:rPr>
        <w:t xml:space="preserve">om </w:t>
      </w:r>
      <w:r w:rsidRPr="00341720">
        <w:rPr>
          <w:rFonts w:ascii="Times New Roman" w:hAnsi="Times New Roman"/>
          <w:sz w:val="24"/>
          <w:szCs w:val="24"/>
        </w:rPr>
        <w:t>4.</w:t>
      </w:r>
    </w:p>
    <w:p w:rsidR="00357779" w:rsidRPr="00341720" w:rsidRDefault="0032486C" w:rsidP="00871085">
      <w:pPr>
        <w:spacing w:after="120"/>
        <w:jc w:val="both"/>
        <w:rPr>
          <w:rFonts w:ascii="Times New Roman" w:hAnsi="Times New Roman"/>
          <w:sz w:val="24"/>
          <w:szCs w:val="24"/>
        </w:rPr>
      </w:pPr>
      <w:r>
        <w:rPr>
          <w:rFonts w:ascii="Times New Roman" w:hAnsi="Times New Roman"/>
          <w:sz w:val="24"/>
          <w:szCs w:val="24"/>
        </w:rPr>
        <w:t xml:space="preserve">K bodu </w:t>
      </w:r>
      <w:r w:rsidR="00B9130D">
        <w:rPr>
          <w:rFonts w:ascii="Times New Roman" w:hAnsi="Times New Roman"/>
          <w:sz w:val="24"/>
          <w:szCs w:val="24"/>
        </w:rPr>
        <w:t>24</w:t>
      </w:r>
    </w:p>
    <w:p w:rsidR="005928F6" w:rsidRPr="00341720" w:rsidRDefault="005928F6" w:rsidP="00CF0CDF">
      <w:pPr>
        <w:spacing w:after="240"/>
        <w:jc w:val="both"/>
        <w:rPr>
          <w:rFonts w:ascii="Times New Roman" w:hAnsi="Times New Roman"/>
          <w:sz w:val="24"/>
          <w:szCs w:val="24"/>
        </w:rPr>
      </w:pPr>
      <w:r w:rsidRPr="00341720">
        <w:rPr>
          <w:rFonts w:ascii="Times New Roman" w:hAnsi="Times New Roman"/>
          <w:sz w:val="24"/>
          <w:szCs w:val="24"/>
        </w:rPr>
        <w:t xml:space="preserve">Legislatívno-technická úprava </w:t>
      </w:r>
      <w:r w:rsidR="00357779" w:rsidRPr="00341720">
        <w:rPr>
          <w:rFonts w:ascii="Times New Roman" w:hAnsi="Times New Roman"/>
          <w:sz w:val="24"/>
          <w:szCs w:val="24"/>
        </w:rPr>
        <w:t>súvisiaca s bodmi 14 a 21.</w:t>
      </w:r>
    </w:p>
    <w:p w:rsidR="00357779" w:rsidRPr="00341720" w:rsidRDefault="00B9130D" w:rsidP="00CF0CDF">
      <w:pPr>
        <w:spacing w:after="240"/>
        <w:jc w:val="both"/>
        <w:rPr>
          <w:rFonts w:ascii="Times New Roman" w:hAnsi="Times New Roman"/>
          <w:sz w:val="24"/>
          <w:szCs w:val="24"/>
        </w:rPr>
      </w:pPr>
      <w:r>
        <w:rPr>
          <w:rFonts w:ascii="Times New Roman" w:hAnsi="Times New Roman"/>
          <w:sz w:val="24"/>
          <w:szCs w:val="24"/>
        </w:rPr>
        <w:t>K bodu 25</w:t>
      </w:r>
    </w:p>
    <w:p w:rsidR="005928F6" w:rsidRPr="00341720" w:rsidRDefault="005928F6" w:rsidP="00CF0CDF">
      <w:pPr>
        <w:spacing w:after="240"/>
        <w:jc w:val="both"/>
        <w:rPr>
          <w:rFonts w:ascii="Times New Roman" w:hAnsi="Times New Roman"/>
          <w:sz w:val="24"/>
          <w:szCs w:val="24"/>
        </w:rPr>
      </w:pPr>
      <w:r w:rsidRPr="00341720">
        <w:rPr>
          <w:rFonts w:ascii="Times New Roman" w:hAnsi="Times New Roman"/>
          <w:sz w:val="24"/>
          <w:szCs w:val="24"/>
        </w:rPr>
        <w:t>Určuje sa jednotná úroková s</w:t>
      </w:r>
      <w:r w:rsidR="00891216" w:rsidRPr="00341720">
        <w:rPr>
          <w:rFonts w:ascii="Times New Roman" w:hAnsi="Times New Roman"/>
          <w:sz w:val="24"/>
          <w:szCs w:val="24"/>
        </w:rPr>
        <w:t>adzba pre všetky druhy pôžičiek.</w:t>
      </w:r>
    </w:p>
    <w:p w:rsidR="00A21118" w:rsidRPr="00341720" w:rsidRDefault="00B9130D" w:rsidP="00684F0E">
      <w:pPr>
        <w:spacing w:after="120"/>
        <w:jc w:val="both"/>
        <w:rPr>
          <w:rFonts w:ascii="Times New Roman" w:hAnsi="Times New Roman"/>
          <w:sz w:val="24"/>
          <w:szCs w:val="24"/>
        </w:rPr>
      </w:pPr>
      <w:r>
        <w:rPr>
          <w:rFonts w:ascii="Times New Roman" w:hAnsi="Times New Roman"/>
          <w:sz w:val="24"/>
          <w:szCs w:val="24"/>
        </w:rPr>
        <w:t>K bodu 26</w:t>
      </w:r>
    </w:p>
    <w:p w:rsidR="00411863" w:rsidRPr="00341720" w:rsidRDefault="00411863" w:rsidP="00411863">
      <w:pPr>
        <w:spacing w:after="240"/>
        <w:jc w:val="both"/>
        <w:rPr>
          <w:rFonts w:ascii="Times New Roman" w:hAnsi="Times New Roman"/>
          <w:sz w:val="24"/>
          <w:szCs w:val="24"/>
        </w:rPr>
      </w:pPr>
      <w:r w:rsidRPr="00341720">
        <w:rPr>
          <w:rFonts w:ascii="Times New Roman" w:hAnsi="Times New Roman"/>
          <w:sz w:val="24"/>
          <w:szCs w:val="24"/>
        </w:rPr>
        <w:t>Za účelom podpory a zvýšenia atraktivity dobrovoľnej vojenskej prípravy sa rozširujú podmienky</w:t>
      </w:r>
      <w:r w:rsidR="00341720">
        <w:rPr>
          <w:rFonts w:ascii="Times New Roman" w:hAnsi="Times New Roman"/>
          <w:sz w:val="24"/>
          <w:szCs w:val="24"/>
        </w:rPr>
        <w:t>,</w:t>
      </w:r>
      <w:r w:rsidRPr="00341720">
        <w:rPr>
          <w:rFonts w:ascii="Times New Roman" w:hAnsi="Times New Roman"/>
          <w:sz w:val="24"/>
          <w:szCs w:val="24"/>
        </w:rPr>
        <w:t xml:space="preserve"> za ktorých dlžník spláca len úroky z istiny. </w:t>
      </w:r>
    </w:p>
    <w:p w:rsidR="00411863" w:rsidRPr="00341720" w:rsidRDefault="00B9130D" w:rsidP="005F75AE">
      <w:pPr>
        <w:spacing w:after="240"/>
        <w:jc w:val="both"/>
        <w:rPr>
          <w:rFonts w:ascii="Times New Roman" w:hAnsi="Times New Roman"/>
          <w:sz w:val="24"/>
          <w:szCs w:val="24"/>
        </w:rPr>
      </w:pPr>
      <w:r>
        <w:rPr>
          <w:rFonts w:ascii="Times New Roman" w:hAnsi="Times New Roman"/>
          <w:sz w:val="24"/>
          <w:szCs w:val="24"/>
        </w:rPr>
        <w:t>K bodu 27</w:t>
      </w:r>
    </w:p>
    <w:p w:rsidR="00684F0E" w:rsidRPr="00341720" w:rsidRDefault="005928F6" w:rsidP="005F75AE">
      <w:pPr>
        <w:spacing w:after="240"/>
        <w:jc w:val="both"/>
        <w:rPr>
          <w:rFonts w:ascii="Times New Roman" w:hAnsi="Times New Roman"/>
          <w:sz w:val="24"/>
          <w:szCs w:val="24"/>
        </w:rPr>
      </w:pPr>
      <w:r w:rsidRPr="00341720">
        <w:rPr>
          <w:rFonts w:ascii="Times New Roman" w:hAnsi="Times New Roman"/>
          <w:sz w:val="24"/>
          <w:szCs w:val="24"/>
        </w:rPr>
        <w:t>Určuje sa povinnosť žiad</w:t>
      </w:r>
      <w:r w:rsidR="00684F0E" w:rsidRPr="00341720">
        <w:rPr>
          <w:rFonts w:ascii="Times New Roman" w:hAnsi="Times New Roman"/>
          <w:sz w:val="24"/>
          <w:szCs w:val="24"/>
        </w:rPr>
        <w:t>ateľa o</w:t>
      </w:r>
      <w:r w:rsidR="005F75AE" w:rsidRPr="00341720">
        <w:rPr>
          <w:rFonts w:ascii="Times New Roman" w:hAnsi="Times New Roman"/>
          <w:sz w:val="24"/>
          <w:szCs w:val="24"/>
        </w:rPr>
        <w:t xml:space="preserve"> stabilizačnú </w:t>
      </w:r>
      <w:r w:rsidR="00684F0E" w:rsidRPr="00341720">
        <w:rPr>
          <w:rFonts w:ascii="Times New Roman" w:hAnsi="Times New Roman"/>
          <w:sz w:val="24"/>
          <w:szCs w:val="24"/>
        </w:rPr>
        <w:t xml:space="preserve">pôžičku predložiť potrebné doklady preukazujúce splnenie podmienok poskytnutia </w:t>
      </w:r>
      <w:r w:rsidR="005F75AE" w:rsidRPr="00341720">
        <w:rPr>
          <w:rFonts w:ascii="Times New Roman" w:hAnsi="Times New Roman"/>
          <w:sz w:val="24"/>
          <w:szCs w:val="24"/>
        </w:rPr>
        <w:t xml:space="preserve">stabilizačnej </w:t>
      </w:r>
      <w:r w:rsidR="00684F0E" w:rsidRPr="00341720">
        <w:rPr>
          <w:rFonts w:ascii="Times New Roman" w:hAnsi="Times New Roman"/>
          <w:sz w:val="24"/>
          <w:szCs w:val="24"/>
        </w:rPr>
        <w:t>pôžičky.</w:t>
      </w:r>
    </w:p>
    <w:p w:rsidR="00A21118" w:rsidRPr="00341720" w:rsidRDefault="00B9130D" w:rsidP="00684F0E">
      <w:pPr>
        <w:spacing w:after="120"/>
        <w:jc w:val="both"/>
        <w:rPr>
          <w:rFonts w:ascii="Times New Roman" w:hAnsi="Times New Roman"/>
          <w:sz w:val="24"/>
          <w:szCs w:val="24"/>
        </w:rPr>
      </w:pPr>
      <w:r>
        <w:rPr>
          <w:rFonts w:ascii="Times New Roman" w:hAnsi="Times New Roman"/>
          <w:sz w:val="24"/>
          <w:szCs w:val="24"/>
        </w:rPr>
        <w:t>K bodu 28</w:t>
      </w:r>
    </w:p>
    <w:p w:rsidR="00A21118" w:rsidRPr="00341720" w:rsidRDefault="00411863" w:rsidP="00CF0CDF">
      <w:pPr>
        <w:spacing w:after="240"/>
        <w:jc w:val="both"/>
        <w:rPr>
          <w:rFonts w:ascii="Times New Roman" w:hAnsi="Times New Roman"/>
          <w:sz w:val="24"/>
          <w:szCs w:val="24"/>
        </w:rPr>
      </w:pPr>
      <w:r w:rsidRPr="00341720">
        <w:rPr>
          <w:rFonts w:ascii="Times New Roman" w:hAnsi="Times New Roman"/>
          <w:sz w:val="24"/>
          <w:szCs w:val="24"/>
        </w:rPr>
        <w:t>Legislatívno-technická ú</w:t>
      </w:r>
      <w:r w:rsidR="00684F0E" w:rsidRPr="00341720">
        <w:rPr>
          <w:rFonts w:ascii="Times New Roman" w:hAnsi="Times New Roman"/>
          <w:sz w:val="24"/>
          <w:szCs w:val="24"/>
        </w:rPr>
        <w:t>prava potrebná vzhľadom na nevyhnutnosť spracovávania osobných údajov fondom aj v rámci nového druhu pôžičky.</w:t>
      </w:r>
    </w:p>
    <w:p w:rsidR="00684F0E" w:rsidRDefault="00B9130D" w:rsidP="00684F0E">
      <w:pPr>
        <w:spacing w:after="120"/>
        <w:jc w:val="both"/>
        <w:rPr>
          <w:rFonts w:ascii="Times New Roman" w:hAnsi="Times New Roman"/>
          <w:sz w:val="24"/>
          <w:szCs w:val="24"/>
        </w:rPr>
      </w:pPr>
      <w:r>
        <w:rPr>
          <w:rFonts w:ascii="Times New Roman" w:hAnsi="Times New Roman"/>
          <w:sz w:val="24"/>
          <w:szCs w:val="24"/>
        </w:rPr>
        <w:t>K bodu 29</w:t>
      </w:r>
    </w:p>
    <w:p w:rsidR="006B0739" w:rsidRDefault="006B0739" w:rsidP="006B0739">
      <w:pPr>
        <w:spacing w:after="120"/>
        <w:jc w:val="both"/>
        <w:rPr>
          <w:rFonts w:ascii="Times New Roman" w:hAnsi="Times New Roman"/>
          <w:sz w:val="24"/>
          <w:szCs w:val="24"/>
        </w:rPr>
      </w:pPr>
      <w:r>
        <w:rPr>
          <w:rFonts w:ascii="Times New Roman" w:hAnsi="Times New Roman"/>
          <w:sz w:val="24"/>
          <w:szCs w:val="24"/>
        </w:rPr>
        <w:t>Rozširuje sa z</w:t>
      </w:r>
      <w:r w:rsidRPr="006B0739">
        <w:rPr>
          <w:rFonts w:ascii="Times New Roman" w:hAnsi="Times New Roman"/>
          <w:sz w:val="24"/>
          <w:szCs w:val="24"/>
        </w:rPr>
        <w:t xml:space="preserve"> dôvodu doplnenia možnosti zániku stabilizačnej pôžičky v dôsledku smrti dlžníka</w:t>
      </w:r>
      <w:r>
        <w:rPr>
          <w:rFonts w:ascii="Times New Roman" w:hAnsi="Times New Roman"/>
          <w:sz w:val="24"/>
          <w:szCs w:val="24"/>
        </w:rPr>
        <w:t xml:space="preserve"> alebo vyhlásením dlžníka za mŕtveho.</w:t>
      </w:r>
    </w:p>
    <w:p w:rsidR="006B0739" w:rsidRPr="00341720" w:rsidRDefault="00B9130D" w:rsidP="006B0739">
      <w:pPr>
        <w:spacing w:after="120"/>
        <w:jc w:val="both"/>
        <w:rPr>
          <w:rFonts w:ascii="Times New Roman" w:hAnsi="Times New Roman"/>
          <w:sz w:val="24"/>
          <w:szCs w:val="24"/>
        </w:rPr>
      </w:pPr>
      <w:r>
        <w:rPr>
          <w:rFonts w:ascii="Times New Roman" w:hAnsi="Times New Roman"/>
          <w:sz w:val="24"/>
          <w:szCs w:val="24"/>
        </w:rPr>
        <w:t>K bodu 30</w:t>
      </w:r>
    </w:p>
    <w:p w:rsidR="00684F0E" w:rsidRPr="00341720" w:rsidRDefault="00684F0E" w:rsidP="00CF0CDF">
      <w:pPr>
        <w:spacing w:after="240"/>
        <w:jc w:val="both"/>
        <w:rPr>
          <w:rFonts w:ascii="Times New Roman" w:hAnsi="Times New Roman"/>
          <w:sz w:val="24"/>
          <w:szCs w:val="24"/>
        </w:rPr>
      </w:pPr>
      <w:r w:rsidRPr="00341720">
        <w:rPr>
          <w:rFonts w:ascii="Times New Roman" w:hAnsi="Times New Roman"/>
          <w:sz w:val="24"/>
          <w:szCs w:val="24"/>
        </w:rPr>
        <w:t>Zmena citácie z dôvodu zmeny príslušného právneho predpisu, ktorý upravuje ochranu osobných údajov.</w:t>
      </w:r>
    </w:p>
    <w:p w:rsidR="00684F0E" w:rsidRDefault="00B9130D" w:rsidP="00684F0E">
      <w:pPr>
        <w:spacing w:after="120"/>
        <w:jc w:val="both"/>
        <w:rPr>
          <w:rFonts w:ascii="Times New Roman" w:hAnsi="Times New Roman"/>
          <w:sz w:val="24"/>
          <w:szCs w:val="24"/>
        </w:rPr>
      </w:pPr>
      <w:r>
        <w:rPr>
          <w:rFonts w:ascii="Times New Roman" w:hAnsi="Times New Roman"/>
          <w:sz w:val="24"/>
          <w:szCs w:val="24"/>
        </w:rPr>
        <w:t>K bodu 31</w:t>
      </w:r>
    </w:p>
    <w:p w:rsidR="00684F0E" w:rsidRPr="00341720" w:rsidRDefault="00684F0E" w:rsidP="00684F0E">
      <w:pPr>
        <w:spacing w:after="360"/>
        <w:jc w:val="both"/>
        <w:rPr>
          <w:rFonts w:ascii="Times New Roman" w:hAnsi="Times New Roman"/>
          <w:sz w:val="24"/>
          <w:szCs w:val="24"/>
        </w:rPr>
      </w:pPr>
      <w:r w:rsidRPr="00341720">
        <w:rPr>
          <w:rFonts w:ascii="Times New Roman" w:hAnsi="Times New Roman"/>
          <w:sz w:val="24"/>
          <w:szCs w:val="24"/>
        </w:rPr>
        <w:t>Legislatívno-technická úprava.</w:t>
      </w:r>
    </w:p>
    <w:p w:rsidR="006B0739" w:rsidRPr="00341720" w:rsidRDefault="003E1F20" w:rsidP="00B15E6D">
      <w:pPr>
        <w:spacing w:after="120"/>
        <w:jc w:val="both"/>
        <w:rPr>
          <w:rFonts w:ascii="Times New Roman" w:hAnsi="Times New Roman"/>
          <w:sz w:val="24"/>
          <w:szCs w:val="24"/>
        </w:rPr>
      </w:pPr>
      <w:r>
        <w:rPr>
          <w:rFonts w:ascii="Times New Roman" w:hAnsi="Times New Roman"/>
          <w:sz w:val="24"/>
          <w:szCs w:val="24"/>
        </w:rPr>
        <w:t>K bodu 32</w:t>
      </w:r>
    </w:p>
    <w:p w:rsidR="00B15E6D" w:rsidRPr="00341720" w:rsidRDefault="00B62569" w:rsidP="00684F0E">
      <w:pPr>
        <w:spacing w:after="360"/>
        <w:jc w:val="both"/>
        <w:rPr>
          <w:rFonts w:ascii="Times New Roman" w:hAnsi="Times New Roman"/>
          <w:sz w:val="24"/>
          <w:szCs w:val="24"/>
        </w:rPr>
      </w:pPr>
      <w:r w:rsidRPr="00341720">
        <w:rPr>
          <w:rFonts w:ascii="Times New Roman" w:hAnsi="Times New Roman"/>
          <w:sz w:val="24"/>
          <w:szCs w:val="24"/>
        </w:rPr>
        <w:t xml:space="preserve">Prechodné ustanovenie určuje študentom študijného odboru ošetrovateľstvo v dennej forme štúdia a absolventom študijného odboru ošetrovateľstvo v dennej forme štúdia v akademickom </w:t>
      </w:r>
      <w:r w:rsidRPr="00341720">
        <w:rPr>
          <w:rFonts w:ascii="Times New Roman" w:hAnsi="Times New Roman"/>
          <w:sz w:val="24"/>
          <w:szCs w:val="24"/>
        </w:rPr>
        <w:lastRenderedPageBreak/>
        <w:t>roku 2018/2019 možnosť požiadať o stabilizačnú pôžičku aj za akademický rok</w:t>
      </w:r>
      <w:r w:rsidR="00ED1442" w:rsidRPr="00341720">
        <w:rPr>
          <w:rFonts w:ascii="Times New Roman" w:hAnsi="Times New Roman"/>
          <w:sz w:val="24"/>
          <w:szCs w:val="24"/>
        </w:rPr>
        <w:t xml:space="preserve"> 2018/2019, pričom sa ustanovujú podmienky a</w:t>
      </w:r>
      <w:r w:rsidRPr="00341720">
        <w:rPr>
          <w:rFonts w:ascii="Times New Roman" w:hAnsi="Times New Roman"/>
          <w:sz w:val="24"/>
          <w:szCs w:val="24"/>
        </w:rPr>
        <w:t xml:space="preserve"> lehota, do ktorej je potrebné zaslať žiadosť o stabilizačnú pôžičku a lehota pre fond, v ktorej musí poskytnúť stabilizačnú pôžičku tam uvedeným osobám. </w:t>
      </w:r>
      <w:r w:rsidR="00A76190" w:rsidRPr="00341720">
        <w:rPr>
          <w:rFonts w:ascii="Times New Roman" w:hAnsi="Times New Roman"/>
          <w:sz w:val="24"/>
          <w:szCs w:val="24"/>
        </w:rPr>
        <w:t>Nad rámec bežnej úpravy sa umožňuje podporiť aj absolventov daných programov v tomto akademickom roku. Študijný program ošetrovateľstvo dennou formou je vybraný v súlade s uznesením vlády SR č. 404 z 5. septembra 2018 k Informácii o stave zdravotníckeho personálu v Slovenskej republike.</w:t>
      </w:r>
    </w:p>
    <w:p w:rsidR="00EE4A56" w:rsidRPr="00341720" w:rsidRDefault="00EE4A56" w:rsidP="00684F0E">
      <w:pPr>
        <w:spacing w:after="120"/>
        <w:jc w:val="both"/>
        <w:rPr>
          <w:rFonts w:ascii="Times New Roman" w:hAnsi="Times New Roman"/>
          <w:b/>
          <w:sz w:val="24"/>
          <w:szCs w:val="24"/>
        </w:rPr>
      </w:pPr>
      <w:r w:rsidRPr="00341720">
        <w:rPr>
          <w:rFonts w:ascii="Times New Roman" w:hAnsi="Times New Roman"/>
          <w:b/>
          <w:sz w:val="24"/>
          <w:szCs w:val="24"/>
        </w:rPr>
        <w:t>K čl. II</w:t>
      </w:r>
    </w:p>
    <w:p w:rsidR="00942AF0" w:rsidRDefault="00EE4A56" w:rsidP="00CF0CDF">
      <w:pPr>
        <w:spacing w:after="240"/>
        <w:jc w:val="both"/>
        <w:rPr>
          <w:rFonts w:ascii="Times New Roman" w:hAnsi="Times New Roman"/>
          <w:sz w:val="24"/>
          <w:szCs w:val="24"/>
        </w:rPr>
      </w:pPr>
      <w:r w:rsidRPr="00341720">
        <w:rPr>
          <w:rFonts w:ascii="Times New Roman" w:hAnsi="Times New Roman"/>
          <w:sz w:val="24"/>
          <w:szCs w:val="24"/>
        </w:rPr>
        <w:t>Ustanovuje sa účinnosť návrhu zákona</w:t>
      </w:r>
      <w:r w:rsidR="00EC5A56" w:rsidRPr="00341720">
        <w:rPr>
          <w:rFonts w:ascii="Times New Roman" w:hAnsi="Times New Roman"/>
          <w:sz w:val="24"/>
          <w:szCs w:val="24"/>
        </w:rPr>
        <w:t xml:space="preserve"> na 1. </w:t>
      </w:r>
      <w:r w:rsidR="00B15E6D" w:rsidRPr="00341720">
        <w:rPr>
          <w:rFonts w:ascii="Times New Roman" w:hAnsi="Times New Roman"/>
          <w:sz w:val="24"/>
          <w:szCs w:val="24"/>
        </w:rPr>
        <w:t>jún</w:t>
      </w:r>
      <w:r w:rsidR="00EC5A56" w:rsidRPr="00341720">
        <w:rPr>
          <w:rFonts w:ascii="Times New Roman" w:hAnsi="Times New Roman"/>
          <w:sz w:val="24"/>
          <w:szCs w:val="24"/>
        </w:rPr>
        <w:t xml:space="preserve"> 201</w:t>
      </w:r>
      <w:r w:rsidR="00A21118" w:rsidRPr="00341720">
        <w:rPr>
          <w:rFonts w:ascii="Times New Roman" w:hAnsi="Times New Roman"/>
          <w:sz w:val="24"/>
          <w:szCs w:val="24"/>
        </w:rPr>
        <w:t>9</w:t>
      </w:r>
      <w:r w:rsidR="00EC5A56" w:rsidRPr="00341720">
        <w:rPr>
          <w:rFonts w:ascii="Times New Roman" w:hAnsi="Times New Roman"/>
          <w:sz w:val="24"/>
          <w:szCs w:val="24"/>
        </w:rPr>
        <w:t xml:space="preserve"> </w:t>
      </w:r>
      <w:r w:rsidR="00B15E6D" w:rsidRPr="00341720">
        <w:rPr>
          <w:rFonts w:ascii="Times New Roman" w:hAnsi="Times New Roman"/>
          <w:sz w:val="24"/>
          <w:szCs w:val="24"/>
        </w:rPr>
        <w:t xml:space="preserve">vzhľadom na predpokladanú dĺžku legislatívneho procesu a berúc </w:t>
      </w:r>
      <w:r w:rsidR="00F50384" w:rsidRPr="00341720">
        <w:rPr>
          <w:rFonts w:ascii="Times New Roman" w:hAnsi="Times New Roman"/>
          <w:sz w:val="24"/>
          <w:szCs w:val="24"/>
        </w:rPr>
        <w:t>do úvahy potrebnú legisvakanciu.</w:t>
      </w:r>
    </w:p>
    <w:p w:rsidR="00B27454" w:rsidRDefault="00B27454" w:rsidP="00CF0CDF">
      <w:pPr>
        <w:spacing w:after="240"/>
        <w:jc w:val="both"/>
        <w:rPr>
          <w:rFonts w:ascii="Times New Roman" w:hAnsi="Times New Roman"/>
          <w:sz w:val="24"/>
          <w:szCs w:val="24"/>
        </w:rPr>
      </w:pPr>
    </w:p>
    <w:p w:rsidR="00B27454" w:rsidRPr="00405964" w:rsidRDefault="00B27454" w:rsidP="00B27454">
      <w:pPr>
        <w:spacing w:line="360" w:lineRule="auto"/>
        <w:jc w:val="both"/>
        <w:rPr>
          <w:rFonts w:ascii="Times New Roman" w:hAnsi="Times New Roman"/>
          <w:sz w:val="24"/>
        </w:rPr>
      </w:pPr>
      <w:r w:rsidRPr="00405964">
        <w:rPr>
          <w:rFonts w:ascii="Times New Roman" w:hAnsi="Times New Roman"/>
          <w:sz w:val="24"/>
        </w:rPr>
        <w:t xml:space="preserve">V Bratislave, </w:t>
      </w:r>
      <w:r w:rsidR="00C043C2">
        <w:rPr>
          <w:rFonts w:ascii="Times New Roman" w:hAnsi="Times New Roman"/>
          <w:sz w:val="24"/>
        </w:rPr>
        <w:t>7</w:t>
      </w:r>
      <w:bookmarkStart w:id="0" w:name="_GoBack"/>
      <w:bookmarkEnd w:id="0"/>
      <w:r>
        <w:rPr>
          <w:rFonts w:ascii="Times New Roman" w:hAnsi="Times New Roman"/>
          <w:sz w:val="24"/>
        </w:rPr>
        <w:t>. marca</w:t>
      </w:r>
      <w:r w:rsidRPr="00405964">
        <w:rPr>
          <w:rFonts w:ascii="Times New Roman" w:hAnsi="Times New Roman"/>
          <w:sz w:val="24"/>
        </w:rPr>
        <w:t xml:space="preserve"> 2019</w:t>
      </w:r>
    </w:p>
    <w:p w:rsidR="00B27454" w:rsidRPr="00405964" w:rsidRDefault="00B27454" w:rsidP="00B27454">
      <w:pPr>
        <w:jc w:val="center"/>
        <w:rPr>
          <w:rFonts w:ascii="Times New Roman" w:hAnsi="Times New Roman"/>
          <w:b/>
          <w:sz w:val="24"/>
        </w:rPr>
      </w:pPr>
    </w:p>
    <w:p w:rsidR="00B27454" w:rsidRPr="00405964" w:rsidRDefault="00B27454" w:rsidP="00B27454">
      <w:pPr>
        <w:jc w:val="center"/>
        <w:rPr>
          <w:rFonts w:ascii="Times New Roman" w:hAnsi="Times New Roman"/>
          <w:b/>
          <w:sz w:val="24"/>
        </w:rPr>
      </w:pPr>
    </w:p>
    <w:p w:rsidR="00241F97" w:rsidRPr="00405964" w:rsidRDefault="00241F97" w:rsidP="00241F97">
      <w:pPr>
        <w:jc w:val="center"/>
        <w:rPr>
          <w:rFonts w:ascii="Times New Roman" w:hAnsi="Times New Roman"/>
          <w:b/>
          <w:sz w:val="24"/>
        </w:rPr>
      </w:pPr>
      <w:r w:rsidRPr="00405964">
        <w:rPr>
          <w:rFonts w:ascii="Times New Roman" w:hAnsi="Times New Roman"/>
          <w:b/>
          <w:sz w:val="24"/>
        </w:rPr>
        <w:t>Peter Pellegrini, v. r.</w:t>
      </w:r>
    </w:p>
    <w:p w:rsidR="00241F97" w:rsidRPr="00405964" w:rsidRDefault="00241F97" w:rsidP="00241F97">
      <w:pPr>
        <w:jc w:val="center"/>
        <w:rPr>
          <w:rFonts w:ascii="Times New Roman" w:hAnsi="Times New Roman"/>
          <w:sz w:val="24"/>
        </w:rPr>
      </w:pPr>
      <w:r w:rsidRPr="00405964">
        <w:rPr>
          <w:rFonts w:ascii="Times New Roman" w:hAnsi="Times New Roman"/>
          <w:sz w:val="24"/>
        </w:rPr>
        <w:t>predseda vlády Slovenskej republiky</w:t>
      </w:r>
    </w:p>
    <w:p w:rsidR="00241F97" w:rsidRPr="00405964" w:rsidRDefault="00241F97" w:rsidP="00241F97">
      <w:pPr>
        <w:jc w:val="center"/>
        <w:rPr>
          <w:rFonts w:ascii="Times New Roman" w:hAnsi="Times New Roman"/>
          <w:b/>
          <w:sz w:val="24"/>
        </w:rPr>
      </w:pPr>
    </w:p>
    <w:p w:rsidR="00241F97" w:rsidRPr="00405964" w:rsidRDefault="00241F97" w:rsidP="00241F97">
      <w:pPr>
        <w:jc w:val="center"/>
        <w:rPr>
          <w:rFonts w:ascii="Times New Roman" w:hAnsi="Times New Roman"/>
          <w:b/>
          <w:sz w:val="24"/>
        </w:rPr>
      </w:pPr>
    </w:p>
    <w:p w:rsidR="00241F97" w:rsidRPr="00405964" w:rsidRDefault="00241F97" w:rsidP="00241F97">
      <w:pPr>
        <w:jc w:val="center"/>
        <w:rPr>
          <w:rFonts w:ascii="Times New Roman" w:hAnsi="Times New Roman"/>
          <w:b/>
          <w:sz w:val="24"/>
        </w:rPr>
      </w:pPr>
    </w:p>
    <w:p w:rsidR="00241F97" w:rsidRPr="00405964" w:rsidRDefault="00241F97" w:rsidP="00241F97">
      <w:pPr>
        <w:jc w:val="center"/>
        <w:rPr>
          <w:rFonts w:ascii="Times New Roman" w:hAnsi="Times New Roman"/>
          <w:b/>
          <w:sz w:val="24"/>
        </w:rPr>
      </w:pPr>
      <w:r w:rsidRPr="00405964">
        <w:rPr>
          <w:rFonts w:ascii="Times New Roman" w:hAnsi="Times New Roman"/>
          <w:b/>
          <w:sz w:val="24"/>
        </w:rPr>
        <w:t>Martina Lubyová, v. r.</w:t>
      </w:r>
    </w:p>
    <w:p w:rsidR="00241F97" w:rsidRPr="00405964" w:rsidRDefault="00241F97" w:rsidP="00241F97">
      <w:pPr>
        <w:jc w:val="center"/>
        <w:rPr>
          <w:rFonts w:ascii="Times New Roman" w:hAnsi="Times New Roman"/>
          <w:sz w:val="24"/>
        </w:rPr>
      </w:pPr>
      <w:r w:rsidRPr="00405964">
        <w:rPr>
          <w:rFonts w:ascii="Times New Roman" w:hAnsi="Times New Roman"/>
          <w:sz w:val="24"/>
        </w:rPr>
        <w:t>ministerka školstva, vedy, výskumu a športu Slovenskej republiky</w:t>
      </w:r>
    </w:p>
    <w:p w:rsidR="00B27454" w:rsidRPr="00341720" w:rsidRDefault="00B27454" w:rsidP="00CF0CDF">
      <w:pPr>
        <w:spacing w:after="240"/>
        <w:jc w:val="both"/>
        <w:rPr>
          <w:rFonts w:ascii="Times New Roman" w:hAnsi="Times New Roman"/>
          <w:sz w:val="24"/>
          <w:szCs w:val="24"/>
        </w:rPr>
      </w:pPr>
    </w:p>
    <w:sectPr w:rsidR="00B27454" w:rsidRPr="00341720" w:rsidSect="00712155">
      <w:pgSz w:w="12240" w:h="15840"/>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06B" w:rsidRDefault="0066106B" w:rsidP="006869EB">
      <w:pPr>
        <w:spacing w:after="0" w:line="240" w:lineRule="auto"/>
      </w:pPr>
      <w:r>
        <w:separator/>
      </w:r>
    </w:p>
  </w:endnote>
  <w:endnote w:type="continuationSeparator" w:id="0">
    <w:p w:rsidR="0066106B" w:rsidRDefault="0066106B" w:rsidP="0068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06B" w:rsidRDefault="0066106B" w:rsidP="006869EB">
      <w:pPr>
        <w:spacing w:after="0" w:line="240" w:lineRule="auto"/>
      </w:pPr>
      <w:r>
        <w:separator/>
      </w:r>
    </w:p>
  </w:footnote>
  <w:footnote w:type="continuationSeparator" w:id="0">
    <w:p w:rsidR="0066106B" w:rsidRDefault="0066106B" w:rsidP="006869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C1BF2"/>
    <w:multiLevelType w:val="multilevel"/>
    <w:tmpl w:val="62A6DE74"/>
    <w:lvl w:ilvl="0">
      <w:start w:val="1"/>
      <w:numFmt w:val="decimal"/>
      <w:suff w:val="space"/>
      <w:lvlText w:val="Čl. %1"/>
      <w:lvlJc w:val="center"/>
      <w:pPr>
        <w:ind w:firstLine="284"/>
      </w:pPr>
      <w:rPr>
        <w:rFonts w:ascii="Times New Roman" w:hAnsi="Times New Roman" w:cs="Times New Roman" w:hint="default"/>
        <w:b/>
        <w:i w:val="0"/>
        <w:color w:val="auto"/>
        <w:sz w:val="24"/>
      </w:rPr>
    </w:lvl>
    <w:lvl w:ilvl="1">
      <w:start w:val="1"/>
      <w:numFmt w:val="decimal"/>
      <w:suff w:val="nothing"/>
      <w:lvlText w:val="(%2)"/>
      <w:lvlJc w:val="left"/>
      <w:rPr>
        <w:rFonts w:cs="Times New Roman" w:hint="default"/>
      </w:rPr>
    </w:lvl>
    <w:lvl w:ilvl="2">
      <w:start w:val="1"/>
      <w:numFmt w:val="lowerLetter"/>
      <w:suff w:val="nothing"/>
      <w:lvlText w:val="%3)"/>
      <w:lvlJc w:val="left"/>
      <w:pPr>
        <w:ind w:left="397" w:hanging="397"/>
      </w:pPr>
      <w:rPr>
        <w:rFonts w:cs="Times New Roman" w:hint="default"/>
      </w:rPr>
    </w:lvl>
    <w:lvl w:ilvl="3">
      <w:start w:val="1"/>
      <w:numFmt w:val="decimal"/>
      <w:suff w:val="nothing"/>
      <w:lvlText w:val="%4."/>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 w15:restartNumberingAfterBreak="0">
    <w:nsid w:val="31EC78A6"/>
    <w:multiLevelType w:val="multilevel"/>
    <w:tmpl w:val="62A6DE74"/>
    <w:lvl w:ilvl="0">
      <w:start w:val="1"/>
      <w:numFmt w:val="decimal"/>
      <w:suff w:val="space"/>
      <w:lvlText w:val="Čl. %1"/>
      <w:lvlJc w:val="center"/>
      <w:pPr>
        <w:ind w:firstLine="284"/>
      </w:pPr>
      <w:rPr>
        <w:rFonts w:ascii="Times New Roman" w:hAnsi="Times New Roman" w:cs="Times New Roman" w:hint="default"/>
        <w:b/>
        <w:i w:val="0"/>
        <w:color w:val="auto"/>
        <w:sz w:val="24"/>
      </w:rPr>
    </w:lvl>
    <w:lvl w:ilvl="1">
      <w:start w:val="1"/>
      <w:numFmt w:val="decimal"/>
      <w:suff w:val="nothing"/>
      <w:lvlText w:val="(%2)"/>
      <w:lvlJc w:val="left"/>
      <w:rPr>
        <w:rFonts w:cs="Times New Roman" w:hint="default"/>
      </w:rPr>
    </w:lvl>
    <w:lvl w:ilvl="2">
      <w:start w:val="1"/>
      <w:numFmt w:val="lowerLetter"/>
      <w:suff w:val="nothing"/>
      <w:lvlText w:val="%3)"/>
      <w:lvlJc w:val="left"/>
      <w:pPr>
        <w:ind w:left="397" w:hanging="397"/>
      </w:pPr>
      <w:rPr>
        <w:rFonts w:cs="Times New Roman" w:hint="default"/>
      </w:rPr>
    </w:lvl>
    <w:lvl w:ilvl="3">
      <w:start w:val="1"/>
      <w:numFmt w:val="decimal"/>
      <w:suff w:val="nothing"/>
      <w:lvlText w:val="%4."/>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 w15:restartNumberingAfterBreak="0">
    <w:nsid w:val="5AEB3BD9"/>
    <w:multiLevelType w:val="hybridMultilevel"/>
    <w:tmpl w:val="91A87A06"/>
    <w:lvl w:ilvl="0" w:tplc="70E0B112">
      <w:start w:val="3"/>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5E8977C6"/>
    <w:multiLevelType w:val="multilevel"/>
    <w:tmpl w:val="62A6DE74"/>
    <w:lvl w:ilvl="0">
      <w:start w:val="1"/>
      <w:numFmt w:val="decimal"/>
      <w:suff w:val="space"/>
      <w:lvlText w:val="Čl. %1"/>
      <w:lvlJc w:val="center"/>
      <w:pPr>
        <w:ind w:firstLine="284"/>
      </w:pPr>
      <w:rPr>
        <w:rFonts w:ascii="Times New Roman" w:hAnsi="Times New Roman" w:cs="Times New Roman" w:hint="default"/>
        <w:b/>
        <w:i w:val="0"/>
        <w:color w:val="auto"/>
        <w:sz w:val="24"/>
      </w:rPr>
    </w:lvl>
    <w:lvl w:ilvl="1">
      <w:start w:val="1"/>
      <w:numFmt w:val="decimal"/>
      <w:suff w:val="nothing"/>
      <w:lvlText w:val="(%2)"/>
      <w:lvlJc w:val="left"/>
      <w:rPr>
        <w:rFonts w:cs="Times New Roman" w:hint="default"/>
      </w:rPr>
    </w:lvl>
    <w:lvl w:ilvl="2">
      <w:start w:val="1"/>
      <w:numFmt w:val="lowerLetter"/>
      <w:suff w:val="nothing"/>
      <w:lvlText w:val="%3)"/>
      <w:lvlJc w:val="left"/>
      <w:pPr>
        <w:ind w:left="397" w:hanging="397"/>
      </w:pPr>
      <w:rPr>
        <w:rFonts w:cs="Times New Roman" w:hint="default"/>
      </w:rPr>
    </w:lvl>
    <w:lvl w:ilvl="3">
      <w:start w:val="1"/>
      <w:numFmt w:val="decimal"/>
      <w:suff w:val="nothing"/>
      <w:lvlText w:val="%4."/>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32C"/>
    <w:rsid w:val="00017333"/>
    <w:rsid w:val="00023EF2"/>
    <w:rsid w:val="000267C4"/>
    <w:rsid w:val="00043C54"/>
    <w:rsid w:val="00045434"/>
    <w:rsid w:val="0005258B"/>
    <w:rsid w:val="00056627"/>
    <w:rsid w:val="0005673F"/>
    <w:rsid w:val="00070A32"/>
    <w:rsid w:val="000737BB"/>
    <w:rsid w:val="00083941"/>
    <w:rsid w:val="000A3416"/>
    <w:rsid w:val="000C329A"/>
    <w:rsid w:val="000D2285"/>
    <w:rsid w:val="000D6001"/>
    <w:rsid w:val="000F0760"/>
    <w:rsid w:val="000F49E8"/>
    <w:rsid w:val="001003CC"/>
    <w:rsid w:val="0010101D"/>
    <w:rsid w:val="00103645"/>
    <w:rsid w:val="001058DF"/>
    <w:rsid w:val="0013111F"/>
    <w:rsid w:val="00161216"/>
    <w:rsid w:val="0017215A"/>
    <w:rsid w:val="001945B0"/>
    <w:rsid w:val="00197CF1"/>
    <w:rsid w:val="001A26A4"/>
    <w:rsid w:val="001A4524"/>
    <w:rsid w:val="001B7691"/>
    <w:rsid w:val="001C715E"/>
    <w:rsid w:val="001D43BF"/>
    <w:rsid w:val="001E23EB"/>
    <w:rsid w:val="001F3706"/>
    <w:rsid w:val="00201CC4"/>
    <w:rsid w:val="002021C5"/>
    <w:rsid w:val="0020293D"/>
    <w:rsid w:val="002068A7"/>
    <w:rsid w:val="00220062"/>
    <w:rsid w:val="00222A93"/>
    <w:rsid w:val="00224D51"/>
    <w:rsid w:val="00236EC6"/>
    <w:rsid w:val="00240A7C"/>
    <w:rsid w:val="00240CBE"/>
    <w:rsid w:val="00241F97"/>
    <w:rsid w:val="0025758B"/>
    <w:rsid w:val="00267F15"/>
    <w:rsid w:val="00282327"/>
    <w:rsid w:val="00282741"/>
    <w:rsid w:val="00284691"/>
    <w:rsid w:val="00284A55"/>
    <w:rsid w:val="0029278E"/>
    <w:rsid w:val="00293FFF"/>
    <w:rsid w:val="002A1D50"/>
    <w:rsid w:val="002B177B"/>
    <w:rsid w:val="002C37BD"/>
    <w:rsid w:val="002D0456"/>
    <w:rsid w:val="002E2B02"/>
    <w:rsid w:val="002E2BAF"/>
    <w:rsid w:val="002E4442"/>
    <w:rsid w:val="002F3699"/>
    <w:rsid w:val="00310F6E"/>
    <w:rsid w:val="0031753B"/>
    <w:rsid w:val="0032486C"/>
    <w:rsid w:val="003275E0"/>
    <w:rsid w:val="00332CE6"/>
    <w:rsid w:val="00341720"/>
    <w:rsid w:val="00341DA5"/>
    <w:rsid w:val="003505BC"/>
    <w:rsid w:val="00357779"/>
    <w:rsid w:val="00371B63"/>
    <w:rsid w:val="00387F67"/>
    <w:rsid w:val="00391F26"/>
    <w:rsid w:val="003961E7"/>
    <w:rsid w:val="003A65B5"/>
    <w:rsid w:val="003B25F6"/>
    <w:rsid w:val="003E1F20"/>
    <w:rsid w:val="003F2310"/>
    <w:rsid w:val="003F375D"/>
    <w:rsid w:val="003F6E50"/>
    <w:rsid w:val="00400BF2"/>
    <w:rsid w:val="00403182"/>
    <w:rsid w:val="00411422"/>
    <w:rsid w:val="00411863"/>
    <w:rsid w:val="0041263B"/>
    <w:rsid w:val="0041384C"/>
    <w:rsid w:val="004217C6"/>
    <w:rsid w:val="00427603"/>
    <w:rsid w:val="004322EE"/>
    <w:rsid w:val="004467A7"/>
    <w:rsid w:val="00460770"/>
    <w:rsid w:val="0046776A"/>
    <w:rsid w:val="00467FAB"/>
    <w:rsid w:val="0047061B"/>
    <w:rsid w:val="004826DF"/>
    <w:rsid w:val="00486D7E"/>
    <w:rsid w:val="00494508"/>
    <w:rsid w:val="00496527"/>
    <w:rsid w:val="004A0E5F"/>
    <w:rsid w:val="004C15E4"/>
    <w:rsid w:val="004C2E93"/>
    <w:rsid w:val="004D3156"/>
    <w:rsid w:val="004E0CB6"/>
    <w:rsid w:val="004E6AD6"/>
    <w:rsid w:val="004F1653"/>
    <w:rsid w:val="004F4621"/>
    <w:rsid w:val="005058DF"/>
    <w:rsid w:val="00513F36"/>
    <w:rsid w:val="005226B2"/>
    <w:rsid w:val="005551F9"/>
    <w:rsid w:val="005806A8"/>
    <w:rsid w:val="00584832"/>
    <w:rsid w:val="005912C2"/>
    <w:rsid w:val="005928F6"/>
    <w:rsid w:val="005A3A8C"/>
    <w:rsid w:val="005B053D"/>
    <w:rsid w:val="005B17B4"/>
    <w:rsid w:val="005B55E6"/>
    <w:rsid w:val="005C71CF"/>
    <w:rsid w:val="005D2682"/>
    <w:rsid w:val="005D685C"/>
    <w:rsid w:val="005D730A"/>
    <w:rsid w:val="005F39DF"/>
    <w:rsid w:val="005F75AE"/>
    <w:rsid w:val="006045A1"/>
    <w:rsid w:val="00616D41"/>
    <w:rsid w:val="006259C1"/>
    <w:rsid w:val="0066106B"/>
    <w:rsid w:val="00661A15"/>
    <w:rsid w:val="00663643"/>
    <w:rsid w:val="0068311D"/>
    <w:rsid w:val="00684F0E"/>
    <w:rsid w:val="006869EB"/>
    <w:rsid w:val="00691ECE"/>
    <w:rsid w:val="006A3A30"/>
    <w:rsid w:val="006B0739"/>
    <w:rsid w:val="006C46C4"/>
    <w:rsid w:val="006D177B"/>
    <w:rsid w:val="006D7C84"/>
    <w:rsid w:val="006E3EB0"/>
    <w:rsid w:val="006E6C05"/>
    <w:rsid w:val="006F30FE"/>
    <w:rsid w:val="006F7D84"/>
    <w:rsid w:val="00701A29"/>
    <w:rsid w:val="00702B7C"/>
    <w:rsid w:val="00711436"/>
    <w:rsid w:val="00712155"/>
    <w:rsid w:val="00713BCF"/>
    <w:rsid w:val="00741C9F"/>
    <w:rsid w:val="00741FDA"/>
    <w:rsid w:val="00757622"/>
    <w:rsid w:val="00774159"/>
    <w:rsid w:val="00780F9E"/>
    <w:rsid w:val="00781C73"/>
    <w:rsid w:val="007945C4"/>
    <w:rsid w:val="00794979"/>
    <w:rsid w:val="007A07F8"/>
    <w:rsid w:val="007A0FF4"/>
    <w:rsid w:val="007A5F4C"/>
    <w:rsid w:val="007B0EEC"/>
    <w:rsid w:val="007B3B72"/>
    <w:rsid w:val="007B4B60"/>
    <w:rsid w:val="007B7859"/>
    <w:rsid w:val="007D282D"/>
    <w:rsid w:val="007D7DF3"/>
    <w:rsid w:val="007E26FC"/>
    <w:rsid w:val="007E2A7C"/>
    <w:rsid w:val="007E7B91"/>
    <w:rsid w:val="007F1F10"/>
    <w:rsid w:val="007F626B"/>
    <w:rsid w:val="008023EA"/>
    <w:rsid w:val="00802FD0"/>
    <w:rsid w:val="00807C4F"/>
    <w:rsid w:val="008114A8"/>
    <w:rsid w:val="008176AD"/>
    <w:rsid w:val="0082232C"/>
    <w:rsid w:val="00826DBE"/>
    <w:rsid w:val="00833B06"/>
    <w:rsid w:val="008349F9"/>
    <w:rsid w:val="00836FA6"/>
    <w:rsid w:val="00843AF9"/>
    <w:rsid w:val="00860978"/>
    <w:rsid w:val="008649A9"/>
    <w:rsid w:val="00871085"/>
    <w:rsid w:val="00881B5D"/>
    <w:rsid w:val="00891216"/>
    <w:rsid w:val="00896607"/>
    <w:rsid w:val="008B5272"/>
    <w:rsid w:val="008E4D07"/>
    <w:rsid w:val="008E78CB"/>
    <w:rsid w:val="008F17FF"/>
    <w:rsid w:val="008F3B1C"/>
    <w:rsid w:val="008F3F5B"/>
    <w:rsid w:val="0091090F"/>
    <w:rsid w:val="00942AF0"/>
    <w:rsid w:val="0094376E"/>
    <w:rsid w:val="009509AB"/>
    <w:rsid w:val="009664D7"/>
    <w:rsid w:val="0097086F"/>
    <w:rsid w:val="00973572"/>
    <w:rsid w:val="009735FC"/>
    <w:rsid w:val="00997EAF"/>
    <w:rsid w:val="009A3CA2"/>
    <w:rsid w:val="009A4E90"/>
    <w:rsid w:val="009B635B"/>
    <w:rsid w:val="009E05BE"/>
    <w:rsid w:val="009E3FEA"/>
    <w:rsid w:val="009E57E0"/>
    <w:rsid w:val="00A0085F"/>
    <w:rsid w:val="00A20707"/>
    <w:rsid w:val="00A21118"/>
    <w:rsid w:val="00A33ECC"/>
    <w:rsid w:val="00A42987"/>
    <w:rsid w:val="00A63B73"/>
    <w:rsid w:val="00A6415E"/>
    <w:rsid w:val="00A64B6A"/>
    <w:rsid w:val="00A6549F"/>
    <w:rsid w:val="00A76190"/>
    <w:rsid w:val="00A7706F"/>
    <w:rsid w:val="00A77CE8"/>
    <w:rsid w:val="00A874C7"/>
    <w:rsid w:val="00A9039B"/>
    <w:rsid w:val="00A95291"/>
    <w:rsid w:val="00AA7034"/>
    <w:rsid w:val="00AB0DDA"/>
    <w:rsid w:val="00AB55AA"/>
    <w:rsid w:val="00B159B9"/>
    <w:rsid w:val="00B15E6D"/>
    <w:rsid w:val="00B16AD6"/>
    <w:rsid w:val="00B25F1D"/>
    <w:rsid w:val="00B27454"/>
    <w:rsid w:val="00B313B2"/>
    <w:rsid w:val="00B36334"/>
    <w:rsid w:val="00B40237"/>
    <w:rsid w:val="00B62569"/>
    <w:rsid w:val="00B67B53"/>
    <w:rsid w:val="00B818D1"/>
    <w:rsid w:val="00B82F2C"/>
    <w:rsid w:val="00B9130D"/>
    <w:rsid w:val="00B9131A"/>
    <w:rsid w:val="00B95EC1"/>
    <w:rsid w:val="00BC028D"/>
    <w:rsid w:val="00BC0A6A"/>
    <w:rsid w:val="00BC2D94"/>
    <w:rsid w:val="00BD4611"/>
    <w:rsid w:val="00BD46FE"/>
    <w:rsid w:val="00BD737E"/>
    <w:rsid w:val="00BE146E"/>
    <w:rsid w:val="00BE643C"/>
    <w:rsid w:val="00BF588E"/>
    <w:rsid w:val="00C043C2"/>
    <w:rsid w:val="00C34746"/>
    <w:rsid w:val="00C428BD"/>
    <w:rsid w:val="00C807C8"/>
    <w:rsid w:val="00C85539"/>
    <w:rsid w:val="00C87B08"/>
    <w:rsid w:val="00CA04A4"/>
    <w:rsid w:val="00CA238F"/>
    <w:rsid w:val="00CC0697"/>
    <w:rsid w:val="00CC17E0"/>
    <w:rsid w:val="00CC1905"/>
    <w:rsid w:val="00CD2124"/>
    <w:rsid w:val="00CD63E7"/>
    <w:rsid w:val="00CE687C"/>
    <w:rsid w:val="00CF0CDF"/>
    <w:rsid w:val="00CF28B9"/>
    <w:rsid w:val="00CF335B"/>
    <w:rsid w:val="00D00D31"/>
    <w:rsid w:val="00D0730D"/>
    <w:rsid w:val="00D17997"/>
    <w:rsid w:val="00D26E75"/>
    <w:rsid w:val="00D32B94"/>
    <w:rsid w:val="00D429ED"/>
    <w:rsid w:val="00D60633"/>
    <w:rsid w:val="00D932DE"/>
    <w:rsid w:val="00DA5E2F"/>
    <w:rsid w:val="00DD5B1F"/>
    <w:rsid w:val="00DD5C34"/>
    <w:rsid w:val="00DE3393"/>
    <w:rsid w:val="00DF52E6"/>
    <w:rsid w:val="00E01A4A"/>
    <w:rsid w:val="00E0544F"/>
    <w:rsid w:val="00E10A89"/>
    <w:rsid w:val="00E17DD7"/>
    <w:rsid w:val="00E2146A"/>
    <w:rsid w:val="00E2172A"/>
    <w:rsid w:val="00E22220"/>
    <w:rsid w:val="00E24C21"/>
    <w:rsid w:val="00E43665"/>
    <w:rsid w:val="00E526A4"/>
    <w:rsid w:val="00E64BA4"/>
    <w:rsid w:val="00E64F65"/>
    <w:rsid w:val="00E77321"/>
    <w:rsid w:val="00E803AA"/>
    <w:rsid w:val="00E958FC"/>
    <w:rsid w:val="00E96BB6"/>
    <w:rsid w:val="00EA0618"/>
    <w:rsid w:val="00EB6A58"/>
    <w:rsid w:val="00EC1D96"/>
    <w:rsid w:val="00EC5A56"/>
    <w:rsid w:val="00ED1442"/>
    <w:rsid w:val="00ED3716"/>
    <w:rsid w:val="00EE4A56"/>
    <w:rsid w:val="00EF7E13"/>
    <w:rsid w:val="00F0190B"/>
    <w:rsid w:val="00F275BA"/>
    <w:rsid w:val="00F323BA"/>
    <w:rsid w:val="00F32962"/>
    <w:rsid w:val="00F364B2"/>
    <w:rsid w:val="00F473BA"/>
    <w:rsid w:val="00F50384"/>
    <w:rsid w:val="00F54912"/>
    <w:rsid w:val="00F579E4"/>
    <w:rsid w:val="00F62AA3"/>
    <w:rsid w:val="00F62ECA"/>
    <w:rsid w:val="00F65906"/>
    <w:rsid w:val="00F73939"/>
    <w:rsid w:val="00F9594A"/>
    <w:rsid w:val="00FB1E6B"/>
    <w:rsid w:val="00FB42FA"/>
    <w:rsid w:val="00FC5F52"/>
    <w:rsid w:val="00FD0A5F"/>
    <w:rsid w:val="00FD48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071847"/>
  <w14:defaultImageDpi w14:val="0"/>
  <w15:docId w15:val="{96C12831-99EA-42D6-BE1F-E8F288BF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EA0618"/>
    <w:rPr>
      <w:rFonts w:ascii="Times New Roman" w:hAnsi="Times New Roman" w:cs="Times New Roman"/>
      <w:color w:val="808080"/>
    </w:rPr>
  </w:style>
  <w:style w:type="character" w:styleId="Odkaznakomentr">
    <w:name w:val="annotation reference"/>
    <w:basedOn w:val="Predvolenpsmoodseku"/>
    <w:uiPriority w:val="99"/>
    <w:semiHidden/>
    <w:unhideWhenUsed/>
    <w:rsid w:val="00ED3716"/>
    <w:rPr>
      <w:rFonts w:cs="Times New Roman"/>
      <w:sz w:val="16"/>
      <w:szCs w:val="16"/>
    </w:rPr>
  </w:style>
  <w:style w:type="paragraph" w:styleId="Textkomentra">
    <w:name w:val="annotation text"/>
    <w:basedOn w:val="Normlny"/>
    <w:link w:val="TextkomentraChar"/>
    <w:uiPriority w:val="99"/>
    <w:semiHidden/>
    <w:unhideWhenUsed/>
    <w:rsid w:val="00ED3716"/>
    <w:pPr>
      <w:spacing w:line="240" w:lineRule="auto"/>
    </w:pPr>
    <w:rPr>
      <w:sz w:val="20"/>
      <w:szCs w:val="20"/>
    </w:rPr>
  </w:style>
  <w:style w:type="character" w:customStyle="1" w:styleId="TextkomentraChar">
    <w:name w:val="Text komentára Char"/>
    <w:basedOn w:val="Predvolenpsmoodseku"/>
    <w:link w:val="Textkomentra"/>
    <w:uiPriority w:val="99"/>
    <w:semiHidden/>
    <w:locked/>
    <w:rsid w:val="00ED3716"/>
    <w:rPr>
      <w:rFonts w:cs="Times New Roman"/>
      <w:sz w:val="20"/>
      <w:szCs w:val="20"/>
    </w:rPr>
  </w:style>
  <w:style w:type="paragraph" w:styleId="Predmetkomentra">
    <w:name w:val="annotation subject"/>
    <w:basedOn w:val="Textkomentra"/>
    <w:next w:val="Textkomentra"/>
    <w:link w:val="PredmetkomentraChar"/>
    <w:uiPriority w:val="99"/>
    <w:semiHidden/>
    <w:unhideWhenUsed/>
    <w:rsid w:val="00ED3716"/>
    <w:rPr>
      <w:b/>
      <w:bCs/>
    </w:rPr>
  </w:style>
  <w:style w:type="character" w:customStyle="1" w:styleId="PredmetkomentraChar">
    <w:name w:val="Predmet komentára Char"/>
    <w:basedOn w:val="TextkomentraChar"/>
    <w:link w:val="Predmetkomentra"/>
    <w:uiPriority w:val="99"/>
    <w:semiHidden/>
    <w:locked/>
    <w:rsid w:val="00ED3716"/>
    <w:rPr>
      <w:rFonts w:cs="Times New Roman"/>
      <w:b/>
      <w:bCs/>
      <w:sz w:val="20"/>
      <w:szCs w:val="20"/>
    </w:rPr>
  </w:style>
  <w:style w:type="paragraph" w:styleId="Textbubliny">
    <w:name w:val="Balloon Text"/>
    <w:basedOn w:val="Normlny"/>
    <w:link w:val="TextbublinyChar"/>
    <w:uiPriority w:val="99"/>
    <w:semiHidden/>
    <w:unhideWhenUsed/>
    <w:rsid w:val="00ED371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ED3716"/>
    <w:rPr>
      <w:rFonts w:ascii="Tahoma" w:hAnsi="Tahoma" w:cs="Tahoma"/>
      <w:sz w:val="16"/>
      <w:szCs w:val="16"/>
    </w:rPr>
  </w:style>
  <w:style w:type="character" w:styleId="Hypertextovprepojenie">
    <w:name w:val="Hyperlink"/>
    <w:basedOn w:val="Predvolenpsmoodseku"/>
    <w:uiPriority w:val="99"/>
    <w:unhideWhenUsed/>
    <w:rsid w:val="00282741"/>
    <w:rPr>
      <w:rFonts w:cs="Times New Roman"/>
      <w:color w:val="0000FF"/>
      <w:u w:val="single"/>
    </w:rPr>
  </w:style>
  <w:style w:type="character" w:styleId="PouitHypertextovPrepojenie">
    <w:name w:val="FollowedHyperlink"/>
    <w:basedOn w:val="Predvolenpsmoodseku"/>
    <w:uiPriority w:val="99"/>
    <w:semiHidden/>
    <w:unhideWhenUsed/>
    <w:rsid w:val="00282741"/>
    <w:rPr>
      <w:rFonts w:cs="Times New Roman"/>
      <w:color w:val="800080" w:themeColor="followedHyperlink"/>
      <w:u w:val="single"/>
    </w:rPr>
  </w:style>
  <w:style w:type="paragraph" w:styleId="Normlnywebov">
    <w:name w:val="Normal (Web)"/>
    <w:aliases w:val="webb"/>
    <w:basedOn w:val="Normlny"/>
    <w:uiPriority w:val="99"/>
    <w:rsid w:val="00942AF0"/>
    <w:pPr>
      <w:spacing w:before="100" w:beforeAutospacing="1" w:after="100" w:afterAutospacing="1" w:line="240" w:lineRule="auto"/>
    </w:pPr>
    <w:rPr>
      <w:rFonts w:ascii="Times New Roman" w:hAnsi="Times New Roman"/>
      <w:sz w:val="24"/>
      <w:szCs w:val="24"/>
      <w:lang w:eastAsia="sk-SK"/>
    </w:rPr>
  </w:style>
  <w:style w:type="paragraph" w:styleId="Pta">
    <w:name w:val="footer"/>
    <w:basedOn w:val="Normlny"/>
    <w:link w:val="PtaChar"/>
    <w:uiPriority w:val="99"/>
    <w:rsid w:val="006869EB"/>
    <w:pPr>
      <w:tabs>
        <w:tab w:val="center" w:pos="4536"/>
        <w:tab w:val="right" w:pos="9072"/>
      </w:tabs>
      <w:spacing w:after="0" w:line="240" w:lineRule="auto"/>
    </w:pPr>
    <w:rPr>
      <w:rFonts w:ascii="Times New Roman" w:hAnsi="Times New Roman"/>
      <w:sz w:val="24"/>
      <w:szCs w:val="24"/>
      <w:lang w:eastAsia="sk-SK"/>
    </w:rPr>
  </w:style>
  <w:style w:type="character" w:customStyle="1" w:styleId="PtaChar">
    <w:name w:val="Päta Char"/>
    <w:basedOn w:val="Predvolenpsmoodseku"/>
    <w:link w:val="Pta"/>
    <w:uiPriority w:val="99"/>
    <w:locked/>
    <w:rsid w:val="006869EB"/>
    <w:rPr>
      <w:rFonts w:ascii="Times New Roman" w:hAnsi="Times New Roman" w:cs="Times New Roman"/>
      <w:sz w:val="24"/>
      <w:szCs w:val="24"/>
      <w:lang w:val="x-none" w:eastAsia="sk-SK"/>
    </w:rPr>
  </w:style>
  <w:style w:type="character" w:styleId="slostrany">
    <w:name w:val="page number"/>
    <w:basedOn w:val="Predvolenpsmoodseku"/>
    <w:uiPriority w:val="99"/>
    <w:rsid w:val="006869EB"/>
    <w:rPr>
      <w:rFonts w:cs="Times New Roman"/>
    </w:rPr>
  </w:style>
  <w:style w:type="paragraph" w:styleId="Hlavika">
    <w:name w:val="header"/>
    <w:basedOn w:val="Normlny"/>
    <w:link w:val="HlavikaChar"/>
    <w:uiPriority w:val="99"/>
    <w:rsid w:val="006869EB"/>
    <w:pPr>
      <w:tabs>
        <w:tab w:val="center" w:pos="4536"/>
        <w:tab w:val="right" w:pos="9072"/>
      </w:tabs>
      <w:spacing w:after="0" w:line="240" w:lineRule="auto"/>
    </w:pPr>
    <w:rPr>
      <w:rFonts w:ascii="Times New Roman" w:hAnsi="Times New Roman"/>
      <w:sz w:val="24"/>
      <w:szCs w:val="24"/>
      <w:lang w:eastAsia="sk-SK"/>
    </w:rPr>
  </w:style>
  <w:style w:type="character" w:customStyle="1" w:styleId="HlavikaChar">
    <w:name w:val="Hlavička Char"/>
    <w:basedOn w:val="Predvolenpsmoodseku"/>
    <w:link w:val="Hlavika"/>
    <w:uiPriority w:val="99"/>
    <w:locked/>
    <w:rsid w:val="006869EB"/>
    <w:rPr>
      <w:rFonts w:ascii="Times New Roman" w:hAnsi="Times New Roman" w:cs="Times New Roman"/>
      <w:sz w:val="24"/>
      <w:szCs w:val="24"/>
      <w:lang w:val="x-none" w:eastAsia="sk-SK"/>
    </w:rPr>
  </w:style>
  <w:style w:type="paragraph" w:styleId="Odsekzoznamu">
    <w:name w:val="List Paragraph"/>
    <w:basedOn w:val="Normlny"/>
    <w:uiPriority w:val="34"/>
    <w:qFormat/>
    <w:rsid w:val="00881B5D"/>
    <w:pPr>
      <w:ind w:left="720"/>
      <w:contextualSpacing/>
    </w:pPr>
  </w:style>
  <w:style w:type="paragraph" w:styleId="Textpoznmkypodiarou">
    <w:name w:val="footnote text"/>
    <w:basedOn w:val="Normlny"/>
    <w:link w:val="TextpoznmkypodiarouChar"/>
    <w:uiPriority w:val="99"/>
    <w:unhideWhenUsed/>
    <w:rsid w:val="001F3706"/>
    <w:pPr>
      <w:spacing w:after="0" w:line="240" w:lineRule="auto"/>
    </w:pPr>
    <w:rPr>
      <w:rFonts w:ascii="Times New Roman" w:hAnsi="Times New Roman"/>
      <w:sz w:val="20"/>
      <w:szCs w:val="20"/>
      <w:lang w:eastAsia="sk-SK"/>
    </w:rPr>
  </w:style>
  <w:style w:type="character" w:customStyle="1" w:styleId="TextpoznmkypodiarouChar">
    <w:name w:val="Text poznámky pod čiarou Char"/>
    <w:basedOn w:val="Predvolenpsmoodseku"/>
    <w:link w:val="Textpoznmkypodiarou"/>
    <w:uiPriority w:val="99"/>
    <w:locked/>
    <w:rsid w:val="001F3706"/>
    <w:rPr>
      <w:rFonts w:ascii="Times New Roman" w:hAnsi="Times New Roman" w:cs="Times New Roman"/>
      <w:sz w:val="20"/>
      <w:szCs w:val="20"/>
      <w:lang w:val="x-none" w:eastAsia="sk-SK"/>
    </w:rPr>
  </w:style>
  <w:style w:type="character" w:styleId="Odkaznapoznmkupodiarou">
    <w:name w:val="footnote reference"/>
    <w:basedOn w:val="Predvolenpsmoodseku"/>
    <w:uiPriority w:val="99"/>
    <w:semiHidden/>
    <w:unhideWhenUsed/>
    <w:rsid w:val="001F3706"/>
    <w:rPr>
      <w:rFonts w:ascii="Times New Roman" w:hAnsi="Times New Roman" w:cs="Times New Roman"/>
      <w:vertAlign w:val="superscript"/>
    </w:rPr>
  </w:style>
  <w:style w:type="character" w:customStyle="1" w:styleId="normaltextrun">
    <w:name w:val="normaltextrun"/>
    <w:basedOn w:val="Predvolenpsmoodseku"/>
    <w:rsid w:val="007F1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5060708">
      <w:marLeft w:val="0"/>
      <w:marRight w:val="0"/>
      <w:marTop w:val="0"/>
      <w:marBottom w:val="0"/>
      <w:divBdr>
        <w:top w:val="none" w:sz="0" w:space="0" w:color="auto"/>
        <w:left w:val="none" w:sz="0" w:space="0" w:color="auto"/>
        <w:bottom w:val="none" w:sz="0" w:space="0" w:color="auto"/>
        <w:right w:val="none" w:sz="0" w:space="0" w:color="auto"/>
      </w:divBdr>
    </w:div>
    <w:div w:id="2045060709">
      <w:marLeft w:val="0"/>
      <w:marRight w:val="0"/>
      <w:marTop w:val="0"/>
      <w:marBottom w:val="0"/>
      <w:divBdr>
        <w:top w:val="none" w:sz="0" w:space="0" w:color="auto"/>
        <w:left w:val="none" w:sz="0" w:space="0" w:color="auto"/>
        <w:bottom w:val="none" w:sz="0" w:space="0" w:color="auto"/>
        <w:right w:val="none" w:sz="0" w:space="0" w:color="auto"/>
      </w:divBdr>
    </w:div>
    <w:div w:id="2045060710">
      <w:marLeft w:val="0"/>
      <w:marRight w:val="0"/>
      <w:marTop w:val="0"/>
      <w:marBottom w:val="0"/>
      <w:divBdr>
        <w:top w:val="none" w:sz="0" w:space="0" w:color="auto"/>
        <w:left w:val="none" w:sz="0" w:space="0" w:color="auto"/>
        <w:bottom w:val="none" w:sz="0" w:space="0" w:color="auto"/>
        <w:right w:val="none" w:sz="0" w:space="0" w:color="auto"/>
      </w:divBdr>
    </w:div>
    <w:div w:id="2045060711">
      <w:marLeft w:val="0"/>
      <w:marRight w:val="0"/>
      <w:marTop w:val="0"/>
      <w:marBottom w:val="0"/>
      <w:divBdr>
        <w:top w:val="none" w:sz="0" w:space="0" w:color="auto"/>
        <w:left w:val="none" w:sz="0" w:space="0" w:color="auto"/>
        <w:bottom w:val="none" w:sz="0" w:space="0" w:color="auto"/>
        <w:right w:val="none" w:sz="0" w:space="0" w:color="auto"/>
      </w:divBdr>
    </w:div>
    <w:div w:id="2045060712">
      <w:marLeft w:val="0"/>
      <w:marRight w:val="0"/>
      <w:marTop w:val="0"/>
      <w:marBottom w:val="0"/>
      <w:divBdr>
        <w:top w:val="none" w:sz="0" w:space="0" w:color="auto"/>
        <w:left w:val="none" w:sz="0" w:space="0" w:color="auto"/>
        <w:bottom w:val="none" w:sz="0" w:space="0" w:color="auto"/>
        <w:right w:val="none" w:sz="0" w:space="0" w:color="auto"/>
      </w:divBdr>
    </w:div>
    <w:div w:id="2045060713">
      <w:marLeft w:val="0"/>
      <w:marRight w:val="0"/>
      <w:marTop w:val="0"/>
      <w:marBottom w:val="0"/>
      <w:divBdr>
        <w:top w:val="none" w:sz="0" w:space="0" w:color="auto"/>
        <w:left w:val="none" w:sz="0" w:space="0" w:color="auto"/>
        <w:bottom w:val="none" w:sz="0" w:space="0" w:color="auto"/>
        <w:right w:val="none" w:sz="0" w:space="0" w:color="auto"/>
      </w:divBdr>
    </w:div>
    <w:div w:id="2045060714">
      <w:marLeft w:val="0"/>
      <w:marRight w:val="0"/>
      <w:marTop w:val="0"/>
      <w:marBottom w:val="0"/>
      <w:divBdr>
        <w:top w:val="none" w:sz="0" w:space="0" w:color="auto"/>
        <w:left w:val="none" w:sz="0" w:space="0" w:color="auto"/>
        <w:bottom w:val="none" w:sz="0" w:space="0" w:color="auto"/>
        <w:right w:val="none" w:sz="0" w:space="0" w:color="auto"/>
      </w:divBdr>
    </w:div>
    <w:div w:id="20450607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E7418-14BC-4814-9E11-6285734CB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1734</Words>
  <Characters>9888</Characters>
  <Application>Microsoft Office Word</Application>
  <DocSecurity>0</DocSecurity>
  <Lines>82</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Pavol Kučmáš</dc:creator>
  <cp:lastModifiedBy>Kasenčák René</cp:lastModifiedBy>
  <cp:revision>16</cp:revision>
  <cp:lastPrinted>2019-03-07T09:15:00Z</cp:lastPrinted>
  <dcterms:created xsi:type="dcterms:W3CDTF">2019-02-26T19:37:00Z</dcterms:created>
  <dcterms:modified xsi:type="dcterms:W3CDTF">2019-03-07T09:15:00Z</dcterms:modified>
</cp:coreProperties>
</file>