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051" w:rsidRPr="00490B31" w:rsidRDefault="00023051" w:rsidP="00023051">
      <w:pPr>
        <w:jc w:val="center"/>
        <w:rPr>
          <w:rFonts w:ascii="Book Antiqua" w:hAnsi="Book Antiqua" w:cs="Arial"/>
          <w:b/>
        </w:rPr>
      </w:pPr>
      <w:bookmarkStart w:id="0" w:name="_GoBack"/>
      <w:bookmarkEnd w:id="0"/>
      <w:r w:rsidRPr="00490B31">
        <w:rPr>
          <w:rFonts w:ascii="Book Antiqua" w:hAnsi="Book Antiqua" w:cs="Arial"/>
          <w:b/>
        </w:rPr>
        <w:t>Dôvodová správa</w:t>
      </w:r>
    </w:p>
    <w:p w:rsidR="00023051" w:rsidRPr="00490B31" w:rsidRDefault="00023051" w:rsidP="00023051">
      <w:pPr>
        <w:numPr>
          <w:ilvl w:val="0"/>
          <w:numId w:val="1"/>
        </w:numPr>
        <w:ind w:left="270" w:hanging="180"/>
        <w:jc w:val="both"/>
        <w:rPr>
          <w:rFonts w:ascii="Book Antiqua" w:hAnsi="Book Antiqua" w:cs="Arial"/>
          <w:b/>
          <w:i/>
        </w:rPr>
      </w:pPr>
      <w:r w:rsidRPr="00490B31">
        <w:rPr>
          <w:rFonts w:ascii="Book Antiqua" w:hAnsi="Book Antiqua" w:cs="Arial"/>
          <w:b/>
          <w:i/>
        </w:rPr>
        <w:t>Všeobecná časť</w:t>
      </w:r>
    </w:p>
    <w:p w:rsidR="00023051" w:rsidRPr="001C63F5" w:rsidRDefault="00A53C13" w:rsidP="00023051">
      <w:pPr>
        <w:ind w:left="360"/>
        <w:jc w:val="both"/>
        <w:rPr>
          <w:rFonts w:ascii="Book Antiqua" w:hAnsi="Book Antiqua" w:cs="Arial"/>
        </w:rPr>
      </w:pPr>
      <w:r>
        <w:rPr>
          <w:noProof/>
          <w:lang w:val="en-US" w:eastAsia="en-US"/>
        </w:rPr>
        <w:pict>
          <v:shapetype id="_x0000_t32" coordsize="21600,21600" o:spt="32" o:oned="t" path="m,l21600,21600e" filled="f">
            <v:path arrowok="t" fillok="f" o:connecttype="none"/>
            <o:lock v:ext="edit" shapetype="t"/>
          </v:shapetype>
          <v:shape id="Rovná spojovacia šípka 2" o:spid="_x0000_s1026" type="#_x0000_t32" style="position:absolute;left:0;text-align:left;margin-left:-.35pt;margin-top:2.75pt;width:45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"/>
        </w:pict>
      </w:r>
    </w:p>
    <w:p w:rsidR="00023051" w:rsidRPr="001C63F5" w:rsidRDefault="00023051" w:rsidP="001D6141">
      <w:pPr>
        <w:ind w:firstLine="708"/>
        <w:jc w:val="both"/>
        <w:rPr>
          <w:rFonts w:ascii="Book Antiqua" w:hAnsi="Book Antiqua" w:cs="Arial"/>
        </w:rPr>
      </w:pPr>
      <w:r w:rsidRPr="001C63F5">
        <w:rPr>
          <w:rFonts w:ascii="Book Antiqua" w:hAnsi="Book Antiqua" w:cs="Arial"/>
        </w:rPr>
        <w:t xml:space="preserve">Návrh zákona, ktorým sa mení a dopĺňa zákon </w:t>
      </w:r>
      <w:r w:rsidR="0037635C" w:rsidRPr="001C63F5">
        <w:rPr>
          <w:rFonts w:ascii="Book Antiqua" w:hAnsi="Book Antiqua"/>
          <w:lang w:eastAsia="en-US"/>
        </w:rPr>
        <w:t xml:space="preserve">č. </w:t>
      </w:r>
      <w:r w:rsidR="0037635C" w:rsidRPr="001C63F5">
        <w:rPr>
          <w:rFonts w:ascii="Book Antiqua" w:hAnsi="Book Antiqua"/>
        </w:rPr>
        <w:t>161/2015 Z. z. Civilný mimosporový poriadok</w:t>
      </w:r>
      <w:r w:rsidR="007D5369">
        <w:rPr>
          <w:rFonts w:ascii="Book Antiqua" w:hAnsi="Book Antiqua" w:cs="Arial"/>
        </w:rPr>
        <w:t xml:space="preserve"> predkladá </w:t>
      </w:r>
      <w:r w:rsidRPr="001C63F5">
        <w:rPr>
          <w:rFonts w:ascii="Book Antiqua" w:hAnsi="Book Antiqua" w:cs="Arial"/>
        </w:rPr>
        <w:t>do Národnej rady Slovenskej</w:t>
      </w:r>
      <w:r w:rsidR="0037635C" w:rsidRPr="001C63F5">
        <w:rPr>
          <w:rFonts w:ascii="Book Antiqua" w:hAnsi="Book Antiqua" w:cs="Arial"/>
        </w:rPr>
        <w:t xml:space="preserve"> republiky</w:t>
      </w:r>
      <w:r w:rsidR="007D5369">
        <w:rPr>
          <w:rFonts w:ascii="Book Antiqua" w:hAnsi="Book Antiqua" w:cs="Arial"/>
        </w:rPr>
        <w:t xml:space="preserve"> nezaradená poslankyňa</w:t>
      </w:r>
      <w:r w:rsidR="00AE7B64" w:rsidRPr="001C63F5">
        <w:rPr>
          <w:rFonts w:ascii="Book Antiqua" w:hAnsi="Book Antiqua" w:cs="Arial"/>
        </w:rPr>
        <w:t xml:space="preserve"> </w:t>
      </w:r>
      <w:r w:rsidRPr="001C63F5">
        <w:rPr>
          <w:rFonts w:ascii="Book Antiqua" w:hAnsi="Book Antiqua" w:cs="Arial"/>
        </w:rPr>
        <w:t xml:space="preserve">– </w:t>
      </w:r>
      <w:r w:rsidR="0037635C" w:rsidRPr="001C63F5">
        <w:rPr>
          <w:rFonts w:ascii="Book Antiqua" w:hAnsi="Book Antiqua"/>
        </w:rPr>
        <w:t>PaedDr. Martina Šimkovičová</w:t>
      </w:r>
      <w:r w:rsidR="00AE7B64" w:rsidRPr="001C63F5">
        <w:rPr>
          <w:rFonts w:ascii="Book Antiqua" w:hAnsi="Book Antiqua"/>
        </w:rPr>
        <w:t>.</w:t>
      </w:r>
    </w:p>
    <w:p w:rsidR="007D5369" w:rsidRPr="001C63F5" w:rsidRDefault="00023051" w:rsidP="007D5369">
      <w:pPr>
        <w:ind w:firstLine="708"/>
        <w:jc w:val="both"/>
        <w:rPr>
          <w:rFonts w:ascii="Book Antiqua" w:hAnsi="Book Antiqua" w:cs="Arial"/>
          <w:b/>
        </w:rPr>
      </w:pPr>
      <w:r w:rsidRPr="001C63F5">
        <w:rPr>
          <w:rFonts w:ascii="Book Antiqua" w:hAnsi="Book Antiqua" w:cs="Arial"/>
          <w:b/>
        </w:rPr>
        <w:t>Cieľom legislatívneho návrhu je</w:t>
      </w:r>
      <w:r w:rsidR="008C059B" w:rsidRPr="001C63F5">
        <w:rPr>
          <w:rFonts w:ascii="Book Antiqua" w:hAnsi="Book Antiqua" w:cs="Arial"/>
          <w:b/>
        </w:rPr>
        <w:t xml:space="preserve"> vylúčenie ustanovenia § 209 CSP o súkromných znaleckých </w:t>
      </w:r>
      <w:r w:rsidR="00997A0D" w:rsidRPr="001C63F5">
        <w:rPr>
          <w:rFonts w:ascii="Book Antiqua" w:hAnsi="Book Antiqua" w:cs="Arial"/>
          <w:b/>
        </w:rPr>
        <w:t xml:space="preserve">posudkoch </w:t>
      </w:r>
      <w:r w:rsidR="008C059B" w:rsidRPr="001C63F5">
        <w:rPr>
          <w:rFonts w:ascii="Book Antiqua" w:hAnsi="Book Antiqua" w:cs="Arial"/>
          <w:b/>
        </w:rPr>
        <w:t>vo veciach starostlivosti súdu o maloletých</w:t>
      </w:r>
      <w:r w:rsidR="00D46E63" w:rsidRPr="001C63F5">
        <w:rPr>
          <w:rFonts w:ascii="Book Antiqua" w:hAnsi="Book Antiqua" w:cs="Arial"/>
          <w:b/>
        </w:rPr>
        <w:t>, ktor</w:t>
      </w:r>
      <w:r w:rsidR="00DA2078" w:rsidRPr="001C63F5">
        <w:rPr>
          <w:rFonts w:ascii="Book Antiqua" w:hAnsi="Book Antiqua" w:cs="Arial"/>
          <w:b/>
        </w:rPr>
        <w:t>ého</w:t>
      </w:r>
      <w:r w:rsidR="00D46E63" w:rsidRPr="001C63F5">
        <w:rPr>
          <w:rFonts w:ascii="Book Antiqua" w:hAnsi="Book Antiqua" w:cs="Arial"/>
          <w:b/>
        </w:rPr>
        <w:t xml:space="preserve"> </w:t>
      </w:r>
      <w:r w:rsidR="008C059B" w:rsidRPr="001C63F5">
        <w:rPr>
          <w:rFonts w:ascii="Book Antiqua" w:hAnsi="Book Antiqua" w:cs="Arial"/>
          <w:b/>
        </w:rPr>
        <w:t xml:space="preserve">subsidiárne použitie sa v praxi </w:t>
      </w:r>
      <w:r w:rsidR="00DE190B" w:rsidRPr="001C63F5">
        <w:rPr>
          <w:rFonts w:ascii="Book Antiqua" w:hAnsi="Book Antiqua" w:cs="Arial"/>
          <w:b/>
        </w:rPr>
        <w:t xml:space="preserve">ukázalo ako </w:t>
      </w:r>
      <w:r w:rsidR="00DA2078" w:rsidRPr="001C63F5">
        <w:rPr>
          <w:rFonts w:ascii="Book Antiqua" w:hAnsi="Book Antiqua" w:cs="Arial"/>
          <w:b/>
        </w:rPr>
        <w:t>nevhodné a</w:t>
      </w:r>
      <w:r w:rsidR="00417F36" w:rsidRPr="001C63F5">
        <w:rPr>
          <w:rFonts w:ascii="Book Antiqua" w:hAnsi="Book Antiqua" w:cs="Arial"/>
          <w:b/>
        </w:rPr>
        <w:t xml:space="preserve"> markantne </w:t>
      </w:r>
      <w:r w:rsidR="00DA2078" w:rsidRPr="001C63F5">
        <w:rPr>
          <w:rFonts w:ascii="Book Antiqua" w:hAnsi="Book Antiqua" w:cs="Arial"/>
          <w:b/>
        </w:rPr>
        <w:t>porušujúce záujem maloletého dieťaťa.</w:t>
      </w:r>
    </w:p>
    <w:p w:rsidR="00A947C7" w:rsidRPr="001C63F5" w:rsidRDefault="00023051" w:rsidP="00490701">
      <w:pPr>
        <w:ind w:firstLine="708"/>
        <w:jc w:val="both"/>
        <w:rPr>
          <w:rFonts w:ascii="Book Antiqua" w:hAnsi="Book Antiqua" w:cs="Arial"/>
          <w:b/>
        </w:rPr>
      </w:pPr>
      <w:r w:rsidRPr="001C63F5">
        <w:rPr>
          <w:rFonts w:ascii="Book Antiqua" w:hAnsi="Book Antiqua" w:cs="Arial"/>
          <w:b/>
        </w:rPr>
        <w:t xml:space="preserve">Legislatívny návrh vychádza z prirodzenej nutnosti </w:t>
      </w:r>
      <w:r w:rsidR="00490701" w:rsidRPr="001C63F5">
        <w:rPr>
          <w:rFonts w:ascii="Book Antiqua" w:hAnsi="Book Antiqua" w:cs="Arial"/>
          <w:b/>
        </w:rPr>
        <w:t>poskytovať zvýšenú ochranu maloletým deťom, ako slabším subjektom</w:t>
      </w:r>
      <w:r w:rsidR="0037635C" w:rsidRPr="001C63F5">
        <w:rPr>
          <w:rFonts w:ascii="Book Antiqua" w:hAnsi="Book Antiqua" w:cs="Arial"/>
          <w:b/>
        </w:rPr>
        <w:t xml:space="preserve"> a konať v</w:t>
      </w:r>
      <w:r w:rsidR="0082621A" w:rsidRPr="001C63F5">
        <w:rPr>
          <w:rFonts w:ascii="Book Antiqua" w:hAnsi="Book Antiqua" w:cs="Arial"/>
          <w:b/>
        </w:rPr>
        <w:t xml:space="preserve"> súlade s ich najlepším záujmom. </w:t>
      </w:r>
    </w:p>
    <w:p w:rsidR="00B430E7" w:rsidRPr="001C63F5" w:rsidRDefault="00B430E7" w:rsidP="00B430E7">
      <w:pPr>
        <w:pStyle w:val="PredvolenA"/>
        <w:pBdr>
          <w:top w:val="none" w:sz="0" w:space="0" w:color="auto"/>
          <w:left w:val="none" w:sz="0" w:space="0" w:color="auto"/>
          <w:bottom w:val="none" w:sz="0" w:space="0" w:color="auto"/>
          <w:right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Style w:val="iadne"/>
          <w:rFonts w:ascii="Book Antiqua" w:hAnsi="Book Antiqua"/>
          <w:bCs/>
          <w:color w:val="auto"/>
        </w:rPr>
      </w:pPr>
      <w:r w:rsidRPr="001C63F5">
        <w:rPr>
          <w:rStyle w:val="iadne"/>
          <w:rFonts w:ascii="Book Antiqua" w:hAnsi="Book Antiqua"/>
          <w:b/>
          <w:bCs/>
          <w:color w:val="auto"/>
        </w:rPr>
        <w:tab/>
      </w:r>
      <w:r w:rsidRPr="001C63F5">
        <w:rPr>
          <w:rStyle w:val="iadne"/>
          <w:rFonts w:ascii="Book Antiqua" w:hAnsi="Book Antiqua"/>
          <w:bCs/>
          <w:color w:val="auto"/>
        </w:rPr>
        <w:t xml:space="preserve">Zo súdnej praxe v civilných mimosporových konaniach čoraz častejšie evidujeme prípady, kedy sa jeden z rodičov snaží komplikovať proces dokazovania a zabrániť zisteniu skutočného stavu veci, ktorý by mu bol v otázke úpravy rodičovských práv a povinností na neprospech. K uvedenému zneužíva ustanovenie § 209 CSP, podľa ktorého je súkromný znalecký posudok postavený na roveň znaleckému posudku vypracovaného súdom ustanoveným znalcom. </w:t>
      </w:r>
    </w:p>
    <w:p w:rsidR="00B430E7" w:rsidRPr="001C63F5" w:rsidRDefault="00B430E7" w:rsidP="00B430E7">
      <w:pPr>
        <w:pStyle w:val="PredvolenA"/>
        <w:pBdr>
          <w:top w:val="none" w:sz="0" w:space="0" w:color="auto"/>
          <w:left w:val="none" w:sz="0" w:space="0" w:color="auto"/>
          <w:bottom w:val="none" w:sz="0" w:space="0" w:color="auto"/>
          <w:right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Style w:val="iadne"/>
          <w:rFonts w:ascii="Book Antiqua" w:hAnsi="Book Antiqua"/>
          <w:b/>
          <w:bCs/>
          <w:color w:val="auto"/>
        </w:rPr>
      </w:pPr>
    </w:p>
    <w:p w:rsidR="00B430E7" w:rsidRPr="001C63F5" w:rsidRDefault="00B430E7" w:rsidP="00B430E7">
      <w:pPr>
        <w:pStyle w:val="PredvolenA"/>
        <w:pBdr>
          <w:top w:val="none" w:sz="0" w:space="0" w:color="auto"/>
          <w:left w:val="none" w:sz="0" w:space="0" w:color="auto"/>
          <w:bottom w:val="none" w:sz="0" w:space="0" w:color="auto"/>
          <w:right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Style w:val="iadne"/>
          <w:rFonts w:ascii="Book Antiqua" w:hAnsi="Book Antiqua"/>
          <w:bCs/>
          <w:color w:val="auto"/>
        </w:rPr>
      </w:pPr>
      <w:r w:rsidRPr="001C63F5">
        <w:rPr>
          <w:rFonts w:ascii="Book Antiqua" w:hAnsi="Book Antiqua" w:cs="Times New Roman"/>
          <w:b/>
          <w:color w:val="auto"/>
        </w:rPr>
        <w:tab/>
      </w:r>
      <w:r w:rsidRPr="001C63F5">
        <w:rPr>
          <w:rFonts w:ascii="Book Antiqua" w:hAnsi="Book Antiqua" w:cs="Times New Roman"/>
          <w:color w:val="auto"/>
        </w:rPr>
        <w:t xml:space="preserve">Úvodom je potrebné zdôrazniť, že znalecké dokazovanie sa nariaďuje iba v komplikovaných prípadoch, kedy rozhodnutie súdu závisí od posúdenia skutočností, na ktoré sú potrebné vedecké poznatky. Vo veciach starostlivosti súdu o maloletých je </w:t>
      </w:r>
      <w:r w:rsidRPr="001C63F5">
        <w:rPr>
          <w:rFonts w:ascii="Book Antiqua" w:hAnsi="Book Antiqua" w:cs="Times New Roman"/>
          <w:color w:val="auto"/>
          <w:u w:val="single"/>
        </w:rPr>
        <w:t>primárnym účelom znaleckého dokazovania preveriť výchovnú spôsobilosť oboch rodičov a na základe toho definovať,  aká postseparačná úprava bude maloletému dieťaťu najviac vyhovovať.</w:t>
      </w:r>
      <w:r w:rsidRPr="001C63F5">
        <w:rPr>
          <w:rFonts w:ascii="Book Antiqua" w:hAnsi="Book Antiqua" w:cs="Times New Roman"/>
          <w:color w:val="auto"/>
        </w:rPr>
        <w:t xml:space="preserve">  V kontexte súkromných znaleckých posudkov však často vyvstávajú situácie, kedy sa súdom nariadeného znaleckého dokazovania odmieta zúčastniť rodič, ktorý si zabezpečil súkromné znalecké posudky u znalca, ktorého si sám z rôznych dôvodov vybral, resp. k tomuto znalcovi odmieta priniesť aj dieťa ktoré má vo svojej starostlivosti. V dôsledku uvedeného súd nemôže znaleckým dokazovaním zabezpečiť jeho primárny účel – rozhodnúť o postseparačnej starostlivosti v najlepšom záujme maloletého dieťaťa.</w:t>
      </w:r>
    </w:p>
    <w:p w:rsidR="00B430E7" w:rsidRPr="001C63F5" w:rsidRDefault="00B430E7" w:rsidP="00B430E7">
      <w:pPr>
        <w:pStyle w:val="PredvolenA"/>
        <w:pBdr>
          <w:top w:val="none" w:sz="0" w:space="0" w:color="auto"/>
          <w:left w:val="none" w:sz="0" w:space="0" w:color="auto"/>
          <w:bottom w:val="none" w:sz="0" w:space="0" w:color="auto"/>
          <w:right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Style w:val="iadne"/>
          <w:rFonts w:ascii="Book Antiqua" w:hAnsi="Book Antiqua"/>
          <w:b/>
          <w:bCs/>
          <w:color w:val="auto"/>
        </w:rPr>
      </w:pPr>
    </w:p>
    <w:p w:rsidR="00B430E7" w:rsidRPr="001C63F5" w:rsidRDefault="00B430E7" w:rsidP="00B430E7">
      <w:pPr>
        <w:pStyle w:val="PredvolenA"/>
        <w:pBdr>
          <w:top w:val="none" w:sz="0" w:space="0" w:color="auto"/>
          <w:left w:val="none" w:sz="0" w:space="0" w:color="auto"/>
          <w:bottom w:val="none" w:sz="0" w:space="0" w:color="auto"/>
          <w:right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firstLine="708"/>
        <w:jc w:val="both"/>
        <w:rPr>
          <w:rStyle w:val="iadne"/>
          <w:rFonts w:ascii="Book Antiqua" w:hAnsi="Book Antiqua"/>
          <w:color w:val="auto"/>
        </w:rPr>
      </w:pPr>
      <w:r w:rsidRPr="001C63F5">
        <w:rPr>
          <w:rFonts w:ascii="Book Antiqua" w:hAnsi="Book Antiqua"/>
          <w:color w:val="auto"/>
        </w:rPr>
        <w:t>Hoci podľa dôvodnej správy k ustanoveniu § 209 CSP zákonodarca ním sledoval prispôsobenie zákonnej úpravy práve povahe kontradiktórneho sporového konania založeného na prejednacom princípe, v ktorom procesnú diligenciu za výsledok sporu znášajú predovšetkým sporové strany, aktuálne sa súkromné znalecké posudky začali v </w:t>
      </w:r>
      <w:r w:rsidR="004066E9" w:rsidRPr="001C63F5">
        <w:rPr>
          <w:rFonts w:ascii="Book Antiqua" w:hAnsi="Book Antiqua"/>
          <w:color w:val="auto"/>
        </w:rPr>
        <w:t xml:space="preserve">zvýšenej </w:t>
      </w:r>
      <w:r w:rsidRPr="001C63F5">
        <w:rPr>
          <w:rFonts w:ascii="Book Antiqua" w:hAnsi="Book Antiqua"/>
          <w:color w:val="auto"/>
        </w:rPr>
        <w:t xml:space="preserve">miere vyskytovať práve v konaniach vo veci starostlivosti súdu o maloletých. </w:t>
      </w:r>
    </w:p>
    <w:p w:rsidR="00B430E7" w:rsidRPr="001C63F5" w:rsidRDefault="00B430E7" w:rsidP="00B430E7">
      <w:pPr>
        <w:pStyle w:val="PredvolenA"/>
        <w:pBdr>
          <w:top w:val="none" w:sz="0" w:space="0" w:color="auto"/>
          <w:left w:val="none" w:sz="0" w:space="0" w:color="auto"/>
          <w:bottom w:val="none" w:sz="0" w:space="0" w:color="auto"/>
          <w:right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Book Antiqua" w:hAnsi="Book Antiqua" w:cs="Book Antiqua"/>
          <w:i/>
          <w:iCs/>
          <w:color w:val="auto"/>
        </w:rPr>
      </w:pPr>
    </w:p>
    <w:p w:rsidR="00B430E7" w:rsidRPr="001C63F5" w:rsidRDefault="00B430E7" w:rsidP="00B430E7">
      <w:pPr>
        <w:pStyle w:val="PredvolenA"/>
        <w:pBdr>
          <w:top w:val="none" w:sz="0" w:space="0" w:color="auto"/>
          <w:left w:val="none" w:sz="0" w:space="0" w:color="auto"/>
          <w:bottom w:val="none" w:sz="0" w:space="0" w:color="auto"/>
          <w:right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firstLine="708"/>
        <w:jc w:val="both"/>
        <w:rPr>
          <w:rStyle w:val="iadne"/>
          <w:rFonts w:ascii="Book Antiqua" w:hAnsi="Book Antiqua" w:cs="Book Antiqua"/>
          <w:b/>
          <w:bCs/>
          <w:color w:val="auto"/>
        </w:rPr>
      </w:pPr>
      <w:r w:rsidRPr="001C63F5">
        <w:rPr>
          <w:rFonts w:ascii="Book Antiqua" w:hAnsi="Book Antiqua"/>
          <w:color w:val="auto"/>
        </w:rPr>
        <w:t xml:space="preserve">V tejto súvislosti je potrebné uviesť, že mimosporové konanie je v porovnaní so sporovým konaním ovládané predovšetkým </w:t>
      </w:r>
      <w:r w:rsidRPr="001C63F5">
        <w:rPr>
          <w:rStyle w:val="iadne"/>
          <w:rFonts w:ascii="Book Antiqua" w:hAnsi="Book Antiqua"/>
          <w:b/>
          <w:bCs/>
          <w:color w:val="auto"/>
        </w:rPr>
        <w:t>vyšetrovacím princípom, princípom oficiality a materiálnej pravdy</w:t>
      </w:r>
      <w:r w:rsidRPr="001C63F5">
        <w:rPr>
          <w:rFonts w:ascii="Book Antiqua" w:hAnsi="Book Antiqua"/>
          <w:color w:val="auto"/>
        </w:rPr>
        <w:t xml:space="preserve">, ktoré zdôrazňujú materiálne vedenie konania a ktorého </w:t>
      </w:r>
      <w:r w:rsidRPr="001C63F5">
        <w:rPr>
          <w:rStyle w:val="iadne"/>
          <w:rFonts w:ascii="Book Antiqua" w:hAnsi="Book Antiqua"/>
          <w:color w:val="auto"/>
          <w:u w:val="single"/>
        </w:rPr>
        <w:t>výsledkom má byť rozhodnutie čo najbližšie hmotnoprávnym pomerom účastníkov konania</w:t>
      </w:r>
      <w:r w:rsidRPr="001C63F5">
        <w:rPr>
          <w:rFonts w:ascii="Book Antiqua" w:hAnsi="Book Antiqua"/>
          <w:color w:val="auto"/>
        </w:rPr>
        <w:t xml:space="preserve">. Východiskovým princípom platiacim v režime mimosporového konania je zároveň  </w:t>
      </w:r>
      <w:r w:rsidRPr="001C63F5">
        <w:rPr>
          <w:rStyle w:val="iadne"/>
          <w:rFonts w:ascii="Book Antiqua" w:hAnsi="Book Antiqua"/>
          <w:b/>
          <w:bCs/>
          <w:color w:val="auto"/>
        </w:rPr>
        <w:t xml:space="preserve">ochrana </w:t>
      </w:r>
      <w:r w:rsidRPr="001C63F5">
        <w:rPr>
          <w:rStyle w:val="iadne"/>
          <w:rFonts w:ascii="Book Antiqua" w:hAnsi="Book Antiqua"/>
          <w:b/>
          <w:bCs/>
          <w:color w:val="auto"/>
        </w:rPr>
        <w:lastRenderedPageBreak/>
        <w:t>verejného záujmu</w:t>
      </w:r>
      <w:r w:rsidRPr="001C63F5">
        <w:rPr>
          <w:rFonts w:ascii="Book Antiqua" w:hAnsi="Book Antiqua"/>
          <w:color w:val="auto"/>
        </w:rPr>
        <w:t xml:space="preserve">, práv garantovaných zákonom s dôrazom na dobré mravy, ktorý predstavuje významné interpretačné pravidlo </w:t>
      </w:r>
      <w:r w:rsidR="00320419" w:rsidRPr="001C63F5">
        <w:rPr>
          <w:rFonts w:ascii="Book Antiqua" w:hAnsi="Book Antiqua"/>
          <w:color w:val="auto"/>
        </w:rPr>
        <w:t xml:space="preserve">pri výklade </w:t>
      </w:r>
      <w:r w:rsidRPr="001C63F5">
        <w:rPr>
          <w:rFonts w:ascii="Book Antiqua" w:hAnsi="Book Antiqua"/>
          <w:color w:val="auto"/>
        </w:rPr>
        <w:t xml:space="preserve">ustanovení CMP. </w:t>
      </w:r>
      <w:r w:rsidRPr="001C63F5">
        <w:rPr>
          <w:rStyle w:val="iadne"/>
          <w:rFonts w:ascii="Book Antiqua" w:hAnsi="Book Antiqua"/>
          <w:color w:val="auto"/>
          <w:u w:val="single"/>
        </w:rPr>
        <w:t>Verejný záujem je úzko spätý s hodnotami, ktoré vyznáva tá-ktorá spoločnosť a je vecne spojený s účelom predmetu konania</w:t>
      </w:r>
      <w:r w:rsidRPr="001C63F5">
        <w:rPr>
          <w:rStyle w:val="iadne"/>
          <w:rFonts w:ascii="Book Antiqua" w:hAnsi="Book Antiqua"/>
          <w:color w:val="auto"/>
        </w:rPr>
        <w:t xml:space="preserve">. </w:t>
      </w:r>
      <w:r w:rsidRPr="001C63F5">
        <w:rPr>
          <w:rFonts w:ascii="Book Antiqua" w:hAnsi="Book Antiqua"/>
          <w:color w:val="auto"/>
        </w:rPr>
        <w:t xml:space="preserve">Okrem favorizácie verejného záujmu je v čl. 1 CMP zahrnutý aj inštitút dobrých mravov ako mimoprávneho, morálneho systému, súhrnu etických, všeobecne uznávaných a zachovávaných zásad. S poukazom na ustanovenie § 2 ods. 1 CMP je na mimosporové konania potrebné aplikovať čl. 5 CSP, ktorý predstavuje </w:t>
      </w:r>
      <w:r w:rsidRPr="001C63F5">
        <w:rPr>
          <w:rStyle w:val="iadne"/>
          <w:rFonts w:ascii="Book Antiqua" w:hAnsi="Book Antiqua"/>
          <w:b/>
          <w:bCs/>
          <w:color w:val="auto"/>
        </w:rPr>
        <w:t xml:space="preserve">generálnu klauzulu zákazu zneužitia procesných práv. </w:t>
      </w:r>
      <w:r w:rsidRPr="001C63F5">
        <w:rPr>
          <w:rFonts w:ascii="Book Antiqua" w:hAnsi="Book Antiqua"/>
          <w:color w:val="auto"/>
        </w:rPr>
        <w:t>V zmysle</w:t>
      </w:r>
      <w:r w:rsidRPr="001C63F5">
        <w:rPr>
          <w:rStyle w:val="iadne"/>
          <w:rFonts w:ascii="Book Antiqua" w:hAnsi="Book Antiqua"/>
          <w:b/>
          <w:bCs/>
          <w:color w:val="auto"/>
        </w:rPr>
        <w:t xml:space="preserve"> </w:t>
      </w:r>
      <w:r w:rsidRPr="001C63F5">
        <w:rPr>
          <w:rFonts w:ascii="Book Antiqua" w:hAnsi="Book Antiqua"/>
          <w:color w:val="auto"/>
        </w:rPr>
        <w:t xml:space="preserve">starej rímskej zásady </w:t>
      </w:r>
      <w:r w:rsidRPr="001C63F5">
        <w:rPr>
          <w:rStyle w:val="iadne"/>
          <w:rFonts w:ascii="Book Antiqua" w:hAnsi="Book Antiqua"/>
          <w:i/>
          <w:iCs/>
          <w:color w:val="auto"/>
        </w:rPr>
        <w:t xml:space="preserve">nemo turpitudinem suam allegare potest </w:t>
      </w:r>
      <w:r w:rsidRPr="001C63F5">
        <w:rPr>
          <w:rFonts w:ascii="Book Antiqua" w:hAnsi="Book Antiqua"/>
          <w:color w:val="auto"/>
        </w:rPr>
        <w:t xml:space="preserve">platí, že nikto nesmie mať prospech z vlastného nepoctivého správania, a preto </w:t>
      </w:r>
      <w:r w:rsidRPr="001C63F5">
        <w:rPr>
          <w:rStyle w:val="iadne"/>
          <w:rFonts w:ascii="Book Antiqua" w:hAnsi="Book Antiqua"/>
          <w:color w:val="auto"/>
          <w:u w:val="single"/>
        </w:rPr>
        <w:t>citované ustanovenie sankcionuje také správanie účastníkov konania, ktoré síce nachádza oporu v platnom práve, avšak tvrdé uplatňovanie takýchto práv nie je slušné vo vzťahu k ostatným zúčastneným subjektom konania.</w:t>
      </w:r>
      <w:r w:rsidRPr="001C63F5">
        <w:rPr>
          <w:rFonts w:ascii="Book Antiqua" w:hAnsi="Book Antiqua"/>
          <w:color w:val="auto"/>
        </w:rPr>
        <w:t xml:space="preserve"> </w:t>
      </w:r>
      <w:r w:rsidRPr="001C63F5">
        <w:rPr>
          <w:rStyle w:val="iadne"/>
          <w:rFonts w:ascii="Book Antiqua" w:hAnsi="Book Antiqua"/>
          <w:b/>
          <w:bCs/>
          <w:color w:val="auto"/>
        </w:rPr>
        <w:t xml:space="preserve">Princíp zákazu zneužitia práv tak predstavuje materiálny korektív k príliš formalistickému výkladu zákonného textu, ktorý by v konečnom dôsledku poškodzoval práva a oprávnené záujmy iných. </w:t>
      </w:r>
    </w:p>
    <w:p w:rsidR="00B430E7" w:rsidRPr="001C63F5" w:rsidRDefault="00B430E7" w:rsidP="00B430E7">
      <w:pPr>
        <w:pStyle w:val="PredvolenA"/>
        <w:pBdr>
          <w:top w:val="none" w:sz="0" w:space="0" w:color="auto"/>
          <w:left w:val="none" w:sz="0" w:space="0" w:color="auto"/>
          <w:bottom w:val="none" w:sz="0" w:space="0" w:color="auto"/>
          <w:right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firstLine="708"/>
        <w:jc w:val="both"/>
        <w:rPr>
          <w:rFonts w:ascii="Book Antiqua" w:hAnsi="Book Antiqua" w:cs="Book Antiqua"/>
          <w:color w:val="auto"/>
        </w:rPr>
      </w:pPr>
    </w:p>
    <w:p w:rsidR="00B430E7" w:rsidRPr="001C63F5" w:rsidRDefault="00B430E7" w:rsidP="00C22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5"/>
        </w:tabs>
        <w:ind w:firstLine="708"/>
        <w:jc w:val="both"/>
        <w:rPr>
          <w:rStyle w:val="iadne"/>
          <w:rFonts w:ascii="Book Antiqua" w:hAnsi="Book Antiqua"/>
        </w:rPr>
      </w:pPr>
      <w:r w:rsidRPr="001C63F5">
        <w:rPr>
          <w:rStyle w:val="iadne"/>
          <w:rFonts w:ascii="Book Antiqua" w:hAnsi="Book Antiqua"/>
        </w:rPr>
        <w:t xml:space="preserve">Podľa komentovaného znenia § 209 CSP nakoľko strana pri súkromnom znaleckom posudku nahrádza súd ako zadávateľa je nevyhnuté, aby vybrala vhodného znalca čo sa týka odbornosti, jeho prípadnej zaujatosti a dôvodov vylúčenia a naformulovania zadania pre znalca.  </w:t>
      </w:r>
    </w:p>
    <w:p w:rsidR="00B430E7" w:rsidRPr="001C63F5" w:rsidRDefault="00B430E7" w:rsidP="00B430E7">
      <w:pPr>
        <w:pStyle w:val="PredvolenA"/>
        <w:pBdr>
          <w:top w:val="none" w:sz="0" w:space="0" w:color="auto"/>
          <w:left w:val="none" w:sz="0" w:space="0" w:color="auto"/>
          <w:bottom w:val="none" w:sz="0" w:space="0" w:color="auto"/>
          <w:right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firstLine="708"/>
        <w:jc w:val="both"/>
        <w:rPr>
          <w:rStyle w:val="iadne"/>
          <w:rFonts w:ascii="Book Antiqua" w:hAnsi="Book Antiqua"/>
          <w:color w:val="auto"/>
          <w:u w:val="single"/>
        </w:rPr>
      </w:pPr>
      <w:r w:rsidRPr="001C63F5">
        <w:rPr>
          <w:rStyle w:val="iadne"/>
          <w:rFonts w:ascii="Book Antiqua" w:hAnsi="Book Antiqua"/>
          <w:b/>
          <w:bCs/>
          <w:color w:val="auto"/>
        </w:rPr>
        <w:t>Zámerom zákonodarcu v žiadnom prípade nebolo prispôsobiť zákonnú úpravu tomu, aby sa účastníci mimosporových konaní mohli legálne vyhýbať nariadenému znaleckému dokazovaniu a mariť zistenie skutočného stavu prostredníctvom ustanovenia</w:t>
      </w:r>
      <w:r w:rsidRPr="001C63F5">
        <w:rPr>
          <w:rFonts w:ascii="Book Antiqua" w:hAnsi="Book Antiqua"/>
          <w:color w:val="auto"/>
        </w:rPr>
        <w:t xml:space="preserve"> § 209 CSP. Takýto výklad je v priamom rozpore so základnými princípmi mimosporového kódexu. </w:t>
      </w:r>
      <w:r w:rsidRPr="001C63F5">
        <w:rPr>
          <w:rStyle w:val="iadne"/>
          <w:rFonts w:ascii="Book Antiqua" w:hAnsi="Book Antiqua"/>
          <w:color w:val="auto"/>
          <w:u w:val="single"/>
        </w:rPr>
        <w:t xml:space="preserve">Odvolávanie sa rodiča na jeho vlastné súkromné znalecké posudky, ktoré si týmto spôsobom zabezpečil, čím zároveň obhajuje svoju neúčasť na znaleckom dokazovaní nariadenom súdom </w:t>
      </w:r>
      <w:r w:rsidR="00E76FD6" w:rsidRPr="001C63F5">
        <w:rPr>
          <w:rStyle w:val="iadne"/>
          <w:rFonts w:ascii="Book Antiqua" w:hAnsi="Book Antiqua"/>
          <w:color w:val="auto"/>
          <w:u w:val="single"/>
        </w:rPr>
        <w:t xml:space="preserve">jeho </w:t>
      </w:r>
      <w:r w:rsidRPr="001C63F5">
        <w:rPr>
          <w:rStyle w:val="iadne"/>
          <w:rFonts w:ascii="Book Antiqua" w:hAnsi="Book Antiqua"/>
          <w:color w:val="auto"/>
          <w:u w:val="single"/>
        </w:rPr>
        <w:t>marení</w:t>
      </w:r>
      <w:r w:rsidR="00E76FD6" w:rsidRPr="001C63F5">
        <w:rPr>
          <w:rStyle w:val="iadne"/>
          <w:rFonts w:ascii="Book Antiqua" w:hAnsi="Book Antiqua"/>
          <w:color w:val="auto"/>
          <w:u w:val="single"/>
        </w:rPr>
        <w:t>m</w:t>
      </w:r>
      <w:r w:rsidRPr="001C63F5">
        <w:rPr>
          <w:rStyle w:val="iadne"/>
          <w:rFonts w:ascii="Book Antiqua" w:hAnsi="Book Antiqua"/>
          <w:color w:val="auto"/>
          <w:u w:val="single"/>
        </w:rPr>
        <w:t xml:space="preserve"> preto v žiadnom prípade nemôže obstáť a byť tomuto rodičovi na prospech.</w:t>
      </w:r>
    </w:p>
    <w:p w:rsidR="00B430E7" w:rsidRPr="001C63F5" w:rsidRDefault="00B430E7" w:rsidP="00B430E7">
      <w:pPr>
        <w:pStyle w:val="PredvolenA"/>
        <w:pBdr>
          <w:top w:val="none" w:sz="0" w:space="0" w:color="auto"/>
          <w:left w:val="none" w:sz="0" w:space="0" w:color="auto"/>
          <w:bottom w:val="none" w:sz="0" w:space="0" w:color="auto"/>
          <w:right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firstLine="708"/>
        <w:jc w:val="both"/>
        <w:rPr>
          <w:rStyle w:val="iadne"/>
          <w:rFonts w:ascii="Book Antiqua" w:hAnsi="Book Antiqua"/>
          <w:color w:val="auto"/>
          <w:u w:val="single"/>
        </w:rPr>
      </w:pPr>
    </w:p>
    <w:p w:rsidR="007D5369" w:rsidRDefault="00B430E7" w:rsidP="007D53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5"/>
        </w:tabs>
        <w:ind w:firstLine="708"/>
        <w:jc w:val="both"/>
        <w:rPr>
          <w:rStyle w:val="Hyperlink0"/>
          <w:b w:val="0"/>
        </w:rPr>
      </w:pPr>
      <w:r w:rsidRPr="001C63F5">
        <w:rPr>
          <w:rStyle w:val="Hyperlink0"/>
          <w:b w:val="0"/>
        </w:rPr>
        <w:t xml:space="preserve">Nakoľko jedným rodičom oslovení znalci často nespĺňajú minimálne jednu zo základných podmienok (nezaujatosť, nestrannosť, správny výber odboru), súkromné znalecké posudky často nespĺňajú zákonné podmienky, aby boli považované za dôkaz znaleckým posudkom v konaní </w:t>
      </w:r>
      <w:r w:rsidRPr="001C63F5">
        <w:rPr>
          <w:rStyle w:val="iadne"/>
          <w:rFonts w:ascii="Book Antiqua" w:hAnsi="Book Antiqua"/>
          <w:b/>
          <w:bCs/>
          <w:u w:val="single"/>
        </w:rPr>
        <w:t xml:space="preserve">a súd </w:t>
      </w:r>
      <w:r w:rsidR="00D93EBC" w:rsidRPr="001C63F5">
        <w:rPr>
          <w:rStyle w:val="iadne"/>
          <w:rFonts w:ascii="Book Antiqua" w:hAnsi="Book Antiqua"/>
          <w:b/>
          <w:bCs/>
          <w:u w:val="single"/>
        </w:rPr>
        <w:t xml:space="preserve">by </w:t>
      </w:r>
      <w:r w:rsidRPr="001C63F5">
        <w:rPr>
          <w:rStyle w:val="iadne"/>
          <w:rFonts w:ascii="Book Antiqua" w:hAnsi="Book Antiqua"/>
          <w:b/>
          <w:bCs/>
          <w:u w:val="single"/>
        </w:rPr>
        <w:t>ho mal považovať za dôkaz listinou</w:t>
      </w:r>
      <w:r w:rsidRPr="001C63F5">
        <w:rPr>
          <w:rStyle w:val="Hyperlink0"/>
          <w:b w:val="0"/>
        </w:rPr>
        <w:t xml:space="preserve">. V praxi sa však stáva, že rodič ktorý si súkromný znalecký posudok zabezpečil a zaplatil sa odvoláva na jeho zákonnosť </w:t>
      </w:r>
      <w:r w:rsidR="000134C3" w:rsidRPr="001C63F5">
        <w:rPr>
          <w:rStyle w:val="Hyperlink0"/>
          <w:b w:val="0"/>
        </w:rPr>
        <w:t xml:space="preserve">s </w:t>
      </w:r>
      <w:r w:rsidRPr="001C63F5">
        <w:rPr>
          <w:rStyle w:val="Hyperlink0"/>
          <w:b w:val="0"/>
        </w:rPr>
        <w:t xml:space="preserve">poukazom na články 10 ods. 2 CMP, resp. čl. 15 ods. 2 CSP, podľa ktorých žiadny dôkaz nemá zákonom predpísanú silu. </w:t>
      </w:r>
    </w:p>
    <w:p w:rsidR="00B430E7" w:rsidRPr="007D5369" w:rsidRDefault="007D5369" w:rsidP="007D53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5"/>
        </w:tabs>
        <w:ind w:firstLine="708"/>
        <w:jc w:val="both"/>
        <w:rPr>
          <w:rFonts w:ascii="Book Antiqua" w:hAnsi="Book Antiqua" w:cs="Book Antiqua"/>
          <w:bCs/>
        </w:rPr>
      </w:pPr>
      <w:r w:rsidRPr="007D5369">
        <w:rPr>
          <w:rStyle w:val="Hyperlink0"/>
        </w:rPr>
        <w:t xml:space="preserve">Na základe prípadov z praxe sa zákonná úprava súkromných </w:t>
      </w:r>
      <w:r w:rsidR="00B430E7" w:rsidRPr="007D5369">
        <w:rPr>
          <w:rStyle w:val="Hyperlink0"/>
        </w:rPr>
        <w:t xml:space="preserve">znaleckých posudkov normovaná v CSP subsidiárne platiaca pre CMP ukázala ako nevhodná a celkom zrejme nevyhovujúca. </w:t>
      </w:r>
    </w:p>
    <w:p w:rsidR="0059459F" w:rsidRPr="001C63F5" w:rsidRDefault="001075E8" w:rsidP="0011012B">
      <w:pPr>
        <w:ind w:firstLine="539"/>
        <w:jc w:val="both"/>
        <w:rPr>
          <w:rStyle w:val="iadne"/>
          <w:rFonts w:ascii="Book Antiqua" w:hAnsi="Book Antiqua"/>
        </w:rPr>
      </w:pPr>
      <w:r>
        <w:rPr>
          <w:rStyle w:val="iadne"/>
          <w:rFonts w:ascii="Book Antiqua" w:hAnsi="Book Antiqua"/>
          <w:u w:val="single"/>
        </w:rPr>
        <w:t>P</w:t>
      </w:r>
      <w:r w:rsidR="00B430E7" w:rsidRPr="001C63F5">
        <w:rPr>
          <w:rStyle w:val="iadne"/>
          <w:rFonts w:ascii="Book Antiqua" w:hAnsi="Book Antiqua"/>
          <w:u w:val="single"/>
        </w:rPr>
        <w:t>ráve ak ide o okolnosti týkajúce sa veľmi ťažko odhaliteľných a preukázateľných vecí, ktorých posúdenie závisí od veľmi náročného a dôsledného odborného vyšetrenia napr. sexuálna orientácia či manipulácia dieťaťa rodičom je určite krajne nevhodné, aby tieto otázky boli predmetom súkromných znaleckých posudkov</w:t>
      </w:r>
      <w:r w:rsidR="00B430E7" w:rsidRPr="001C63F5">
        <w:rPr>
          <w:rStyle w:val="iadne"/>
          <w:rFonts w:ascii="Book Antiqua" w:hAnsi="Book Antiqua"/>
        </w:rPr>
        <w:t xml:space="preserve">. Práve z dôvodu garancie validity výsledkov znaleckého dokazovania v takto odborne komplikovanej veci je </w:t>
      </w:r>
      <w:r w:rsidR="00B430E7" w:rsidRPr="001C63F5">
        <w:rPr>
          <w:rStyle w:val="iadne"/>
          <w:rFonts w:ascii="Book Antiqua" w:hAnsi="Book Antiqua"/>
        </w:rPr>
        <w:lastRenderedPageBreak/>
        <w:t>nevyhnutné, aby boli tieto otázky predmetom nezávislého znaleckého dokazovania, znalcom ktorý nie je objednaný osobou, ktorá má byť posudzovaná.</w:t>
      </w:r>
      <w:r w:rsidR="00532AD7" w:rsidRPr="001C63F5">
        <w:rPr>
          <w:rStyle w:val="iadne"/>
          <w:rFonts w:ascii="Book Antiqua" w:hAnsi="Book Antiqua"/>
        </w:rPr>
        <w:t xml:space="preserve"> </w:t>
      </w:r>
    </w:p>
    <w:p w:rsidR="000E45D5" w:rsidRPr="001C63F5" w:rsidRDefault="000E45D5" w:rsidP="000E45D5">
      <w:pPr>
        <w:ind w:firstLine="708"/>
        <w:jc w:val="both"/>
        <w:rPr>
          <w:rFonts w:ascii="Book Antiqua" w:hAnsi="Book Antiqua"/>
        </w:rPr>
      </w:pPr>
      <w:r w:rsidRPr="001C63F5">
        <w:rPr>
          <w:rFonts w:ascii="Book Antiqua" w:hAnsi="Book Antiqua"/>
        </w:rPr>
        <w:t>Súkromné znalecké posudky v konaniach starostlivosti súdu o maloletých  spôsobujú aj ďalšie problémy, ako napríklad blokáciu psychodiagnostiky maloletého dieťaťa na 6 – 8 mesiacov, nakoľko medzi jednotlivými vyšetreniami musí byť zachovaný časový roz</w:t>
      </w:r>
      <w:r w:rsidR="00D04892" w:rsidRPr="001C63F5">
        <w:rPr>
          <w:rFonts w:ascii="Book Antiqua" w:hAnsi="Book Antiqua"/>
        </w:rPr>
        <w:t>o</w:t>
      </w:r>
      <w:r w:rsidRPr="001C63F5">
        <w:rPr>
          <w:rFonts w:ascii="Book Antiqua" w:hAnsi="Book Antiqua"/>
        </w:rPr>
        <w:t xml:space="preserve">stup, blokovanie ďalšieho dokazovania vo veci, nakoľko rodič, ktorý si súkromné znalecké posudky zabezpečil sa dokáže poľahky vyhnúť nariadeniu znaleckého dokazovania súdom alebo sa vyhnúť absolvovaniu súdom nariadeného znaleckého dokazovania. </w:t>
      </w:r>
    </w:p>
    <w:p w:rsidR="000E45D5" w:rsidRPr="001C63F5" w:rsidRDefault="000E45D5" w:rsidP="000E45D5">
      <w:pPr>
        <w:ind w:firstLine="708"/>
        <w:jc w:val="both"/>
        <w:rPr>
          <w:rFonts w:ascii="Book Antiqua" w:hAnsi="Book Antiqua"/>
        </w:rPr>
      </w:pPr>
      <w:r w:rsidRPr="001C63F5">
        <w:rPr>
          <w:rFonts w:ascii="Book Antiqua" w:hAnsi="Book Antiqua"/>
        </w:rPr>
        <w:t>Znalec má pri súkromnom znaleckom dokazovaní široký priestor na vlastnú úvahu, na základe čoho sa často závery súkromného znaleckého posudku nemusia zhodovať so závermi vyšetrenia predovšetkým, keď je realizované na objednávku jedného rodiča.</w:t>
      </w:r>
    </w:p>
    <w:p w:rsidR="001075E8" w:rsidRPr="001C63F5" w:rsidRDefault="000E45D5" w:rsidP="001075E8">
      <w:pPr>
        <w:ind w:firstLine="708"/>
        <w:jc w:val="both"/>
        <w:rPr>
          <w:rFonts w:ascii="Book Antiqua" w:hAnsi="Book Antiqua"/>
        </w:rPr>
      </w:pPr>
      <w:r w:rsidRPr="001C63F5">
        <w:rPr>
          <w:rFonts w:ascii="Book Antiqua" w:hAnsi="Book Antiqua"/>
        </w:rPr>
        <w:t xml:space="preserve">Ďalším dôležitým aspektom súkromných znaleckých posudkov je, že druhý rodič o súkromnom znaleckom dokazovaní vôbec nemá vedomosť alebo sa ho z rôznych dôvodov nezúčastní. V dôsledku uvedeného sú súkromné znalecké posudky často nekompletné, t. j. absentuje tzv. príbeh celej rodiny. Z praxe poručenských súdov navyše evidujeme množstvo súkromných znaleckých posudkov, v ktorých boli vyšetrenia maloletých detí </w:t>
      </w:r>
      <w:r w:rsidRPr="001C63F5">
        <w:rPr>
          <w:rFonts w:ascii="Book Antiqua" w:hAnsi="Book Antiqua"/>
          <w:b/>
          <w:u w:val="single"/>
        </w:rPr>
        <w:t>realizované pochybným spôsobom</w:t>
      </w:r>
      <w:r w:rsidRPr="001C63F5">
        <w:rPr>
          <w:rFonts w:ascii="Book Antiqua" w:hAnsi="Book Antiqua"/>
        </w:rPr>
        <w:t xml:space="preserve"> – mimo pracovnú dobu znalcov napr. cez víkendy alebo sviatky, v čase kedy má tento rodič dieťa na styku. </w:t>
      </w:r>
    </w:p>
    <w:p w:rsidR="000E45D5" w:rsidRPr="001C63F5" w:rsidRDefault="000E45D5" w:rsidP="000E45D5">
      <w:pPr>
        <w:ind w:firstLine="708"/>
        <w:jc w:val="both"/>
        <w:rPr>
          <w:rFonts w:ascii="Book Antiqua" w:hAnsi="Book Antiqua"/>
        </w:rPr>
      </w:pPr>
      <w:r w:rsidRPr="001C63F5">
        <w:rPr>
          <w:rFonts w:ascii="Book Antiqua" w:hAnsi="Book Antiqua"/>
        </w:rPr>
        <w:t xml:space="preserve">V odborných kruhoch aj medzi jednotlivými advokátmi či sudcami, ktorí sa venujú poručenskej agende a rodinnému právu, sú vyselektovaní znalci  na tzv. </w:t>
      </w:r>
      <w:r w:rsidRPr="001C63F5">
        <w:rPr>
          <w:rFonts w:ascii="Book Antiqua" w:hAnsi="Book Antiqua"/>
          <w:i/>
        </w:rPr>
        <w:t>„promatkovských a prootcovských</w:t>
      </w:r>
      <w:r w:rsidRPr="001C63F5">
        <w:rPr>
          <w:rFonts w:ascii="Book Antiqua" w:hAnsi="Book Antiqua"/>
        </w:rPr>
        <w:t>“. Na základe toho, aký znalec</w:t>
      </w:r>
      <w:r w:rsidR="00541F44" w:rsidRPr="001C63F5">
        <w:rPr>
          <w:rFonts w:ascii="Book Antiqua" w:hAnsi="Book Antiqua"/>
        </w:rPr>
        <w:t xml:space="preserve"> daný</w:t>
      </w:r>
      <w:r w:rsidRPr="001C63F5">
        <w:rPr>
          <w:rFonts w:ascii="Book Antiqua" w:hAnsi="Book Antiqua"/>
        </w:rPr>
        <w:t xml:space="preserve"> súkromný posudok vypracoval vedia už vopred zistiť, či je posudok vyvážený. </w:t>
      </w:r>
      <w:r w:rsidRPr="001C63F5">
        <w:rPr>
          <w:rFonts w:ascii="Book Antiqua" w:hAnsi="Book Antiqua"/>
          <w:i/>
        </w:rPr>
        <w:t>De lege lata</w:t>
      </w:r>
      <w:r w:rsidRPr="001C63F5">
        <w:rPr>
          <w:rFonts w:ascii="Book Antiqua" w:hAnsi="Book Antiqua"/>
        </w:rPr>
        <w:t xml:space="preserve"> sa s ním však súdy každopádne musia vysporiadať a v rozhodnutí vo veci samej si svoj názor odôvodniť, nakoľko je súčasťou spisového materiálu a opačný prístup by zakladal porušenie práva rodiča na spravodlivý súdny proces. </w:t>
      </w:r>
    </w:p>
    <w:p w:rsidR="000E45D5" w:rsidRPr="001C63F5" w:rsidRDefault="000E45D5" w:rsidP="0029070A">
      <w:pPr>
        <w:ind w:firstLine="708"/>
        <w:jc w:val="both"/>
        <w:rPr>
          <w:rFonts w:ascii="Book Antiqua" w:hAnsi="Book Antiqua"/>
        </w:rPr>
      </w:pPr>
      <w:r w:rsidRPr="001C63F5">
        <w:rPr>
          <w:rFonts w:ascii="Book Antiqua" w:hAnsi="Book Antiqua"/>
        </w:rPr>
        <w:t xml:space="preserve">V prípade vypracovávania súkromných znaleckých posudkov sa jedná </w:t>
      </w:r>
      <w:r w:rsidRPr="001C63F5">
        <w:rPr>
          <w:rFonts w:ascii="Book Antiqua" w:hAnsi="Book Antiqua"/>
          <w:b/>
        </w:rPr>
        <w:t>vždy o komerčnú činnosť znalca</w:t>
      </w:r>
      <w:r w:rsidRPr="001C63F5">
        <w:rPr>
          <w:rFonts w:ascii="Book Antiqua" w:hAnsi="Book Antiqua"/>
        </w:rPr>
        <w:t>, ktorý si za vypracovanie súkromného znaleckého posudku žiada odmenu. V tejto súvislosti je prítomná špecifická ochota rodiča – objednávateľa uhradiť kompletne celé náklady znaleckého dokazovania a to i s úhradou vopred, zatiaľ čo v prípade súdom nariadeného znaleckého dokazovania je možné pozorovať práve naopak opačný trend – v pr</w:t>
      </w:r>
      <w:r w:rsidR="007134CD">
        <w:rPr>
          <w:rFonts w:ascii="Book Antiqua" w:hAnsi="Book Antiqua"/>
        </w:rPr>
        <w:t>ípade rozhodnutia súdu o znaleck</w:t>
      </w:r>
      <w:r w:rsidRPr="001C63F5">
        <w:rPr>
          <w:rFonts w:ascii="Book Antiqua" w:hAnsi="Book Antiqua"/>
        </w:rPr>
        <w:t xml:space="preserve">om sa rodičia spravidla odmietajú podieľať na odmene znalca a úhradu sa snažia preniesť na druhého rodiča. </w:t>
      </w:r>
    </w:p>
    <w:p w:rsidR="00B430E7" w:rsidRPr="001C63F5" w:rsidRDefault="00B430E7" w:rsidP="0011012B">
      <w:pPr>
        <w:ind w:firstLine="539"/>
        <w:jc w:val="both"/>
        <w:rPr>
          <w:rFonts w:ascii="Book Antiqua" w:hAnsi="Book Antiqua"/>
        </w:rPr>
      </w:pPr>
      <w:r w:rsidRPr="001C63F5">
        <w:rPr>
          <w:rStyle w:val="Hyperlink0"/>
        </w:rPr>
        <w:t>Súkromné znalecké posudky sú v tomto zmysle vo veciach ÚPP veľmi nevhodným nástrojom a nebezpečnou zbraňou ponechanou v rukách súperiacich rodičov</w:t>
      </w:r>
      <w:r w:rsidRPr="001C63F5">
        <w:rPr>
          <w:rStyle w:val="iadne"/>
          <w:rFonts w:ascii="Book Antiqua" w:hAnsi="Book Antiqua"/>
        </w:rPr>
        <w:t xml:space="preserve">. Prostredníctvom súkromných znaleckých posudkov sa predovšetkým v režime mimosporových konaní </w:t>
      </w:r>
      <w:r w:rsidRPr="001C63F5">
        <w:rPr>
          <w:rStyle w:val="iadne"/>
          <w:rFonts w:ascii="Book Antiqua" w:hAnsi="Book Antiqua"/>
          <w:u w:val="single"/>
        </w:rPr>
        <w:t>stráca význam základných princípov mimosporového konania</w:t>
      </w:r>
      <w:r w:rsidRPr="001C63F5">
        <w:rPr>
          <w:rStyle w:val="iadne"/>
          <w:rFonts w:ascii="Book Antiqua" w:hAnsi="Book Antiqua"/>
        </w:rPr>
        <w:t xml:space="preserve">. Súd (a sudca) reprezentujúci záujem spoločnosti na vyriešení konfliktu tým zároveň </w:t>
      </w:r>
      <w:r w:rsidRPr="001C63F5">
        <w:rPr>
          <w:rStyle w:val="iadne"/>
          <w:rFonts w:ascii="Book Antiqua" w:hAnsi="Book Antiqua"/>
          <w:u w:val="single"/>
        </w:rPr>
        <w:t>stráca postavenie silného sudcu</w:t>
      </w:r>
      <w:r w:rsidRPr="001C63F5">
        <w:rPr>
          <w:rStyle w:val="iadne"/>
          <w:rFonts w:ascii="Book Antiqua" w:hAnsi="Book Antiqua"/>
        </w:rPr>
        <w:t xml:space="preserve">, ktoré mu poskytla práve rekodifikácia civilných procesných kódexov. Sociálna koncepcia civilného procesu, na ktorej sú kódexy koncipované, vychádza z konceptu </w:t>
      </w:r>
      <w:r w:rsidRPr="001C63F5">
        <w:rPr>
          <w:rStyle w:val="Hyperlink0"/>
        </w:rPr>
        <w:t>silného sudcu, ktorému je zverené tzv. materiálne vedenie sporu</w:t>
      </w:r>
      <w:r w:rsidRPr="001C63F5">
        <w:rPr>
          <w:rStyle w:val="iadne"/>
          <w:rFonts w:ascii="Book Antiqua" w:hAnsi="Book Antiqua"/>
        </w:rPr>
        <w:t xml:space="preserve">. Na dosiahnutie sociálneho </w:t>
      </w:r>
      <w:r w:rsidRPr="001C63F5">
        <w:rPr>
          <w:rStyle w:val="iadne"/>
          <w:rFonts w:ascii="Book Antiqua" w:hAnsi="Book Antiqua"/>
          <w:u w:val="single"/>
        </w:rPr>
        <w:t>účelu konania, ktorým je spravodlivý rozsudok, čo najviac</w:t>
      </w:r>
      <w:r w:rsidR="00A03706" w:rsidRPr="001C63F5">
        <w:rPr>
          <w:rStyle w:val="iadne"/>
          <w:rFonts w:ascii="Book Antiqua" w:hAnsi="Book Antiqua"/>
          <w:u w:val="single"/>
        </w:rPr>
        <w:t xml:space="preserve"> zodpovedajúci</w:t>
      </w:r>
      <w:r w:rsidRPr="001C63F5">
        <w:rPr>
          <w:rStyle w:val="iadne"/>
          <w:rFonts w:ascii="Book Antiqua" w:hAnsi="Book Antiqua"/>
          <w:u w:val="single"/>
        </w:rPr>
        <w:t xml:space="preserve"> skutočnému hmotnoprávnemu stavu veci má sudca k dispozícii pomerne </w:t>
      </w:r>
      <w:r w:rsidRPr="001C63F5">
        <w:rPr>
          <w:rStyle w:val="iadne"/>
          <w:rFonts w:ascii="Book Antiqua" w:hAnsi="Book Antiqua"/>
          <w:b/>
          <w:bCs/>
          <w:u w:val="single"/>
        </w:rPr>
        <w:lastRenderedPageBreak/>
        <w:t>silné nástroje</w:t>
      </w:r>
      <w:r w:rsidRPr="001C63F5">
        <w:rPr>
          <w:rStyle w:val="iadne"/>
          <w:rFonts w:ascii="Book Antiqua" w:hAnsi="Book Antiqua"/>
        </w:rPr>
        <w:t>, ktoré sudcu povýšili na silný, participujúci subjekt, ktorý účastníkom prenecháva iniciatívu, no zároveň podstatným spôsobom ingeruje do konania v dvoch rovinách</w:t>
      </w:r>
      <w:r w:rsidRPr="001C63F5">
        <w:rPr>
          <w:rStyle w:val="Hyperlink0"/>
        </w:rPr>
        <w:t>: a) z hľadiska dodržiavania procesnej ekonómie</w:t>
      </w:r>
      <w:r w:rsidRPr="001C63F5">
        <w:rPr>
          <w:rStyle w:val="iadne"/>
          <w:rFonts w:ascii="Book Antiqua" w:hAnsi="Book Antiqua"/>
        </w:rPr>
        <w:t xml:space="preserve"> /v rámci ktorej je úlohou sudcu predovšetkým „strážiť pravidlá hry“/a </w:t>
      </w:r>
      <w:r w:rsidRPr="001C63F5">
        <w:rPr>
          <w:rStyle w:val="Hyperlink0"/>
        </w:rPr>
        <w:t>b) z hľadiska distributívnej sociálnej spravodlivosti</w:t>
      </w:r>
      <w:r w:rsidRPr="001C63F5">
        <w:rPr>
          <w:rStyle w:val="iadne"/>
          <w:rFonts w:ascii="Book Antiqua" w:hAnsi="Book Antiqua"/>
        </w:rPr>
        <w:t xml:space="preserve"> /čo predstavuje ingerenciu súdu do zistenia spoľahlivého hmotnoprávneho základu sporu vo forme materiálneho vedenia sporu./ Pripúšťaním situáci</w:t>
      </w:r>
      <w:r w:rsidR="00FD519D" w:rsidRPr="001C63F5">
        <w:rPr>
          <w:rStyle w:val="iadne"/>
          <w:rFonts w:ascii="Book Antiqua" w:hAnsi="Book Antiqua"/>
        </w:rPr>
        <w:t>í</w:t>
      </w:r>
      <w:r w:rsidRPr="001C63F5">
        <w:rPr>
          <w:rStyle w:val="iadne"/>
          <w:rFonts w:ascii="Book Antiqua" w:hAnsi="Book Antiqua"/>
        </w:rPr>
        <w:t xml:space="preserve">, ktorými sa sudca ako </w:t>
      </w:r>
      <w:r w:rsidRPr="001C63F5">
        <w:rPr>
          <w:rStyle w:val="iadne"/>
          <w:rFonts w:ascii="Book Antiqua" w:hAnsi="Book Antiqua"/>
          <w:i/>
          <w:iCs/>
        </w:rPr>
        <w:t>dominius litis</w:t>
      </w:r>
      <w:r w:rsidRPr="001C63F5">
        <w:rPr>
          <w:rStyle w:val="iadne"/>
          <w:rFonts w:ascii="Book Antiqua" w:hAnsi="Book Antiqua"/>
        </w:rPr>
        <w:t xml:space="preserve"> vzdáva svojich zákonných nástrojov na zabezpečenie spravodlivého rozhodnutia vo veci dochádza k strate významu celého konania. </w:t>
      </w:r>
    </w:p>
    <w:p w:rsidR="000D610E" w:rsidRPr="001C63F5" w:rsidRDefault="00B430E7" w:rsidP="0029070A">
      <w:pPr>
        <w:spacing w:after="160"/>
        <w:ind w:firstLine="539"/>
        <w:jc w:val="both"/>
        <w:rPr>
          <w:rStyle w:val="iadne"/>
          <w:rFonts w:ascii="Book Antiqua" w:hAnsi="Book Antiqua"/>
          <w:u w:val="single"/>
        </w:rPr>
      </w:pPr>
      <w:r w:rsidRPr="001C63F5">
        <w:rPr>
          <w:rStyle w:val="iadne"/>
          <w:rFonts w:ascii="Book Antiqua" w:hAnsi="Book Antiqua"/>
          <w:bCs/>
        </w:rPr>
        <w:t>V neposlednom rade v</w:t>
      </w:r>
      <w:r w:rsidRPr="001C63F5">
        <w:rPr>
          <w:rStyle w:val="iadne"/>
          <w:rFonts w:ascii="Book Antiqua" w:hAnsi="Book Antiqua"/>
          <w:b/>
          <w:bCs/>
        </w:rPr>
        <w:t xml:space="preserve"> </w:t>
      </w:r>
      <w:r w:rsidRPr="001C63F5">
        <w:rPr>
          <w:rStyle w:val="iadne"/>
          <w:rFonts w:ascii="Book Antiqua" w:hAnsi="Book Antiqua"/>
        </w:rPr>
        <w:t xml:space="preserve">dôsledku normatívneho vákua,  absencie akejkoľvek judikačnej línie v tomto smere ako aj názorovej rozpoltenosti vo vzťahu k tejto otázke v odborných kruhoch </w:t>
      </w:r>
      <w:r w:rsidRPr="001C63F5">
        <w:rPr>
          <w:rStyle w:val="iadne"/>
          <w:rFonts w:ascii="Book Antiqua" w:hAnsi="Book Antiqua"/>
          <w:b/>
          <w:bCs/>
          <w:u w:val="single"/>
        </w:rPr>
        <w:t>existuje vážne riziko, že znalecké dokazovanie nariaďované súdom na posúdenie zložitej otázky, na ktoré sú potrebné odborné znalosti úplne stratí význam</w:t>
      </w:r>
      <w:r w:rsidRPr="001C63F5">
        <w:rPr>
          <w:rStyle w:val="iadne"/>
          <w:rFonts w:ascii="Book Antiqua" w:hAnsi="Book Antiqua"/>
        </w:rPr>
        <w:t xml:space="preserve">, pretože podľa vzoru vo vyššie spomenutých právnych veciach je úplne v poriadku, ak si účastník vyberie znalca, ktorý mu vyhovuje, nechá si vypracovať súkromný znalecký posudok, aký mu vyhovuje a autoritatívne súdne rozhodnutie odignoruje, pričom toto konanie je mu pri rozhodovaní dokonca pripísané na prospech. </w:t>
      </w:r>
      <w:r w:rsidRPr="001C63F5">
        <w:rPr>
          <w:rStyle w:val="Hyperlink0"/>
        </w:rPr>
        <w:t>V dôsledku uvedeného tak súd úplne stratí dosah na účastníkov konania a zároveň si zviaže ruky vo vzťahu k reálnemu zisteniu skutočného stavu veci, ktoré bude nemožné.</w:t>
      </w:r>
      <w:r w:rsidRPr="001C63F5">
        <w:rPr>
          <w:rStyle w:val="iadne"/>
          <w:rFonts w:ascii="Book Antiqua" w:hAnsi="Book Antiqua"/>
        </w:rPr>
        <w:t xml:space="preserve"> Podľa nášho názoru </w:t>
      </w:r>
      <w:r w:rsidRPr="001C63F5">
        <w:rPr>
          <w:rStyle w:val="iadne"/>
          <w:rFonts w:ascii="Book Antiqua" w:hAnsi="Book Antiqua"/>
          <w:u w:val="single"/>
        </w:rPr>
        <w:t xml:space="preserve">tento nešťastný postup súdu výslovne navádza účastníkov ako aj advokátov na takéto konanie, vysiela do spoločnosti veľmi negatívny odkaz, je výsmechom pre všetkých poctivých rodičov, ktorí majú skutočný záujem na riadnom zistení rodičovských kompetencii a rozhodnutí reflektujúcom najlepší záujem dieťaťa  a v neposlednom rade degraduje súdnu autoritu a autoritatívne súdne rozhodnutia ako také. </w:t>
      </w:r>
    </w:p>
    <w:p w:rsidR="00B430E7" w:rsidRPr="001C63F5" w:rsidRDefault="00B430E7" w:rsidP="007127E1">
      <w:pPr>
        <w:ind w:firstLine="539"/>
        <w:jc w:val="both"/>
        <w:rPr>
          <w:rFonts w:ascii="Book Antiqua" w:hAnsi="Book Antiqua"/>
        </w:rPr>
      </w:pPr>
      <w:r w:rsidRPr="001C63F5">
        <w:rPr>
          <w:rStyle w:val="iadne"/>
          <w:rFonts w:ascii="Book Antiqua" w:hAnsi="Book Antiqua"/>
        </w:rPr>
        <w:t xml:space="preserve">Záverom dodávame, že súkromné znalecké posudky zapríčiňujú nárast procesnej spornosti - </w:t>
      </w:r>
      <w:r w:rsidRPr="001C63F5">
        <w:rPr>
          <w:rStyle w:val="Hyperlink0"/>
        </w:rPr>
        <w:t xml:space="preserve">konanie sa zameriava na proces </w:t>
      </w:r>
      <w:r w:rsidR="007134CD">
        <w:rPr>
          <w:rStyle w:val="Hyperlink0"/>
        </w:rPr>
        <w:t xml:space="preserve">a </w:t>
      </w:r>
      <w:r w:rsidRPr="001C63F5">
        <w:rPr>
          <w:rStyle w:val="Hyperlink0"/>
        </w:rPr>
        <w:t>nie na usporiadanie vzťahov, čo je v priamom rozpore so základmi  právnej teórie</w:t>
      </w:r>
      <w:r w:rsidRPr="001C63F5">
        <w:rPr>
          <w:rStyle w:val="iadne"/>
          <w:rFonts w:ascii="Book Antiqua" w:hAnsi="Book Antiqua"/>
        </w:rPr>
        <w:t xml:space="preserve">, podľa ktorých je proces prostriedkom na dosiahnutie cieľov uvedených v hmote. </w:t>
      </w:r>
      <w:r w:rsidRPr="001C63F5">
        <w:rPr>
          <w:rStyle w:val="iadne"/>
          <w:rFonts w:ascii="Book Antiqua" w:hAnsi="Book Antiqua"/>
          <w:u w:val="single"/>
        </w:rPr>
        <w:t>Takýto prístup je obzvlášť v poručenských veciach možné hodnotiť ako nezdravý a maximálne nežiaduci, a preto by súd na súkromné znalecké posudky nemal podľa nášho názoru v rozhodnutí prihliadať.</w:t>
      </w:r>
      <w:r w:rsidRPr="001C63F5">
        <w:rPr>
          <w:rStyle w:val="iadne"/>
          <w:rFonts w:ascii="Book Antiqua" w:hAnsi="Book Antiqua"/>
        </w:rPr>
        <w:t xml:space="preserve"> </w:t>
      </w:r>
      <w:r w:rsidR="007127E1" w:rsidRPr="001C63F5">
        <w:rPr>
          <w:rStyle w:val="iadne"/>
          <w:rFonts w:ascii="Book Antiqua" w:hAnsi="Book Antiqua"/>
        </w:rPr>
        <w:t xml:space="preserve">Pre úplnosť sa žiada dosť, že napriek vylúčeniu súkromných znaleckých posudkov v konaniach starostlivosti súdu o maloletých zostane zachovaná aktivita účastníka, ktorý bude aj naďalej disponovať možnosťou doplniť otázky stanovené súdom na preukázanie tvrdenej skutočnosti. </w:t>
      </w:r>
    </w:p>
    <w:p w:rsidR="001D6141" w:rsidRPr="001C63F5" w:rsidRDefault="001D6141" w:rsidP="00023051">
      <w:pPr>
        <w:spacing w:before="120" w:after="0"/>
        <w:jc w:val="center"/>
        <w:rPr>
          <w:rFonts w:ascii="Book Antiqua" w:hAnsi="Book Antiqua" w:cs="Arial"/>
        </w:rPr>
      </w:pPr>
    </w:p>
    <w:p w:rsidR="00DD4E97" w:rsidRPr="001C63F5" w:rsidRDefault="00DD4E97" w:rsidP="00023051">
      <w:pPr>
        <w:spacing w:before="120" w:after="0"/>
        <w:jc w:val="center"/>
        <w:rPr>
          <w:rFonts w:ascii="Book Antiqua" w:hAnsi="Book Antiqua" w:cs="Arial"/>
        </w:rPr>
      </w:pPr>
    </w:p>
    <w:p w:rsidR="00DD4E97" w:rsidRPr="001C63F5" w:rsidRDefault="00DD4E97" w:rsidP="00023051">
      <w:pPr>
        <w:spacing w:before="120" w:after="0"/>
        <w:jc w:val="center"/>
        <w:rPr>
          <w:rFonts w:ascii="Book Antiqua" w:hAnsi="Book Antiqua" w:cs="Arial"/>
        </w:rPr>
      </w:pPr>
    </w:p>
    <w:sectPr w:rsidR="00DD4E97" w:rsidRPr="001C63F5" w:rsidSect="001D6141">
      <w:pgSz w:w="11906" w:h="16838"/>
      <w:pgMar w:top="1417" w:right="1417" w:bottom="851"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altName w:val="Times New Roman"/>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5DC"/>
    <w:multiLevelType w:val="hybridMultilevel"/>
    <w:tmpl w:val="7A024564"/>
    <w:lvl w:ilvl="0" w:tplc="BEC29C58">
      <w:start w:val="1"/>
      <w:numFmt w:val="decimal"/>
      <w:lvlText w:val="(%1)"/>
      <w:lvlJc w:val="left"/>
      <w:pPr>
        <w:ind w:left="420" w:hanging="360"/>
      </w:pPr>
      <w:rPr>
        <w:rFonts w:cs="Times New Roman" w:hint="default"/>
        <w:b/>
      </w:rPr>
    </w:lvl>
    <w:lvl w:ilvl="1" w:tplc="041B0019" w:tentative="1">
      <w:start w:val="1"/>
      <w:numFmt w:val="lowerLetter"/>
      <w:lvlText w:val="%2."/>
      <w:lvlJc w:val="left"/>
      <w:pPr>
        <w:ind w:left="1140" w:hanging="360"/>
      </w:pPr>
      <w:rPr>
        <w:rFonts w:cs="Times New Roman"/>
      </w:rPr>
    </w:lvl>
    <w:lvl w:ilvl="2" w:tplc="041B001B" w:tentative="1">
      <w:start w:val="1"/>
      <w:numFmt w:val="lowerRoman"/>
      <w:lvlText w:val="%3."/>
      <w:lvlJc w:val="right"/>
      <w:pPr>
        <w:ind w:left="1860" w:hanging="180"/>
      </w:pPr>
      <w:rPr>
        <w:rFonts w:cs="Times New Roman"/>
      </w:rPr>
    </w:lvl>
    <w:lvl w:ilvl="3" w:tplc="041B000F" w:tentative="1">
      <w:start w:val="1"/>
      <w:numFmt w:val="decimal"/>
      <w:lvlText w:val="%4."/>
      <w:lvlJc w:val="left"/>
      <w:pPr>
        <w:ind w:left="2580" w:hanging="360"/>
      </w:pPr>
      <w:rPr>
        <w:rFonts w:cs="Times New Roman"/>
      </w:rPr>
    </w:lvl>
    <w:lvl w:ilvl="4" w:tplc="041B0019" w:tentative="1">
      <w:start w:val="1"/>
      <w:numFmt w:val="lowerLetter"/>
      <w:lvlText w:val="%5."/>
      <w:lvlJc w:val="left"/>
      <w:pPr>
        <w:ind w:left="3300" w:hanging="360"/>
      </w:pPr>
      <w:rPr>
        <w:rFonts w:cs="Times New Roman"/>
      </w:rPr>
    </w:lvl>
    <w:lvl w:ilvl="5" w:tplc="041B001B" w:tentative="1">
      <w:start w:val="1"/>
      <w:numFmt w:val="lowerRoman"/>
      <w:lvlText w:val="%6."/>
      <w:lvlJc w:val="right"/>
      <w:pPr>
        <w:ind w:left="4020" w:hanging="180"/>
      </w:pPr>
      <w:rPr>
        <w:rFonts w:cs="Times New Roman"/>
      </w:rPr>
    </w:lvl>
    <w:lvl w:ilvl="6" w:tplc="041B000F" w:tentative="1">
      <w:start w:val="1"/>
      <w:numFmt w:val="decimal"/>
      <w:lvlText w:val="%7."/>
      <w:lvlJc w:val="left"/>
      <w:pPr>
        <w:ind w:left="4740" w:hanging="360"/>
      </w:pPr>
      <w:rPr>
        <w:rFonts w:cs="Times New Roman"/>
      </w:rPr>
    </w:lvl>
    <w:lvl w:ilvl="7" w:tplc="041B0019" w:tentative="1">
      <w:start w:val="1"/>
      <w:numFmt w:val="lowerLetter"/>
      <w:lvlText w:val="%8."/>
      <w:lvlJc w:val="left"/>
      <w:pPr>
        <w:ind w:left="5460" w:hanging="360"/>
      </w:pPr>
      <w:rPr>
        <w:rFonts w:cs="Times New Roman"/>
      </w:rPr>
    </w:lvl>
    <w:lvl w:ilvl="8" w:tplc="041B001B" w:tentative="1">
      <w:start w:val="1"/>
      <w:numFmt w:val="lowerRoman"/>
      <w:lvlText w:val="%9."/>
      <w:lvlJc w:val="right"/>
      <w:pPr>
        <w:ind w:left="6180" w:hanging="180"/>
      </w:pPr>
      <w:rPr>
        <w:rFonts w:cs="Times New Roman"/>
      </w:rPr>
    </w:lvl>
  </w:abstractNum>
  <w:abstractNum w:abstractNumId="1" w15:restartNumberingAfterBreak="0">
    <w:nsid w:val="473C0834"/>
    <w:multiLevelType w:val="hybridMultilevel"/>
    <w:tmpl w:val="9F1CA23C"/>
    <w:lvl w:ilvl="0" w:tplc="CF4E9D6C">
      <w:start w:val="1"/>
      <w:numFmt w:val="upperRoman"/>
      <w:lvlText w:val="%1."/>
      <w:lvlJc w:val="left"/>
      <w:pPr>
        <w:ind w:left="1620" w:hanging="720"/>
      </w:pPr>
      <w:rPr>
        <w:rFonts w:cs="Times New Roman" w:hint="default"/>
      </w:rPr>
    </w:lvl>
    <w:lvl w:ilvl="1" w:tplc="041B0019" w:tentative="1">
      <w:start w:val="1"/>
      <w:numFmt w:val="lowerLetter"/>
      <w:lvlText w:val="%2."/>
      <w:lvlJc w:val="left"/>
      <w:pPr>
        <w:ind w:left="1980" w:hanging="360"/>
      </w:pPr>
      <w:rPr>
        <w:rFonts w:cs="Times New Roman"/>
      </w:rPr>
    </w:lvl>
    <w:lvl w:ilvl="2" w:tplc="041B001B" w:tentative="1">
      <w:start w:val="1"/>
      <w:numFmt w:val="lowerRoman"/>
      <w:lvlText w:val="%3."/>
      <w:lvlJc w:val="right"/>
      <w:pPr>
        <w:ind w:left="2700" w:hanging="180"/>
      </w:pPr>
      <w:rPr>
        <w:rFonts w:cs="Times New Roman"/>
      </w:rPr>
    </w:lvl>
    <w:lvl w:ilvl="3" w:tplc="041B000F" w:tentative="1">
      <w:start w:val="1"/>
      <w:numFmt w:val="decimal"/>
      <w:lvlText w:val="%4."/>
      <w:lvlJc w:val="left"/>
      <w:pPr>
        <w:ind w:left="3420" w:hanging="360"/>
      </w:pPr>
      <w:rPr>
        <w:rFonts w:cs="Times New Roman"/>
      </w:rPr>
    </w:lvl>
    <w:lvl w:ilvl="4" w:tplc="041B0019" w:tentative="1">
      <w:start w:val="1"/>
      <w:numFmt w:val="lowerLetter"/>
      <w:lvlText w:val="%5."/>
      <w:lvlJc w:val="left"/>
      <w:pPr>
        <w:ind w:left="4140" w:hanging="360"/>
      </w:pPr>
      <w:rPr>
        <w:rFonts w:cs="Times New Roman"/>
      </w:rPr>
    </w:lvl>
    <w:lvl w:ilvl="5" w:tplc="041B001B" w:tentative="1">
      <w:start w:val="1"/>
      <w:numFmt w:val="lowerRoman"/>
      <w:lvlText w:val="%6."/>
      <w:lvlJc w:val="right"/>
      <w:pPr>
        <w:ind w:left="4860" w:hanging="180"/>
      </w:pPr>
      <w:rPr>
        <w:rFonts w:cs="Times New Roman"/>
      </w:rPr>
    </w:lvl>
    <w:lvl w:ilvl="6" w:tplc="041B000F" w:tentative="1">
      <w:start w:val="1"/>
      <w:numFmt w:val="decimal"/>
      <w:lvlText w:val="%7."/>
      <w:lvlJc w:val="left"/>
      <w:pPr>
        <w:ind w:left="5580" w:hanging="360"/>
      </w:pPr>
      <w:rPr>
        <w:rFonts w:cs="Times New Roman"/>
      </w:rPr>
    </w:lvl>
    <w:lvl w:ilvl="7" w:tplc="041B0019" w:tentative="1">
      <w:start w:val="1"/>
      <w:numFmt w:val="lowerLetter"/>
      <w:lvlText w:val="%8."/>
      <w:lvlJc w:val="left"/>
      <w:pPr>
        <w:ind w:left="6300" w:hanging="360"/>
      </w:pPr>
      <w:rPr>
        <w:rFonts w:cs="Times New Roman"/>
      </w:rPr>
    </w:lvl>
    <w:lvl w:ilvl="8" w:tplc="041B001B" w:tentative="1">
      <w:start w:val="1"/>
      <w:numFmt w:val="lowerRoman"/>
      <w:lvlText w:val="%9."/>
      <w:lvlJc w:val="right"/>
      <w:pPr>
        <w:ind w:left="7020" w:hanging="180"/>
      </w:pPr>
      <w:rPr>
        <w:rFonts w:cs="Times New Roman"/>
      </w:rPr>
    </w:lvl>
  </w:abstractNum>
  <w:abstractNum w:abstractNumId="2" w15:restartNumberingAfterBreak="0">
    <w:nsid w:val="4A35162D"/>
    <w:multiLevelType w:val="hybridMultilevel"/>
    <w:tmpl w:val="142AF42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4CF17F1C"/>
    <w:multiLevelType w:val="hybridMultilevel"/>
    <w:tmpl w:val="D27A361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61315B23"/>
    <w:multiLevelType w:val="hybridMultilevel"/>
    <w:tmpl w:val="12B40A56"/>
    <w:lvl w:ilvl="0" w:tplc="2B64EA90">
      <w:numFmt w:val="bullet"/>
      <w:lvlText w:val="-"/>
      <w:lvlJc w:val="left"/>
      <w:pPr>
        <w:ind w:left="720" w:hanging="360"/>
      </w:pPr>
      <w:rPr>
        <w:rFonts w:ascii="Book Antiqua" w:eastAsia="Times New Roman" w:hAnsi="Book Antiqua"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defaultTabStop w:val="708"/>
  <w:hyphenationZone w:val="425"/>
  <w:characterSpacingControl w:val="doNotCompress"/>
  <w:compat>
    <w:compatSetting w:name="compatibilityMode" w:uri="http://schemas.microsoft.com/office/word" w:val="12"/>
  </w:compat>
  <w:rsids>
    <w:rsidRoot w:val="00023051"/>
    <w:rsid w:val="000023ED"/>
    <w:rsid w:val="000052AB"/>
    <w:rsid w:val="000134C3"/>
    <w:rsid w:val="0002127C"/>
    <w:rsid w:val="0002256C"/>
    <w:rsid w:val="00023051"/>
    <w:rsid w:val="00030589"/>
    <w:rsid w:val="000343FF"/>
    <w:rsid w:val="000409FF"/>
    <w:rsid w:val="00046378"/>
    <w:rsid w:val="00050A58"/>
    <w:rsid w:val="00055A83"/>
    <w:rsid w:val="00073521"/>
    <w:rsid w:val="00074CA9"/>
    <w:rsid w:val="00084BCE"/>
    <w:rsid w:val="000930A1"/>
    <w:rsid w:val="000A3B25"/>
    <w:rsid w:val="000A53F3"/>
    <w:rsid w:val="000A5780"/>
    <w:rsid w:val="000B2FAE"/>
    <w:rsid w:val="000B3C06"/>
    <w:rsid w:val="000C2BD8"/>
    <w:rsid w:val="000C5C95"/>
    <w:rsid w:val="000D610E"/>
    <w:rsid w:val="000E1CEF"/>
    <w:rsid w:val="000E35B9"/>
    <w:rsid w:val="000E375A"/>
    <w:rsid w:val="000E3BAB"/>
    <w:rsid w:val="000E45D5"/>
    <w:rsid w:val="000E5E66"/>
    <w:rsid w:val="000E7B23"/>
    <w:rsid w:val="000F1ED6"/>
    <w:rsid w:val="000F25DD"/>
    <w:rsid w:val="000F2C5C"/>
    <w:rsid w:val="000F41C5"/>
    <w:rsid w:val="000F4F88"/>
    <w:rsid w:val="00106D24"/>
    <w:rsid w:val="001075E8"/>
    <w:rsid w:val="0011012B"/>
    <w:rsid w:val="001116D7"/>
    <w:rsid w:val="00111957"/>
    <w:rsid w:val="001153C9"/>
    <w:rsid w:val="001235A5"/>
    <w:rsid w:val="0012375F"/>
    <w:rsid w:val="00124281"/>
    <w:rsid w:val="00136CC6"/>
    <w:rsid w:val="001412D8"/>
    <w:rsid w:val="00145483"/>
    <w:rsid w:val="00163AB7"/>
    <w:rsid w:val="00192AD7"/>
    <w:rsid w:val="001A1A74"/>
    <w:rsid w:val="001A2FEB"/>
    <w:rsid w:val="001A35D9"/>
    <w:rsid w:val="001B7DEF"/>
    <w:rsid w:val="001C63F5"/>
    <w:rsid w:val="001C6C22"/>
    <w:rsid w:val="001D0587"/>
    <w:rsid w:val="001D6141"/>
    <w:rsid w:val="001E0B52"/>
    <w:rsid w:val="001F4925"/>
    <w:rsid w:val="001F6402"/>
    <w:rsid w:val="001F691C"/>
    <w:rsid w:val="00203C5B"/>
    <w:rsid w:val="002064A6"/>
    <w:rsid w:val="002077C0"/>
    <w:rsid w:val="00213419"/>
    <w:rsid w:val="002157B5"/>
    <w:rsid w:val="00223B7C"/>
    <w:rsid w:val="0022550F"/>
    <w:rsid w:val="0023334A"/>
    <w:rsid w:val="00235C96"/>
    <w:rsid w:val="00240EFD"/>
    <w:rsid w:val="002414B8"/>
    <w:rsid w:val="00244054"/>
    <w:rsid w:val="0024572B"/>
    <w:rsid w:val="00252B35"/>
    <w:rsid w:val="002544A5"/>
    <w:rsid w:val="00255687"/>
    <w:rsid w:val="002617AC"/>
    <w:rsid w:val="00266C79"/>
    <w:rsid w:val="0027331A"/>
    <w:rsid w:val="00282E3F"/>
    <w:rsid w:val="00284BA1"/>
    <w:rsid w:val="0029070A"/>
    <w:rsid w:val="002934B5"/>
    <w:rsid w:val="002A1044"/>
    <w:rsid w:val="002B7068"/>
    <w:rsid w:val="002C1671"/>
    <w:rsid w:val="002C402F"/>
    <w:rsid w:val="002C68A3"/>
    <w:rsid w:val="002D2CD1"/>
    <w:rsid w:val="002E011E"/>
    <w:rsid w:val="002E4C16"/>
    <w:rsid w:val="002E5806"/>
    <w:rsid w:val="002E6883"/>
    <w:rsid w:val="00302C81"/>
    <w:rsid w:val="00303273"/>
    <w:rsid w:val="003037BA"/>
    <w:rsid w:val="00306C77"/>
    <w:rsid w:val="003077A1"/>
    <w:rsid w:val="0031154E"/>
    <w:rsid w:val="00312601"/>
    <w:rsid w:val="003145B7"/>
    <w:rsid w:val="003157DF"/>
    <w:rsid w:val="0032003E"/>
    <w:rsid w:val="00320419"/>
    <w:rsid w:val="00322792"/>
    <w:rsid w:val="003232C3"/>
    <w:rsid w:val="003254A1"/>
    <w:rsid w:val="00355F72"/>
    <w:rsid w:val="00356C59"/>
    <w:rsid w:val="00357106"/>
    <w:rsid w:val="00357756"/>
    <w:rsid w:val="00360C5B"/>
    <w:rsid w:val="0036102E"/>
    <w:rsid w:val="0037635C"/>
    <w:rsid w:val="00380774"/>
    <w:rsid w:val="00381566"/>
    <w:rsid w:val="00392342"/>
    <w:rsid w:val="00396E89"/>
    <w:rsid w:val="003976D9"/>
    <w:rsid w:val="003A3D84"/>
    <w:rsid w:val="003A7E7A"/>
    <w:rsid w:val="003C110B"/>
    <w:rsid w:val="003C31DD"/>
    <w:rsid w:val="003D1CE5"/>
    <w:rsid w:val="003D2E88"/>
    <w:rsid w:val="003E1DFE"/>
    <w:rsid w:val="003E3DAA"/>
    <w:rsid w:val="003E6EAF"/>
    <w:rsid w:val="003F4A15"/>
    <w:rsid w:val="00401EAE"/>
    <w:rsid w:val="004042CF"/>
    <w:rsid w:val="004066E9"/>
    <w:rsid w:val="0041445A"/>
    <w:rsid w:val="00417F36"/>
    <w:rsid w:val="00430035"/>
    <w:rsid w:val="00441809"/>
    <w:rsid w:val="00443315"/>
    <w:rsid w:val="004542BA"/>
    <w:rsid w:val="00456B78"/>
    <w:rsid w:val="00457B24"/>
    <w:rsid w:val="004746BE"/>
    <w:rsid w:val="00487319"/>
    <w:rsid w:val="00490701"/>
    <w:rsid w:val="00490B31"/>
    <w:rsid w:val="00494725"/>
    <w:rsid w:val="0049558B"/>
    <w:rsid w:val="004B278F"/>
    <w:rsid w:val="004B78F2"/>
    <w:rsid w:val="004C171E"/>
    <w:rsid w:val="004E080C"/>
    <w:rsid w:val="004E64DC"/>
    <w:rsid w:val="004E6DBF"/>
    <w:rsid w:val="00502278"/>
    <w:rsid w:val="005038D9"/>
    <w:rsid w:val="00506ED7"/>
    <w:rsid w:val="00510584"/>
    <w:rsid w:val="00513656"/>
    <w:rsid w:val="005145A0"/>
    <w:rsid w:val="005153F4"/>
    <w:rsid w:val="00520652"/>
    <w:rsid w:val="00532AD7"/>
    <w:rsid w:val="00541BFF"/>
    <w:rsid w:val="00541F44"/>
    <w:rsid w:val="005437C9"/>
    <w:rsid w:val="005463C7"/>
    <w:rsid w:val="00550B1D"/>
    <w:rsid w:val="00561912"/>
    <w:rsid w:val="00573E1F"/>
    <w:rsid w:val="00580F91"/>
    <w:rsid w:val="00581FCC"/>
    <w:rsid w:val="00582CAC"/>
    <w:rsid w:val="0058533A"/>
    <w:rsid w:val="00587B4C"/>
    <w:rsid w:val="0059459F"/>
    <w:rsid w:val="0059464D"/>
    <w:rsid w:val="00595C57"/>
    <w:rsid w:val="005A24D9"/>
    <w:rsid w:val="005A55A5"/>
    <w:rsid w:val="005A7BE4"/>
    <w:rsid w:val="005B16DE"/>
    <w:rsid w:val="005B5024"/>
    <w:rsid w:val="005B5905"/>
    <w:rsid w:val="005C119B"/>
    <w:rsid w:val="005C11AB"/>
    <w:rsid w:val="005D38AE"/>
    <w:rsid w:val="005E2F9C"/>
    <w:rsid w:val="005F5723"/>
    <w:rsid w:val="006042D6"/>
    <w:rsid w:val="006047C6"/>
    <w:rsid w:val="006116EA"/>
    <w:rsid w:val="006144DC"/>
    <w:rsid w:val="006151E1"/>
    <w:rsid w:val="00620199"/>
    <w:rsid w:val="006237CB"/>
    <w:rsid w:val="00630A4D"/>
    <w:rsid w:val="00630DE1"/>
    <w:rsid w:val="006340E7"/>
    <w:rsid w:val="00634B41"/>
    <w:rsid w:val="00635006"/>
    <w:rsid w:val="006414C2"/>
    <w:rsid w:val="006417C1"/>
    <w:rsid w:val="00641D60"/>
    <w:rsid w:val="00644DDE"/>
    <w:rsid w:val="00647D48"/>
    <w:rsid w:val="00674950"/>
    <w:rsid w:val="00680019"/>
    <w:rsid w:val="00691810"/>
    <w:rsid w:val="0069604C"/>
    <w:rsid w:val="006A42C5"/>
    <w:rsid w:val="006C2CB2"/>
    <w:rsid w:val="006C4ED3"/>
    <w:rsid w:val="006C6AD0"/>
    <w:rsid w:val="006D1AEE"/>
    <w:rsid w:val="006D60EF"/>
    <w:rsid w:val="006E6316"/>
    <w:rsid w:val="006F57D9"/>
    <w:rsid w:val="006F69C9"/>
    <w:rsid w:val="00702274"/>
    <w:rsid w:val="007048E8"/>
    <w:rsid w:val="007127E1"/>
    <w:rsid w:val="007134CD"/>
    <w:rsid w:val="00713FB1"/>
    <w:rsid w:val="007163BF"/>
    <w:rsid w:val="007211A9"/>
    <w:rsid w:val="00731F33"/>
    <w:rsid w:val="007432EF"/>
    <w:rsid w:val="00744135"/>
    <w:rsid w:val="00746207"/>
    <w:rsid w:val="00750675"/>
    <w:rsid w:val="00756BFE"/>
    <w:rsid w:val="00763160"/>
    <w:rsid w:val="00770171"/>
    <w:rsid w:val="007723CE"/>
    <w:rsid w:val="007735B2"/>
    <w:rsid w:val="007870CC"/>
    <w:rsid w:val="00787C7E"/>
    <w:rsid w:val="007922B2"/>
    <w:rsid w:val="0079595F"/>
    <w:rsid w:val="007A1D32"/>
    <w:rsid w:val="007B31CF"/>
    <w:rsid w:val="007C1E30"/>
    <w:rsid w:val="007C2FC9"/>
    <w:rsid w:val="007C542F"/>
    <w:rsid w:val="007D5369"/>
    <w:rsid w:val="007E0CBA"/>
    <w:rsid w:val="007E14A5"/>
    <w:rsid w:val="007E74F2"/>
    <w:rsid w:val="007F1119"/>
    <w:rsid w:val="008041BE"/>
    <w:rsid w:val="00811D23"/>
    <w:rsid w:val="008219F6"/>
    <w:rsid w:val="00821ADF"/>
    <w:rsid w:val="00822D3A"/>
    <w:rsid w:val="0082621A"/>
    <w:rsid w:val="008343A5"/>
    <w:rsid w:val="00837398"/>
    <w:rsid w:val="00840C3E"/>
    <w:rsid w:val="00843D22"/>
    <w:rsid w:val="008449BF"/>
    <w:rsid w:val="00846721"/>
    <w:rsid w:val="00870099"/>
    <w:rsid w:val="008704D8"/>
    <w:rsid w:val="00876865"/>
    <w:rsid w:val="00883BB0"/>
    <w:rsid w:val="00885000"/>
    <w:rsid w:val="00886098"/>
    <w:rsid w:val="00887252"/>
    <w:rsid w:val="00890CC0"/>
    <w:rsid w:val="00890E76"/>
    <w:rsid w:val="008B2AE6"/>
    <w:rsid w:val="008B5C4F"/>
    <w:rsid w:val="008B76C3"/>
    <w:rsid w:val="008C059B"/>
    <w:rsid w:val="008C18F3"/>
    <w:rsid w:val="008C4596"/>
    <w:rsid w:val="008D20A3"/>
    <w:rsid w:val="008D4FF3"/>
    <w:rsid w:val="008F78A6"/>
    <w:rsid w:val="00910320"/>
    <w:rsid w:val="00916F8A"/>
    <w:rsid w:val="00917527"/>
    <w:rsid w:val="0092518D"/>
    <w:rsid w:val="0093507F"/>
    <w:rsid w:val="00940789"/>
    <w:rsid w:val="00945632"/>
    <w:rsid w:val="0094707A"/>
    <w:rsid w:val="0095046A"/>
    <w:rsid w:val="009504AF"/>
    <w:rsid w:val="00951971"/>
    <w:rsid w:val="0095669E"/>
    <w:rsid w:val="009610E3"/>
    <w:rsid w:val="00961E26"/>
    <w:rsid w:val="00965393"/>
    <w:rsid w:val="00973E16"/>
    <w:rsid w:val="00983055"/>
    <w:rsid w:val="00986A7F"/>
    <w:rsid w:val="0099146C"/>
    <w:rsid w:val="00992818"/>
    <w:rsid w:val="00997A0D"/>
    <w:rsid w:val="009A3E11"/>
    <w:rsid w:val="009C204F"/>
    <w:rsid w:val="009D4A2C"/>
    <w:rsid w:val="009E4484"/>
    <w:rsid w:val="009F17ED"/>
    <w:rsid w:val="009F1CCE"/>
    <w:rsid w:val="009F2439"/>
    <w:rsid w:val="009F2A81"/>
    <w:rsid w:val="009F5DC2"/>
    <w:rsid w:val="009F6924"/>
    <w:rsid w:val="00A03706"/>
    <w:rsid w:val="00A12BE1"/>
    <w:rsid w:val="00A13A4F"/>
    <w:rsid w:val="00A201FC"/>
    <w:rsid w:val="00A24723"/>
    <w:rsid w:val="00A27244"/>
    <w:rsid w:val="00A27928"/>
    <w:rsid w:val="00A37292"/>
    <w:rsid w:val="00A50313"/>
    <w:rsid w:val="00A50BDD"/>
    <w:rsid w:val="00A52971"/>
    <w:rsid w:val="00A53C13"/>
    <w:rsid w:val="00A60C8B"/>
    <w:rsid w:val="00A74928"/>
    <w:rsid w:val="00A75931"/>
    <w:rsid w:val="00A80BA5"/>
    <w:rsid w:val="00A834DD"/>
    <w:rsid w:val="00A947C7"/>
    <w:rsid w:val="00A97A36"/>
    <w:rsid w:val="00A97B11"/>
    <w:rsid w:val="00AA369A"/>
    <w:rsid w:val="00AB4F95"/>
    <w:rsid w:val="00AB7BFA"/>
    <w:rsid w:val="00AC2696"/>
    <w:rsid w:val="00AC32A8"/>
    <w:rsid w:val="00AC7C7A"/>
    <w:rsid w:val="00AD095D"/>
    <w:rsid w:val="00AD5D0C"/>
    <w:rsid w:val="00AE4A1E"/>
    <w:rsid w:val="00AE78CB"/>
    <w:rsid w:val="00AE7B64"/>
    <w:rsid w:val="00AF0EF8"/>
    <w:rsid w:val="00AF28F1"/>
    <w:rsid w:val="00AF4D9A"/>
    <w:rsid w:val="00AF7EE2"/>
    <w:rsid w:val="00B0313D"/>
    <w:rsid w:val="00B06E79"/>
    <w:rsid w:val="00B206F7"/>
    <w:rsid w:val="00B26A26"/>
    <w:rsid w:val="00B271C5"/>
    <w:rsid w:val="00B31337"/>
    <w:rsid w:val="00B31A42"/>
    <w:rsid w:val="00B3740D"/>
    <w:rsid w:val="00B40EC9"/>
    <w:rsid w:val="00B4213A"/>
    <w:rsid w:val="00B430E7"/>
    <w:rsid w:val="00B4651E"/>
    <w:rsid w:val="00B46A60"/>
    <w:rsid w:val="00B53359"/>
    <w:rsid w:val="00B55A52"/>
    <w:rsid w:val="00B7568B"/>
    <w:rsid w:val="00B773D9"/>
    <w:rsid w:val="00B94FBD"/>
    <w:rsid w:val="00BA05C0"/>
    <w:rsid w:val="00BA2BDC"/>
    <w:rsid w:val="00BA4B14"/>
    <w:rsid w:val="00BB2074"/>
    <w:rsid w:val="00BB47FE"/>
    <w:rsid w:val="00BB5AA0"/>
    <w:rsid w:val="00BC44C0"/>
    <w:rsid w:val="00BC4FE8"/>
    <w:rsid w:val="00BD5E8B"/>
    <w:rsid w:val="00BD7688"/>
    <w:rsid w:val="00BE5110"/>
    <w:rsid w:val="00BE6212"/>
    <w:rsid w:val="00C003EE"/>
    <w:rsid w:val="00C14FE9"/>
    <w:rsid w:val="00C20D2E"/>
    <w:rsid w:val="00C21964"/>
    <w:rsid w:val="00C21983"/>
    <w:rsid w:val="00C22ACA"/>
    <w:rsid w:val="00C33CBC"/>
    <w:rsid w:val="00C435E1"/>
    <w:rsid w:val="00C47108"/>
    <w:rsid w:val="00C50736"/>
    <w:rsid w:val="00C53EE8"/>
    <w:rsid w:val="00C56DF5"/>
    <w:rsid w:val="00C618E4"/>
    <w:rsid w:val="00C64AA8"/>
    <w:rsid w:val="00C64D05"/>
    <w:rsid w:val="00C67583"/>
    <w:rsid w:val="00C7655C"/>
    <w:rsid w:val="00C76C47"/>
    <w:rsid w:val="00C83456"/>
    <w:rsid w:val="00C878E5"/>
    <w:rsid w:val="00CA0B5F"/>
    <w:rsid w:val="00CA3004"/>
    <w:rsid w:val="00CB2903"/>
    <w:rsid w:val="00CB5895"/>
    <w:rsid w:val="00CC2EF7"/>
    <w:rsid w:val="00CD3145"/>
    <w:rsid w:val="00CD41A8"/>
    <w:rsid w:val="00CF0EDC"/>
    <w:rsid w:val="00CF2E6B"/>
    <w:rsid w:val="00CF5C74"/>
    <w:rsid w:val="00CF71EC"/>
    <w:rsid w:val="00D0041B"/>
    <w:rsid w:val="00D04892"/>
    <w:rsid w:val="00D0786C"/>
    <w:rsid w:val="00D12B4A"/>
    <w:rsid w:val="00D27F3B"/>
    <w:rsid w:val="00D31D3E"/>
    <w:rsid w:val="00D46E63"/>
    <w:rsid w:val="00D47AF6"/>
    <w:rsid w:val="00D56C6B"/>
    <w:rsid w:val="00D66C8F"/>
    <w:rsid w:val="00D737F1"/>
    <w:rsid w:val="00D82BCD"/>
    <w:rsid w:val="00D84F72"/>
    <w:rsid w:val="00D8681B"/>
    <w:rsid w:val="00D87E21"/>
    <w:rsid w:val="00D93EBC"/>
    <w:rsid w:val="00DA0A07"/>
    <w:rsid w:val="00DA2078"/>
    <w:rsid w:val="00DB58C4"/>
    <w:rsid w:val="00DC29F1"/>
    <w:rsid w:val="00DC2A31"/>
    <w:rsid w:val="00DC2F74"/>
    <w:rsid w:val="00DC52AA"/>
    <w:rsid w:val="00DC5715"/>
    <w:rsid w:val="00DD3181"/>
    <w:rsid w:val="00DD4E97"/>
    <w:rsid w:val="00DD5A08"/>
    <w:rsid w:val="00DE190B"/>
    <w:rsid w:val="00DE391F"/>
    <w:rsid w:val="00DE7151"/>
    <w:rsid w:val="00DF357E"/>
    <w:rsid w:val="00E031EB"/>
    <w:rsid w:val="00E07D21"/>
    <w:rsid w:val="00E4259C"/>
    <w:rsid w:val="00E46904"/>
    <w:rsid w:val="00E517A2"/>
    <w:rsid w:val="00E56231"/>
    <w:rsid w:val="00E76FD6"/>
    <w:rsid w:val="00E90CE2"/>
    <w:rsid w:val="00E95D87"/>
    <w:rsid w:val="00EA0FBA"/>
    <w:rsid w:val="00EA23BD"/>
    <w:rsid w:val="00EB166F"/>
    <w:rsid w:val="00EB42DE"/>
    <w:rsid w:val="00EB63B5"/>
    <w:rsid w:val="00EC76F3"/>
    <w:rsid w:val="00ED3258"/>
    <w:rsid w:val="00EE6115"/>
    <w:rsid w:val="00EF0142"/>
    <w:rsid w:val="00EF7F33"/>
    <w:rsid w:val="00F05162"/>
    <w:rsid w:val="00F11E46"/>
    <w:rsid w:val="00F1262C"/>
    <w:rsid w:val="00F1716F"/>
    <w:rsid w:val="00F177B8"/>
    <w:rsid w:val="00F21F17"/>
    <w:rsid w:val="00F27DA5"/>
    <w:rsid w:val="00F400BE"/>
    <w:rsid w:val="00F410E5"/>
    <w:rsid w:val="00F45EF9"/>
    <w:rsid w:val="00F515BE"/>
    <w:rsid w:val="00F55CC3"/>
    <w:rsid w:val="00F563A4"/>
    <w:rsid w:val="00F568A8"/>
    <w:rsid w:val="00F714DD"/>
    <w:rsid w:val="00F71FA7"/>
    <w:rsid w:val="00F72C0B"/>
    <w:rsid w:val="00F73EB1"/>
    <w:rsid w:val="00F77D1F"/>
    <w:rsid w:val="00F86973"/>
    <w:rsid w:val="00F958FC"/>
    <w:rsid w:val="00FA62A7"/>
    <w:rsid w:val="00FA784E"/>
    <w:rsid w:val="00FA7F96"/>
    <w:rsid w:val="00FB2A95"/>
    <w:rsid w:val="00FC4301"/>
    <w:rsid w:val="00FC455C"/>
    <w:rsid w:val="00FD2E2C"/>
    <w:rsid w:val="00FD519D"/>
    <w:rsid w:val="00FD7514"/>
    <w:rsid w:val="00FF21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C7CCB63B-91DC-4F69-98C4-DF5977C5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3051"/>
    <w:pPr>
      <w:suppressAutoHyphens/>
    </w:pPr>
    <w:rPr>
      <w:rFonts w:ascii="Calibri" w:hAnsi="Calibri" w:cs="Times New Roman"/>
      <w:lang w:eastAsia="zh-CN"/>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2305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23051"/>
    <w:rPr>
      <w:rFonts w:ascii="Tahoma" w:hAnsi="Tahoma" w:cs="Tahoma"/>
      <w:sz w:val="16"/>
      <w:szCs w:val="16"/>
      <w:lang w:val="x-none" w:eastAsia="zh-CN"/>
    </w:rPr>
  </w:style>
  <w:style w:type="paragraph" w:styleId="Zkladntext">
    <w:name w:val="Body Text"/>
    <w:basedOn w:val="Normlny"/>
    <w:link w:val="ZkladntextChar"/>
    <w:uiPriority w:val="99"/>
    <w:rsid w:val="0037635C"/>
    <w:pPr>
      <w:suppressAutoHyphens w:val="0"/>
      <w:spacing w:after="0" w:line="240" w:lineRule="auto"/>
      <w:jc w:val="both"/>
    </w:pPr>
    <w:rPr>
      <w:rFonts w:ascii="Times New Roman" w:hAnsi="Times New Roman"/>
      <w:sz w:val="24"/>
      <w:szCs w:val="24"/>
      <w:lang w:eastAsia="cs-CZ"/>
    </w:rPr>
  </w:style>
  <w:style w:type="character" w:customStyle="1" w:styleId="ZkladntextChar">
    <w:name w:val="Základný text Char"/>
    <w:basedOn w:val="Predvolenpsmoodseku"/>
    <w:link w:val="Zkladntext"/>
    <w:uiPriority w:val="99"/>
    <w:locked/>
    <w:rsid w:val="0037635C"/>
    <w:rPr>
      <w:rFonts w:ascii="Times New Roman" w:hAnsi="Times New Roman" w:cs="Times New Roman"/>
      <w:sz w:val="24"/>
      <w:szCs w:val="24"/>
      <w:lang w:val="x-none" w:eastAsia="cs-CZ"/>
    </w:rPr>
  </w:style>
  <w:style w:type="character" w:styleId="PremennHTML">
    <w:name w:val="HTML Variable"/>
    <w:basedOn w:val="Predvolenpsmoodseku"/>
    <w:uiPriority w:val="99"/>
    <w:semiHidden/>
    <w:unhideWhenUsed/>
    <w:rsid w:val="0037635C"/>
    <w:rPr>
      <w:rFonts w:cs="Times New Roman"/>
      <w:i/>
      <w:iCs/>
    </w:rPr>
  </w:style>
  <w:style w:type="paragraph" w:customStyle="1" w:styleId="l5">
    <w:name w:val="l5"/>
    <w:basedOn w:val="Normlny"/>
    <w:rsid w:val="0037635C"/>
    <w:pPr>
      <w:suppressAutoHyphens w:val="0"/>
      <w:spacing w:before="100" w:beforeAutospacing="1" w:after="100" w:afterAutospacing="1" w:line="240" w:lineRule="auto"/>
    </w:pPr>
    <w:rPr>
      <w:rFonts w:ascii="Times New Roman" w:hAnsi="Times New Roman"/>
      <w:sz w:val="24"/>
      <w:szCs w:val="24"/>
      <w:lang w:eastAsia="sk-SK"/>
    </w:rPr>
  </w:style>
  <w:style w:type="paragraph" w:customStyle="1" w:styleId="l6">
    <w:name w:val="l6"/>
    <w:basedOn w:val="Normlny"/>
    <w:rsid w:val="0037635C"/>
    <w:pPr>
      <w:suppressAutoHyphens w:val="0"/>
      <w:spacing w:before="100" w:beforeAutospacing="1" w:after="100" w:afterAutospacing="1" w:line="240" w:lineRule="auto"/>
    </w:pPr>
    <w:rPr>
      <w:rFonts w:ascii="Times New Roman" w:hAnsi="Times New Roman"/>
      <w:sz w:val="24"/>
      <w:szCs w:val="24"/>
      <w:lang w:eastAsia="sk-SK"/>
    </w:rPr>
  </w:style>
  <w:style w:type="character" w:customStyle="1" w:styleId="h1a">
    <w:name w:val="h1a"/>
    <w:basedOn w:val="Predvolenpsmoodseku"/>
    <w:rsid w:val="0037635C"/>
    <w:rPr>
      <w:rFonts w:cs="Times New Roman"/>
    </w:rPr>
  </w:style>
  <w:style w:type="paragraph" w:styleId="Normlnywebov">
    <w:name w:val="Normal (Web)"/>
    <w:basedOn w:val="Normlny"/>
    <w:uiPriority w:val="99"/>
    <w:semiHidden/>
    <w:unhideWhenUsed/>
    <w:rsid w:val="00244054"/>
    <w:pPr>
      <w:suppressAutoHyphens w:val="0"/>
      <w:spacing w:before="100" w:beforeAutospacing="1" w:after="100" w:afterAutospacing="1" w:line="240" w:lineRule="auto"/>
    </w:pPr>
    <w:rPr>
      <w:rFonts w:ascii="Times New Roman" w:hAnsi="Times New Roman"/>
      <w:sz w:val="24"/>
      <w:szCs w:val="24"/>
      <w:lang w:eastAsia="sk-SK"/>
    </w:rPr>
  </w:style>
  <w:style w:type="character" w:styleId="Siln">
    <w:name w:val="Strong"/>
    <w:basedOn w:val="Predvolenpsmoodseku"/>
    <w:uiPriority w:val="22"/>
    <w:qFormat/>
    <w:rsid w:val="00244054"/>
    <w:rPr>
      <w:rFonts w:cs="Times New Roman"/>
      <w:b/>
      <w:bCs/>
    </w:rPr>
  </w:style>
  <w:style w:type="paragraph" w:styleId="Odsekzoznamu">
    <w:name w:val="List Paragraph"/>
    <w:basedOn w:val="Normlny"/>
    <w:uiPriority w:val="34"/>
    <w:qFormat/>
    <w:rsid w:val="0049558B"/>
    <w:pPr>
      <w:suppressAutoHyphens w:val="0"/>
      <w:spacing w:after="160" w:line="259" w:lineRule="auto"/>
      <w:ind w:left="720"/>
      <w:contextualSpacing/>
    </w:pPr>
    <w:rPr>
      <w:rFonts w:asciiTheme="minorHAnsi" w:hAnsiTheme="minorHAnsi"/>
      <w:lang w:eastAsia="en-US"/>
    </w:rPr>
  </w:style>
  <w:style w:type="character" w:styleId="Odkaznakomentr">
    <w:name w:val="annotation reference"/>
    <w:basedOn w:val="Predvolenpsmoodseku"/>
    <w:uiPriority w:val="99"/>
    <w:semiHidden/>
    <w:unhideWhenUsed/>
    <w:rsid w:val="00A12BE1"/>
    <w:rPr>
      <w:rFonts w:cs="Times New Roman"/>
      <w:sz w:val="16"/>
      <w:szCs w:val="16"/>
    </w:rPr>
  </w:style>
  <w:style w:type="paragraph" w:styleId="Textkomentra">
    <w:name w:val="annotation text"/>
    <w:basedOn w:val="Normlny"/>
    <w:link w:val="TextkomentraChar"/>
    <w:uiPriority w:val="99"/>
    <w:semiHidden/>
    <w:unhideWhenUsed/>
    <w:rsid w:val="00A12BE1"/>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A12BE1"/>
    <w:rPr>
      <w:rFonts w:ascii="Calibri" w:hAnsi="Calibri" w:cs="Times New Roman"/>
      <w:sz w:val="20"/>
      <w:szCs w:val="20"/>
      <w:lang w:val="x-none" w:eastAsia="zh-CN"/>
    </w:rPr>
  </w:style>
  <w:style w:type="paragraph" w:styleId="Predmetkomentra">
    <w:name w:val="annotation subject"/>
    <w:basedOn w:val="Textkomentra"/>
    <w:next w:val="Textkomentra"/>
    <w:link w:val="PredmetkomentraChar"/>
    <w:uiPriority w:val="99"/>
    <w:semiHidden/>
    <w:unhideWhenUsed/>
    <w:rsid w:val="00A12BE1"/>
    <w:rPr>
      <w:b/>
      <w:bCs/>
    </w:rPr>
  </w:style>
  <w:style w:type="character" w:customStyle="1" w:styleId="PredmetkomentraChar">
    <w:name w:val="Predmet komentára Char"/>
    <w:basedOn w:val="TextkomentraChar"/>
    <w:link w:val="Predmetkomentra"/>
    <w:uiPriority w:val="99"/>
    <w:semiHidden/>
    <w:locked/>
    <w:rsid w:val="00A12BE1"/>
    <w:rPr>
      <w:rFonts w:ascii="Calibri" w:hAnsi="Calibri" w:cs="Times New Roman"/>
      <w:b/>
      <w:bCs/>
      <w:sz w:val="20"/>
      <w:szCs w:val="20"/>
      <w:lang w:val="x-none" w:eastAsia="zh-CN"/>
    </w:rPr>
  </w:style>
  <w:style w:type="character" w:customStyle="1" w:styleId="iadne">
    <w:name w:val="Žiadne"/>
    <w:rsid w:val="00B430E7"/>
  </w:style>
  <w:style w:type="character" w:customStyle="1" w:styleId="Hyperlink0">
    <w:name w:val="Hyperlink.0"/>
    <w:basedOn w:val="iadne"/>
    <w:rsid w:val="00B430E7"/>
    <w:rPr>
      <w:rFonts w:ascii="Book Antiqua" w:hAnsi="Book Antiqua" w:cs="Book Antiqua"/>
      <w:b/>
      <w:bCs/>
    </w:rPr>
  </w:style>
  <w:style w:type="paragraph" w:customStyle="1" w:styleId="PredvolenA">
    <w:name w:val="Predvolené A"/>
    <w:rsid w:val="00B430E7"/>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s="Arial Unicode MS"/>
      <w:color w:val="000000"/>
      <w:u w:color="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699232">
      <w:marLeft w:val="0"/>
      <w:marRight w:val="0"/>
      <w:marTop w:val="0"/>
      <w:marBottom w:val="0"/>
      <w:divBdr>
        <w:top w:val="none" w:sz="0" w:space="0" w:color="auto"/>
        <w:left w:val="none" w:sz="0" w:space="0" w:color="auto"/>
        <w:bottom w:val="none" w:sz="0" w:space="0" w:color="auto"/>
        <w:right w:val="none" w:sz="0" w:space="0" w:color="auto"/>
      </w:divBdr>
    </w:div>
    <w:div w:id="1965699234">
      <w:marLeft w:val="0"/>
      <w:marRight w:val="0"/>
      <w:marTop w:val="0"/>
      <w:marBottom w:val="0"/>
      <w:divBdr>
        <w:top w:val="none" w:sz="0" w:space="0" w:color="auto"/>
        <w:left w:val="none" w:sz="0" w:space="0" w:color="auto"/>
        <w:bottom w:val="none" w:sz="0" w:space="0" w:color="auto"/>
        <w:right w:val="none" w:sz="0" w:space="0" w:color="auto"/>
      </w:divBdr>
      <w:divsChild>
        <w:div w:id="1965699233">
          <w:marLeft w:val="0"/>
          <w:marRight w:val="0"/>
          <w:marTop w:val="0"/>
          <w:marBottom w:val="0"/>
          <w:divBdr>
            <w:top w:val="none" w:sz="0" w:space="0" w:color="auto"/>
            <w:left w:val="none" w:sz="0" w:space="0" w:color="auto"/>
            <w:bottom w:val="none" w:sz="0" w:space="0" w:color="auto"/>
            <w:right w:val="none" w:sz="0" w:space="0" w:color="auto"/>
          </w:divBdr>
        </w:div>
        <w:div w:id="1965699235">
          <w:marLeft w:val="-750"/>
          <w:marRight w:val="0"/>
          <w:marTop w:val="0"/>
          <w:marBottom w:val="375"/>
          <w:divBdr>
            <w:top w:val="none" w:sz="0" w:space="0" w:color="auto"/>
            <w:left w:val="none" w:sz="0" w:space="0" w:color="auto"/>
            <w:bottom w:val="none" w:sz="0" w:space="0" w:color="auto"/>
            <w:right w:val="none" w:sz="0" w:space="0" w:color="auto"/>
          </w:divBdr>
          <w:divsChild>
            <w:div w:id="1965699230">
              <w:marLeft w:val="0"/>
              <w:marRight w:val="300"/>
              <w:marTop w:val="300"/>
              <w:marBottom w:val="300"/>
              <w:divBdr>
                <w:top w:val="none" w:sz="0" w:space="0" w:color="auto"/>
                <w:left w:val="none" w:sz="0" w:space="0" w:color="auto"/>
                <w:bottom w:val="none" w:sz="0" w:space="0" w:color="auto"/>
                <w:right w:val="none" w:sz="0" w:space="0" w:color="auto"/>
              </w:divBdr>
            </w:div>
            <w:div w:id="1965699231">
              <w:marLeft w:val="0"/>
              <w:marRight w:val="0"/>
              <w:marTop w:val="270"/>
              <w:marBottom w:val="0"/>
              <w:divBdr>
                <w:top w:val="none" w:sz="0" w:space="0" w:color="auto"/>
                <w:left w:val="none" w:sz="0" w:space="0" w:color="auto"/>
                <w:bottom w:val="none" w:sz="0" w:space="0" w:color="auto"/>
                <w:right w:val="none" w:sz="0" w:space="0" w:color="auto"/>
              </w:divBdr>
              <w:divsChild>
                <w:div w:id="19656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992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A15F1-DA45-447C-A3DD-382BB889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1785</Words>
  <Characters>10177</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Gašparíková, Jarmila</cp:lastModifiedBy>
  <cp:revision>2</cp:revision>
  <cp:lastPrinted>2019-03-06T09:10:00Z</cp:lastPrinted>
  <dcterms:created xsi:type="dcterms:W3CDTF">2019-03-07T12:48:00Z</dcterms:created>
  <dcterms:modified xsi:type="dcterms:W3CDTF">2019-03-07T12:48:00Z</dcterms:modified>
</cp:coreProperties>
</file>