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A6" w:rsidRPr="00A64D2D" w:rsidRDefault="008B25A6" w:rsidP="008B25A6">
      <w:pPr>
        <w:widowControl/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t>Dôvodová správa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Default="008B25A6" w:rsidP="008B25A6">
      <w:pPr>
        <w:widowControl/>
        <w:jc w:val="both"/>
        <w:rPr>
          <w:b/>
          <w:color w:val="000000"/>
        </w:rPr>
      </w:pPr>
      <w:r w:rsidRPr="00A64D2D">
        <w:rPr>
          <w:b/>
          <w:color w:val="000000"/>
        </w:rPr>
        <w:t>A. Všeobecná časť</w:t>
      </w:r>
    </w:p>
    <w:p w:rsidR="00F615C4" w:rsidRPr="00A64D2D" w:rsidRDefault="00F615C4" w:rsidP="008B25A6">
      <w:pPr>
        <w:widowControl/>
        <w:jc w:val="both"/>
        <w:rPr>
          <w:b/>
          <w:color w:val="000000"/>
        </w:rPr>
      </w:pPr>
    </w:p>
    <w:p w:rsidR="00785DEB" w:rsidRDefault="00163D64" w:rsidP="00F615C4">
      <w:pPr>
        <w:pStyle w:val="Normlnywebov"/>
        <w:spacing w:before="120" w:beforeAutospacing="0" w:after="0" w:afterAutospacing="0" w:line="276" w:lineRule="auto"/>
        <w:ind w:firstLine="720"/>
        <w:jc w:val="both"/>
      </w:pPr>
      <w:r>
        <w:t xml:space="preserve">Na rokovanie </w:t>
      </w:r>
      <w:r w:rsidR="005C33A0">
        <w:t xml:space="preserve">Národnej rady Slovenskej republiky </w:t>
      </w:r>
      <w:r>
        <w:t xml:space="preserve">sa predkladá </w:t>
      </w:r>
      <w:r w:rsidR="00785DEB">
        <w:t xml:space="preserve">návrh zákona, ktorým sa </w:t>
      </w:r>
      <w:r w:rsidR="00CA3C0F">
        <w:t xml:space="preserve">mení a </w:t>
      </w:r>
      <w:r w:rsidR="00785DEB">
        <w:t xml:space="preserve">dopĺňa zákon č. 185/2009 Z. z. o stimuloch pre výskum a vývoj a o doplnení zákona č. 595/2003 Z. z. o dani z príjmov v znení </w:t>
      </w:r>
      <w:r w:rsidR="00614E12">
        <w:t>neskorších predpisov</w:t>
      </w:r>
      <w:r w:rsidR="00252B53">
        <w:t xml:space="preserve"> v znení neskorších predpisov</w:t>
      </w:r>
      <w:r w:rsidR="00614E12">
        <w:t>.</w:t>
      </w:r>
    </w:p>
    <w:p w:rsidR="00F615C4" w:rsidRDefault="00F615C4" w:rsidP="00F615C4">
      <w:pPr>
        <w:pStyle w:val="Normlnywebov"/>
        <w:spacing w:before="120" w:beforeAutospacing="0" w:after="0" w:afterAutospacing="0" w:line="276" w:lineRule="auto"/>
        <w:jc w:val="both"/>
      </w:pPr>
    </w:p>
    <w:p w:rsidR="00960772" w:rsidRDefault="00960772" w:rsidP="00F615C4">
      <w:pPr>
        <w:pStyle w:val="Normlnywebov"/>
        <w:spacing w:before="120" w:beforeAutospacing="0" w:after="0" w:afterAutospacing="0" w:line="276" w:lineRule="auto"/>
        <w:ind w:firstLine="720"/>
        <w:jc w:val="both"/>
      </w:pPr>
      <w:r>
        <w:t xml:space="preserve">Zákon č. 315/2016 Z. z. </w:t>
      </w:r>
      <w:r w:rsidR="00614E12">
        <w:t xml:space="preserve">o registri partnerov verejného sektora a o zmene a doplnení niektorých zákonov (ďalej len „zákon č. 315/2016 Z. z.“) </w:t>
      </w:r>
      <w:r>
        <w:t>vo svojich novelizačných článkoch novelizoval s doplnením požiadavky na zápis</w:t>
      </w:r>
      <w:r w:rsidR="00DC4538">
        <w:t xml:space="preserve"> do registra partnerov verejného sektora (aj s príslušným sankciami)</w:t>
      </w:r>
    </w:p>
    <w:p w:rsidR="001D27A5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 xml:space="preserve">zákon č. </w:t>
      </w:r>
      <w:r w:rsidRPr="001D27A5">
        <w:rPr>
          <w:b/>
        </w:rPr>
        <w:t>51/1988</w:t>
      </w:r>
      <w:r>
        <w:t xml:space="preserve"> Zb. </w:t>
      </w:r>
      <w:r w:rsidRPr="000351D2">
        <w:t xml:space="preserve">o banskej činnosti, výbušninách a </w:t>
      </w:r>
      <w:r>
        <w:t xml:space="preserve">o štátnej banskej správe (§ 4a ods. 3 </w:t>
      </w:r>
      <w:r w:rsidRPr="001D27A5">
        <w:rPr>
          <w:i/>
        </w:rPr>
        <w:t xml:space="preserve">„Banské </w:t>
      </w:r>
      <w:r w:rsidRPr="001D27A5">
        <w:rPr>
          <w:b/>
          <w:i/>
        </w:rPr>
        <w:t>oprávnenie možno vydať</w:t>
      </w:r>
      <w:r w:rsidRPr="001D27A5">
        <w:rPr>
          <w:i/>
        </w:rPr>
        <w:t xml:space="preserve"> slovenskej osobe alebo zahraničnej osobe, </w:t>
      </w:r>
      <w:r w:rsidRPr="001D27A5">
        <w:rPr>
          <w:b/>
          <w:i/>
        </w:rPr>
        <w:t>ktorá je</w:t>
      </w:r>
      <w:r w:rsidRPr="00A16BF3">
        <w:rPr>
          <w:b/>
          <w:i/>
        </w:rPr>
        <w:t xml:space="preserve"> zapísaná</w:t>
      </w:r>
      <w:r w:rsidRPr="001D27A5">
        <w:rPr>
          <w:i/>
        </w:rPr>
        <w:t xml:space="preserve"> v registri partnerov verejného sektora.“</w:t>
      </w:r>
      <w:r>
        <w:t xml:space="preserve">),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92/1991</w:t>
      </w:r>
      <w:r w:rsidRPr="000351D2">
        <w:t xml:space="preserve"> Zb. o podmienkach prevodu majetku štátu na iné osoby</w:t>
      </w:r>
      <w:r>
        <w:t xml:space="preserve"> (§ 42 </w:t>
      </w:r>
      <w:r w:rsidRPr="00960772">
        <w:rPr>
          <w:i/>
        </w:rPr>
        <w:t xml:space="preserve">„Fyzická osoba a právnická osoba, ktorá má povinnosť zapisovať sa do registra partnerov verejného sektora, </w:t>
      </w:r>
      <w:r w:rsidRPr="00960772">
        <w:rPr>
          <w:b/>
          <w:i/>
        </w:rPr>
        <w:t>môže byť nadobúdateľom</w:t>
      </w:r>
      <w:r w:rsidRPr="00960772">
        <w:rPr>
          <w:i/>
        </w:rPr>
        <w:t xml:space="preserve"> privatizovaného majetku podľa tohto zákona </w:t>
      </w:r>
      <w:r w:rsidRPr="00960772">
        <w:rPr>
          <w:b/>
          <w:i/>
        </w:rPr>
        <w:t>len vtedy, ak je</w:t>
      </w:r>
      <w:r w:rsidRPr="00A16BF3">
        <w:rPr>
          <w:b/>
          <w:i/>
        </w:rPr>
        <w:t xml:space="preserve"> zapísaná</w:t>
      </w:r>
      <w:r w:rsidRPr="00960772">
        <w:rPr>
          <w:i/>
        </w:rPr>
        <w:t xml:space="preserve"> v registri partnerov verejného sektora.“</w:t>
      </w:r>
      <w:r>
        <w:t xml:space="preserve">), </w:t>
      </w:r>
      <w:r w:rsidRPr="000351D2"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138/1991</w:t>
      </w:r>
      <w:r w:rsidRPr="000351D2">
        <w:t xml:space="preserve"> Zb. o majetku obcí</w:t>
      </w:r>
      <w:r>
        <w:t xml:space="preserve"> (§ 9a ods. 12 </w:t>
      </w:r>
      <w:r w:rsidRPr="00960772">
        <w:rPr>
          <w:i/>
        </w:rPr>
        <w:t xml:space="preserve">„Fyzická osoba a právnická osoba, ktorá nie je subjektom verejnej správy, ktorá má povinnosť zapisovať sa do registra partnerov verejného sektora, </w:t>
      </w:r>
      <w:r w:rsidRPr="00960772">
        <w:rPr>
          <w:b/>
          <w:i/>
        </w:rPr>
        <w:t>môže byť nadobúdateľom</w:t>
      </w:r>
      <w:r w:rsidRPr="00960772">
        <w:rPr>
          <w:i/>
        </w:rPr>
        <w:t xml:space="preserve"> majetku obce podľa tohto zákona </w:t>
      </w:r>
      <w:r w:rsidRPr="00960772">
        <w:rPr>
          <w:b/>
          <w:i/>
        </w:rPr>
        <w:t>len vtedy, ak j</w:t>
      </w:r>
      <w:r w:rsidRPr="00A16BF3">
        <w:rPr>
          <w:b/>
          <w:i/>
        </w:rPr>
        <w:t>e zapísaná</w:t>
      </w:r>
      <w:r w:rsidRPr="00960772">
        <w:rPr>
          <w:i/>
        </w:rPr>
        <w:t xml:space="preserve"> v registri partnerov verejného sektora.“</w:t>
      </w:r>
      <w:r>
        <w:t>),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>ákon č. 278/1993 Z. z. o správe majetku štátu</w:t>
      </w:r>
      <w:r>
        <w:t xml:space="preserve"> (§ 8g </w:t>
      </w:r>
      <w:r w:rsidRPr="00960772">
        <w:rPr>
          <w:i/>
        </w:rPr>
        <w:t xml:space="preserve">„Fyzická osoba a právnická osoba, ktorá nie je subjektom verejnej správy, ktorá má povinnosť zapisovať sa do registra partnerov verejného sektora, </w:t>
      </w:r>
      <w:r w:rsidRPr="00960772">
        <w:rPr>
          <w:b/>
          <w:i/>
        </w:rPr>
        <w:t>môže byť nadobúdateľom</w:t>
      </w:r>
      <w:r w:rsidRPr="00960772">
        <w:rPr>
          <w:i/>
        </w:rPr>
        <w:t xml:space="preserve"> majetku štátu podľa tohto zákona </w:t>
      </w:r>
      <w:r w:rsidRPr="00960772">
        <w:rPr>
          <w:b/>
          <w:i/>
        </w:rPr>
        <w:t>len vtedy, ak je</w:t>
      </w:r>
      <w:r w:rsidRPr="00A16BF3">
        <w:rPr>
          <w:b/>
          <w:i/>
        </w:rPr>
        <w:t xml:space="preserve"> zapísaná</w:t>
      </w:r>
      <w:r w:rsidRPr="00960772">
        <w:rPr>
          <w:i/>
        </w:rPr>
        <w:t xml:space="preserve"> v registri partnerov verejného sektora.“</w:t>
      </w:r>
      <w:r>
        <w:t>),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446/2001</w:t>
      </w:r>
      <w:r w:rsidRPr="000351D2">
        <w:t xml:space="preserve"> Z. z. o majetku vyšších územných celkov</w:t>
      </w:r>
      <w:r>
        <w:t xml:space="preserve"> (§ 9a ods. 12 </w:t>
      </w:r>
      <w:r w:rsidRPr="00960772">
        <w:rPr>
          <w:i/>
        </w:rPr>
        <w:t xml:space="preserve">„Fyzická osoba a právnická osoba, ktorá nie je subjektom verejnej správy, ktorá má povinnosť zapisovať sa do registra partnerov verejného sektora, </w:t>
      </w:r>
      <w:r w:rsidRPr="00960772">
        <w:rPr>
          <w:b/>
          <w:i/>
        </w:rPr>
        <w:t>môže byť nadobúdateľom</w:t>
      </w:r>
      <w:r w:rsidRPr="00960772">
        <w:rPr>
          <w:i/>
        </w:rPr>
        <w:t xml:space="preserve"> majetku vyššieho územného celku podľa tohto zákona </w:t>
      </w:r>
      <w:r w:rsidRPr="00960772">
        <w:rPr>
          <w:b/>
          <w:i/>
        </w:rPr>
        <w:t>len vtedy, ak je</w:t>
      </w:r>
      <w:r w:rsidRPr="00A16BF3">
        <w:rPr>
          <w:b/>
          <w:i/>
        </w:rPr>
        <w:t xml:space="preserve"> zapísaná</w:t>
      </w:r>
      <w:r w:rsidRPr="00960772">
        <w:rPr>
          <w:i/>
        </w:rPr>
        <w:t xml:space="preserve"> v registri partnerov verejného sektora.“</w:t>
      </w:r>
      <w:r>
        <w:t>)</w:t>
      </w:r>
      <w:r w:rsidRPr="00960772">
        <w:t>,</w:t>
      </w:r>
      <w:r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176/2004</w:t>
      </w:r>
      <w:r w:rsidRPr="000351D2">
        <w:t xml:space="preserve"> Z. z. o nakladaní s majetkom verejnoprávnych inštitúcií</w:t>
      </w:r>
      <w:r>
        <w:t xml:space="preserve"> (§ 14 ods. 3 </w:t>
      </w:r>
      <w:r w:rsidRPr="00960772">
        <w:rPr>
          <w:i/>
        </w:rPr>
        <w:t xml:space="preserve">„Verejnoprávna inštitúcia </w:t>
      </w:r>
      <w:r w:rsidRPr="0046552B">
        <w:rPr>
          <w:b/>
          <w:i/>
        </w:rPr>
        <w:t>nemôže p</w:t>
      </w:r>
      <w:r w:rsidRPr="00960772">
        <w:rPr>
          <w:b/>
          <w:i/>
        </w:rPr>
        <w:t>reviesť vlastnícke právo</w:t>
      </w:r>
      <w:r w:rsidRPr="00960772">
        <w:rPr>
          <w:i/>
        </w:rPr>
        <w:t xml:space="preserve"> k majetku ani na fyzickú osobu alebo právnickú osobu, ktorá nie je subjektom verejnej správy, ktorá má povinnosť zapisovať sa do registra partnerov verejného sektora a </w:t>
      </w:r>
      <w:r w:rsidRPr="0046552B">
        <w:rPr>
          <w:b/>
          <w:i/>
        </w:rPr>
        <w:t>nie je zapísaná</w:t>
      </w:r>
      <w:r w:rsidRPr="00960772">
        <w:rPr>
          <w:i/>
        </w:rPr>
        <w:t xml:space="preserve"> v registri partnerov verejného sektora.“</w:t>
      </w:r>
      <w:r>
        <w:t>),</w:t>
      </w:r>
      <w:r w:rsidRPr="000351D2"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lastRenderedPageBreak/>
        <w:t>z</w:t>
      </w:r>
      <w:r w:rsidRPr="000351D2">
        <w:t xml:space="preserve">ákon č. </w:t>
      </w:r>
      <w:r w:rsidRPr="001D27A5">
        <w:rPr>
          <w:b/>
        </w:rPr>
        <w:t>523/2004</w:t>
      </w:r>
      <w:r w:rsidRPr="000351D2">
        <w:t xml:space="preserve"> Z. z. o rozpočtových pravidlách verejnej správy</w:t>
      </w:r>
      <w:r w:rsidR="0046552B">
        <w:t xml:space="preserve"> [§ 8a ods. 4 písm. h) </w:t>
      </w:r>
      <w:r w:rsidR="0046552B" w:rsidRPr="0046552B">
        <w:rPr>
          <w:i/>
        </w:rPr>
        <w:t xml:space="preserve">„Dotáciu podľa odseku 1 </w:t>
      </w:r>
      <w:r w:rsidR="0046552B" w:rsidRPr="0046552B">
        <w:rPr>
          <w:b/>
          <w:i/>
        </w:rPr>
        <w:t>možno poskytnúť</w:t>
      </w:r>
      <w:r w:rsidR="0046552B" w:rsidRPr="0046552B">
        <w:rPr>
          <w:i/>
        </w:rPr>
        <w:t xml:space="preserve"> žiadateľovi, </w:t>
      </w:r>
      <w:r w:rsidR="0046552B" w:rsidRPr="0046552B">
        <w:rPr>
          <w:b/>
          <w:i/>
        </w:rPr>
        <w:t>ak ... je zapísaný</w:t>
      </w:r>
      <w:r w:rsidR="0046552B" w:rsidRPr="0046552B">
        <w:rPr>
          <w:i/>
        </w:rPr>
        <w:t xml:space="preserve"> v registri partnerov verejného sektora, ak ide o žiadateľa, ktorý má povinnosť zapisovať sa do registra partnerov verejného sektora.“</w:t>
      </w:r>
      <w:r w:rsidR="0046552B">
        <w:t>]</w:t>
      </w:r>
      <w:r>
        <w:t>,</w:t>
      </w:r>
      <w:r w:rsidRPr="000351D2"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zá</w:t>
      </w:r>
      <w:r w:rsidRPr="000351D2">
        <w:t xml:space="preserve">kon č. </w:t>
      </w:r>
      <w:r w:rsidRPr="001D27A5">
        <w:rPr>
          <w:b/>
        </w:rPr>
        <w:t>581/2004</w:t>
      </w:r>
      <w:r w:rsidRPr="000351D2">
        <w:t xml:space="preserve"> Z. z. o zdravotných poisťovniach, dohľade nad zdravotnou starostlivosťou</w:t>
      </w:r>
      <w:r w:rsidR="0046552B">
        <w:t xml:space="preserve"> </w:t>
      </w:r>
      <w:r w:rsidR="0046552B" w:rsidRPr="007F12B8">
        <w:t>[</w:t>
      </w:r>
      <w:r w:rsidR="0046552B">
        <w:t xml:space="preserve">§ 34a </w:t>
      </w:r>
      <w:r w:rsidR="0046552B" w:rsidRPr="0046552B">
        <w:rPr>
          <w:i/>
        </w:rPr>
        <w:t xml:space="preserve">„Zdravotná poisťovňa </w:t>
      </w:r>
      <w:r w:rsidR="0046552B" w:rsidRPr="0046552B">
        <w:rPr>
          <w:b/>
          <w:i/>
        </w:rPr>
        <w:t>sa zapisuje</w:t>
      </w:r>
      <w:r w:rsidR="0046552B" w:rsidRPr="0046552B">
        <w:rPr>
          <w:i/>
        </w:rPr>
        <w:t xml:space="preserve"> do registra partnerov verejného sektora.“</w:t>
      </w:r>
      <w:r w:rsidR="0046552B" w:rsidRPr="0046552B">
        <w:t>, resp. §</w:t>
      </w:r>
      <w:r w:rsidR="0046552B">
        <w:t xml:space="preserve"> 39 ods. 1 písm. k) </w:t>
      </w:r>
      <w:r w:rsidR="0046552B" w:rsidRPr="0046552B">
        <w:rPr>
          <w:i/>
        </w:rPr>
        <w:t xml:space="preserve">„Úrad </w:t>
      </w:r>
      <w:r w:rsidR="0046552B" w:rsidRPr="0046552B">
        <w:rPr>
          <w:b/>
          <w:i/>
        </w:rPr>
        <w:t>zruší povolenie</w:t>
      </w:r>
      <w:r w:rsidR="0046552B" w:rsidRPr="0046552B">
        <w:rPr>
          <w:i/>
        </w:rPr>
        <w:t xml:space="preserve">, ak ... zdravotná poisťovňa </w:t>
      </w:r>
      <w:r w:rsidR="0046552B" w:rsidRPr="0046552B">
        <w:rPr>
          <w:b/>
          <w:i/>
        </w:rPr>
        <w:t>nie je zapísaná</w:t>
      </w:r>
      <w:r w:rsidR="0046552B" w:rsidRPr="0046552B">
        <w:rPr>
          <w:i/>
        </w:rPr>
        <w:t xml:space="preserve"> v registri partnerov verejného sektora.“</w:t>
      </w:r>
      <w:r w:rsidR="0046552B" w:rsidRPr="0046552B">
        <w:t>]</w:t>
      </w:r>
      <w:r w:rsidRPr="0046552B">
        <w:t>,</w:t>
      </w:r>
      <w:r w:rsidRPr="000351D2"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561/2007</w:t>
      </w:r>
      <w:r w:rsidRPr="000351D2">
        <w:t xml:space="preserve"> Z. z. o investičnej pomoci</w:t>
      </w:r>
      <w:r w:rsidR="0046552B">
        <w:t xml:space="preserve"> </w:t>
      </w:r>
      <w:r w:rsidR="0046552B" w:rsidRPr="007F12B8">
        <w:t>[</w:t>
      </w:r>
      <w:r w:rsidR="0046552B">
        <w:t xml:space="preserve">§ 3 písm. c) </w:t>
      </w:r>
      <w:r w:rsidR="0046552B" w:rsidRPr="0046552B">
        <w:rPr>
          <w:i/>
        </w:rPr>
        <w:t xml:space="preserve">„Na účely tohto zákona sa rozumie ... </w:t>
      </w:r>
      <w:r w:rsidR="0046552B" w:rsidRPr="0046552B">
        <w:rPr>
          <w:b/>
          <w:i/>
        </w:rPr>
        <w:t>prijímateľom</w:t>
      </w:r>
      <w:r w:rsidR="0046552B" w:rsidRPr="0046552B">
        <w:rPr>
          <w:i/>
        </w:rPr>
        <w:t xml:space="preserve"> investičnej pomoci (ďalej len „prijímateľ“) právnická osoba alebo fyzická osoba – podnikateľ so sídlom v Slovenskej republike </w:t>
      </w:r>
      <w:r w:rsidR="0046552B" w:rsidRPr="0046552B">
        <w:rPr>
          <w:b/>
          <w:i/>
        </w:rPr>
        <w:t>a je zapísaná</w:t>
      </w:r>
      <w:r w:rsidR="0046552B" w:rsidRPr="0046552B">
        <w:rPr>
          <w:i/>
        </w:rPr>
        <w:t xml:space="preserve"> v registri partnerov verejného sektora, ak má prijímateľ povinnosť zapisovať sa do registra partnerov verejného sektora, ...“</w:t>
      </w:r>
      <w:r w:rsidR="0046552B">
        <w:t>]</w:t>
      </w:r>
      <w:r w:rsidRPr="0046552B">
        <w:t>,</w:t>
      </w:r>
      <w:r w:rsidRPr="000351D2"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569/2007</w:t>
      </w:r>
      <w:r w:rsidRPr="000351D2">
        <w:t xml:space="preserve"> Z. z. o geologických prácach (geologický zákon)</w:t>
      </w:r>
      <w:r w:rsidR="0046552B">
        <w:t xml:space="preserve"> </w:t>
      </w:r>
      <w:r w:rsidR="0046552B" w:rsidRPr="007F12B8">
        <w:t>(§ 5 ods. 1</w:t>
      </w:r>
      <w:r w:rsidR="0046552B">
        <w:t xml:space="preserve"> </w:t>
      </w:r>
      <w:r w:rsidR="0046552B" w:rsidRPr="0046552B">
        <w:rPr>
          <w:i/>
        </w:rPr>
        <w:t xml:space="preserve">„Geologické </w:t>
      </w:r>
      <w:r w:rsidR="0046552B" w:rsidRPr="0046552B">
        <w:rPr>
          <w:b/>
          <w:i/>
        </w:rPr>
        <w:t>oprávnenie vydáva</w:t>
      </w:r>
      <w:r w:rsidR="0046552B" w:rsidRPr="0046552B">
        <w:rPr>
          <w:i/>
        </w:rPr>
        <w:t xml:space="preserve"> ministerstvo slovenskej osobe alebo zahraničnej osobe </w:t>
      </w:r>
      <w:r w:rsidR="0046552B" w:rsidRPr="0046552B">
        <w:rPr>
          <w:b/>
          <w:i/>
        </w:rPr>
        <w:t>zapísanej v</w:t>
      </w:r>
      <w:r w:rsidR="0046552B" w:rsidRPr="0046552B">
        <w:rPr>
          <w:i/>
        </w:rPr>
        <w:t xml:space="preserve"> registri partnerov verejného sektora na základe žiadosti o vydanie geologického oprávnenia. Ministerstvo po prijatí žiadosti o vydanie geologického oprávnenia vydá žiadateľovi bezodkladne potvrdenie o prijatí žiadosti o vydanie geologického oprávnenia.</w:t>
      </w:r>
      <w:r w:rsidR="0046552B">
        <w:t xml:space="preserve">“, resp. § 7 ods. 4 písm. b) </w:t>
      </w:r>
      <w:r w:rsidR="0046552B" w:rsidRPr="0046552B">
        <w:rPr>
          <w:i/>
        </w:rPr>
        <w:t xml:space="preserve">„Ministerstvo </w:t>
      </w:r>
      <w:r w:rsidR="0046552B" w:rsidRPr="0046552B">
        <w:rPr>
          <w:b/>
          <w:i/>
        </w:rPr>
        <w:t>zruší</w:t>
      </w:r>
      <w:r w:rsidR="0046552B" w:rsidRPr="0046552B">
        <w:rPr>
          <w:i/>
        </w:rPr>
        <w:t xml:space="preserve"> geologické </w:t>
      </w:r>
      <w:r w:rsidR="0046552B" w:rsidRPr="0046552B">
        <w:rPr>
          <w:b/>
          <w:i/>
        </w:rPr>
        <w:t>oprávnenie</w:t>
      </w:r>
      <w:r w:rsidR="0046552B" w:rsidRPr="0046552B">
        <w:rPr>
          <w:i/>
        </w:rPr>
        <w:t xml:space="preserve">, ak ... zhotoviteľ geologických prác podľa § 4 ods. 1 písm. a) </w:t>
      </w:r>
      <w:r w:rsidR="0046552B" w:rsidRPr="0046552B">
        <w:rPr>
          <w:b/>
          <w:i/>
        </w:rPr>
        <w:t>nie je zapísaný</w:t>
      </w:r>
      <w:r w:rsidR="0046552B" w:rsidRPr="0046552B">
        <w:rPr>
          <w:i/>
        </w:rPr>
        <w:t xml:space="preserve"> v registri partnerov verejného sektora,“</w:t>
      </w:r>
      <w:r w:rsidR="0046552B">
        <w:t>]</w:t>
      </w:r>
      <w:r w:rsidRPr="0046552B">
        <w:t>,</w:t>
      </w:r>
      <w:r w:rsidRPr="000351D2">
        <w:t xml:space="preserve"> </w:t>
      </w:r>
      <w:r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251/2012</w:t>
      </w:r>
      <w:r w:rsidRPr="000351D2">
        <w:t xml:space="preserve"> Z. z. o</w:t>
      </w:r>
      <w:r w:rsidR="003D184A">
        <w:t> </w:t>
      </w:r>
      <w:r w:rsidRPr="000351D2">
        <w:t>energetike</w:t>
      </w:r>
      <w:r w:rsidR="003D184A">
        <w:t xml:space="preserve"> (§ 4 ods. 5 </w:t>
      </w:r>
      <w:r w:rsidR="003D184A" w:rsidRPr="003D184A">
        <w:rPr>
          <w:i/>
        </w:rPr>
        <w:t xml:space="preserve">„Osoba, ktorá vykonáva činnosť podľa § 6 ods. 2, </w:t>
      </w:r>
      <w:r w:rsidR="003D184A" w:rsidRPr="003D184A">
        <w:rPr>
          <w:b/>
          <w:i/>
        </w:rPr>
        <w:t>musí byť zapísaná</w:t>
      </w:r>
      <w:r w:rsidR="003D184A" w:rsidRPr="003D184A">
        <w:rPr>
          <w:i/>
        </w:rPr>
        <w:t xml:space="preserve"> v registri partnerov verejného sektora.“</w:t>
      </w:r>
      <w:r w:rsidR="003D184A">
        <w:t xml:space="preserve">, resp. § 10 ods. 6 písm. e) </w:t>
      </w:r>
      <w:r w:rsidR="003D184A" w:rsidRPr="003D184A">
        <w:rPr>
          <w:i/>
        </w:rPr>
        <w:t>„</w:t>
      </w:r>
      <w:r w:rsidR="003D184A" w:rsidRPr="003D184A">
        <w:rPr>
          <w:b/>
          <w:i/>
        </w:rPr>
        <w:t>Povolenie</w:t>
      </w:r>
      <w:r w:rsidR="003D184A" w:rsidRPr="003D184A">
        <w:rPr>
          <w:i/>
        </w:rPr>
        <w:t xml:space="preserve"> úrad </w:t>
      </w:r>
      <w:r w:rsidR="003D184A" w:rsidRPr="003D184A">
        <w:rPr>
          <w:b/>
          <w:i/>
        </w:rPr>
        <w:t>zruší</w:t>
      </w:r>
      <w:r w:rsidR="003D184A" w:rsidRPr="003D184A">
        <w:rPr>
          <w:i/>
        </w:rPr>
        <w:t xml:space="preserve">, ak držiteľ povolenia ... </w:t>
      </w:r>
      <w:r w:rsidR="003D184A" w:rsidRPr="003D184A">
        <w:rPr>
          <w:b/>
          <w:i/>
        </w:rPr>
        <w:t>nie je zapísaný</w:t>
      </w:r>
      <w:r w:rsidR="003D184A" w:rsidRPr="003D184A">
        <w:rPr>
          <w:i/>
        </w:rPr>
        <w:t xml:space="preserve"> v registri partnerov verejného sektora.“</w:t>
      </w:r>
      <w:r w:rsidR="003D184A" w:rsidRPr="007F12B8">
        <w:t>]</w:t>
      </w:r>
      <w:r>
        <w:t>,</w:t>
      </w:r>
      <w:r w:rsidRPr="000351D2"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474/2013</w:t>
      </w:r>
      <w:r w:rsidRPr="000351D2">
        <w:t xml:space="preserve"> Z. z. o výbere mýta za užívanie vymedzených úsekov pozemných komunikácií</w:t>
      </w:r>
      <w:r w:rsidR="003D184A">
        <w:t xml:space="preserve"> (§ 12 ods. 2 </w:t>
      </w:r>
      <w:r w:rsidR="003D184A" w:rsidRPr="003D184A">
        <w:rPr>
          <w:i/>
        </w:rPr>
        <w:t xml:space="preserve">„Správca výberu mýta je oprávnený prevádzkovaním výberu mýta vrátane uzatvárania zmlúv podľa § 7 a § 11 ods. 2, vybudovania platobných miest, distribučných miest a kontaktných miest podľa odseku 3 a vrátane kontroly výberu mýta podľa tohto zákona </w:t>
      </w:r>
      <w:r w:rsidR="003D184A" w:rsidRPr="00DC4538">
        <w:rPr>
          <w:b/>
          <w:i/>
        </w:rPr>
        <w:t>poveriť</w:t>
      </w:r>
      <w:r w:rsidR="003D184A" w:rsidRPr="003D184A">
        <w:rPr>
          <w:i/>
        </w:rPr>
        <w:t xml:space="preserve"> inú osobu; táto osoba </w:t>
      </w:r>
      <w:r w:rsidR="003D184A" w:rsidRPr="003D184A">
        <w:rPr>
          <w:b/>
          <w:i/>
        </w:rPr>
        <w:t>musí byť zapísaná</w:t>
      </w:r>
      <w:r w:rsidR="003D184A" w:rsidRPr="003D184A">
        <w:rPr>
          <w:i/>
        </w:rPr>
        <w:t xml:space="preserve"> v registri partnerov verejného sektora, </w:t>
      </w:r>
      <w:r w:rsidR="003D184A" w:rsidRPr="003D184A">
        <w:rPr>
          <w:b/>
          <w:i/>
        </w:rPr>
        <w:t>inak</w:t>
      </w:r>
      <w:r w:rsidR="003D184A" w:rsidRPr="003D184A">
        <w:rPr>
          <w:i/>
        </w:rPr>
        <w:t xml:space="preserve"> správca výberu mýta </w:t>
      </w:r>
      <w:r w:rsidR="003D184A" w:rsidRPr="003D184A">
        <w:rPr>
          <w:b/>
          <w:i/>
        </w:rPr>
        <w:t>poverenie zruší</w:t>
      </w:r>
      <w:r w:rsidR="003D184A" w:rsidRPr="003D184A">
        <w:rPr>
          <w:i/>
        </w:rPr>
        <w:t>.“</w:t>
      </w:r>
      <w:r w:rsidR="003D184A">
        <w:t>)</w:t>
      </w:r>
      <w:r>
        <w:t>,</w:t>
      </w:r>
      <w:r w:rsidRPr="000351D2"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488/2013</w:t>
      </w:r>
      <w:r w:rsidRPr="000351D2">
        <w:t xml:space="preserve"> Z. z. o diaľničnej známke</w:t>
      </w:r>
      <w:r w:rsidR="00DC4538">
        <w:t xml:space="preserve"> (§ 8 ods. 1 </w:t>
      </w:r>
      <w:r w:rsidR="00DC4538" w:rsidRPr="00DC4538">
        <w:rPr>
          <w:i/>
        </w:rPr>
        <w:t xml:space="preserve">„Správcom výberu úhrady diaľničnej známky je Národná diaľničná spoločnosť, a.s. Správca výberu úhrady diaľničnej známky je oprávnený výkonom činností podľa tohto zákona </w:t>
      </w:r>
      <w:r w:rsidR="00DC4538" w:rsidRPr="00DC4538">
        <w:rPr>
          <w:b/>
          <w:i/>
        </w:rPr>
        <w:t>poveriť</w:t>
      </w:r>
      <w:r w:rsidR="00DC4538" w:rsidRPr="00DC4538">
        <w:rPr>
          <w:i/>
        </w:rPr>
        <w:t xml:space="preserve"> inú osobu; táto osoba </w:t>
      </w:r>
      <w:r w:rsidR="00DC4538" w:rsidRPr="00DC4538">
        <w:rPr>
          <w:b/>
          <w:i/>
        </w:rPr>
        <w:t>musí byť zapísaná</w:t>
      </w:r>
      <w:r w:rsidR="00DC4538" w:rsidRPr="00DC4538">
        <w:rPr>
          <w:i/>
        </w:rPr>
        <w:t xml:space="preserve"> v registri partnerov verejného sektora, </w:t>
      </w:r>
      <w:r w:rsidR="00DC4538" w:rsidRPr="00DC4538">
        <w:rPr>
          <w:b/>
          <w:i/>
        </w:rPr>
        <w:t>inak</w:t>
      </w:r>
      <w:r w:rsidR="00DC4538" w:rsidRPr="00DC4538">
        <w:rPr>
          <w:i/>
        </w:rPr>
        <w:t xml:space="preserve"> správca výberu úhrady diaľničnej známky </w:t>
      </w:r>
      <w:r w:rsidR="00DC4538" w:rsidRPr="00DC4538">
        <w:rPr>
          <w:b/>
          <w:i/>
        </w:rPr>
        <w:t>poverenie zruší</w:t>
      </w:r>
      <w:r w:rsidR="00DC4538" w:rsidRPr="00DC4538">
        <w:rPr>
          <w:i/>
        </w:rPr>
        <w:t>.“</w:t>
      </w:r>
      <w:r w:rsidR="00DC4538">
        <w:t>)</w:t>
      </w:r>
      <w:r w:rsidRPr="00DC4538">
        <w:t>,</w:t>
      </w:r>
      <w:r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292/2014</w:t>
      </w:r>
      <w:r w:rsidRPr="000351D2">
        <w:t xml:space="preserve"> Z. z. o príspevku poskytovanom z európskych štrukturálnych a investičných fondov</w:t>
      </w:r>
      <w:r w:rsidR="00DC4538">
        <w:t xml:space="preserve"> (§ 16 ods. 7 </w:t>
      </w:r>
      <w:r w:rsidR="00DC4538" w:rsidRPr="00DC4538">
        <w:rPr>
          <w:i/>
        </w:rPr>
        <w:t>„</w:t>
      </w:r>
      <w:r w:rsidR="00DC4538" w:rsidRPr="00DC4538">
        <w:rPr>
          <w:b/>
          <w:i/>
        </w:rPr>
        <w:t>Príspevok sa neposkytne</w:t>
      </w:r>
      <w:r w:rsidR="00DC4538" w:rsidRPr="00DC4538">
        <w:rPr>
          <w:i/>
        </w:rPr>
        <w:t xml:space="preserve"> žiadateľovi, ktorý má </w:t>
      </w:r>
      <w:r w:rsidR="00DC4538" w:rsidRPr="00DC4538">
        <w:rPr>
          <w:i/>
        </w:rPr>
        <w:lastRenderedPageBreak/>
        <w:t xml:space="preserve">povinnosť zapisovať sa do registra partnerov verejného sektora a ktorý </w:t>
      </w:r>
      <w:r w:rsidR="00DC4538" w:rsidRPr="00DC4538">
        <w:rPr>
          <w:b/>
          <w:i/>
        </w:rPr>
        <w:t>nie je zapísaný</w:t>
      </w:r>
      <w:r w:rsidR="00DC4538" w:rsidRPr="00DC4538">
        <w:rPr>
          <w:i/>
        </w:rPr>
        <w:t xml:space="preserve"> v registri partnerov verejného sektora.“</w:t>
      </w:r>
      <w:r w:rsidR="00DC4538">
        <w:t>),</w:t>
      </w:r>
      <w:r w:rsidRPr="000351D2">
        <w:t xml:space="preserve"> </w:t>
      </w:r>
    </w:p>
    <w:p w:rsidR="00960772" w:rsidRDefault="00960772" w:rsidP="00F615C4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>
        <w:t>z</w:t>
      </w:r>
      <w:r w:rsidRPr="000351D2">
        <w:t xml:space="preserve">ákon č. </w:t>
      </w:r>
      <w:r w:rsidRPr="001D27A5">
        <w:rPr>
          <w:b/>
        </w:rPr>
        <w:t>343/2015</w:t>
      </w:r>
      <w:r w:rsidRPr="000351D2">
        <w:t xml:space="preserve"> Z. z. o verejnom obstarávaní</w:t>
      </w:r>
      <w:r w:rsidR="00DC4538">
        <w:t xml:space="preserve"> (§ 11 ods. 1 </w:t>
      </w:r>
      <w:r w:rsidR="00DC4538" w:rsidRPr="00DC4538">
        <w:rPr>
          <w:i/>
        </w:rPr>
        <w:t xml:space="preserve">„Verejný obstarávateľ a obstarávateľ </w:t>
      </w:r>
      <w:r w:rsidR="00DC4538" w:rsidRPr="00DC4538">
        <w:rPr>
          <w:b/>
          <w:i/>
        </w:rPr>
        <w:t>nesmie uzavrieť</w:t>
      </w:r>
      <w:r w:rsidR="00DC4538" w:rsidRPr="00DC4538">
        <w:rPr>
          <w:i/>
        </w:rPr>
        <w:t xml:space="preserve"> zmluvu, koncesnú zmluvu alebo rámcovú dohodu s uchádzačom alebo uchádzačmi, ktorí majú povinnosť zapisovať sa do registra partnerov verejného sektora a </w:t>
      </w:r>
      <w:r w:rsidR="00DC4538" w:rsidRPr="00DC4538">
        <w:rPr>
          <w:b/>
          <w:i/>
        </w:rPr>
        <w:t>nie sú zapísaní</w:t>
      </w:r>
      <w:r w:rsidR="00DC4538" w:rsidRPr="00DC4538">
        <w:rPr>
          <w:i/>
        </w:rPr>
        <w:t xml:space="preserve"> v registri partnerov verejného sektor</w:t>
      </w:r>
      <w:r w:rsidR="00DC4538">
        <w:rPr>
          <w:i/>
        </w:rPr>
        <w:t>a</w:t>
      </w:r>
      <w:r w:rsidR="00DC4538" w:rsidRPr="00DC4538">
        <w:rPr>
          <w:i/>
        </w:rPr>
        <w:t xml:space="preserve"> alebo ktorých subdodávatelia alebo subdodávatelia podľa osobitného predpisu, ktorí majú povinnosť zapisovať sa do registra partnerov verejného sektora a </w:t>
      </w:r>
      <w:r w:rsidR="00DC4538" w:rsidRPr="00DC4538">
        <w:rPr>
          <w:b/>
          <w:i/>
        </w:rPr>
        <w:t>nie sú zapísaní</w:t>
      </w:r>
      <w:r w:rsidR="00DC4538" w:rsidRPr="00DC4538">
        <w:rPr>
          <w:i/>
        </w:rPr>
        <w:t xml:space="preserve"> v registri partnerov verejného sektora.“</w:t>
      </w:r>
      <w:r w:rsidR="00DC4538">
        <w:t xml:space="preserve">, resp. § 19 ods. 3 </w:t>
      </w:r>
      <w:r w:rsidR="00DC4538" w:rsidRPr="00DC4538">
        <w:rPr>
          <w:i/>
        </w:rPr>
        <w:t xml:space="preserve">„Verejný obstarávateľ a obstarávateľ </w:t>
      </w:r>
      <w:r w:rsidR="00DC4538" w:rsidRPr="00DC4538">
        <w:rPr>
          <w:b/>
          <w:i/>
        </w:rPr>
        <w:t>môže odstúpiť</w:t>
      </w:r>
      <w:r w:rsidR="00DC4538" w:rsidRPr="00DC4538">
        <w:rPr>
          <w:i/>
        </w:rPr>
        <w:t xml:space="preserve"> od zmluvy, rámcovej dohody alebo koncesnej zmluvy uzavretej s uchádzačom, ktorý </w:t>
      </w:r>
      <w:r w:rsidR="00DC4538" w:rsidRPr="00DC4538">
        <w:rPr>
          <w:b/>
          <w:i/>
        </w:rPr>
        <w:t>nebol v čase uzavretia</w:t>
      </w:r>
      <w:r w:rsidR="00DC4538" w:rsidRPr="00DC4538">
        <w:rPr>
          <w:i/>
        </w:rPr>
        <w:t xml:space="preserve"> zmluvy, rámcovej dohody alebo koncesnej zmluvy </w:t>
      </w:r>
      <w:r w:rsidR="00DC4538" w:rsidRPr="00DC4538">
        <w:rPr>
          <w:b/>
          <w:i/>
        </w:rPr>
        <w:t>zapísaný</w:t>
      </w:r>
      <w:r w:rsidR="00DC4538" w:rsidRPr="00DC4538">
        <w:rPr>
          <w:i/>
        </w:rPr>
        <w:t xml:space="preserve"> v registri partnerov verejného sektora alebo ak bol vymazaný z registra partnerov verejného sektora.“</w:t>
      </w:r>
      <w:r w:rsidR="00DC4538">
        <w:t>)</w:t>
      </w:r>
      <w:r w:rsidR="00F615C4">
        <w:t>.</w:t>
      </w:r>
    </w:p>
    <w:p w:rsidR="00EC2B8D" w:rsidRDefault="00EC2B8D" w:rsidP="00EC2B8D">
      <w:pPr>
        <w:pStyle w:val="Normlnywebov"/>
        <w:spacing w:before="120" w:beforeAutospacing="0" w:after="0" w:afterAutospacing="0" w:line="276" w:lineRule="auto"/>
        <w:ind w:left="720"/>
        <w:jc w:val="both"/>
      </w:pPr>
    </w:p>
    <w:p w:rsidR="00960772" w:rsidRDefault="00F615C4" w:rsidP="00EC2B8D">
      <w:pPr>
        <w:pStyle w:val="Normlnywebov"/>
        <w:spacing w:before="120" w:beforeAutospacing="0" w:after="0" w:afterAutospacing="0" w:line="276" w:lineRule="auto"/>
        <w:ind w:firstLine="720"/>
        <w:jc w:val="both"/>
      </w:pPr>
      <w:r>
        <w:t>Zákon č. 315/2016 Z. z. vo svojich novelizačných článkoch však nenovelizoval a</w:t>
      </w:r>
      <w:r w:rsidR="00960772">
        <w:t xml:space="preserve"> neupravil požiadavku na zápis do registra partnerov verejného sektora aj vo vzťahu k stimulom.</w:t>
      </w:r>
      <w:r w:rsidR="00B82860">
        <w:t xml:space="preserve"> </w:t>
      </w:r>
      <w:r>
        <w:t>Predložený návrh zákona preto</w:t>
      </w:r>
      <w:r w:rsidR="00B82860">
        <w:t xml:space="preserve"> </w:t>
      </w:r>
      <w:r>
        <w:t>uvedené upravuje</w:t>
      </w:r>
      <w:r w:rsidR="00B82860">
        <w:t xml:space="preserve"> </w:t>
      </w:r>
      <w:r>
        <w:t xml:space="preserve">aj </w:t>
      </w:r>
      <w:r w:rsidR="00B82860">
        <w:t>v</w:t>
      </w:r>
      <w:r>
        <w:t>o vzťahu k zákonu</w:t>
      </w:r>
      <w:r w:rsidR="00B82860">
        <w:t xml:space="preserve"> č. 185/2009 Z. z.</w:t>
      </w:r>
      <w:r>
        <w:t>.</w:t>
      </w:r>
    </w:p>
    <w:p w:rsidR="00EC2B8D" w:rsidRDefault="00EC2B8D" w:rsidP="00F615C4">
      <w:pPr>
        <w:pStyle w:val="Normlnywebov"/>
        <w:spacing w:before="120" w:beforeAutospacing="0" w:after="0" w:afterAutospacing="0" w:line="276" w:lineRule="auto"/>
        <w:jc w:val="both"/>
      </w:pPr>
    </w:p>
    <w:p w:rsidR="00960772" w:rsidRDefault="00960772" w:rsidP="00EC2B8D">
      <w:pPr>
        <w:pStyle w:val="Normlnywebov"/>
        <w:spacing w:before="120" w:beforeAutospacing="0" w:after="0" w:afterAutospacing="0" w:line="276" w:lineRule="auto"/>
        <w:ind w:firstLine="720"/>
        <w:jc w:val="both"/>
      </w:pPr>
      <w:r>
        <w:t>Návrh zákona nepredpokladá vplyv na rozpočet verejnej správy, na podnikateľské prostredie, sociálny vplyv, vplyvy na životné prostredie, na informatizáciu spoločnosti ani na služby verejnej správy pre občana.</w:t>
      </w:r>
      <w:r w:rsidR="00A20E56">
        <w:t xml:space="preserve"> Návrh zákona nemá vplyv na manželstvo, rodičovstvo a rodinu.</w:t>
      </w:r>
    </w:p>
    <w:p w:rsidR="00960772" w:rsidRDefault="00960772" w:rsidP="00F615C4">
      <w:pPr>
        <w:pStyle w:val="Normlnywebov"/>
        <w:spacing w:before="120" w:beforeAutospacing="0" w:after="0" w:afterAutospacing="0" w:line="276" w:lineRule="auto"/>
        <w:jc w:val="both"/>
      </w:pPr>
      <w:r>
        <w:t> </w:t>
      </w:r>
    </w:p>
    <w:p w:rsidR="00960772" w:rsidRDefault="00960772" w:rsidP="00322BC7">
      <w:pPr>
        <w:pStyle w:val="Normlnywebov"/>
        <w:spacing w:before="120" w:beforeAutospacing="0" w:after="0" w:afterAutospacing="0" w:line="276" w:lineRule="auto"/>
        <w:ind w:firstLine="720"/>
        <w:jc w:val="both"/>
      </w:pPr>
      <w:r>
        <w:t>Návrh zákona je v súlade s Ústavou Slovenskej republiky, ústavnými zákonmi, inými právnymi predpismi, právne záväznými aktmi Európskej únie a medzinárodnými zmluvami, ktorými je Slovenská republika viazaná, ako aj v súlade s nálezmi Ústavného súdu Slovenskej republiky.</w:t>
      </w:r>
    </w:p>
    <w:p w:rsidR="00960772" w:rsidRDefault="00960772" w:rsidP="00F615C4">
      <w:pPr>
        <w:pStyle w:val="Normlnywebov"/>
        <w:spacing w:before="120" w:beforeAutospacing="0" w:after="0" w:afterAutospacing="0" w:line="276" w:lineRule="auto"/>
        <w:jc w:val="both"/>
      </w:pPr>
      <w:r>
        <w:t> </w:t>
      </w:r>
    </w:p>
    <w:p w:rsidR="00960772" w:rsidRDefault="00960772" w:rsidP="00322BC7">
      <w:pPr>
        <w:pStyle w:val="Normlnywebov"/>
        <w:spacing w:before="120" w:beforeAutospacing="0" w:after="0" w:afterAutospacing="0" w:line="276" w:lineRule="auto"/>
        <w:ind w:firstLine="720"/>
        <w:jc w:val="both"/>
      </w:pPr>
      <w:r>
        <w:t xml:space="preserve">Návrh zákona nie je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960772" w:rsidRDefault="00960772" w:rsidP="00F615C4">
      <w:pPr>
        <w:pStyle w:val="Normlnywebov"/>
        <w:spacing w:before="120" w:beforeAutospacing="0" w:after="0" w:afterAutospacing="0" w:line="276" w:lineRule="auto"/>
        <w:jc w:val="both"/>
      </w:pPr>
    </w:p>
    <w:p w:rsidR="00960772" w:rsidRPr="00B75BB0" w:rsidRDefault="00960772" w:rsidP="00322BC7">
      <w:pPr>
        <w:pStyle w:val="Normlnywebov"/>
        <w:spacing w:before="120" w:beforeAutospacing="0" w:after="0" w:afterAutospacing="0" w:line="276" w:lineRule="auto"/>
        <w:ind w:firstLine="720"/>
        <w:jc w:val="both"/>
      </w:pPr>
      <w:r>
        <w:rPr>
          <w:rStyle w:val="Textzstupnhosymbolu"/>
          <w:color w:val="000000"/>
        </w:rPr>
        <w:t>Účinnosť sa navrhuje s ohľadom na harmonogram schôdzí Národnej rady SR na rok 2019.</w:t>
      </w:r>
    </w:p>
    <w:p w:rsidR="007F12B8" w:rsidRDefault="007F12B8" w:rsidP="00F615C4">
      <w:pPr>
        <w:pStyle w:val="Normlnywebov"/>
        <w:spacing w:before="120" w:beforeAutospacing="0" w:after="0" w:afterAutospacing="0" w:line="276" w:lineRule="auto"/>
        <w:jc w:val="both"/>
        <w:rPr>
          <w:rStyle w:val="Textzstupnhosymbolu"/>
          <w:color w:val="000000"/>
        </w:rPr>
      </w:pPr>
    </w:p>
    <w:p w:rsidR="007F12B8" w:rsidRDefault="007F12B8">
      <w:pPr>
        <w:widowControl/>
        <w:adjustRightInd/>
        <w:spacing w:after="200" w:line="276" w:lineRule="auto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br w:type="page"/>
      </w:r>
    </w:p>
    <w:p w:rsidR="007F12B8" w:rsidRPr="00A64D2D" w:rsidRDefault="007F12B8" w:rsidP="007F12B8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lastRenderedPageBreak/>
        <w:t>B</w:t>
      </w:r>
      <w:r w:rsidRPr="00A64D2D">
        <w:rPr>
          <w:b/>
          <w:color w:val="000000"/>
        </w:rPr>
        <w:t xml:space="preserve">. </w:t>
      </w:r>
      <w:r>
        <w:rPr>
          <w:b/>
          <w:color w:val="000000"/>
        </w:rPr>
        <w:t>Osobitná</w:t>
      </w:r>
      <w:r w:rsidRPr="00A64D2D">
        <w:rPr>
          <w:b/>
          <w:color w:val="000000"/>
        </w:rPr>
        <w:t xml:space="preserve"> časť</w:t>
      </w:r>
    </w:p>
    <w:p w:rsidR="007F12B8" w:rsidRPr="00A64D2D" w:rsidRDefault="007F12B8" w:rsidP="007F12B8">
      <w:pPr>
        <w:widowControl/>
        <w:jc w:val="both"/>
        <w:rPr>
          <w:color w:val="000000"/>
        </w:rPr>
      </w:pPr>
    </w:p>
    <w:p w:rsidR="007F12B8" w:rsidRPr="008342B6" w:rsidRDefault="007F12B8" w:rsidP="007F12B8">
      <w:pPr>
        <w:pStyle w:val="Normlnywebov"/>
        <w:jc w:val="both"/>
        <w:rPr>
          <w:b/>
        </w:rPr>
      </w:pPr>
      <w:r w:rsidRPr="008342B6">
        <w:rPr>
          <w:b/>
        </w:rPr>
        <w:t>K čl. I</w:t>
      </w:r>
    </w:p>
    <w:p w:rsidR="007F12B8" w:rsidRDefault="007F12B8" w:rsidP="007F12B8">
      <w:pPr>
        <w:pStyle w:val="Normlnywebov"/>
        <w:jc w:val="both"/>
      </w:pPr>
      <w:r>
        <w:t>K bodu 1</w:t>
      </w:r>
    </w:p>
    <w:p w:rsidR="007F12B8" w:rsidRDefault="007F12B8" w:rsidP="007F12B8">
      <w:pPr>
        <w:pStyle w:val="Normlnywebov"/>
        <w:jc w:val="both"/>
      </w:pPr>
      <w:r>
        <w:t>Z</w:t>
      </w:r>
      <w:r w:rsidRPr="000F4A7E">
        <w:t>ákon</w:t>
      </w:r>
      <w:r>
        <w:t xml:space="preserve"> č. 315/2016 Z. z. </w:t>
      </w:r>
      <w:r w:rsidRPr="000F4A7E">
        <w:t>noveliz</w:t>
      </w:r>
      <w:r>
        <w:t>oval</w:t>
      </w:r>
      <w:r w:rsidRPr="000F4A7E">
        <w:t xml:space="preserve"> </w:t>
      </w:r>
      <w:r>
        <w:t xml:space="preserve">viaceré </w:t>
      </w:r>
      <w:r w:rsidRPr="000F4A7E">
        <w:t>právn</w:t>
      </w:r>
      <w:r>
        <w:t>e</w:t>
      </w:r>
      <w:r w:rsidRPr="000F4A7E">
        <w:t xml:space="preserve"> predpis</w:t>
      </w:r>
      <w:r>
        <w:t>y</w:t>
      </w:r>
      <w:r w:rsidRPr="000F4A7E">
        <w:t xml:space="preserve"> regulujúc</w:t>
      </w:r>
      <w:r>
        <w:t xml:space="preserve">e prístup k verejným zdrojom s požiadavkou na zápis príslušných subjektov do registra partnerov verejného sektora, pričom zákon o stimuloch ostal nedotknutý napriek tomu, že je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 vo vzťahu k iným predpisom upravujúcim poskytovanie verejných zdrojov</w:t>
      </w:r>
      <w:r w:rsidRPr="000F4A7E">
        <w:t>.</w:t>
      </w:r>
    </w:p>
    <w:p w:rsidR="007F12B8" w:rsidRDefault="007F12B8" w:rsidP="007F12B8">
      <w:pPr>
        <w:pStyle w:val="Normlnywebov"/>
        <w:jc w:val="both"/>
      </w:pPr>
      <w:r>
        <w:t xml:space="preserve">S cieľom zosúladenia so zákonom č. 315/2016 Z. z. sa do zákona č. 185/2009 Z. z. sa preto zavádza nová podmienka pre poskytnutie stimulov, ktorá spočíva v zápise do registra partnerov verejného sektora. </w:t>
      </w:r>
    </w:p>
    <w:p w:rsidR="007F12B8" w:rsidRDefault="007F12B8" w:rsidP="007F12B8">
      <w:pPr>
        <w:pStyle w:val="Normlnywebov"/>
        <w:jc w:val="both"/>
      </w:pPr>
      <w:r w:rsidRPr="000F4A7E">
        <w:t>Podstat</w:t>
      </w:r>
      <w:r>
        <w:t>ným je moment, ku ktorému sa skúma zápis do registra. Vzhľadom na to, že zmluva o poskytnutí stimulov sa uzatvára po tom, ako nadobudlo právoplatnosť rozhodnutie o poskytnutí stimulov vydané podľa Správneho poriadku, a teda jej uzavretie predstavuje len výkon právoplatného rozhodnutia vydaného v správnom konaní, je potrebné, aby sa zápis do registra skúmal už v rámci správneho konania. V nadväznosti na uvedené bude mať žiadateľ o stimuly povinnosť byť zapísaný v registri v zákonom ustanovenej lehote od podania žiadosti (30 kalendárnych dní). Sankciou nezapísania sa bude, že ministerstvo v správnom konaní žiadosť zamietne</w:t>
      </w:r>
      <w:r w:rsidRPr="000F4A7E">
        <w:t>.</w:t>
      </w:r>
    </w:p>
    <w:p w:rsidR="007F12B8" w:rsidRPr="007F12B8" w:rsidRDefault="007F12B8" w:rsidP="007F12B8">
      <w:pPr>
        <w:pStyle w:val="Normlnywebov"/>
        <w:jc w:val="both"/>
      </w:pPr>
      <w:r>
        <w:t xml:space="preserve">Toto ustanovenie však nie je koncipované vo vzťahu ku všetkým žiadateľom, ale len vo vzťahu k tým, ktorí majú povinnosť sa do registra partnerov verejného sektora zapísať. Ide o obdobu ustanovenia zákona č. 57/2018 Z. z. </w:t>
      </w:r>
      <w:r w:rsidRPr="00CA3E95">
        <w:t>o regionálnej investičnej pomoci a o zmene a doplnení niektorých zákonov</w:t>
      </w:r>
      <w:r>
        <w:t xml:space="preserve">, podľa ktorého má žiadateľ zákonom ustanovenú dobu od podania žiadosti na zapísanie sa do registra [§ 4 ods. 3 písm. j) </w:t>
      </w:r>
      <w:r w:rsidRPr="00CA3E95">
        <w:rPr>
          <w:i/>
        </w:rPr>
        <w:t xml:space="preserve">„Prijímateľom </w:t>
      </w:r>
      <w:r w:rsidRPr="0013060A">
        <w:rPr>
          <w:i/>
        </w:rPr>
        <w:t>nemôže</w:t>
      </w:r>
      <w:r w:rsidRPr="00CA3E95">
        <w:rPr>
          <w:i/>
        </w:rPr>
        <w:t xml:space="preserve"> byť fyzická osoba – podnikateľ alebo právnická osoba, ak ... </w:t>
      </w:r>
      <w:r w:rsidRPr="0013060A">
        <w:rPr>
          <w:i/>
        </w:rPr>
        <w:t>do 45 pracovných dní od podania žiadosti</w:t>
      </w:r>
      <w:r w:rsidRPr="00CA3E95">
        <w:rPr>
          <w:i/>
        </w:rPr>
        <w:t xml:space="preserve"> o investičnú pomoc podľa § 14 </w:t>
      </w:r>
      <w:r w:rsidRPr="0013060A">
        <w:rPr>
          <w:i/>
        </w:rPr>
        <w:t>nie je zapísaná v registri</w:t>
      </w:r>
      <w:r w:rsidRPr="00CA3E95">
        <w:rPr>
          <w:i/>
        </w:rPr>
        <w:t xml:space="preserve"> partnerov verejného sektora, ak je osobou, ktorá má povinnosť zapisovať sa do registra.18)“</w:t>
      </w:r>
      <w:r>
        <w:t>.]</w:t>
      </w:r>
    </w:p>
    <w:p w:rsidR="007F12B8" w:rsidRDefault="007F12B8" w:rsidP="007F12B8">
      <w:pPr>
        <w:pStyle w:val="Normlnywebov"/>
        <w:jc w:val="both"/>
      </w:pPr>
      <w:r>
        <w:t>Zápisom do registra partnerov verejného sektora treba rozumieť zápis všetkých údajov podľa § 4 zákona č. 315/2016 Z. z.</w:t>
      </w:r>
    </w:p>
    <w:p w:rsidR="007F12B8" w:rsidRDefault="007F12B8" w:rsidP="007F12B8">
      <w:pPr>
        <w:pStyle w:val="Normlnywebov"/>
        <w:jc w:val="both"/>
      </w:pPr>
      <w:r>
        <w:t>K bodu 2</w:t>
      </w:r>
    </w:p>
    <w:p w:rsidR="007F12B8" w:rsidRDefault="007F12B8" w:rsidP="007F12B8">
      <w:pPr>
        <w:pStyle w:val="Normlnywebov"/>
        <w:jc w:val="both"/>
      </w:pPr>
      <w:r>
        <w:t>Vzhľadom na to, že ide o formálne overenie náležitostí, navrhuje sa, aby proti rozhodnutiu o zamietnutí žiadosti z dôvodu nezapísania sa do registra v ustanovenej lehote nebolo možné podať odvolanie.</w:t>
      </w:r>
    </w:p>
    <w:p w:rsidR="007F12B8" w:rsidRPr="008342B6" w:rsidRDefault="007F12B8" w:rsidP="007F12B8">
      <w:pPr>
        <w:widowControl/>
        <w:spacing w:after="280" w:afterAutospacing="1"/>
        <w:jc w:val="both"/>
        <w:rPr>
          <w:rStyle w:val="Textzstupnhosymbolu"/>
          <w:b/>
          <w:color w:val="000000"/>
        </w:rPr>
      </w:pPr>
      <w:r w:rsidRPr="008342B6">
        <w:rPr>
          <w:rStyle w:val="Textzstupnhosymbolu"/>
          <w:b/>
          <w:color w:val="000000"/>
        </w:rPr>
        <w:t>K čl. II</w:t>
      </w:r>
    </w:p>
    <w:p w:rsidR="007F12B8" w:rsidRPr="008A301C" w:rsidRDefault="007F12B8" w:rsidP="007F12B8">
      <w:pPr>
        <w:widowControl/>
        <w:spacing w:after="280" w:afterAutospacing="1"/>
        <w:jc w:val="both"/>
        <w:rPr>
          <w:color w:val="000000"/>
        </w:rPr>
      </w:pPr>
      <w:r>
        <w:rPr>
          <w:rStyle w:val="Textzstupnhosymbolu"/>
          <w:color w:val="000000"/>
        </w:rPr>
        <w:t>Účinnosť sa navrhuje vzhľadom na harmonogram schôdzí Národnej rady SR na rok 2019.</w:t>
      </w:r>
    </w:p>
    <w:p w:rsidR="009D6FD1" w:rsidRDefault="009D6FD1" w:rsidP="009D6FD1">
      <w:pPr>
        <w:keepLines/>
        <w:spacing w:line="276" w:lineRule="auto"/>
        <w:ind w:right="568"/>
        <w:jc w:val="center"/>
        <w:rPr>
          <w:b/>
          <w:bCs/>
          <w:color w:val="000000"/>
          <w:lang w:eastAsia="ar-SA"/>
        </w:rPr>
      </w:pPr>
      <w:r w:rsidRPr="0035568A">
        <w:rPr>
          <w:b/>
          <w:bCs/>
          <w:color w:val="000000"/>
          <w:lang w:eastAsia="ar-SA"/>
        </w:rPr>
        <w:lastRenderedPageBreak/>
        <w:t>D</w:t>
      </w:r>
      <w:r>
        <w:rPr>
          <w:b/>
          <w:bCs/>
          <w:color w:val="000000"/>
          <w:lang w:eastAsia="ar-SA"/>
        </w:rPr>
        <w:t xml:space="preserve"> </w:t>
      </w:r>
      <w:r w:rsidRPr="0035568A">
        <w:rPr>
          <w:b/>
          <w:bCs/>
          <w:color w:val="000000"/>
          <w:lang w:eastAsia="ar-SA"/>
        </w:rPr>
        <w:t>O</w:t>
      </w:r>
      <w:r>
        <w:rPr>
          <w:b/>
          <w:bCs/>
          <w:color w:val="000000"/>
          <w:lang w:eastAsia="ar-SA"/>
        </w:rPr>
        <w:t> </w:t>
      </w:r>
      <w:r w:rsidRPr="0035568A">
        <w:rPr>
          <w:b/>
          <w:bCs/>
          <w:color w:val="000000"/>
          <w:lang w:eastAsia="ar-SA"/>
        </w:rPr>
        <w:t>L</w:t>
      </w:r>
      <w:r>
        <w:rPr>
          <w:b/>
          <w:bCs/>
          <w:color w:val="000000"/>
          <w:lang w:eastAsia="ar-SA"/>
        </w:rPr>
        <w:t xml:space="preserve"> </w:t>
      </w:r>
      <w:r w:rsidRPr="0035568A">
        <w:rPr>
          <w:b/>
          <w:bCs/>
          <w:color w:val="000000"/>
          <w:lang w:eastAsia="ar-SA"/>
        </w:rPr>
        <w:t>O</w:t>
      </w:r>
      <w:r>
        <w:rPr>
          <w:b/>
          <w:bCs/>
          <w:color w:val="000000"/>
          <w:lang w:eastAsia="ar-SA"/>
        </w:rPr>
        <w:t> </w:t>
      </w:r>
      <w:r w:rsidRPr="0035568A">
        <w:rPr>
          <w:b/>
          <w:bCs/>
          <w:color w:val="000000"/>
          <w:lang w:eastAsia="ar-SA"/>
        </w:rPr>
        <w:t>Ž</w:t>
      </w:r>
      <w:r>
        <w:rPr>
          <w:b/>
          <w:bCs/>
          <w:color w:val="000000"/>
          <w:lang w:eastAsia="ar-SA"/>
        </w:rPr>
        <w:t xml:space="preserve"> </w:t>
      </w:r>
      <w:r w:rsidRPr="0035568A">
        <w:rPr>
          <w:b/>
          <w:bCs/>
          <w:color w:val="000000"/>
          <w:lang w:eastAsia="ar-SA"/>
        </w:rPr>
        <w:t>K</w:t>
      </w:r>
      <w:r>
        <w:rPr>
          <w:b/>
          <w:bCs/>
          <w:color w:val="000000"/>
          <w:lang w:eastAsia="ar-SA"/>
        </w:rPr>
        <w:t xml:space="preserve"> </w:t>
      </w:r>
      <w:r w:rsidRPr="0035568A">
        <w:rPr>
          <w:b/>
          <w:bCs/>
          <w:color w:val="000000"/>
          <w:lang w:eastAsia="ar-SA"/>
        </w:rPr>
        <w:t xml:space="preserve">A </w:t>
      </w:r>
    </w:p>
    <w:p w:rsidR="007F12B8" w:rsidRPr="0035568A" w:rsidRDefault="007F12B8" w:rsidP="009D6FD1">
      <w:pPr>
        <w:keepLines/>
        <w:pBdr>
          <w:bottom w:val="single" w:sz="4" w:space="1" w:color="auto"/>
        </w:pBdr>
        <w:ind w:right="568"/>
        <w:jc w:val="center"/>
        <w:rPr>
          <w:color w:val="000000"/>
          <w:lang w:eastAsia="ar-SA"/>
        </w:rPr>
      </w:pPr>
      <w:r w:rsidRPr="0035568A">
        <w:rPr>
          <w:b/>
          <w:bCs/>
          <w:color w:val="000000"/>
          <w:lang w:eastAsia="ar-SA"/>
        </w:rPr>
        <w:t>vybraných vplyvov</w:t>
      </w:r>
    </w:p>
    <w:p w:rsidR="007F12B8" w:rsidRPr="0035568A" w:rsidRDefault="007F12B8" w:rsidP="007F12B8">
      <w:pPr>
        <w:keepLines/>
        <w:suppressAutoHyphens/>
        <w:ind w:right="568"/>
        <w:rPr>
          <w:b/>
          <w:color w:val="000000"/>
          <w:lang w:eastAsia="ar-SA"/>
        </w:rPr>
      </w:pPr>
    </w:p>
    <w:p w:rsidR="007F12B8" w:rsidRPr="0035568A" w:rsidRDefault="007F12B8" w:rsidP="007F12B8">
      <w:pPr>
        <w:keepLines/>
        <w:ind w:right="568"/>
        <w:jc w:val="both"/>
        <w:rPr>
          <w:color w:val="000000"/>
          <w:lang w:eastAsia="ar-SA"/>
        </w:rPr>
      </w:pPr>
    </w:p>
    <w:p w:rsidR="007F12B8" w:rsidRPr="0035568A" w:rsidRDefault="007F12B8" w:rsidP="007F12B8">
      <w:pPr>
        <w:keepLines/>
        <w:ind w:right="568"/>
        <w:rPr>
          <w:b/>
          <w:bCs/>
          <w:color w:val="000000"/>
          <w:lang w:eastAsia="ar-SA"/>
        </w:rPr>
      </w:pPr>
      <w:r w:rsidRPr="0035568A">
        <w:rPr>
          <w:b/>
          <w:bCs/>
          <w:color w:val="000000"/>
          <w:lang w:eastAsia="ar-SA"/>
        </w:rPr>
        <w:t xml:space="preserve">A.1. Názov materiálu: </w:t>
      </w:r>
    </w:p>
    <w:p w:rsidR="007F12B8" w:rsidRDefault="007F12B8" w:rsidP="007F12B8">
      <w:pPr>
        <w:keepLines/>
        <w:ind w:right="1"/>
        <w:jc w:val="both"/>
        <w:rPr>
          <w:b/>
          <w:bCs/>
          <w:color w:val="000000"/>
          <w:lang w:eastAsia="ar-SA"/>
        </w:rPr>
      </w:pPr>
      <w:r>
        <w:rPr>
          <w:color w:val="000000"/>
          <w:lang w:eastAsia="ar-SA"/>
        </w:rPr>
        <w:t>Návrh z</w:t>
      </w:r>
      <w:r w:rsidRPr="009861C3">
        <w:rPr>
          <w:color w:val="000000"/>
          <w:lang w:eastAsia="ar-SA"/>
        </w:rPr>
        <w:t>ákon</w:t>
      </w:r>
      <w:r>
        <w:rPr>
          <w:color w:val="000000"/>
          <w:lang w:eastAsia="ar-SA"/>
        </w:rPr>
        <w:t>a</w:t>
      </w:r>
      <w:r w:rsidRPr="009861C3">
        <w:rPr>
          <w:color w:val="000000"/>
          <w:lang w:eastAsia="ar-SA"/>
        </w:rPr>
        <w:t xml:space="preserve">, ktorým sa </w:t>
      </w:r>
      <w:r>
        <w:rPr>
          <w:color w:val="000000"/>
          <w:lang w:eastAsia="ar-SA"/>
        </w:rPr>
        <w:t xml:space="preserve">mení a </w:t>
      </w:r>
      <w:r w:rsidRPr="009861C3">
        <w:rPr>
          <w:color w:val="000000"/>
          <w:lang w:eastAsia="ar-SA"/>
        </w:rPr>
        <w:t>dopĺňa zákon č. 185/2009 Z. z. o stimuloch pre výskum a vývoj a o doplnení zákona č. 595/2003 Z. z. o dani z príjmov v znení neskorších predpisov v znení neskorších predpisov</w:t>
      </w:r>
      <w:r>
        <w:rPr>
          <w:color w:val="000000"/>
          <w:lang w:eastAsia="ar-SA"/>
        </w:rPr>
        <w:t>.</w:t>
      </w:r>
    </w:p>
    <w:p w:rsidR="007F12B8" w:rsidRDefault="007F12B8" w:rsidP="007F12B8">
      <w:pPr>
        <w:keepLines/>
        <w:ind w:right="1"/>
        <w:rPr>
          <w:b/>
          <w:bCs/>
          <w:color w:val="000000"/>
          <w:lang w:eastAsia="ar-SA"/>
        </w:rPr>
      </w:pPr>
    </w:p>
    <w:p w:rsidR="007F12B8" w:rsidRPr="0035568A" w:rsidRDefault="007F12B8" w:rsidP="007F12B8">
      <w:pPr>
        <w:keepLines/>
        <w:ind w:right="1"/>
        <w:rPr>
          <w:b/>
          <w:bCs/>
          <w:color w:val="000000"/>
          <w:lang w:eastAsia="ar-SA"/>
        </w:rPr>
      </w:pPr>
    </w:p>
    <w:p w:rsidR="007F12B8" w:rsidRPr="0035568A" w:rsidRDefault="007F12B8" w:rsidP="007F12B8">
      <w:pPr>
        <w:keepLines/>
        <w:ind w:right="1"/>
        <w:rPr>
          <w:color w:val="000000"/>
          <w:lang w:val="cs-CZ" w:eastAsia="ar-SA"/>
        </w:rPr>
      </w:pPr>
      <w:r w:rsidRPr="0035568A">
        <w:rPr>
          <w:b/>
          <w:bCs/>
          <w:color w:val="000000"/>
          <w:lang w:eastAsia="ar-SA"/>
        </w:rPr>
        <w:t>A.2. Vplyvy: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134"/>
      </w:tblGrid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Žiadne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x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 xml:space="preserve">2. Vplyvy na podnikateľské prostredie – dochádza ku </w:t>
            </w:r>
          </w:p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zvýšeniu 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x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ind w:right="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spacing w:line="276" w:lineRule="auto"/>
              <w:ind w:right="1"/>
              <w:jc w:val="center"/>
              <w:rPr>
                <w:sz w:val="22"/>
              </w:rPr>
            </w:pPr>
            <w:r w:rsidRPr="0035568A">
              <w:rPr>
                <w:sz w:val="22"/>
              </w:rPr>
              <w:t>x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 xml:space="preserve">– </w:t>
            </w:r>
            <w:r>
              <w:rPr>
                <w:color w:val="000000"/>
                <w:lang w:eastAsia="ar-SA"/>
              </w:rPr>
              <w:t xml:space="preserve"> </w:t>
            </w:r>
            <w:r w:rsidRPr="0035568A">
              <w:rPr>
                <w:color w:val="000000"/>
                <w:lang w:eastAsia="ar-SA"/>
              </w:rPr>
              <w:t xml:space="preserve">sociálnu </w:t>
            </w:r>
            <w:proofErr w:type="spellStart"/>
            <w:r w:rsidRPr="0035568A">
              <w:rPr>
                <w:color w:val="000000"/>
                <w:lang w:eastAsia="ar-SA"/>
              </w:rPr>
              <w:t>exklúziu</w:t>
            </w:r>
            <w:proofErr w:type="spellEnd"/>
            <w:r w:rsidRPr="0035568A">
              <w:rPr>
                <w:color w:val="000000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12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 x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x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x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x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 w:rsidRPr="0035568A">
              <w:rPr>
                <w:color w:val="000000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x</w:t>
            </w:r>
          </w:p>
        </w:tc>
      </w:tr>
      <w:tr w:rsidR="007F12B8" w:rsidRPr="0035568A" w:rsidTr="00FE4333"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7. Vplyvy na manželstvo, rodičovstvo a rodinu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7F12B8" w:rsidRPr="0035568A" w:rsidRDefault="007F12B8" w:rsidP="00FE4333">
            <w:pPr>
              <w:keepLines/>
              <w:spacing w:line="276" w:lineRule="auto"/>
              <w:ind w:right="1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x</w:t>
            </w:r>
          </w:p>
        </w:tc>
      </w:tr>
    </w:tbl>
    <w:p w:rsidR="007F12B8" w:rsidRPr="0035568A" w:rsidRDefault="007F12B8" w:rsidP="007F12B8">
      <w:pPr>
        <w:keepLines/>
        <w:ind w:right="568"/>
        <w:rPr>
          <w:color w:val="000000"/>
          <w:lang w:eastAsia="ar-SA"/>
        </w:rPr>
      </w:pPr>
    </w:p>
    <w:p w:rsidR="007F12B8" w:rsidRPr="0035568A" w:rsidRDefault="007F12B8" w:rsidP="007F12B8">
      <w:pPr>
        <w:keepLines/>
        <w:ind w:right="568"/>
        <w:rPr>
          <w:color w:val="000000"/>
          <w:lang w:eastAsia="ar-SA"/>
        </w:rPr>
      </w:pPr>
      <w:r w:rsidRPr="0035568A">
        <w:rPr>
          <w:b/>
          <w:bCs/>
          <w:color w:val="000000"/>
          <w:lang w:eastAsia="ar-SA"/>
        </w:rPr>
        <w:t>A.3. Poznámky</w:t>
      </w:r>
      <w:r w:rsidRPr="0035568A">
        <w:rPr>
          <w:b/>
          <w:color w:val="000000"/>
          <w:lang w:eastAsia="ar-SA"/>
        </w:rPr>
        <w:t>:</w:t>
      </w:r>
      <w:r w:rsidRPr="0035568A">
        <w:rPr>
          <w:color w:val="000000"/>
          <w:lang w:eastAsia="ar-SA"/>
        </w:rPr>
        <w:t xml:space="preserve"> </w:t>
      </w:r>
    </w:p>
    <w:p w:rsidR="007F12B8" w:rsidRDefault="007F12B8" w:rsidP="007F12B8">
      <w:pPr>
        <w:keepLines/>
        <w:suppressAutoHyphens/>
        <w:ind w:right="568"/>
        <w:rPr>
          <w:color w:val="000000"/>
          <w:lang w:eastAsia="ar-SA"/>
        </w:rPr>
      </w:pPr>
    </w:p>
    <w:p w:rsidR="007F12B8" w:rsidRPr="0035568A" w:rsidRDefault="007F12B8" w:rsidP="007F12B8">
      <w:pPr>
        <w:keepLines/>
        <w:suppressAutoHyphens/>
        <w:ind w:right="568"/>
        <w:rPr>
          <w:color w:val="000000"/>
          <w:lang w:eastAsia="ar-SA"/>
        </w:rPr>
      </w:pPr>
    </w:p>
    <w:p w:rsidR="007F12B8" w:rsidRPr="0035568A" w:rsidRDefault="007F12B8" w:rsidP="007F12B8">
      <w:pPr>
        <w:keepLines/>
        <w:ind w:right="568"/>
        <w:rPr>
          <w:color w:val="000000"/>
          <w:lang w:eastAsia="ar-SA"/>
        </w:rPr>
      </w:pPr>
      <w:r w:rsidRPr="0035568A">
        <w:rPr>
          <w:b/>
          <w:bCs/>
          <w:color w:val="000000"/>
          <w:lang w:eastAsia="ar-SA"/>
        </w:rPr>
        <w:t>A.4. Alternatívne riešenia:</w:t>
      </w:r>
    </w:p>
    <w:p w:rsidR="007F12B8" w:rsidRDefault="007F12B8" w:rsidP="00DE0824">
      <w:pPr>
        <w:keepLines/>
        <w:ind w:right="4"/>
        <w:jc w:val="both"/>
        <w:rPr>
          <w:color w:val="000000"/>
          <w:lang w:eastAsia="ar-SA"/>
        </w:rPr>
      </w:pPr>
      <w:r w:rsidRPr="009861C3">
        <w:rPr>
          <w:color w:val="000000"/>
          <w:lang w:eastAsia="ar-SA"/>
        </w:rPr>
        <w:t>Alternatívnym riešením je nulový variant, ktorý zname</w:t>
      </w:r>
      <w:r w:rsidR="00DE0824">
        <w:rPr>
          <w:color w:val="000000"/>
          <w:lang w:eastAsia="ar-SA"/>
        </w:rPr>
        <w:t>ná, že zákon o stimuloch nebude v</w:t>
      </w:r>
      <w:r w:rsidRPr="009861C3">
        <w:rPr>
          <w:color w:val="000000"/>
          <w:lang w:eastAsia="ar-SA"/>
        </w:rPr>
        <w:t>yžadovať, aby žiadateľ o stimuly bol zapísaný v registri partnerov verejného sektora.</w:t>
      </w:r>
    </w:p>
    <w:p w:rsidR="007F12B8" w:rsidRPr="0035568A" w:rsidRDefault="007F12B8" w:rsidP="007F12B8">
      <w:pPr>
        <w:keepLines/>
        <w:ind w:right="568"/>
        <w:rPr>
          <w:b/>
          <w:bCs/>
          <w:color w:val="000000"/>
          <w:lang w:eastAsia="ar-SA"/>
        </w:rPr>
      </w:pPr>
    </w:p>
    <w:p w:rsidR="007F12B8" w:rsidRPr="0035568A" w:rsidRDefault="007F12B8" w:rsidP="007F12B8">
      <w:pPr>
        <w:keepLines/>
        <w:ind w:right="568"/>
        <w:rPr>
          <w:color w:val="000000"/>
          <w:lang w:eastAsia="ar-SA"/>
        </w:rPr>
      </w:pPr>
      <w:r w:rsidRPr="0035568A">
        <w:rPr>
          <w:b/>
          <w:bCs/>
          <w:color w:val="000000"/>
          <w:lang w:eastAsia="ar-SA"/>
        </w:rPr>
        <w:t xml:space="preserve">A.5. </w:t>
      </w:r>
      <w:r w:rsidRPr="0035568A">
        <w:rPr>
          <w:b/>
          <w:bCs/>
          <w:color w:val="000000"/>
          <w:lang w:eastAsia="ar-SA"/>
        </w:rPr>
        <w:tab/>
        <w:t>Stanovisko gestorov:</w:t>
      </w:r>
    </w:p>
    <w:p w:rsidR="007F12B8" w:rsidRDefault="007F12B8" w:rsidP="007F12B8">
      <w:r>
        <w:rPr>
          <w:color w:val="000000"/>
          <w:lang w:eastAsia="ar-SA"/>
        </w:rPr>
        <w:t>Bezpredmetné</w:t>
      </w:r>
    </w:p>
    <w:p w:rsidR="007F12B8" w:rsidRDefault="007F12B8" w:rsidP="00F615C4">
      <w:pPr>
        <w:pStyle w:val="Normlnywebov"/>
        <w:spacing w:before="120" w:beforeAutospacing="0" w:after="0" w:afterAutospacing="0" w:line="276" w:lineRule="auto"/>
        <w:jc w:val="both"/>
        <w:rPr>
          <w:rStyle w:val="Textzstupnhosymbolu"/>
          <w:color w:val="000000"/>
        </w:rPr>
      </w:pPr>
    </w:p>
    <w:p w:rsidR="007F12B8" w:rsidRDefault="007F12B8">
      <w:pPr>
        <w:widowControl/>
        <w:adjustRightInd/>
        <w:spacing w:after="200" w:line="276" w:lineRule="auto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br w:type="page"/>
      </w:r>
      <w:bookmarkStart w:id="0" w:name="_GoBack"/>
      <w:bookmarkEnd w:id="0"/>
    </w:p>
    <w:p w:rsidR="007F12B8" w:rsidRPr="00117A7E" w:rsidRDefault="007F12B8" w:rsidP="009D6FD1">
      <w:pPr>
        <w:spacing w:line="276" w:lineRule="auto"/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lastRenderedPageBreak/>
        <w:t>Doložka zlučiteľnosti</w:t>
      </w:r>
    </w:p>
    <w:p w:rsidR="007F12B8" w:rsidRPr="00117A7E" w:rsidRDefault="007F12B8" w:rsidP="009D6FD1">
      <w:pPr>
        <w:pBdr>
          <w:bottom w:val="single" w:sz="4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zákona </w:t>
      </w:r>
      <w:r w:rsidRPr="00117A7E">
        <w:rPr>
          <w:b/>
          <w:sz w:val="25"/>
          <w:szCs w:val="25"/>
        </w:rPr>
        <w:t>s právom Európskej únie</w:t>
      </w:r>
    </w:p>
    <w:p w:rsidR="007F12B8" w:rsidRPr="00117A7E" w:rsidRDefault="007F12B8" w:rsidP="007F12B8">
      <w:pPr>
        <w:jc w:val="center"/>
        <w:rPr>
          <w:b/>
          <w:sz w:val="25"/>
          <w:szCs w:val="25"/>
        </w:rPr>
      </w:pPr>
    </w:p>
    <w:p w:rsidR="007F12B8" w:rsidRPr="00DE0824" w:rsidRDefault="007F12B8" w:rsidP="007F12B8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7F12B8" w:rsidRPr="00DE0824" w:rsidTr="00FE4333">
        <w:tc>
          <w:tcPr>
            <w:tcW w:w="404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  <w:rPr>
                <w:b/>
              </w:rPr>
            </w:pPr>
            <w:r w:rsidRPr="00DE0824">
              <w:rPr>
                <w:b/>
              </w:rPr>
              <w:t>1.</w:t>
            </w:r>
          </w:p>
        </w:tc>
        <w:tc>
          <w:tcPr>
            <w:tcW w:w="9627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  <w:rPr>
                <w:b/>
              </w:rPr>
            </w:pPr>
            <w:r w:rsidRPr="00DE0824">
              <w:rPr>
                <w:b/>
              </w:rPr>
              <w:t xml:space="preserve">Navrhovateľ zákona: </w:t>
            </w:r>
            <w:r w:rsidRPr="00DE0824">
              <w:t>Poslanci Národnej rady Slovenskej republiky</w:t>
            </w:r>
          </w:p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  <w:r w:rsidRPr="00DE0824">
              <w:t xml:space="preserve"> </w:t>
            </w:r>
          </w:p>
        </w:tc>
      </w:tr>
      <w:tr w:rsidR="007F12B8" w:rsidRPr="00DE0824" w:rsidTr="00FE4333">
        <w:tc>
          <w:tcPr>
            <w:tcW w:w="404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</w:tr>
      <w:tr w:rsidR="007F12B8" w:rsidRPr="00DE0824" w:rsidTr="00FE4333">
        <w:tc>
          <w:tcPr>
            <w:tcW w:w="404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  <w:rPr>
                <w:b/>
              </w:rPr>
            </w:pPr>
            <w:r w:rsidRPr="00DE0824">
              <w:rPr>
                <w:b/>
              </w:rPr>
              <w:t>2.</w:t>
            </w:r>
          </w:p>
        </w:tc>
        <w:tc>
          <w:tcPr>
            <w:tcW w:w="9627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  <w:r w:rsidRPr="00DE0824">
              <w:rPr>
                <w:b/>
              </w:rPr>
              <w:t>Názov návrhu zákona:</w:t>
            </w:r>
            <w:r w:rsidRPr="00DE0824">
              <w:t xml:space="preserve"> </w:t>
            </w:r>
            <w:r w:rsidRPr="00DE0824">
              <w:fldChar w:fldCharType="begin"/>
            </w:r>
            <w:r w:rsidRPr="00DE0824">
              <w:instrText xml:space="preserve"> DOCPROPERTY  FSC#SKEDITIONSLOVLEX@103.510:plnynazovpredpis  \* MERGEFORMAT </w:instrText>
            </w:r>
            <w:r w:rsidRPr="00DE0824">
              <w:fldChar w:fldCharType="separate"/>
            </w:r>
            <w:r w:rsidRPr="00DE0824">
              <w:t xml:space="preserve"> Zákon, ktorým sa mení a dopĺňa zákon č. 185/2009 Z. z. o stimuloch pre výskum a vývoj a o doplnení zákona č. 595/2003 Z. z. o dani z príjmov v znení neskorších predpisov v znení neskorších predpisov</w:t>
            </w:r>
            <w:r w:rsidRPr="00DE0824">
              <w:fldChar w:fldCharType="end"/>
            </w:r>
            <w:r w:rsidRPr="00DE0824">
              <w:fldChar w:fldCharType="begin"/>
            </w:r>
            <w:r w:rsidRPr="00DE0824">
              <w:instrText xml:space="preserve"> DOCPROPERTY  FSC#SKEDITIONSLOVLEX@103.510:plnynazovpredpis1  \* MERGEFORMAT </w:instrText>
            </w:r>
            <w:r w:rsidRPr="00DE0824">
              <w:fldChar w:fldCharType="end"/>
            </w:r>
            <w:r w:rsidRPr="00DE0824">
              <w:fldChar w:fldCharType="begin"/>
            </w:r>
            <w:r w:rsidRPr="00DE0824">
              <w:instrText xml:space="preserve"> DOCPROPERTY  FSC#SKEDITIONSLOVLEX@103.510:plnynazovpredpis2  \* MERGEFORMAT </w:instrText>
            </w:r>
            <w:r w:rsidRPr="00DE0824">
              <w:fldChar w:fldCharType="end"/>
            </w:r>
            <w:r w:rsidRPr="00DE0824">
              <w:fldChar w:fldCharType="begin"/>
            </w:r>
            <w:r w:rsidRPr="00DE0824">
              <w:instrText xml:space="preserve"> DOCPROPERTY  FSC#SKEDITIONSLOVLEX@103.510:plnynazovpredpis3  \* MERGEFORMAT </w:instrText>
            </w:r>
            <w:r w:rsidRPr="00DE0824">
              <w:fldChar w:fldCharType="end"/>
            </w:r>
          </w:p>
        </w:tc>
      </w:tr>
      <w:tr w:rsidR="007F12B8" w:rsidRPr="00DE0824" w:rsidTr="00FE4333">
        <w:tc>
          <w:tcPr>
            <w:tcW w:w="404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</w:tr>
      <w:tr w:rsidR="007F12B8" w:rsidRPr="00DE0824" w:rsidTr="00FE4333">
        <w:tc>
          <w:tcPr>
            <w:tcW w:w="404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  <w:rPr>
                <w:b/>
              </w:rPr>
            </w:pPr>
            <w:r w:rsidRPr="00DE0824">
              <w:rPr>
                <w:b/>
              </w:rPr>
              <w:t>3.</w:t>
            </w:r>
          </w:p>
        </w:tc>
        <w:tc>
          <w:tcPr>
            <w:tcW w:w="9627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  <w:rPr>
                <w:b/>
              </w:rPr>
            </w:pPr>
            <w:r w:rsidRPr="00DE0824">
              <w:rPr>
                <w:b/>
              </w:rPr>
              <w:t>Predmet návrhu zákona je upravený v práve Európskej únie:</w:t>
            </w:r>
          </w:p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</w:tr>
      <w:tr w:rsidR="007F12B8" w:rsidRPr="00DE0824" w:rsidTr="00FE4333">
        <w:tc>
          <w:tcPr>
            <w:tcW w:w="404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:rsidR="007F12B8" w:rsidRPr="00DE0824" w:rsidRDefault="007F12B8" w:rsidP="007F12B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jc w:val="both"/>
            </w:pPr>
            <w:r w:rsidRPr="00DE0824">
              <w:t>v primárnom práve:</w:t>
            </w:r>
          </w:p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  <w:r w:rsidRPr="00DE0824">
              <w:rPr>
                <w:i/>
              </w:rPr>
              <w:t>zmluva o fungovaní Európskej únie</w:t>
            </w:r>
            <w:r w:rsidRPr="00DE0824">
              <w:t>, Hlava VII Spoločné pravidlá pre hospodársku súťaž, zdaňovanie a aproximáciu práva, čl. 107 a 108, Hlava XIX Výskum a technologický rozvoj a kozmický priestor, čl. 179 – 190</w:t>
            </w:r>
          </w:p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  <w:p w:rsidR="007F12B8" w:rsidRPr="00DE0824" w:rsidRDefault="007F12B8" w:rsidP="007F12B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jc w:val="both"/>
            </w:pPr>
            <w:r w:rsidRPr="00DE0824">
              <w:t xml:space="preserve">v sekundárnom práve: </w:t>
            </w:r>
          </w:p>
          <w:p w:rsidR="007F12B8" w:rsidRPr="00DE0824" w:rsidRDefault="007F12B8" w:rsidP="007F12B8">
            <w:pPr>
              <w:pStyle w:val="Odsekzoznamu"/>
              <w:tabs>
                <w:tab w:val="left" w:pos="360"/>
              </w:tabs>
              <w:jc w:val="both"/>
            </w:pPr>
          </w:p>
          <w:p w:rsidR="007F12B8" w:rsidRPr="00DE0824" w:rsidRDefault="007F12B8" w:rsidP="007F12B8">
            <w:pPr>
              <w:jc w:val="both"/>
            </w:pPr>
            <w:r w:rsidRPr="00DE0824">
              <w:t>prijatom po nadobudnutím platnosti Lisabonskej zmluvy, ktorou sa mení a dopĺňa Zmluva o Európskom spoločenstve a Zmluva o Európskej únii – po 30. novembri 2009.</w:t>
            </w:r>
          </w:p>
          <w:p w:rsidR="007F12B8" w:rsidRPr="00DE0824" w:rsidRDefault="007F12B8" w:rsidP="007F12B8">
            <w:pPr>
              <w:jc w:val="both"/>
            </w:pPr>
          </w:p>
          <w:p w:rsidR="007F12B8" w:rsidRPr="00DE0824" w:rsidRDefault="007F12B8" w:rsidP="007F12B8">
            <w:pPr>
              <w:jc w:val="both"/>
            </w:pPr>
            <w:r w:rsidRPr="00DE0824">
              <w:t>1.</w:t>
            </w:r>
            <w:r w:rsidRPr="00DE0824">
              <w:tab/>
              <w:t>legislatívne akty,</w:t>
            </w:r>
          </w:p>
          <w:p w:rsidR="007F12B8" w:rsidRPr="00DE0824" w:rsidRDefault="007F12B8" w:rsidP="007F12B8">
            <w:pPr>
              <w:jc w:val="both"/>
            </w:pPr>
          </w:p>
          <w:p w:rsidR="007F12B8" w:rsidRPr="00DE0824" w:rsidRDefault="007F12B8" w:rsidP="007F12B8">
            <w:pPr>
              <w:jc w:val="both"/>
            </w:pPr>
          </w:p>
          <w:p w:rsidR="007F12B8" w:rsidRPr="00DE0824" w:rsidRDefault="007F12B8" w:rsidP="007F12B8">
            <w:pPr>
              <w:jc w:val="both"/>
            </w:pPr>
            <w:r w:rsidRPr="00DE0824">
              <w:t>2.</w:t>
            </w:r>
            <w:r w:rsidRPr="00DE0824">
              <w:tab/>
              <w:t>nelegislatívne akty.</w:t>
            </w:r>
          </w:p>
          <w:p w:rsidR="007F12B8" w:rsidRPr="00DE0824" w:rsidRDefault="007F12B8" w:rsidP="007F12B8">
            <w:pPr>
              <w:jc w:val="both"/>
            </w:pPr>
          </w:p>
          <w:p w:rsidR="007F12B8" w:rsidRPr="00DE0824" w:rsidRDefault="007F12B8" w:rsidP="007F12B8">
            <w:pPr>
              <w:jc w:val="both"/>
            </w:pPr>
            <w:r w:rsidRPr="00DE0824">
              <w:t>Nariadenie Komisie (EÚ) č. 651/2014 zo 17. júna 2014 o vyhlásení určitých kategórií pomoci za zlučiteľné s vnútorným trhom podľa článkov 107a 108 zmluvy (Ú. v. EÚ L 187, 26.6.2014). </w:t>
            </w:r>
          </w:p>
          <w:p w:rsidR="007F12B8" w:rsidRPr="00DE0824" w:rsidRDefault="007F12B8" w:rsidP="007F12B8">
            <w:pPr>
              <w:jc w:val="both"/>
            </w:pPr>
          </w:p>
          <w:p w:rsidR="007F12B8" w:rsidRPr="00DE0824" w:rsidRDefault="007F12B8" w:rsidP="007F12B8">
            <w:pPr>
              <w:jc w:val="both"/>
            </w:pPr>
          </w:p>
          <w:p w:rsidR="007F12B8" w:rsidRPr="00DE0824" w:rsidRDefault="007F12B8" w:rsidP="007F12B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jc w:val="both"/>
            </w:pPr>
            <w:r w:rsidRPr="00DE0824">
              <w:t xml:space="preserve">nie je obsiahnutá v judikatúre Súdneho dvora </w:t>
            </w:r>
          </w:p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</w:tr>
      <w:tr w:rsidR="007F12B8" w:rsidRPr="00DE0824" w:rsidTr="00FE4333">
        <w:tc>
          <w:tcPr>
            <w:tcW w:w="404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</w:tr>
      <w:tr w:rsidR="007F12B8" w:rsidRPr="00DE0824" w:rsidTr="00FE4333">
        <w:tc>
          <w:tcPr>
            <w:tcW w:w="404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:rsidR="007F12B8" w:rsidRPr="00DE0824" w:rsidRDefault="007F12B8" w:rsidP="007F12B8">
            <w:pPr>
              <w:tabs>
                <w:tab w:val="left" w:pos="360"/>
              </w:tabs>
              <w:jc w:val="both"/>
            </w:pPr>
          </w:p>
        </w:tc>
      </w:tr>
    </w:tbl>
    <w:p w:rsidR="007F12B8" w:rsidRPr="00DE0824" w:rsidRDefault="007F12B8" w:rsidP="007F12B8">
      <w:pPr>
        <w:tabs>
          <w:tab w:val="left" w:pos="360"/>
        </w:tabs>
        <w:jc w:val="both"/>
        <w:rPr>
          <w:b/>
        </w:rPr>
      </w:pPr>
      <w:r w:rsidRPr="00DE0824">
        <w:rPr>
          <w:b/>
        </w:rPr>
        <w:t>4. Záväzky Slovenskej republiky vo vzťahu k Európskej únii:</w:t>
      </w:r>
    </w:p>
    <w:p w:rsidR="007F12B8" w:rsidRPr="00DE0824" w:rsidRDefault="007F12B8" w:rsidP="007F12B8">
      <w:pPr>
        <w:tabs>
          <w:tab w:val="left" w:pos="360"/>
        </w:tabs>
        <w:jc w:val="both"/>
        <w:rPr>
          <w:b/>
        </w:rPr>
      </w:pPr>
    </w:p>
    <w:p w:rsidR="007F12B8" w:rsidRPr="00DE0824" w:rsidRDefault="007F12B8" w:rsidP="007F12B8">
      <w:pPr>
        <w:pStyle w:val="Odsekzoznamu"/>
        <w:widowControl/>
        <w:numPr>
          <w:ilvl w:val="0"/>
          <w:numId w:val="5"/>
        </w:numPr>
        <w:adjustRightInd/>
        <w:jc w:val="both"/>
        <w:rPr>
          <w:color w:val="000000"/>
        </w:rPr>
      </w:pPr>
      <w:r w:rsidRPr="00DE0824">
        <w:rPr>
          <w:color w:val="000000"/>
        </w:rPr>
        <w:t>lehota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na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prebranie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príslušného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právneho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aktu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Európskej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únie,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príp.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aj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osobitná</w:t>
      </w:r>
      <w:r w:rsidRPr="00DE0824">
        <w:rPr>
          <w:color w:val="000000"/>
          <w:spacing w:val="38"/>
        </w:rPr>
        <w:t xml:space="preserve"> </w:t>
      </w:r>
      <w:r w:rsidRPr="00DE0824">
        <w:rPr>
          <w:color w:val="000000"/>
        </w:rPr>
        <w:t>lehotu účinnosti jeho ustanovení</w:t>
      </w:r>
    </w:p>
    <w:p w:rsidR="007F12B8" w:rsidRPr="00DE0824" w:rsidRDefault="007F12B8" w:rsidP="007F12B8">
      <w:pPr>
        <w:widowControl/>
        <w:adjustRightInd/>
        <w:jc w:val="both"/>
      </w:pPr>
    </w:p>
    <w:p w:rsidR="007F12B8" w:rsidRPr="00DE0824" w:rsidRDefault="007F12B8" w:rsidP="007F12B8">
      <w:pPr>
        <w:widowControl/>
        <w:adjustRightInd/>
        <w:jc w:val="both"/>
        <w:rPr>
          <w:i/>
        </w:rPr>
      </w:pPr>
      <w:r w:rsidRPr="00DE0824">
        <w:rPr>
          <w:i/>
          <w:color w:val="000000"/>
        </w:rPr>
        <w:t xml:space="preserve">            bezpredmetné</w:t>
      </w:r>
    </w:p>
    <w:p w:rsidR="007F12B8" w:rsidRPr="00DE0824" w:rsidRDefault="007F12B8" w:rsidP="007F12B8">
      <w:pPr>
        <w:pStyle w:val="Odsekzoznamu"/>
        <w:widowControl/>
        <w:numPr>
          <w:ilvl w:val="0"/>
          <w:numId w:val="5"/>
        </w:numPr>
        <w:adjustRightInd/>
        <w:jc w:val="both"/>
      </w:pPr>
      <w:r w:rsidRPr="00DE0824">
        <w:rPr>
          <w:color w:val="000000"/>
        </w:rPr>
        <w:lastRenderedPageBreak/>
        <w:t>informácia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o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začatí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konania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v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rámci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„EÚ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Pilot“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alebo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o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začatí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postupu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Európskej</w:t>
      </w:r>
      <w:r w:rsidRPr="00DE0824">
        <w:rPr>
          <w:color w:val="000000"/>
          <w:spacing w:val="2"/>
        </w:rPr>
        <w:t xml:space="preserve"> </w:t>
      </w:r>
      <w:r w:rsidRPr="00DE0824">
        <w:rPr>
          <w:color w:val="000000"/>
        </w:rPr>
        <w:t>komisie, alebo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o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konaní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Súdneho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dvora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Európskej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únie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proti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Slovenskej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republike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podľa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čl.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258</w:t>
      </w:r>
      <w:r w:rsidRPr="00DE0824">
        <w:rPr>
          <w:color w:val="000000"/>
          <w:spacing w:val="13"/>
        </w:rPr>
        <w:t xml:space="preserve"> </w:t>
      </w:r>
      <w:r w:rsidRPr="00DE0824">
        <w:rPr>
          <w:color w:val="000000"/>
        </w:rPr>
        <w:t>a 260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Zmluvy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o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fungovaní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Európskej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únie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v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jej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platnom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znení,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spolu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s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uvedením</w:t>
      </w:r>
      <w:r w:rsidRPr="00DE0824">
        <w:rPr>
          <w:color w:val="000000"/>
          <w:spacing w:val="-14"/>
        </w:rPr>
        <w:t xml:space="preserve"> </w:t>
      </w:r>
      <w:r w:rsidRPr="00DE0824">
        <w:rPr>
          <w:color w:val="000000"/>
        </w:rPr>
        <w:t>konkrétnych vytýkaných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nedostatkov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a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požiadaviek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na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zabezpečenie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nápravy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so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zreteľom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na</w:t>
      </w:r>
      <w:r w:rsidRPr="00DE0824">
        <w:rPr>
          <w:color w:val="000000"/>
          <w:spacing w:val="-5"/>
        </w:rPr>
        <w:t xml:space="preserve"> </w:t>
      </w:r>
      <w:r w:rsidRPr="00DE0824">
        <w:rPr>
          <w:color w:val="000000"/>
        </w:rPr>
        <w:t>nariadenie Európskeho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parlamentu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a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Rady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(ES)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č.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1049/2001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z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30.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mája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2001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o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prístupe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verejnosti</w:t>
      </w:r>
      <w:r w:rsidRPr="00DE0824">
        <w:rPr>
          <w:color w:val="000000"/>
          <w:spacing w:val="4"/>
        </w:rPr>
        <w:t xml:space="preserve"> </w:t>
      </w:r>
      <w:r w:rsidRPr="00DE0824">
        <w:rPr>
          <w:color w:val="000000"/>
        </w:rPr>
        <w:t>k dokumentom Európskeho parlamentu, Rady a Komisie,</w:t>
      </w:r>
    </w:p>
    <w:p w:rsidR="007F12B8" w:rsidRPr="00DE0824" w:rsidRDefault="007F12B8" w:rsidP="007F12B8">
      <w:pPr>
        <w:pStyle w:val="Odsekzoznamu"/>
        <w:widowControl/>
        <w:adjustRightInd/>
        <w:jc w:val="both"/>
      </w:pPr>
    </w:p>
    <w:p w:rsidR="007F12B8" w:rsidRPr="00DE0824" w:rsidRDefault="007F12B8" w:rsidP="007F12B8">
      <w:pPr>
        <w:widowControl/>
        <w:adjustRightInd/>
        <w:ind w:firstLine="709"/>
        <w:jc w:val="both"/>
        <w:rPr>
          <w:i/>
        </w:rPr>
      </w:pPr>
      <w:r w:rsidRPr="00DE0824">
        <w:rPr>
          <w:i/>
          <w:color w:val="000000"/>
        </w:rPr>
        <w:t>Ku dňu predloženia návrhu zákona v oblasti jeho právnej úpravy</w:t>
      </w:r>
    </w:p>
    <w:p w:rsidR="007F12B8" w:rsidRPr="00DE0824" w:rsidRDefault="007F12B8" w:rsidP="007F12B8">
      <w:pPr>
        <w:widowControl/>
        <w:adjustRightInd/>
        <w:ind w:firstLine="709"/>
        <w:jc w:val="both"/>
        <w:rPr>
          <w:i/>
        </w:rPr>
      </w:pPr>
      <w:r w:rsidRPr="00DE0824">
        <w:rPr>
          <w:i/>
          <w:color w:val="000000"/>
        </w:rPr>
        <w:t>-  nebolo začaté konanie v rámci „EÚ Pilot“</w:t>
      </w:r>
    </w:p>
    <w:p w:rsidR="007F12B8" w:rsidRPr="00DE0824" w:rsidRDefault="007F12B8" w:rsidP="007F12B8">
      <w:pPr>
        <w:widowControl/>
        <w:adjustRightInd/>
        <w:ind w:left="709"/>
        <w:jc w:val="both"/>
        <w:rPr>
          <w:i/>
        </w:rPr>
      </w:pPr>
      <w:r w:rsidRPr="00DE0824">
        <w:rPr>
          <w:i/>
          <w:color w:val="000000"/>
        </w:rPr>
        <w:t>-  nebol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začatý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postup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Európskej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komisie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podľa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čl.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258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a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260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Zmluvy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o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fungovaní</w:t>
      </w:r>
      <w:r w:rsidRPr="00DE0824">
        <w:rPr>
          <w:i/>
          <w:color w:val="000000"/>
          <w:spacing w:val="1"/>
        </w:rPr>
        <w:t xml:space="preserve"> </w:t>
      </w:r>
      <w:r w:rsidRPr="00DE0824">
        <w:rPr>
          <w:i/>
          <w:color w:val="000000"/>
        </w:rPr>
        <w:t>Európskej únie v jej platnom znení</w:t>
      </w:r>
    </w:p>
    <w:p w:rsidR="007F12B8" w:rsidRPr="00DE0824" w:rsidRDefault="007F12B8" w:rsidP="007F12B8">
      <w:pPr>
        <w:widowControl/>
        <w:adjustRightInd/>
        <w:ind w:left="709"/>
        <w:jc w:val="both"/>
        <w:rPr>
          <w:i/>
          <w:color w:val="000000"/>
        </w:rPr>
      </w:pPr>
      <w:r w:rsidRPr="00DE0824">
        <w:rPr>
          <w:i/>
          <w:color w:val="000000"/>
        </w:rPr>
        <w:t>- nebolo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začaté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konanie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Súdneho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dvora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Európskej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únie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proti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Slovenskej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republike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podľa</w:t>
      </w:r>
      <w:r w:rsidRPr="00DE0824">
        <w:rPr>
          <w:i/>
          <w:color w:val="000000"/>
          <w:spacing w:val="4"/>
        </w:rPr>
        <w:t xml:space="preserve"> </w:t>
      </w:r>
      <w:r w:rsidRPr="00DE0824">
        <w:rPr>
          <w:i/>
          <w:color w:val="000000"/>
        </w:rPr>
        <w:t>čl. 258 a 260 Zmluvy o fungovaní Európskej únie v jej platnom znení</w:t>
      </w:r>
    </w:p>
    <w:p w:rsidR="007F12B8" w:rsidRPr="00DE0824" w:rsidRDefault="007F12B8" w:rsidP="007F12B8">
      <w:pPr>
        <w:widowControl/>
        <w:adjustRightInd/>
        <w:jc w:val="both"/>
      </w:pPr>
    </w:p>
    <w:p w:rsidR="007F12B8" w:rsidRPr="00DE0824" w:rsidRDefault="007F12B8" w:rsidP="007F12B8">
      <w:pPr>
        <w:pStyle w:val="Odsekzoznamu"/>
        <w:widowControl/>
        <w:numPr>
          <w:ilvl w:val="0"/>
          <w:numId w:val="5"/>
        </w:numPr>
        <w:adjustRightInd/>
        <w:jc w:val="both"/>
      </w:pPr>
      <w:r w:rsidRPr="00DE0824">
        <w:rPr>
          <w:color w:val="000000"/>
        </w:rPr>
        <w:t>informácia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o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právnych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predpisoch,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v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ktorých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sú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uvádzané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právne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akty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Európskej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únie</w:t>
      </w:r>
      <w:r w:rsidRPr="00DE0824">
        <w:rPr>
          <w:color w:val="000000"/>
          <w:spacing w:val="12"/>
        </w:rPr>
        <w:t xml:space="preserve"> </w:t>
      </w:r>
      <w:r w:rsidRPr="00DE0824">
        <w:rPr>
          <w:color w:val="000000"/>
        </w:rPr>
        <w:t>už prebrané, spolu s uvedením rozsahu ich prebrania, príp. potreby prijatia ďalších úprav.</w:t>
      </w:r>
    </w:p>
    <w:p w:rsidR="007F12B8" w:rsidRPr="00DE0824" w:rsidRDefault="007F12B8" w:rsidP="007F12B8">
      <w:pPr>
        <w:widowControl/>
        <w:adjustRightInd/>
        <w:jc w:val="both"/>
      </w:pPr>
    </w:p>
    <w:p w:rsidR="007F12B8" w:rsidRPr="00DE0824" w:rsidRDefault="007F12B8" w:rsidP="007F12B8">
      <w:pPr>
        <w:widowControl/>
        <w:adjustRightInd/>
        <w:jc w:val="both"/>
      </w:pPr>
    </w:p>
    <w:p w:rsidR="007F12B8" w:rsidRPr="00DE0824" w:rsidRDefault="007F12B8" w:rsidP="007F12B8">
      <w:pPr>
        <w:widowControl/>
        <w:adjustRightInd/>
        <w:jc w:val="both"/>
      </w:pPr>
      <w:r w:rsidRPr="00DE0824">
        <w:rPr>
          <w:b/>
        </w:rPr>
        <w:t>5. Návrh zákona je zlučiteľný s právom Európskej únie</w:t>
      </w:r>
    </w:p>
    <w:p w:rsidR="007F12B8" w:rsidRPr="00DE0824" w:rsidRDefault="007F12B8" w:rsidP="007F12B8">
      <w:pPr>
        <w:widowControl/>
        <w:adjustRightInd/>
        <w:jc w:val="both"/>
      </w:pPr>
    </w:p>
    <w:p w:rsidR="007F12B8" w:rsidRPr="00DE0824" w:rsidRDefault="007F12B8" w:rsidP="007F12B8">
      <w:pPr>
        <w:widowControl/>
        <w:adjustRightInd/>
        <w:jc w:val="both"/>
        <w:rPr>
          <w:i/>
        </w:rPr>
      </w:pPr>
      <w:r w:rsidRPr="00DE0824">
        <w:rPr>
          <w:i/>
        </w:rPr>
        <w:t xml:space="preserve">    úplne</w:t>
      </w:r>
    </w:p>
    <w:p w:rsidR="007F12B8" w:rsidRPr="00DE0824" w:rsidRDefault="007F12B8" w:rsidP="007F12B8">
      <w:pPr>
        <w:tabs>
          <w:tab w:val="left" w:pos="360"/>
        </w:tabs>
        <w:jc w:val="both"/>
        <w:rPr>
          <w:b/>
        </w:rPr>
      </w:pPr>
    </w:p>
    <w:p w:rsidR="007F12B8" w:rsidRPr="00DE0824" w:rsidRDefault="007F12B8" w:rsidP="007F12B8">
      <w:pPr>
        <w:tabs>
          <w:tab w:val="left" w:pos="360"/>
        </w:tabs>
        <w:jc w:val="both"/>
        <w:rPr>
          <w:b/>
        </w:rPr>
      </w:pPr>
    </w:p>
    <w:p w:rsidR="00C0489E" w:rsidRPr="00DE0824" w:rsidRDefault="00C0489E" w:rsidP="007F12B8">
      <w:pPr>
        <w:pStyle w:val="Normlnywebov"/>
        <w:spacing w:before="120" w:beforeAutospacing="0" w:after="0" w:afterAutospacing="0" w:line="276" w:lineRule="auto"/>
        <w:jc w:val="both"/>
        <w:rPr>
          <w:rStyle w:val="Textzstupnhosymbolu"/>
          <w:color w:val="000000"/>
        </w:rPr>
      </w:pPr>
    </w:p>
    <w:sectPr w:rsidR="00C0489E" w:rsidRPr="00DE0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7F4"/>
    <w:multiLevelType w:val="hybridMultilevel"/>
    <w:tmpl w:val="34E0CDF6"/>
    <w:lvl w:ilvl="0" w:tplc="A92A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A4452"/>
    <w:multiLevelType w:val="hybridMultilevel"/>
    <w:tmpl w:val="03FC4B3E"/>
    <w:lvl w:ilvl="0" w:tplc="7B943F84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232F"/>
    <w:multiLevelType w:val="multilevel"/>
    <w:tmpl w:val="D744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D29D1"/>
    <w:multiLevelType w:val="multilevel"/>
    <w:tmpl w:val="093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F741C"/>
    <w:multiLevelType w:val="hybridMultilevel"/>
    <w:tmpl w:val="5C2A53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D2"/>
    <w:rsid w:val="000158F9"/>
    <w:rsid w:val="00055566"/>
    <w:rsid w:val="00136E30"/>
    <w:rsid w:val="001638B5"/>
    <w:rsid w:val="00163D64"/>
    <w:rsid w:val="001B22D2"/>
    <w:rsid w:val="001B5F6D"/>
    <w:rsid w:val="001D27A5"/>
    <w:rsid w:val="001F61F6"/>
    <w:rsid w:val="00247425"/>
    <w:rsid w:val="00252B53"/>
    <w:rsid w:val="002939D4"/>
    <w:rsid w:val="002D0989"/>
    <w:rsid w:val="0030018F"/>
    <w:rsid w:val="00317089"/>
    <w:rsid w:val="00322BC7"/>
    <w:rsid w:val="003C386C"/>
    <w:rsid w:val="003D184A"/>
    <w:rsid w:val="00447B3D"/>
    <w:rsid w:val="0046552B"/>
    <w:rsid w:val="00496D95"/>
    <w:rsid w:val="00545725"/>
    <w:rsid w:val="0054723C"/>
    <w:rsid w:val="00570AB7"/>
    <w:rsid w:val="0058408E"/>
    <w:rsid w:val="005C33A0"/>
    <w:rsid w:val="005D0EDA"/>
    <w:rsid w:val="00614E12"/>
    <w:rsid w:val="00785DEB"/>
    <w:rsid w:val="007905D7"/>
    <w:rsid w:val="00790A2B"/>
    <w:rsid w:val="00795A90"/>
    <w:rsid w:val="007F12B8"/>
    <w:rsid w:val="008252E0"/>
    <w:rsid w:val="00865FC5"/>
    <w:rsid w:val="008B25A6"/>
    <w:rsid w:val="008E075A"/>
    <w:rsid w:val="00902623"/>
    <w:rsid w:val="00925EA3"/>
    <w:rsid w:val="00935A6F"/>
    <w:rsid w:val="00960772"/>
    <w:rsid w:val="009D6FD1"/>
    <w:rsid w:val="009E7E2B"/>
    <w:rsid w:val="009F49C4"/>
    <w:rsid w:val="00A16BF3"/>
    <w:rsid w:val="00A20E56"/>
    <w:rsid w:val="00A60E0E"/>
    <w:rsid w:val="00A64D2D"/>
    <w:rsid w:val="00A87B96"/>
    <w:rsid w:val="00A91164"/>
    <w:rsid w:val="00AF1F3B"/>
    <w:rsid w:val="00AF4038"/>
    <w:rsid w:val="00B01AB5"/>
    <w:rsid w:val="00B024BE"/>
    <w:rsid w:val="00B41680"/>
    <w:rsid w:val="00B82860"/>
    <w:rsid w:val="00BB1730"/>
    <w:rsid w:val="00BE7EFC"/>
    <w:rsid w:val="00C0489E"/>
    <w:rsid w:val="00C0529D"/>
    <w:rsid w:val="00C50D3D"/>
    <w:rsid w:val="00C528D0"/>
    <w:rsid w:val="00CA3C0F"/>
    <w:rsid w:val="00D70D04"/>
    <w:rsid w:val="00DC4538"/>
    <w:rsid w:val="00DC729C"/>
    <w:rsid w:val="00DE0824"/>
    <w:rsid w:val="00EC2B8D"/>
    <w:rsid w:val="00EC456B"/>
    <w:rsid w:val="00ED4FC4"/>
    <w:rsid w:val="00EE3C60"/>
    <w:rsid w:val="00F2502C"/>
    <w:rsid w:val="00F37321"/>
    <w:rsid w:val="00F615C4"/>
    <w:rsid w:val="00F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styleId="Normlnywebov">
    <w:name w:val="Normal (Web)"/>
    <w:basedOn w:val="Normlny"/>
    <w:uiPriority w:val="99"/>
    <w:unhideWhenUsed/>
    <w:rsid w:val="00BB1730"/>
    <w:pPr>
      <w:widowControl/>
      <w:adjustRightInd/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qFormat/>
    <w:locked/>
    <w:rsid w:val="00F615C4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locked/>
    <w:rsid w:val="007F12B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styleId="Normlnywebov">
    <w:name w:val="Normal (Web)"/>
    <w:basedOn w:val="Normlny"/>
    <w:uiPriority w:val="99"/>
    <w:unhideWhenUsed/>
    <w:rsid w:val="00BB1730"/>
    <w:pPr>
      <w:widowControl/>
      <w:adjustRightInd/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qFormat/>
    <w:locked/>
    <w:rsid w:val="00F615C4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locked/>
    <w:rsid w:val="007F12B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Dedo</cp:lastModifiedBy>
  <cp:revision>14</cp:revision>
  <dcterms:created xsi:type="dcterms:W3CDTF">2019-02-07T12:01:00Z</dcterms:created>
  <dcterms:modified xsi:type="dcterms:W3CDTF">2019-03-06T10:46:00Z</dcterms:modified>
</cp:coreProperties>
</file>