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27" w:rsidRPr="00B0199F" w:rsidRDefault="00D43827" w:rsidP="00D54B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D43827" w:rsidRPr="00FE2BA6" w:rsidRDefault="00D43827" w:rsidP="00D54B5D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2BA6">
        <w:rPr>
          <w:rFonts w:ascii="Times New Roman" w:hAnsi="Times New Roman"/>
          <w:b/>
          <w:sz w:val="24"/>
          <w:szCs w:val="24"/>
        </w:rPr>
        <w:t>Všeobecná časť</w:t>
      </w:r>
    </w:p>
    <w:p w:rsidR="00D43827" w:rsidRPr="0007162B" w:rsidRDefault="00D43827" w:rsidP="00D54B5D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2BA6" w:rsidRPr="0007162B" w:rsidRDefault="00D43827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162B">
        <w:rPr>
          <w:rFonts w:ascii="Times New Roman" w:hAnsi="Times New Roman"/>
          <w:sz w:val="24"/>
          <w:szCs w:val="24"/>
        </w:rPr>
        <w:t>Na rokovanie Národnej rady Slo</w:t>
      </w:r>
      <w:r w:rsidR="00AA7094" w:rsidRPr="0007162B">
        <w:rPr>
          <w:rFonts w:ascii="Times New Roman" w:hAnsi="Times New Roman"/>
          <w:sz w:val="24"/>
          <w:szCs w:val="24"/>
        </w:rPr>
        <w:t xml:space="preserve">venskej republiky </w:t>
      </w:r>
      <w:r w:rsidR="00FE2BA6" w:rsidRPr="0007162B">
        <w:rPr>
          <w:rFonts w:ascii="Times New Roman" w:hAnsi="Times New Roman"/>
          <w:sz w:val="24"/>
          <w:szCs w:val="24"/>
        </w:rPr>
        <w:t xml:space="preserve">poslanci Národnej rady Slovenskej republiky Tibor </w:t>
      </w:r>
      <w:proofErr w:type="spellStart"/>
      <w:r w:rsidR="00FE2BA6" w:rsidRPr="0007162B">
        <w:rPr>
          <w:rFonts w:ascii="Times New Roman" w:hAnsi="Times New Roman"/>
          <w:sz w:val="24"/>
          <w:szCs w:val="24"/>
        </w:rPr>
        <w:t>Bernaťák</w:t>
      </w:r>
      <w:proofErr w:type="spellEnd"/>
      <w:r w:rsidR="00FE2BA6" w:rsidRPr="0007162B">
        <w:rPr>
          <w:rFonts w:ascii="Times New Roman" w:hAnsi="Times New Roman"/>
          <w:sz w:val="24"/>
          <w:szCs w:val="24"/>
        </w:rPr>
        <w:t xml:space="preserve">, </w:t>
      </w:r>
      <w:r w:rsidR="00B0495E">
        <w:rPr>
          <w:rFonts w:ascii="Times New Roman" w:hAnsi="Times New Roman"/>
          <w:sz w:val="24"/>
          <w:szCs w:val="24"/>
        </w:rPr>
        <w:t xml:space="preserve">Karol </w:t>
      </w:r>
      <w:proofErr w:type="spellStart"/>
      <w:r w:rsidR="00B0495E">
        <w:rPr>
          <w:rFonts w:ascii="Times New Roman" w:hAnsi="Times New Roman"/>
          <w:sz w:val="24"/>
          <w:szCs w:val="24"/>
        </w:rPr>
        <w:t>Farkašovský</w:t>
      </w:r>
      <w:proofErr w:type="spellEnd"/>
      <w:r w:rsidR="00B0495E">
        <w:rPr>
          <w:rFonts w:ascii="Times New Roman" w:hAnsi="Times New Roman"/>
          <w:sz w:val="24"/>
          <w:szCs w:val="24"/>
        </w:rPr>
        <w:t xml:space="preserve">, Eva Smolíková, Dušan </w:t>
      </w:r>
      <w:proofErr w:type="spellStart"/>
      <w:r w:rsidR="00B0495E">
        <w:rPr>
          <w:rFonts w:ascii="Times New Roman" w:hAnsi="Times New Roman"/>
          <w:sz w:val="24"/>
          <w:szCs w:val="24"/>
        </w:rPr>
        <w:t>Tittel</w:t>
      </w:r>
      <w:proofErr w:type="spellEnd"/>
      <w:r w:rsidR="00B0495E">
        <w:rPr>
          <w:rFonts w:ascii="Times New Roman" w:hAnsi="Times New Roman"/>
          <w:sz w:val="24"/>
          <w:szCs w:val="24"/>
        </w:rPr>
        <w:t xml:space="preserve"> </w:t>
      </w:r>
      <w:r w:rsidR="00FE2BA6" w:rsidRPr="0007162B">
        <w:rPr>
          <w:rFonts w:ascii="Times New Roman" w:hAnsi="Times New Roman"/>
          <w:sz w:val="24"/>
          <w:szCs w:val="24"/>
        </w:rPr>
        <w:t xml:space="preserve">a </w:t>
      </w:r>
      <w:r w:rsidR="00B0495E">
        <w:rPr>
          <w:rFonts w:ascii="Times New Roman" w:hAnsi="Times New Roman"/>
          <w:sz w:val="24"/>
          <w:szCs w:val="24"/>
        </w:rPr>
        <w:t xml:space="preserve">Stanislav </w:t>
      </w:r>
      <w:proofErr w:type="spellStart"/>
      <w:r w:rsidR="00B0495E">
        <w:rPr>
          <w:rFonts w:ascii="Times New Roman" w:hAnsi="Times New Roman"/>
          <w:sz w:val="24"/>
          <w:szCs w:val="24"/>
        </w:rPr>
        <w:t>Kmec</w:t>
      </w:r>
      <w:proofErr w:type="spellEnd"/>
      <w:r w:rsidR="00AA7094" w:rsidRPr="0007162B">
        <w:rPr>
          <w:rFonts w:ascii="Times New Roman" w:hAnsi="Times New Roman"/>
          <w:sz w:val="24"/>
          <w:szCs w:val="24"/>
        </w:rPr>
        <w:t xml:space="preserve"> predklad</w:t>
      </w:r>
      <w:r w:rsidR="00FE2BA6" w:rsidRPr="0007162B">
        <w:rPr>
          <w:rFonts w:ascii="Times New Roman" w:hAnsi="Times New Roman"/>
          <w:sz w:val="24"/>
          <w:szCs w:val="24"/>
        </w:rPr>
        <w:t>ajú</w:t>
      </w:r>
      <w:r w:rsidR="00C1015D" w:rsidRPr="0007162B">
        <w:rPr>
          <w:rFonts w:ascii="Times New Roman" w:hAnsi="Times New Roman"/>
          <w:sz w:val="24"/>
          <w:szCs w:val="24"/>
        </w:rPr>
        <w:t xml:space="preserve"> </w:t>
      </w:r>
      <w:r w:rsidR="00AA7094" w:rsidRPr="0007162B">
        <w:rPr>
          <w:rFonts w:ascii="Times New Roman" w:hAnsi="Times New Roman"/>
          <w:sz w:val="24"/>
          <w:szCs w:val="24"/>
        </w:rPr>
        <w:t>návrh</w:t>
      </w:r>
      <w:r w:rsidR="001F57E3" w:rsidRPr="0007162B">
        <w:rPr>
          <w:rFonts w:ascii="Times New Roman" w:hAnsi="Times New Roman"/>
          <w:sz w:val="24"/>
          <w:szCs w:val="24"/>
        </w:rPr>
        <w:t xml:space="preserve"> na vydanie </w:t>
      </w:r>
      <w:r w:rsidR="00C1015D" w:rsidRPr="0007162B">
        <w:rPr>
          <w:rFonts w:ascii="Times New Roman" w:hAnsi="Times New Roman"/>
          <w:sz w:val="24"/>
          <w:szCs w:val="24"/>
        </w:rPr>
        <w:t xml:space="preserve">zákona, ktorým sa mení </w:t>
      </w:r>
      <w:r w:rsidR="00C34DE0">
        <w:rPr>
          <w:rFonts w:ascii="Times New Roman" w:hAnsi="Times New Roman"/>
          <w:sz w:val="24"/>
          <w:szCs w:val="24"/>
        </w:rPr>
        <w:t xml:space="preserve">a dopĺňa </w:t>
      </w:r>
      <w:r w:rsidR="00FE2BA6" w:rsidRPr="0007162B">
        <w:rPr>
          <w:rFonts w:ascii="Times New Roman" w:hAnsi="Times New Roman"/>
          <w:sz w:val="24"/>
          <w:szCs w:val="24"/>
        </w:rPr>
        <w:t>zákon č. 340/2012 Z. z. o úhrade za služby verejnosti poskytované Rozhlasom a televíziou Slovenska a o zmene a doplnení niektorých zákonov v znení neskorších predpisov.</w:t>
      </w:r>
    </w:p>
    <w:p w:rsidR="00DE32AD" w:rsidRDefault="00FE2BA6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</w:t>
      </w:r>
      <w:r w:rsidRPr="0022633D">
        <w:rPr>
          <w:rFonts w:ascii="Times New Roman" w:hAnsi="Times New Roman"/>
          <w:sz w:val="24"/>
          <w:szCs w:val="24"/>
        </w:rPr>
        <w:t>340/2012 Z. z. o úhrade za služby verejnosti poskytované Rozhlasom a televíziou Slovenska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upravuje </w:t>
      </w:r>
      <w:r w:rsidRPr="00FE2BA6">
        <w:rPr>
          <w:rFonts w:ascii="Times New Roman" w:hAnsi="Times New Roman"/>
          <w:sz w:val="24"/>
          <w:szCs w:val="24"/>
        </w:rPr>
        <w:t>platenie, vyberanie a vymáhanie úhrady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BA6">
        <w:rPr>
          <w:rFonts w:ascii="Times New Roman" w:hAnsi="Times New Roman"/>
          <w:sz w:val="24"/>
          <w:szCs w:val="24"/>
        </w:rPr>
        <w:t>za služby verejnosti poskytované Ro</w:t>
      </w:r>
      <w:r>
        <w:rPr>
          <w:rFonts w:ascii="Times New Roman" w:hAnsi="Times New Roman"/>
          <w:sz w:val="24"/>
          <w:szCs w:val="24"/>
        </w:rPr>
        <w:t>zhlasom a televíziou Slovenska</w:t>
      </w:r>
      <w:r w:rsidRPr="00FE2BA6">
        <w:rPr>
          <w:rFonts w:ascii="Times New Roman" w:hAnsi="Times New Roman"/>
          <w:sz w:val="24"/>
          <w:szCs w:val="24"/>
        </w:rPr>
        <w:t xml:space="preserve"> v oblasti rozhlasového vysielania a televízneho vysielania</w:t>
      </w:r>
      <w:r>
        <w:rPr>
          <w:rFonts w:ascii="Times New Roman" w:hAnsi="Times New Roman"/>
          <w:sz w:val="24"/>
          <w:szCs w:val="24"/>
        </w:rPr>
        <w:t xml:space="preserve">, tzv. koncesionárske poplatky. Podľa platnej úpravy tohto zákona </w:t>
      </w:r>
      <w:r w:rsidR="00F26B20">
        <w:rPr>
          <w:rFonts w:ascii="Times New Roman" w:hAnsi="Times New Roman"/>
          <w:sz w:val="24"/>
          <w:szCs w:val="24"/>
        </w:rPr>
        <w:t>sú ustanovené rôzne sadzby koncesionárskych poplatkov</w:t>
      </w:r>
      <w:r w:rsidR="00E60D23">
        <w:rPr>
          <w:rFonts w:ascii="Times New Roman" w:hAnsi="Times New Roman"/>
          <w:sz w:val="24"/>
          <w:szCs w:val="24"/>
        </w:rPr>
        <w:t>, ktoré platia týmto zákonom vymedzené fyzické a právnické osoby</w:t>
      </w:r>
      <w:r w:rsidR="00100683">
        <w:rPr>
          <w:rFonts w:ascii="Times New Roman" w:hAnsi="Times New Roman"/>
          <w:sz w:val="24"/>
          <w:szCs w:val="24"/>
        </w:rPr>
        <w:t xml:space="preserve">. </w:t>
      </w:r>
      <w:r w:rsidR="00E60D23">
        <w:rPr>
          <w:rFonts w:ascii="Times New Roman" w:hAnsi="Times New Roman"/>
          <w:sz w:val="24"/>
          <w:szCs w:val="24"/>
        </w:rPr>
        <w:t xml:space="preserve">Sadzba koncesionárskych poplatkov pre každú fyzickú osobu, ktorá je evidovaná dodávateľom elektriny ako odberateľ elektriny v domácnosti v odbernom </w:t>
      </w:r>
      <w:r w:rsidR="00831730">
        <w:rPr>
          <w:rFonts w:ascii="Times New Roman" w:hAnsi="Times New Roman"/>
          <w:sz w:val="24"/>
          <w:szCs w:val="24"/>
        </w:rPr>
        <w:t>mieste, pre spotrebu</w:t>
      </w:r>
      <w:r w:rsidR="00E60D23">
        <w:rPr>
          <w:rFonts w:ascii="Times New Roman" w:hAnsi="Times New Roman"/>
          <w:sz w:val="24"/>
          <w:szCs w:val="24"/>
        </w:rPr>
        <w:t xml:space="preserve"> v byte alebo v rodinnom dome je 4,64 eura za každý aj začatý kalendárny mesiac</w:t>
      </w:r>
      <w:r w:rsidR="0017557D">
        <w:rPr>
          <w:rFonts w:ascii="Times New Roman" w:hAnsi="Times New Roman"/>
          <w:sz w:val="24"/>
          <w:szCs w:val="24"/>
        </w:rPr>
        <w:t>, pričom t</w:t>
      </w:r>
      <w:r w:rsidR="00E60D23">
        <w:rPr>
          <w:rFonts w:ascii="Times New Roman" w:hAnsi="Times New Roman"/>
          <w:sz w:val="24"/>
          <w:szCs w:val="24"/>
        </w:rPr>
        <w:t xml:space="preserve">ento zákon </w:t>
      </w:r>
      <w:r w:rsidR="00831730">
        <w:rPr>
          <w:rFonts w:ascii="Times New Roman" w:hAnsi="Times New Roman"/>
          <w:sz w:val="24"/>
          <w:szCs w:val="24"/>
        </w:rPr>
        <w:t xml:space="preserve">vymedzuje určité </w:t>
      </w:r>
      <w:r w:rsidR="00100683">
        <w:rPr>
          <w:rFonts w:ascii="Times New Roman" w:hAnsi="Times New Roman"/>
          <w:sz w:val="24"/>
          <w:szCs w:val="24"/>
        </w:rPr>
        <w:t>fyzické osoby</w:t>
      </w:r>
      <w:r w:rsidR="00DE32AD">
        <w:rPr>
          <w:rFonts w:ascii="Times New Roman" w:hAnsi="Times New Roman"/>
          <w:sz w:val="24"/>
          <w:szCs w:val="24"/>
        </w:rPr>
        <w:t>, ktoré majú nárok na zníženie sadzby koncesionárskych poplatkov na polovicu</w:t>
      </w:r>
      <w:r w:rsidR="00E60D23">
        <w:rPr>
          <w:rFonts w:ascii="Times New Roman" w:hAnsi="Times New Roman"/>
          <w:sz w:val="24"/>
          <w:szCs w:val="24"/>
        </w:rPr>
        <w:t>,</w:t>
      </w:r>
      <w:r w:rsidR="00100683">
        <w:rPr>
          <w:rFonts w:ascii="Times New Roman" w:hAnsi="Times New Roman"/>
          <w:sz w:val="24"/>
          <w:szCs w:val="24"/>
        </w:rPr>
        <w:t xml:space="preserve"> a</w:t>
      </w:r>
      <w:r w:rsidR="00472082">
        <w:rPr>
          <w:rFonts w:ascii="Times New Roman" w:hAnsi="Times New Roman"/>
          <w:sz w:val="24"/>
          <w:szCs w:val="24"/>
        </w:rPr>
        <w:t xml:space="preserve">ko aj fyzické osoby, </w:t>
      </w:r>
      <w:r w:rsidR="00100683">
        <w:rPr>
          <w:rFonts w:ascii="Times New Roman" w:hAnsi="Times New Roman"/>
          <w:sz w:val="24"/>
          <w:szCs w:val="24"/>
        </w:rPr>
        <w:t> ktoré sú oslobodené od povinnosti platiť koncesionárske poplatky.</w:t>
      </w:r>
      <w:r w:rsidR="00DE32AD">
        <w:rPr>
          <w:rFonts w:ascii="Times New Roman" w:hAnsi="Times New Roman"/>
          <w:sz w:val="24"/>
          <w:szCs w:val="24"/>
        </w:rPr>
        <w:t xml:space="preserve"> </w:t>
      </w:r>
    </w:p>
    <w:p w:rsidR="00831730" w:rsidRDefault="00DE32AD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4EE2" w:rsidRPr="0007162B">
        <w:rPr>
          <w:rFonts w:ascii="Times New Roman" w:hAnsi="Times New Roman"/>
          <w:sz w:val="24"/>
          <w:szCs w:val="24"/>
        </w:rPr>
        <w:t xml:space="preserve">Cieľom predkladateľov </w:t>
      </w:r>
      <w:r w:rsidR="00FE2BA6" w:rsidRPr="0007162B">
        <w:rPr>
          <w:rFonts w:ascii="Times New Roman" w:hAnsi="Times New Roman"/>
          <w:sz w:val="24"/>
          <w:szCs w:val="24"/>
        </w:rPr>
        <w:t xml:space="preserve">tejto </w:t>
      </w:r>
      <w:r w:rsidR="00324EE2" w:rsidRPr="0007162B">
        <w:rPr>
          <w:rFonts w:ascii="Times New Roman" w:hAnsi="Times New Roman"/>
          <w:sz w:val="24"/>
          <w:szCs w:val="24"/>
        </w:rPr>
        <w:t xml:space="preserve">novely zákona </w:t>
      </w:r>
      <w:r w:rsidR="00100683" w:rsidRPr="0022633D">
        <w:rPr>
          <w:rFonts w:ascii="Times New Roman" w:hAnsi="Times New Roman"/>
          <w:sz w:val="24"/>
          <w:szCs w:val="24"/>
        </w:rPr>
        <w:t>o úhrade za služby verejnosti poskytované Rozhlasom a televíziou Slovenska</w:t>
      </w:r>
      <w:r w:rsidR="00100683">
        <w:rPr>
          <w:rFonts w:ascii="Times New Roman" w:hAnsi="Times New Roman"/>
          <w:sz w:val="24"/>
          <w:szCs w:val="24"/>
        </w:rPr>
        <w:t xml:space="preserve"> je </w:t>
      </w:r>
      <w:r w:rsidR="00E60D23">
        <w:rPr>
          <w:rFonts w:ascii="Times New Roman" w:hAnsi="Times New Roman"/>
          <w:sz w:val="24"/>
          <w:szCs w:val="24"/>
        </w:rPr>
        <w:t xml:space="preserve">oslobodiť od povinnosti platiť koncesionárske poplatky všetky </w:t>
      </w:r>
      <w:r w:rsidR="00831730">
        <w:rPr>
          <w:rFonts w:ascii="Times New Roman" w:hAnsi="Times New Roman"/>
          <w:sz w:val="24"/>
          <w:szCs w:val="24"/>
        </w:rPr>
        <w:t>fyzické</w:t>
      </w:r>
      <w:r w:rsidR="00E60D23">
        <w:rPr>
          <w:rFonts w:ascii="Times New Roman" w:hAnsi="Times New Roman"/>
          <w:sz w:val="24"/>
          <w:szCs w:val="24"/>
        </w:rPr>
        <w:t xml:space="preserve"> osoby, ktoré </w:t>
      </w:r>
      <w:r w:rsidR="0017557D">
        <w:rPr>
          <w:rFonts w:ascii="Times New Roman" w:hAnsi="Times New Roman"/>
          <w:sz w:val="24"/>
          <w:szCs w:val="24"/>
        </w:rPr>
        <w:t xml:space="preserve">podľa tohto zákona </w:t>
      </w:r>
      <w:r w:rsidR="00E60D23">
        <w:rPr>
          <w:rFonts w:ascii="Times New Roman" w:hAnsi="Times New Roman"/>
          <w:sz w:val="24"/>
          <w:szCs w:val="24"/>
        </w:rPr>
        <w:t>v súčasnosti platia koncesionárske poplatky v polovičnej sadzbe, t.j. 2,32 eura mesačne. Jedná sa o</w:t>
      </w:r>
      <w:r w:rsidR="00831730">
        <w:rPr>
          <w:rFonts w:ascii="Times New Roman" w:hAnsi="Times New Roman"/>
          <w:sz w:val="24"/>
          <w:szCs w:val="24"/>
        </w:rPr>
        <w:t>: </w:t>
      </w:r>
    </w:p>
    <w:p w:rsidR="00831730" w:rsidRDefault="00E60D23" w:rsidP="0007162B">
      <w:pPr>
        <w:pStyle w:val="Odsekzoznamu"/>
        <w:numPr>
          <w:ilvl w:val="0"/>
          <w:numId w:val="22"/>
        </w:numPr>
        <w:spacing w:after="80" w:line="36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31730">
        <w:rPr>
          <w:rFonts w:ascii="Times New Roman" w:hAnsi="Times New Roman"/>
          <w:sz w:val="24"/>
          <w:szCs w:val="24"/>
        </w:rPr>
        <w:t>oberateľov</w:t>
      </w:r>
      <w:r>
        <w:rPr>
          <w:rFonts w:ascii="Times New Roman" w:hAnsi="Times New Roman"/>
          <w:sz w:val="24"/>
          <w:szCs w:val="24"/>
        </w:rPr>
        <w:t xml:space="preserve"> dôchodkových dávok</w:t>
      </w:r>
      <w:r w:rsidR="00831730">
        <w:rPr>
          <w:rFonts w:ascii="Times New Roman" w:hAnsi="Times New Roman"/>
          <w:sz w:val="24"/>
          <w:szCs w:val="24"/>
        </w:rPr>
        <w:t xml:space="preserve"> (starobného dôchodku, </w:t>
      </w:r>
      <w:r w:rsidR="00AA4334">
        <w:rPr>
          <w:rFonts w:ascii="Times New Roman" w:hAnsi="Times New Roman"/>
          <w:sz w:val="24"/>
          <w:szCs w:val="24"/>
        </w:rPr>
        <w:t xml:space="preserve">predčasného starobného dôchodku, </w:t>
      </w:r>
      <w:r w:rsidR="00831730">
        <w:rPr>
          <w:rFonts w:ascii="Times New Roman" w:hAnsi="Times New Roman"/>
          <w:sz w:val="24"/>
          <w:szCs w:val="24"/>
        </w:rPr>
        <w:t>invalidného dôchodku, vdovského a vdoveckého dôchodku, a sirotského dôchodku)</w:t>
      </w:r>
      <w:r>
        <w:rPr>
          <w:rFonts w:ascii="Times New Roman" w:hAnsi="Times New Roman"/>
          <w:sz w:val="24"/>
          <w:szCs w:val="24"/>
        </w:rPr>
        <w:t xml:space="preserve">, ktorí nemajú pravidelný príjem zo zárobkovej činnosti a nežijú v domácnosti s inou osobou s pravidelným príjmom zo zárobkovej činnosti, </w:t>
      </w:r>
    </w:p>
    <w:p w:rsidR="00831730" w:rsidRDefault="00831730" w:rsidP="0007162B">
      <w:pPr>
        <w:pStyle w:val="Odsekzoznamu"/>
        <w:numPr>
          <w:ilvl w:val="0"/>
          <w:numId w:val="22"/>
        </w:numPr>
        <w:spacing w:after="80" w:line="36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poberateľov</w:t>
      </w:r>
      <w:r w:rsidR="00E60D23">
        <w:rPr>
          <w:rFonts w:ascii="Times New Roman" w:hAnsi="Times New Roman"/>
          <w:sz w:val="24"/>
          <w:szCs w:val="24"/>
        </w:rPr>
        <w:t xml:space="preserve"> dávky v hmotnej núdzi a osoby spoločne posudzované s poberateľom dávky v hmotnej núdzi</w:t>
      </w:r>
      <w:r>
        <w:rPr>
          <w:rFonts w:ascii="Times New Roman" w:hAnsi="Times New Roman"/>
          <w:sz w:val="24"/>
          <w:szCs w:val="24"/>
        </w:rPr>
        <w:t>.</w:t>
      </w:r>
    </w:p>
    <w:p w:rsidR="00C87E90" w:rsidRPr="0007162B" w:rsidRDefault="00831730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6DFE">
        <w:rPr>
          <w:rFonts w:ascii="Times New Roman" w:hAnsi="Times New Roman"/>
          <w:sz w:val="24"/>
          <w:szCs w:val="24"/>
        </w:rPr>
        <w:t xml:space="preserve">Práve tieto fyzické osoby sú v mnohých </w:t>
      </w:r>
      <w:r w:rsidR="0018059B">
        <w:rPr>
          <w:rFonts w:ascii="Times New Roman" w:hAnsi="Times New Roman"/>
          <w:sz w:val="24"/>
          <w:szCs w:val="24"/>
        </w:rPr>
        <w:t>prípadoch</w:t>
      </w:r>
      <w:r w:rsidR="00F66DFE">
        <w:rPr>
          <w:rFonts w:ascii="Times New Roman" w:hAnsi="Times New Roman"/>
          <w:sz w:val="24"/>
          <w:szCs w:val="24"/>
        </w:rPr>
        <w:t xml:space="preserve"> ohrozené rizikom chudoby, preto sa predkladatelia domnievajú, že </w:t>
      </w:r>
      <w:bookmarkStart w:id="0" w:name="_GoBack"/>
      <w:bookmarkEnd w:id="0"/>
      <w:r w:rsidR="00F66DFE">
        <w:rPr>
          <w:rFonts w:ascii="Times New Roman" w:hAnsi="Times New Roman"/>
          <w:sz w:val="24"/>
          <w:szCs w:val="24"/>
        </w:rPr>
        <w:t xml:space="preserve"> požadovanie platiť koncesionárske poplatky aj v polovičnej </w:t>
      </w:r>
      <w:r w:rsidR="00F66DFE">
        <w:rPr>
          <w:rFonts w:ascii="Times New Roman" w:hAnsi="Times New Roman"/>
          <w:sz w:val="24"/>
          <w:szCs w:val="24"/>
        </w:rPr>
        <w:lastRenderedPageBreak/>
        <w:t xml:space="preserve">sadzbe je od týchto fyzických osôb vzhľadom na možné negatívne sociálne dôsledky nevhodné. </w:t>
      </w:r>
      <w:r>
        <w:rPr>
          <w:rFonts w:ascii="Times New Roman" w:hAnsi="Times New Roman"/>
          <w:sz w:val="24"/>
          <w:szCs w:val="24"/>
        </w:rPr>
        <w:t xml:space="preserve">V dôsledku navrhovanej zmeny právnej úpravy všetky </w:t>
      </w:r>
      <w:r w:rsidR="00034C53">
        <w:rPr>
          <w:rFonts w:ascii="Times New Roman" w:hAnsi="Times New Roman"/>
          <w:sz w:val="24"/>
          <w:szCs w:val="24"/>
        </w:rPr>
        <w:t xml:space="preserve">vyššie uvedené </w:t>
      </w:r>
      <w:r>
        <w:rPr>
          <w:rFonts w:ascii="Times New Roman" w:hAnsi="Times New Roman"/>
          <w:sz w:val="24"/>
          <w:szCs w:val="24"/>
        </w:rPr>
        <w:t xml:space="preserve">fyzické osoby </w:t>
      </w:r>
      <w:r w:rsidR="00E55838">
        <w:rPr>
          <w:rFonts w:ascii="Times New Roman" w:hAnsi="Times New Roman"/>
          <w:sz w:val="24"/>
          <w:szCs w:val="24"/>
        </w:rPr>
        <w:t>zaznamenajú ročnú úsporu na platbá</w:t>
      </w:r>
      <w:r w:rsidR="00034C53">
        <w:rPr>
          <w:rFonts w:ascii="Times New Roman" w:hAnsi="Times New Roman"/>
          <w:sz w:val="24"/>
          <w:szCs w:val="24"/>
        </w:rPr>
        <w:t>ch za koncesionárske poplatky v</w:t>
      </w:r>
      <w:r w:rsidR="00E55838">
        <w:rPr>
          <w:rFonts w:ascii="Times New Roman" w:hAnsi="Times New Roman"/>
          <w:sz w:val="24"/>
          <w:szCs w:val="24"/>
        </w:rPr>
        <w:t xml:space="preserve"> </w:t>
      </w:r>
      <w:r w:rsidR="00034C53">
        <w:rPr>
          <w:rFonts w:ascii="Times New Roman" w:hAnsi="Times New Roman"/>
          <w:sz w:val="24"/>
          <w:szCs w:val="24"/>
        </w:rPr>
        <w:t>sume</w:t>
      </w:r>
      <w:r w:rsidR="00E55838">
        <w:rPr>
          <w:rFonts w:ascii="Times New Roman" w:hAnsi="Times New Roman"/>
          <w:sz w:val="24"/>
          <w:szCs w:val="24"/>
        </w:rPr>
        <w:t xml:space="preserve"> 27,84 eur ročne</w:t>
      </w:r>
      <w:r w:rsidR="0017557D">
        <w:rPr>
          <w:rFonts w:ascii="Times New Roman" w:hAnsi="Times New Roman"/>
          <w:sz w:val="24"/>
          <w:szCs w:val="24"/>
        </w:rPr>
        <w:t xml:space="preserve">. </w:t>
      </w:r>
      <w:r w:rsidR="00F66DFE" w:rsidRPr="0007162B">
        <w:rPr>
          <w:rFonts w:ascii="Times New Roman" w:hAnsi="Times New Roman"/>
          <w:sz w:val="24"/>
          <w:szCs w:val="24"/>
        </w:rPr>
        <w:t>P</w:t>
      </w:r>
      <w:r w:rsidR="000842A9" w:rsidRPr="0007162B">
        <w:rPr>
          <w:rFonts w:ascii="Times New Roman" w:hAnsi="Times New Roman"/>
          <w:sz w:val="24"/>
          <w:szCs w:val="24"/>
        </w:rPr>
        <w:t xml:space="preserve">redkladatelia majú zato, že </w:t>
      </w:r>
      <w:r w:rsidR="003049FD" w:rsidRPr="0007162B">
        <w:rPr>
          <w:rFonts w:ascii="Times New Roman" w:hAnsi="Times New Roman"/>
          <w:sz w:val="24"/>
          <w:szCs w:val="24"/>
        </w:rPr>
        <w:t>po</w:t>
      </w:r>
      <w:r w:rsidR="000842A9" w:rsidRPr="0007162B">
        <w:rPr>
          <w:rFonts w:ascii="Times New Roman" w:hAnsi="Times New Roman"/>
          <w:sz w:val="24"/>
          <w:szCs w:val="24"/>
        </w:rPr>
        <w:t xml:space="preserve"> oslo</w:t>
      </w:r>
      <w:r w:rsidR="003049FD" w:rsidRPr="0007162B">
        <w:rPr>
          <w:rFonts w:ascii="Times New Roman" w:hAnsi="Times New Roman"/>
          <w:sz w:val="24"/>
          <w:szCs w:val="24"/>
        </w:rPr>
        <w:t>bodení</w:t>
      </w:r>
      <w:r w:rsidR="000842A9" w:rsidRPr="0007162B">
        <w:rPr>
          <w:rFonts w:ascii="Times New Roman" w:hAnsi="Times New Roman"/>
          <w:sz w:val="24"/>
          <w:szCs w:val="24"/>
        </w:rPr>
        <w:t xml:space="preserve"> </w:t>
      </w:r>
      <w:r w:rsidR="003049FD" w:rsidRPr="0007162B">
        <w:rPr>
          <w:rFonts w:ascii="Times New Roman" w:hAnsi="Times New Roman"/>
          <w:sz w:val="24"/>
          <w:szCs w:val="24"/>
        </w:rPr>
        <w:t xml:space="preserve">vyššie uvedených fyzických osôb </w:t>
      </w:r>
      <w:r w:rsidR="000842A9" w:rsidRPr="0007162B">
        <w:rPr>
          <w:rFonts w:ascii="Times New Roman" w:hAnsi="Times New Roman"/>
          <w:sz w:val="24"/>
          <w:szCs w:val="24"/>
        </w:rPr>
        <w:t xml:space="preserve">od povinnosti platiť koncesionárske poplatky </w:t>
      </w:r>
      <w:r w:rsidR="003049FD" w:rsidRPr="0007162B">
        <w:rPr>
          <w:rFonts w:ascii="Times New Roman" w:hAnsi="Times New Roman"/>
          <w:sz w:val="24"/>
          <w:szCs w:val="24"/>
        </w:rPr>
        <w:t xml:space="preserve">v polovičnej sadzbe </w:t>
      </w:r>
      <w:r w:rsidR="000842A9" w:rsidRPr="0007162B">
        <w:rPr>
          <w:rFonts w:ascii="Times New Roman" w:hAnsi="Times New Roman"/>
          <w:sz w:val="24"/>
          <w:szCs w:val="24"/>
        </w:rPr>
        <w:t>dôjde k</w:t>
      </w:r>
      <w:r w:rsidR="003049FD" w:rsidRPr="0007162B">
        <w:rPr>
          <w:rFonts w:ascii="Times New Roman" w:hAnsi="Times New Roman"/>
          <w:sz w:val="24"/>
          <w:szCs w:val="24"/>
        </w:rPr>
        <w:t xml:space="preserve"> ďalšiemu </w:t>
      </w:r>
      <w:r w:rsidR="000842A9" w:rsidRPr="0007162B">
        <w:rPr>
          <w:rFonts w:ascii="Times New Roman" w:hAnsi="Times New Roman"/>
          <w:sz w:val="24"/>
          <w:szCs w:val="24"/>
        </w:rPr>
        <w:t>miernemu zvýšeniu životnej úrovne</w:t>
      </w:r>
      <w:r w:rsidR="00F66DFE" w:rsidRPr="0007162B">
        <w:rPr>
          <w:rFonts w:ascii="Times New Roman" w:hAnsi="Times New Roman"/>
          <w:sz w:val="24"/>
          <w:szCs w:val="24"/>
        </w:rPr>
        <w:t xml:space="preserve"> týchto fyzických osôb</w:t>
      </w:r>
      <w:r w:rsidR="003049FD" w:rsidRPr="0007162B">
        <w:rPr>
          <w:rFonts w:ascii="Times New Roman" w:hAnsi="Times New Roman"/>
          <w:sz w:val="24"/>
          <w:szCs w:val="24"/>
        </w:rPr>
        <w:t>.</w:t>
      </w:r>
      <w:r w:rsidR="00E923CB" w:rsidRPr="0007162B">
        <w:rPr>
          <w:rFonts w:ascii="Times New Roman" w:hAnsi="Times New Roman"/>
          <w:sz w:val="24"/>
          <w:szCs w:val="24"/>
        </w:rPr>
        <w:t xml:space="preserve"> </w:t>
      </w:r>
    </w:p>
    <w:p w:rsidR="00C4038D" w:rsidRPr="0007162B" w:rsidRDefault="00C87E90" w:rsidP="0007162B">
      <w:pPr>
        <w:pStyle w:val="Odsekzoznamu"/>
        <w:spacing w:after="8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162B">
        <w:rPr>
          <w:rFonts w:ascii="Times New Roman" w:hAnsi="Times New Roman"/>
          <w:sz w:val="24"/>
          <w:szCs w:val="24"/>
        </w:rPr>
        <w:tab/>
      </w:r>
      <w:r w:rsidR="009E28BA">
        <w:rPr>
          <w:rFonts w:ascii="Times New Roman" w:hAnsi="Times New Roman"/>
          <w:sz w:val="24"/>
          <w:szCs w:val="24"/>
        </w:rPr>
        <w:t>Predpokladá sa, že p</w:t>
      </w:r>
      <w:r w:rsidR="000D65E5" w:rsidRPr="0007162B">
        <w:rPr>
          <w:rFonts w:ascii="Times New Roman" w:hAnsi="Times New Roman"/>
          <w:sz w:val="24"/>
          <w:szCs w:val="24"/>
        </w:rPr>
        <w:t xml:space="preserve">redkladaný návrh zákona </w:t>
      </w:r>
      <w:r w:rsidR="009E28BA">
        <w:rPr>
          <w:rFonts w:ascii="Times New Roman" w:hAnsi="Times New Roman"/>
          <w:sz w:val="24"/>
          <w:szCs w:val="24"/>
        </w:rPr>
        <w:t>bude mať</w:t>
      </w:r>
      <w:r w:rsidR="000D65E5" w:rsidRPr="00071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negatívne vplyvy na </w:t>
      </w:r>
      <w:r w:rsidRPr="00AF3E35">
        <w:rPr>
          <w:rFonts w:ascii="Times New Roman" w:hAnsi="Times New Roman"/>
          <w:sz w:val="24"/>
          <w:szCs w:val="24"/>
        </w:rPr>
        <w:t>rozpočet verejnej správy</w:t>
      </w:r>
      <w:r>
        <w:rPr>
          <w:rFonts w:ascii="Times New Roman" w:hAnsi="Times New Roman"/>
          <w:sz w:val="24"/>
          <w:szCs w:val="24"/>
        </w:rPr>
        <w:t xml:space="preserve"> vzhľadom na skutočnosť, že </w:t>
      </w:r>
      <w:r w:rsidR="009E28BA">
        <w:rPr>
          <w:rFonts w:ascii="Times New Roman" w:hAnsi="Times New Roman"/>
          <w:sz w:val="24"/>
          <w:szCs w:val="24"/>
        </w:rPr>
        <w:t xml:space="preserve">o spôsobený výpadok na výbere koncesionárskych poplatkov bude Rozhlasu a televízii Slovenska zrejme musieť byť zvýšený príspevok </w:t>
      </w:r>
      <w:r w:rsidR="009E28BA" w:rsidRPr="009E28BA">
        <w:rPr>
          <w:rFonts w:ascii="Times New Roman" w:hAnsi="Times New Roman"/>
          <w:sz w:val="24"/>
          <w:szCs w:val="24"/>
        </w:rPr>
        <w:t>zo štátneho rozpočtu</w:t>
      </w:r>
      <w:r w:rsidR="009E28BA">
        <w:rPr>
          <w:rFonts w:ascii="Times New Roman" w:hAnsi="Times New Roman"/>
          <w:sz w:val="24"/>
          <w:szCs w:val="24"/>
        </w:rPr>
        <w:t xml:space="preserve">. </w:t>
      </w:r>
      <w:r w:rsidRPr="0022633D">
        <w:rPr>
          <w:rFonts w:ascii="Times New Roman" w:hAnsi="Times New Roman"/>
          <w:sz w:val="24"/>
          <w:szCs w:val="24"/>
        </w:rPr>
        <w:t>Predkladaný návrh zákona má</w:t>
      </w:r>
      <w:r w:rsidR="009E28BA">
        <w:rPr>
          <w:rFonts w:ascii="Times New Roman" w:hAnsi="Times New Roman"/>
          <w:sz w:val="24"/>
          <w:szCs w:val="24"/>
        </w:rPr>
        <w:t xml:space="preserve"> pozitívne sociálne </w:t>
      </w:r>
      <w:r w:rsidR="00867D74">
        <w:rPr>
          <w:rFonts w:ascii="Times New Roman" w:hAnsi="Times New Roman"/>
          <w:sz w:val="24"/>
          <w:szCs w:val="24"/>
        </w:rPr>
        <w:t xml:space="preserve">vplyvy </w:t>
      </w:r>
      <w:r w:rsidR="009E28BA">
        <w:rPr>
          <w:rFonts w:ascii="Times New Roman" w:hAnsi="Times New Roman"/>
          <w:sz w:val="24"/>
          <w:szCs w:val="24"/>
        </w:rPr>
        <w:t xml:space="preserve">vzhľadom na </w:t>
      </w:r>
      <w:r w:rsidR="00867D74">
        <w:rPr>
          <w:rFonts w:ascii="Times New Roman" w:hAnsi="Times New Roman"/>
          <w:sz w:val="24"/>
          <w:szCs w:val="24"/>
        </w:rPr>
        <w:t>oslobodenie dotknutých fyzických osôb</w:t>
      </w:r>
      <w:r w:rsidR="009E28BA">
        <w:rPr>
          <w:rFonts w:ascii="Times New Roman" w:hAnsi="Times New Roman"/>
          <w:sz w:val="24"/>
          <w:szCs w:val="24"/>
        </w:rPr>
        <w:t xml:space="preserve"> od povinnosti platiť koncesionárske poplatky v polovičnej sadzbe</w:t>
      </w:r>
      <w:r w:rsidR="00867D74">
        <w:rPr>
          <w:rFonts w:ascii="Times New Roman" w:hAnsi="Times New Roman"/>
          <w:sz w:val="24"/>
          <w:szCs w:val="24"/>
        </w:rPr>
        <w:t xml:space="preserve"> čo ma pozitívny vplyv na hospodárenie ich domácnosti</w:t>
      </w:r>
      <w:r w:rsidR="009E28BA">
        <w:rPr>
          <w:rFonts w:ascii="Times New Roman" w:hAnsi="Times New Roman"/>
          <w:sz w:val="24"/>
          <w:szCs w:val="24"/>
        </w:rPr>
        <w:t xml:space="preserve">. </w:t>
      </w:r>
      <w:r w:rsidR="00336469" w:rsidRPr="0022633D">
        <w:rPr>
          <w:rFonts w:ascii="Times New Roman" w:hAnsi="Times New Roman"/>
          <w:sz w:val="24"/>
          <w:szCs w:val="24"/>
        </w:rPr>
        <w:t>Predkladaný návrh zákona</w:t>
      </w:r>
      <w:r w:rsidR="00336469">
        <w:rPr>
          <w:rFonts w:ascii="Times New Roman" w:hAnsi="Times New Roman"/>
          <w:sz w:val="24"/>
          <w:szCs w:val="24"/>
        </w:rPr>
        <w:t xml:space="preserve"> nemá </w:t>
      </w:r>
      <w:r w:rsidR="00FA4055" w:rsidRPr="0007162B">
        <w:rPr>
          <w:rFonts w:ascii="Times New Roman" w:hAnsi="Times New Roman"/>
          <w:sz w:val="24"/>
          <w:szCs w:val="24"/>
        </w:rPr>
        <w:t xml:space="preserve">žiadne </w:t>
      </w:r>
      <w:r w:rsidR="000D65E5" w:rsidRPr="0007162B">
        <w:rPr>
          <w:rFonts w:ascii="Times New Roman" w:hAnsi="Times New Roman"/>
          <w:sz w:val="24"/>
          <w:szCs w:val="24"/>
        </w:rPr>
        <w:t>vplyv</w:t>
      </w:r>
      <w:r w:rsidR="00FA4055" w:rsidRPr="0007162B">
        <w:rPr>
          <w:rFonts w:ascii="Times New Roman" w:hAnsi="Times New Roman"/>
          <w:sz w:val="24"/>
          <w:szCs w:val="24"/>
        </w:rPr>
        <w:t>y</w:t>
      </w:r>
      <w:r w:rsidR="000D65E5" w:rsidRPr="0007162B">
        <w:rPr>
          <w:rFonts w:ascii="Times New Roman" w:hAnsi="Times New Roman"/>
          <w:sz w:val="24"/>
          <w:szCs w:val="24"/>
        </w:rPr>
        <w:t xml:space="preserve"> na</w:t>
      </w:r>
      <w:r w:rsidR="00336469">
        <w:rPr>
          <w:rFonts w:ascii="Times New Roman" w:hAnsi="Times New Roman"/>
          <w:sz w:val="24"/>
          <w:szCs w:val="24"/>
        </w:rPr>
        <w:t xml:space="preserve"> manželstvo, rodičovstvo a rodinu, </w:t>
      </w:r>
      <w:r w:rsidR="00FA4055" w:rsidRPr="0007162B">
        <w:rPr>
          <w:rFonts w:ascii="Times New Roman" w:hAnsi="Times New Roman"/>
          <w:sz w:val="24"/>
          <w:szCs w:val="24"/>
        </w:rPr>
        <w:t xml:space="preserve">vplyvy na </w:t>
      </w:r>
      <w:r w:rsidR="000D65E5" w:rsidRPr="0007162B">
        <w:rPr>
          <w:rFonts w:ascii="Times New Roman" w:hAnsi="Times New Roman"/>
          <w:sz w:val="24"/>
          <w:szCs w:val="24"/>
        </w:rPr>
        <w:t>podnikateľské</w:t>
      </w:r>
      <w:r w:rsidR="00FA4055" w:rsidRPr="0007162B">
        <w:rPr>
          <w:rFonts w:ascii="Times New Roman" w:hAnsi="Times New Roman"/>
          <w:sz w:val="24"/>
          <w:szCs w:val="24"/>
        </w:rPr>
        <w:t xml:space="preserve"> prostredie, </w:t>
      </w:r>
      <w:r w:rsidR="000D65E5" w:rsidRPr="0007162B">
        <w:rPr>
          <w:rFonts w:ascii="Times New Roman" w:hAnsi="Times New Roman"/>
          <w:sz w:val="24"/>
          <w:szCs w:val="24"/>
        </w:rPr>
        <w:t>vplyv</w:t>
      </w:r>
      <w:r w:rsidR="00FA4055" w:rsidRPr="0007162B">
        <w:rPr>
          <w:rFonts w:ascii="Times New Roman" w:hAnsi="Times New Roman"/>
          <w:sz w:val="24"/>
          <w:szCs w:val="24"/>
        </w:rPr>
        <w:t>y</w:t>
      </w:r>
      <w:r w:rsidR="000D65E5" w:rsidRPr="0007162B">
        <w:rPr>
          <w:rFonts w:ascii="Times New Roman" w:hAnsi="Times New Roman"/>
          <w:sz w:val="24"/>
          <w:szCs w:val="24"/>
        </w:rPr>
        <w:t xml:space="preserve"> na životné prostredie, a ani vplyv</w:t>
      </w:r>
      <w:r w:rsidR="00FA4055" w:rsidRPr="0007162B">
        <w:rPr>
          <w:rFonts w:ascii="Times New Roman" w:hAnsi="Times New Roman"/>
          <w:sz w:val="24"/>
          <w:szCs w:val="24"/>
        </w:rPr>
        <w:t>y</w:t>
      </w:r>
      <w:r w:rsidR="000D65E5" w:rsidRPr="0007162B">
        <w:rPr>
          <w:rFonts w:ascii="Times New Roman" w:hAnsi="Times New Roman"/>
          <w:sz w:val="24"/>
          <w:szCs w:val="24"/>
        </w:rPr>
        <w:t xml:space="preserve"> na informatizáciu spoločnosti</w:t>
      </w:r>
      <w:r w:rsidR="00C4038D" w:rsidRPr="0007162B"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="000D65E5" w:rsidRPr="0007162B">
        <w:rPr>
          <w:rFonts w:ascii="Times New Roman" w:hAnsi="Times New Roman"/>
          <w:sz w:val="24"/>
          <w:szCs w:val="24"/>
        </w:rPr>
        <w:t xml:space="preserve">. </w:t>
      </w:r>
    </w:p>
    <w:p w:rsidR="00F97295" w:rsidRDefault="00336469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="000D65E5" w:rsidRPr="0007162B">
        <w:rPr>
          <w:rFonts w:ascii="Times New Roman" w:hAnsi="Times New Roman"/>
          <w:sz w:val="24"/>
          <w:szCs w:val="24"/>
        </w:rPr>
        <w:t xml:space="preserve">ávrh zákona je v súlade s Ústavou Slovenskej republiky, ústavnými zákonmi a ostatnými všeobecne záväznými právnymi predpismi Slovenskej republiky, medzinárodnými zmluvami a inými medzinárodnými dokumentmi, ktorými je Slovenská republika viazaná. </w:t>
      </w:r>
      <w:r>
        <w:rPr>
          <w:rFonts w:ascii="Times New Roman" w:hAnsi="Times New Roman"/>
          <w:sz w:val="24"/>
          <w:szCs w:val="24"/>
        </w:rPr>
        <w:t>Predkladaný n</w:t>
      </w:r>
      <w:r w:rsidR="000D65E5" w:rsidRPr="0007162B">
        <w:rPr>
          <w:rFonts w:ascii="Times New Roman" w:hAnsi="Times New Roman"/>
          <w:sz w:val="24"/>
          <w:szCs w:val="24"/>
        </w:rPr>
        <w:t>ávrh  zákona je v súlade s právom Európskej únie.</w:t>
      </w:r>
    </w:p>
    <w:p w:rsidR="00336469" w:rsidRDefault="00336469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59B" w:rsidRDefault="0018059B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59B" w:rsidRDefault="0018059B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34DE0" w:rsidRDefault="00C34DE0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59B" w:rsidRDefault="0018059B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59B" w:rsidRDefault="0018059B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59B" w:rsidRDefault="0018059B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59B" w:rsidRDefault="0018059B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59B" w:rsidRDefault="0018059B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9480E" w:rsidRDefault="00F9480E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9480E" w:rsidRDefault="00F9480E" w:rsidP="0007162B">
      <w:pPr>
        <w:pStyle w:val="Odsekzoznamu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6469" w:rsidRPr="0007162B" w:rsidRDefault="00336469" w:rsidP="00D54B5D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D65E5" w:rsidRPr="0007162B" w:rsidRDefault="000D65E5" w:rsidP="00D54B5D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7162B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BB49A2" w:rsidRPr="0007162B" w:rsidRDefault="00BB49A2" w:rsidP="00D54B5D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E5" w:rsidRPr="0007162B" w:rsidRDefault="00585193" w:rsidP="00A074B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7162B">
        <w:rPr>
          <w:rFonts w:ascii="Times New Roman" w:hAnsi="Times New Roman"/>
          <w:b/>
          <w:sz w:val="24"/>
          <w:szCs w:val="24"/>
        </w:rPr>
        <w:t>K Č</w:t>
      </w:r>
      <w:r w:rsidR="000D65E5" w:rsidRPr="0007162B">
        <w:rPr>
          <w:rFonts w:ascii="Times New Roman" w:hAnsi="Times New Roman"/>
          <w:b/>
          <w:sz w:val="24"/>
          <w:szCs w:val="24"/>
        </w:rPr>
        <w:t>l. I</w:t>
      </w:r>
    </w:p>
    <w:p w:rsidR="00954C75" w:rsidRDefault="00954C75" w:rsidP="00A074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5D8B" w:rsidRPr="00DF5D8B" w:rsidRDefault="00DF5D8B" w:rsidP="00D54B5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527E2B" w:rsidRDefault="00A05DAD" w:rsidP="005A074D">
      <w:pPr>
        <w:pStyle w:val="Odsekzoznamu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A074D">
        <w:rPr>
          <w:rFonts w:ascii="Times New Roman" w:hAnsi="Times New Roman"/>
          <w:sz w:val="24"/>
          <w:szCs w:val="24"/>
        </w:rPr>
        <w:t xml:space="preserve"> dôvodu rozšírenia okruhu platiteľov podľa § 3 písm. a) oslobodených od povinnosti platiť úhradu aj o všetky osoby uvedené v § 6 ods. </w:t>
      </w:r>
      <w:r>
        <w:rPr>
          <w:rFonts w:ascii="Times New Roman" w:hAnsi="Times New Roman"/>
          <w:sz w:val="24"/>
          <w:szCs w:val="24"/>
        </w:rPr>
        <w:t>3 sa navrhuje zmena doterajšieho znenia § 5 ods. 1.</w:t>
      </w:r>
      <w:r w:rsidR="00527E2B">
        <w:rPr>
          <w:rFonts w:ascii="Times New Roman" w:hAnsi="Times New Roman"/>
          <w:sz w:val="24"/>
          <w:szCs w:val="24"/>
        </w:rPr>
        <w:t xml:space="preserve"> V úvodnej vete § 5 ods. 1 sa ustanovujú spoločné podmienky pre písm. a) až c). V písm. a) až c) sa ustanovujú tri rôzne kategórie platiteľov podľa § 3 písm. a), ktorí sú oslobodení od povinnosti platiť úhradu.</w:t>
      </w:r>
    </w:p>
    <w:p w:rsidR="003B4F64" w:rsidRDefault="005A074D" w:rsidP="005A074D">
      <w:pPr>
        <w:pStyle w:val="Odsekzoznamu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Platitelia podľa § 3 písm. a), ktorí boli oslobodení od povinnosti platiť úhradu podľa doterajšieho znenia § 5 ods. 1 sa uvádzajú v § 5 ods. 1 písm. a).</w:t>
      </w:r>
    </w:p>
    <w:p w:rsidR="005A074D" w:rsidRDefault="005A074D" w:rsidP="005A074D">
      <w:pPr>
        <w:pStyle w:val="Odsekzoznamu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Platitelia podľa § 3 písm. a), ktorí boli podľa doterajšieho znenia zákona uvedený v § 6 ods. 3 písm. a) sa uvádzajú v § 5 ods. 1 písm. b).</w:t>
      </w:r>
    </w:p>
    <w:p w:rsidR="00A05DAD" w:rsidRDefault="00A05DAD" w:rsidP="00A05DAD">
      <w:pPr>
        <w:pStyle w:val="Odsekzoznamu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Platitelia podľa § 3 písm. a), ktorí boli podľa doterajšieho znenia zákona uvedený v § 6 ods. 3 písm. b) sa uvádzajú v § 5 ods. 1 písm. c).</w:t>
      </w:r>
    </w:p>
    <w:p w:rsidR="00A05DAD" w:rsidRDefault="00A05DAD" w:rsidP="005A074D">
      <w:pPr>
        <w:pStyle w:val="Odsekzoznamu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B4F64" w:rsidRPr="0007162B" w:rsidRDefault="00A05DAD" w:rsidP="00D54B5D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162B">
        <w:rPr>
          <w:rFonts w:ascii="Times New Roman" w:hAnsi="Times New Roman"/>
          <w:b/>
          <w:sz w:val="24"/>
          <w:szCs w:val="24"/>
        </w:rPr>
        <w:t>K bodu 2</w:t>
      </w:r>
    </w:p>
    <w:p w:rsidR="00A05DAD" w:rsidRDefault="00A05DAD" w:rsidP="00D54B5D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 dôvodu presunu všetkých platiteľov podľa § 3 písm. a), ktorým sa v zmysle doterajšieho znenia § 6 ods. 3 znižovala sadzba úhrady na polovicu do § 5 ods. 1 písm. b) a c) sa navrhuje vypustenie doterajšieho § 6 ods. 3 ako aj obsahovo naviazaného nasledujúceho ods. 4</w:t>
      </w:r>
      <w:r w:rsidR="00C34DE0">
        <w:rPr>
          <w:rFonts w:ascii="Times New Roman" w:hAnsi="Times New Roman"/>
          <w:sz w:val="24"/>
          <w:szCs w:val="24"/>
        </w:rPr>
        <w:t xml:space="preserve"> a príslušných poznámok pod čiarou</w:t>
      </w:r>
      <w:r>
        <w:rPr>
          <w:rFonts w:ascii="Times New Roman" w:hAnsi="Times New Roman"/>
          <w:sz w:val="24"/>
          <w:szCs w:val="24"/>
        </w:rPr>
        <w:t>.</w:t>
      </w:r>
    </w:p>
    <w:p w:rsidR="00A05DAD" w:rsidRDefault="00A05DAD" w:rsidP="00A074B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05DAD" w:rsidRPr="0007162B" w:rsidRDefault="00A05DAD" w:rsidP="00A074B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162B">
        <w:rPr>
          <w:rFonts w:ascii="Times New Roman" w:hAnsi="Times New Roman"/>
          <w:b/>
          <w:sz w:val="24"/>
          <w:szCs w:val="24"/>
        </w:rPr>
        <w:t>K bodu 3 až 9</w:t>
      </w:r>
    </w:p>
    <w:p w:rsidR="00A05DAD" w:rsidRDefault="00A05DAD" w:rsidP="00A074B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Legislatívno-technické úpravy </w:t>
      </w:r>
      <w:r w:rsidR="00FD4522">
        <w:rPr>
          <w:rFonts w:ascii="Times New Roman" w:hAnsi="Times New Roman"/>
          <w:sz w:val="24"/>
          <w:szCs w:val="24"/>
        </w:rPr>
        <w:t>textu</w:t>
      </w:r>
      <w:r>
        <w:rPr>
          <w:rFonts w:ascii="Times New Roman" w:hAnsi="Times New Roman"/>
          <w:sz w:val="24"/>
          <w:szCs w:val="24"/>
        </w:rPr>
        <w:t xml:space="preserve"> </w:t>
      </w:r>
      <w:r w:rsidR="00FD4522">
        <w:rPr>
          <w:rFonts w:ascii="Times New Roman" w:hAnsi="Times New Roman"/>
          <w:sz w:val="24"/>
          <w:szCs w:val="24"/>
        </w:rPr>
        <w:t>a vnútorných odkazov zákona v dôsledku zmien</w:t>
      </w:r>
      <w:r>
        <w:rPr>
          <w:rFonts w:ascii="Times New Roman" w:hAnsi="Times New Roman"/>
          <w:sz w:val="24"/>
          <w:szCs w:val="24"/>
        </w:rPr>
        <w:t xml:space="preserve"> </w:t>
      </w:r>
      <w:r w:rsidR="00FD4522">
        <w:rPr>
          <w:rFonts w:ascii="Times New Roman" w:hAnsi="Times New Roman"/>
          <w:sz w:val="24"/>
          <w:szCs w:val="24"/>
        </w:rPr>
        <w:t>podľa</w:t>
      </w:r>
      <w:r>
        <w:rPr>
          <w:rFonts w:ascii="Times New Roman" w:hAnsi="Times New Roman"/>
          <w:sz w:val="24"/>
          <w:szCs w:val="24"/>
        </w:rPr>
        <w:t> </w:t>
      </w:r>
      <w:r w:rsidR="00FD4522">
        <w:rPr>
          <w:rFonts w:ascii="Times New Roman" w:hAnsi="Times New Roman"/>
          <w:sz w:val="24"/>
          <w:szCs w:val="24"/>
        </w:rPr>
        <w:t>bodu</w:t>
      </w:r>
      <w:r>
        <w:rPr>
          <w:rFonts w:ascii="Times New Roman" w:hAnsi="Times New Roman"/>
          <w:sz w:val="24"/>
          <w:szCs w:val="24"/>
        </w:rPr>
        <w:t xml:space="preserve"> 1 a</w:t>
      </w:r>
      <w:r w:rsidR="00FD452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="00FD4522">
        <w:rPr>
          <w:rFonts w:ascii="Times New Roman" w:hAnsi="Times New Roman"/>
          <w:sz w:val="24"/>
          <w:szCs w:val="24"/>
        </w:rPr>
        <w:t xml:space="preserve"> tohto návrhu zákona</w:t>
      </w:r>
      <w:r>
        <w:rPr>
          <w:rFonts w:ascii="Times New Roman" w:hAnsi="Times New Roman"/>
          <w:sz w:val="24"/>
          <w:szCs w:val="24"/>
        </w:rPr>
        <w:t>.</w:t>
      </w:r>
    </w:p>
    <w:p w:rsidR="00C34DE0" w:rsidRDefault="00C34DE0" w:rsidP="00A074B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34DE0" w:rsidRDefault="00C34DE0" w:rsidP="00A074B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9480E">
        <w:rPr>
          <w:rFonts w:ascii="Times New Roman" w:hAnsi="Times New Roman"/>
          <w:b/>
          <w:sz w:val="24"/>
          <w:szCs w:val="24"/>
        </w:rPr>
        <w:t>K bodu 10</w:t>
      </w:r>
    </w:p>
    <w:p w:rsidR="00C34DE0" w:rsidRPr="00C34DE0" w:rsidRDefault="00C34DE0" w:rsidP="00A074B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9480E">
        <w:rPr>
          <w:rFonts w:ascii="Times New Roman" w:hAnsi="Times New Roman"/>
          <w:sz w:val="24"/>
          <w:szCs w:val="24"/>
        </w:rPr>
        <w:t>Nav</w:t>
      </w:r>
      <w:r>
        <w:rPr>
          <w:rFonts w:ascii="Times New Roman" w:hAnsi="Times New Roman"/>
          <w:sz w:val="24"/>
          <w:szCs w:val="24"/>
        </w:rPr>
        <w:t>rhuje sa prechodné ustanovenie, ktorým sa zabezpeč</w:t>
      </w:r>
      <w:r w:rsidR="00CC5BA0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, že všetci platitelia, ktorých vyberateľ úhrady evidoval do 31. decembra 2019 </w:t>
      </w:r>
      <w:r w:rsidR="001F1279">
        <w:rPr>
          <w:rFonts w:ascii="Times New Roman" w:hAnsi="Times New Roman"/>
          <w:sz w:val="24"/>
          <w:szCs w:val="24"/>
        </w:rPr>
        <w:t xml:space="preserve">s nárokom na </w:t>
      </w:r>
      <w:r w:rsidR="00CC5BA0" w:rsidRPr="00CC5BA0">
        <w:rPr>
          <w:rFonts w:ascii="Times New Roman" w:hAnsi="Times New Roman"/>
          <w:sz w:val="24"/>
          <w:szCs w:val="24"/>
        </w:rPr>
        <w:t>zníženie sadzby úhrady na polovicu</w:t>
      </w:r>
      <w:r w:rsidR="00CC5BA0">
        <w:rPr>
          <w:rFonts w:ascii="Times New Roman" w:hAnsi="Times New Roman"/>
          <w:sz w:val="24"/>
          <w:szCs w:val="24"/>
        </w:rPr>
        <w:t xml:space="preserve">, nemusia vyberateľovi úhrady na vznik nároku na oslobodenie od povinnosti platiť úhradu od 1. januára 2020 opätovne oznámiť ani preukázať skutočnosť, </w:t>
      </w:r>
      <w:r w:rsidR="00CC5BA0">
        <w:rPr>
          <w:rFonts w:ascii="Times New Roman" w:hAnsi="Times New Roman"/>
          <w:sz w:val="24"/>
          <w:szCs w:val="24"/>
        </w:rPr>
        <w:lastRenderedPageBreak/>
        <w:t>ktorá bola rozhodujúca na určenie sadzby úhrady na polovicu</w:t>
      </w:r>
      <w:r w:rsidR="000B4871">
        <w:rPr>
          <w:rFonts w:ascii="Times New Roman" w:hAnsi="Times New Roman"/>
          <w:sz w:val="24"/>
          <w:szCs w:val="24"/>
        </w:rPr>
        <w:t>; t.j. k oslobodeniu od povinnosti platiť úhradu u všetkých týchto osôb dochádza nadobudnutím účinnosti tohto návrhu zákona.</w:t>
      </w:r>
    </w:p>
    <w:p w:rsidR="007E4494" w:rsidRPr="00DF5D8B" w:rsidRDefault="007E4494" w:rsidP="00D54B5D">
      <w:pPr>
        <w:pStyle w:val="Odsekzoznamu"/>
        <w:spacing w:line="360" w:lineRule="auto"/>
        <w:ind w:left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:rsidR="000D65E5" w:rsidRPr="00B0199F" w:rsidRDefault="007E4494" w:rsidP="0049350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223A61">
        <w:rPr>
          <w:rFonts w:ascii="Times New Roman" w:hAnsi="Times New Roman"/>
          <w:b/>
          <w:color w:val="000000"/>
          <w:sz w:val="24"/>
          <w:szCs w:val="24"/>
        </w:rPr>
        <w:t> Č</w:t>
      </w:r>
      <w:r w:rsidR="000D65E5" w:rsidRPr="00B0199F">
        <w:rPr>
          <w:rFonts w:ascii="Times New Roman" w:hAnsi="Times New Roman"/>
          <w:b/>
          <w:color w:val="000000"/>
          <w:sz w:val="24"/>
          <w:szCs w:val="24"/>
        </w:rPr>
        <w:t xml:space="preserve">l. </w:t>
      </w:r>
      <w:r w:rsidR="00223A61">
        <w:rPr>
          <w:rFonts w:ascii="Times New Roman" w:hAnsi="Times New Roman"/>
          <w:b/>
          <w:color w:val="000000"/>
          <w:sz w:val="24"/>
          <w:szCs w:val="24"/>
        </w:rPr>
        <w:t>I</w:t>
      </w:r>
      <w:r w:rsidR="000D65E5" w:rsidRPr="00B0199F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EB58D2" w:rsidRDefault="00EB58D2" w:rsidP="0049350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5E5" w:rsidRPr="00B0199F" w:rsidRDefault="000D65E5" w:rsidP="00FD4522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199F">
        <w:rPr>
          <w:rFonts w:ascii="Times New Roman" w:hAnsi="Times New Roman"/>
          <w:color w:val="000000"/>
          <w:sz w:val="24"/>
          <w:szCs w:val="24"/>
        </w:rPr>
        <w:t xml:space="preserve">S ohľadom na predpokladanú dĺžku legislatívneho procesu </w:t>
      </w:r>
      <w:r w:rsidR="00FD4522">
        <w:rPr>
          <w:rFonts w:ascii="Times New Roman" w:hAnsi="Times New Roman"/>
          <w:color w:val="000000"/>
          <w:sz w:val="24"/>
          <w:szCs w:val="24"/>
        </w:rPr>
        <w:t>a</w:t>
      </w:r>
      <w:r w:rsidR="00AE51B4">
        <w:rPr>
          <w:rFonts w:ascii="Times New Roman" w:hAnsi="Times New Roman"/>
          <w:color w:val="000000"/>
          <w:sz w:val="24"/>
          <w:szCs w:val="24"/>
        </w:rPr>
        <w:t xml:space="preserve"> praktické dopady tohto návrhu zákona </w:t>
      </w:r>
      <w:r w:rsidRPr="00B0199F">
        <w:rPr>
          <w:rFonts w:ascii="Times New Roman" w:hAnsi="Times New Roman"/>
          <w:color w:val="000000"/>
          <w:sz w:val="24"/>
          <w:szCs w:val="24"/>
        </w:rPr>
        <w:t>sa navrhuje účinnosť zá</w:t>
      </w:r>
      <w:r w:rsidR="00F97295">
        <w:rPr>
          <w:rFonts w:ascii="Times New Roman" w:hAnsi="Times New Roman"/>
          <w:color w:val="000000"/>
          <w:sz w:val="24"/>
          <w:szCs w:val="24"/>
        </w:rPr>
        <w:t xml:space="preserve">kona na 1. </w:t>
      </w:r>
      <w:r w:rsidR="00223A61">
        <w:rPr>
          <w:rFonts w:ascii="Times New Roman" w:hAnsi="Times New Roman"/>
          <w:color w:val="000000"/>
          <w:sz w:val="24"/>
          <w:szCs w:val="24"/>
        </w:rPr>
        <w:t>j</w:t>
      </w:r>
      <w:r w:rsidR="00FD4522">
        <w:rPr>
          <w:rFonts w:ascii="Times New Roman" w:hAnsi="Times New Roman"/>
          <w:color w:val="000000"/>
          <w:sz w:val="24"/>
          <w:szCs w:val="24"/>
        </w:rPr>
        <w:t>anuár</w:t>
      </w:r>
      <w:r w:rsidR="00F9729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FD4522">
        <w:rPr>
          <w:rFonts w:ascii="Times New Roman" w:hAnsi="Times New Roman"/>
          <w:color w:val="000000"/>
          <w:sz w:val="24"/>
          <w:szCs w:val="24"/>
        </w:rPr>
        <w:t>20.</w:t>
      </w:r>
    </w:p>
    <w:p w:rsidR="000D65E5" w:rsidRPr="002411FA" w:rsidRDefault="007E4494" w:rsidP="00D54B5D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</w:t>
      </w:r>
      <w:r w:rsidR="002411FA"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OLOŽKA</w:t>
      </w:r>
    </w:p>
    <w:p w:rsidR="000D65E5" w:rsidRPr="002411FA" w:rsidRDefault="000D65E5" w:rsidP="00EB58D2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0D65E5" w:rsidRPr="009A0D23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2411FA" w:rsidRDefault="000D65E5" w:rsidP="00634248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4957E2" w:rsidRDefault="00B033BA" w:rsidP="00634248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</w:t>
      </w:r>
      <w:r w:rsidR="00AE51B4" w:rsidRPr="00AE51B4">
        <w:rPr>
          <w:rFonts w:ascii="Times New Roman" w:hAnsi="Times New Roman"/>
          <w:sz w:val="24"/>
          <w:szCs w:val="24"/>
        </w:rPr>
        <w:t xml:space="preserve">zákona, ktorým sa mení </w:t>
      </w:r>
      <w:r w:rsidR="000B4871">
        <w:rPr>
          <w:rFonts w:ascii="Times New Roman" w:hAnsi="Times New Roman"/>
          <w:sz w:val="24"/>
          <w:szCs w:val="24"/>
        </w:rPr>
        <w:t xml:space="preserve">a dopĺňa </w:t>
      </w:r>
      <w:r w:rsidR="00AE51B4" w:rsidRPr="00AE51B4">
        <w:rPr>
          <w:rFonts w:ascii="Times New Roman" w:hAnsi="Times New Roman"/>
          <w:sz w:val="24"/>
          <w:szCs w:val="24"/>
        </w:rPr>
        <w:t>zákon č. 340/2012 Z. z. o úhrade za služby verejnosti poskytované Rozhlasom a televíziou Slovenska a o zmene a doplnení niektorých zákonov v znení neskorších predpisov</w:t>
      </w:r>
      <w:r w:rsidR="004957E2" w:rsidRPr="00F97295">
        <w:rPr>
          <w:rFonts w:ascii="Times New Roman" w:hAnsi="Times New Roman"/>
          <w:sz w:val="24"/>
          <w:szCs w:val="24"/>
        </w:rPr>
        <w:t>.</w:t>
      </w:r>
    </w:p>
    <w:p w:rsidR="00634248" w:rsidRPr="00F9480E" w:rsidRDefault="00634248" w:rsidP="00634248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10"/>
          <w:szCs w:val="24"/>
        </w:rPr>
      </w:pPr>
    </w:p>
    <w:p w:rsidR="00D2168E" w:rsidRDefault="00D2168E" w:rsidP="00634248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  <w:r w:rsidR="00E55DBF">
        <w:rPr>
          <w:rFonts w:ascii="Times New Roman" w:hAnsi="Times New Roman"/>
          <w:sz w:val="24"/>
          <w:szCs w:val="24"/>
        </w:rPr>
        <w:t>.</w:t>
      </w:r>
    </w:p>
    <w:p w:rsidR="00634248" w:rsidRDefault="00634248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D65E5" w:rsidRPr="009A0D23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65E5" w:rsidRPr="009A0D23" w:rsidRDefault="000D65E5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65E5" w:rsidRPr="009A0D23" w:rsidRDefault="000D65E5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65E5" w:rsidRPr="009A0D23" w:rsidRDefault="000D65E5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  <w:r w:rsidR="000D65E5"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  <w:r w:rsidR="000D65E5"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– sociálnu </w:t>
            </w:r>
            <w:proofErr w:type="spellStart"/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exklúziu</w:t>
            </w:r>
            <w:proofErr w:type="spellEnd"/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65E5" w:rsidRPr="009A0D23" w:rsidRDefault="000D65E5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65E5" w:rsidRPr="009A0D23" w:rsidRDefault="000D65E5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A0D2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65E5" w:rsidRPr="009A0D23" w:rsidRDefault="000D65E5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65E5" w:rsidRPr="009A0D23" w:rsidRDefault="000D65E5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D65E5" w:rsidRPr="009A0D23" w:rsidRDefault="00713798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C3AF3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C3AF3" w:rsidRPr="009A0D23" w:rsidRDefault="009C3AF3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C3AF3" w:rsidRPr="009A0D23" w:rsidRDefault="009C3AF3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C3AF3" w:rsidRPr="009A0D23" w:rsidRDefault="009C3AF3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9C3AF3" w:rsidRPr="009A0D23" w:rsidRDefault="00713798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13798" w:rsidRPr="009A0D23" w:rsidTr="004E2DAB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13798" w:rsidRDefault="00713798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7. Vplyvy na manželstvo, rodičovstvo a rodinu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13798" w:rsidRPr="009A0D23" w:rsidRDefault="00713798" w:rsidP="0063424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13798" w:rsidRPr="009A0D23" w:rsidRDefault="00713798" w:rsidP="0063424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713798" w:rsidRDefault="00713798" w:rsidP="0063424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0D65E5" w:rsidRPr="00F9480E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6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0D65E5" w:rsidRPr="009A0D23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476DE1" w:rsidRPr="0022633D" w:rsidRDefault="00476DE1" w:rsidP="00F9480E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Predpokladá sa, že p</w:t>
      </w:r>
      <w:r w:rsidRPr="0022633D">
        <w:rPr>
          <w:rFonts w:ascii="Times New Roman" w:hAnsi="Times New Roman"/>
          <w:sz w:val="24"/>
          <w:szCs w:val="24"/>
        </w:rPr>
        <w:t xml:space="preserve">redkladaný návrh zákona </w:t>
      </w:r>
      <w:r>
        <w:rPr>
          <w:rFonts w:ascii="Times New Roman" w:hAnsi="Times New Roman"/>
          <w:sz w:val="24"/>
          <w:szCs w:val="24"/>
        </w:rPr>
        <w:t>bude mať</w:t>
      </w:r>
      <w:r w:rsidRPr="002263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negatívne vplyvy na </w:t>
      </w:r>
      <w:r w:rsidRPr="00AF3E35">
        <w:rPr>
          <w:rFonts w:ascii="Times New Roman" w:hAnsi="Times New Roman"/>
          <w:sz w:val="24"/>
          <w:szCs w:val="24"/>
        </w:rPr>
        <w:t>rozpočet verejnej správy</w:t>
      </w:r>
      <w:r>
        <w:rPr>
          <w:rFonts w:ascii="Times New Roman" w:hAnsi="Times New Roman"/>
          <w:sz w:val="24"/>
          <w:szCs w:val="24"/>
        </w:rPr>
        <w:t xml:space="preserve"> vzhľadom na skutočnosť, že o spôsobený výpadok na výbere koncesionárskych poplatkov bude Rozhlasu a televízii Slovenska zrejme musieť byť zvýšený príspevok </w:t>
      </w:r>
      <w:r w:rsidRPr="009E28BA">
        <w:rPr>
          <w:rFonts w:ascii="Times New Roman" w:hAnsi="Times New Roman"/>
          <w:sz w:val="24"/>
          <w:szCs w:val="24"/>
        </w:rPr>
        <w:t>zo štátneho rozpočtu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2633D">
        <w:rPr>
          <w:rFonts w:ascii="Times New Roman" w:hAnsi="Times New Roman"/>
          <w:sz w:val="24"/>
          <w:szCs w:val="24"/>
        </w:rPr>
        <w:t>Predkladaný návrh zákona má</w:t>
      </w:r>
      <w:r>
        <w:rPr>
          <w:rFonts w:ascii="Times New Roman" w:hAnsi="Times New Roman"/>
          <w:sz w:val="24"/>
          <w:szCs w:val="24"/>
        </w:rPr>
        <w:t xml:space="preserve"> pozitívne sociálne vplyvy vzhľadom na oslobodenie dotknutých fyzických osôb od povinnosti platiť koncesionárske poplatky v polovičnej sadzbe čo ma pozitívny vplyv na hospodárenie ich domácnosti.</w:t>
      </w:r>
    </w:p>
    <w:p w:rsidR="000D65E5" w:rsidRPr="00F9480E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0"/>
          <w:szCs w:val="24"/>
          <w:lang w:eastAsia="ar-SA"/>
        </w:rPr>
      </w:pPr>
    </w:p>
    <w:p w:rsidR="000D65E5" w:rsidRPr="009A0D23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0D65E5" w:rsidRPr="009A0D23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0D65E5" w:rsidRPr="00F9480E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0"/>
          <w:szCs w:val="24"/>
          <w:lang w:eastAsia="ar-SA"/>
        </w:rPr>
      </w:pPr>
    </w:p>
    <w:p w:rsidR="000D65E5" w:rsidRPr="009A0D23" w:rsidRDefault="000D65E5" w:rsidP="00634248">
      <w:pPr>
        <w:widowControl w:val="0"/>
        <w:suppressAutoHyphens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0D65E5" w:rsidRPr="009A0D23" w:rsidRDefault="000D65E5" w:rsidP="00634248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F9480E" w:rsidRDefault="00F9480E" w:rsidP="00D54B5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80E" w:rsidRDefault="00F9480E" w:rsidP="00D54B5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1FCB" w:rsidRPr="00ED5CC3" w:rsidRDefault="004C1FCB" w:rsidP="00D54B5D">
      <w:pPr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4C1FCB" w:rsidRPr="00ED5CC3" w:rsidRDefault="004C1FCB" w:rsidP="00D54B5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4C1FCB" w:rsidRPr="0062248F" w:rsidRDefault="004C1FCB" w:rsidP="00D54B5D">
      <w:pPr>
        <w:pBdr>
          <w:bottom w:val="single" w:sz="12" w:space="1" w:color="auto"/>
        </w:pBd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4C1FCB" w:rsidRPr="0062248F" w:rsidRDefault="004C1FCB" w:rsidP="00D54B5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495E" w:rsidRPr="00B0495E" w:rsidRDefault="004C1FCB" w:rsidP="00D54B5D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B0495E">
        <w:rPr>
          <w:rFonts w:ascii="Times New Roman" w:hAnsi="Times New Roman"/>
          <w:b/>
          <w:sz w:val="24"/>
          <w:szCs w:val="24"/>
        </w:rPr>
        <w:t xml:space="preserve">Navrhovateľ zákona: </w:t>
      </w:r>
      <w:r w:rsidR="0081753E" w:rsidRPr="00B0495E">
        <w:rPr>
          <w:rFonts w:ascii="Times New Roman" w:hAnsi="Times New Roman"/>
          <w:sz w:val="24"/>
          <w:szCs w:val="24"/>
        </w:rPr>
        <w:t>poslanci</w:t>
      </w:r>
      <w:r w:rsidRPr="00B0495E"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81753E" w:rsidRPr="00B0495E">
        <w:rPr>
          <w:rFonts w:ascii="Times New Roman" w:hAnsi="Times New Roman"/>
          <w:sz w:val="24"/>
          <w:szCs w:val="24"/>
        </w:rPr>
        <w:t xml:space="preserve"> </w:t>
      </w:r>
      <w:r w:rsidR="00B0495E" w:rsidRPr="0007162B">
        <w:rPr>
          <w:rFonts w:ascii="Times New Roman" w:hAnsi="Times New Roman"/>
          <w:sz w:val="24"/>
          <w:szCs w:val="24"/>
        </w:rPr>
        <w:t xml:space="preserve">Tibor </w:t>
      </w:r>
      <w:proofErr w:type="spellStart"/>
      <w:r w:rsidR="00B0495E" w:rsidRPr="0007162B">
        <w:rPr>
          <w:rFonts w:ascii="Times New Roman" w:hAnsi="Times New Roman"/>
          <w:sz w:val="24"/>
          <w:szCs w:val="24"/>
        </w:rPr>
        <w:t>Bernaťák</w:t>
      </w:r>
      <w:proofErr w:type="spellEnd"/>
      <w:r w:rsidR="00B0495E" w:rsidRPr="0007162B">
        <w:rPr>
          <w:rFonts w:ascii="Times New Roman" w:hAnsi="Times New Roman"/>
          <w:sz w:val="24"/>
          <w:szCs w:val="24"/>
        </w:rPr>
        <w:t xml:space="preserve">, </w:t>
      </w:r>
      <w:r w:rsidR="00B0495E">
        <w:rPr>
          <w:rFonts w:ascii="Times New Roman" w:hAnsi="Times New Roman"/>
          <w:sz w:val="24"/>
          <w:szCs w:val="24"/>
        </w:rPr>
        <w:t xml:space="preserve">Karol </w:t>
      </w:r>
      <w:proofErr w:type="spellStart"/>
      <w:r w:rsidR="00B0495E">
        <w:rPr>
          <w:rFonts w:ascii="Times New Roman" w:hAnsi="Times New Roman"/>
          <w:sz w:val="24"/>
          <w:szCs w:val="24"/>
        </w:rPr>
        <w:t>Farkašovský</w:t>
      </w:r>
      <w:proofErr w:type="spellEnd"/>
      <w:r w:rsidR="00B0495E">
        <w:rPr>
          <w:rFonts w:ascii="Times New Roman" w:hAnsi="Times New Roman"/>
          <w:sz w:val="24"/>
          <w:szCs w:val="24"/>
        </w:rPr>
        <w:t xml:space="preserve">, Eva Smolíková, Dušan </w:t>
      </w:r>
      <w:proofErr w:type="spellStart"/>
      <w:r w:rsidR="00B0495E">
        <w:rPr>
          <w:rFonts w:ascii="Times New Roman" w:hAnsi="Times New Roman"/>
          <w:sz w:val="24"/>
          <w:szCs w:val="24"/>
        </w:rPr>
        <w:t>Tittel</w:t>
      </w:r>
      <w:proofErr w:type="spellEnd"/>
      <w:r w:rsidR="00B0495E">
        <w:rPr>
          <w:rFonts w:ascii="Times New Roman" w:hAnsi="Times New Roman"/>
          <w:sz w:val="24"/>
          <w:szCs w:val="24"/>
        </w:rPr>
        <w:t xml:space="preserve"> </w:t>
      </w:r>
      <w:r w:rsidR="00B0495E" w:rsidRPr="0007162B">
        <w:rPr>
          <w:rFonts w:ascii="Times New Roman" w:hAnsi="Times New Roman"/>
          <w:sz w:val="24"/>
          <w:szCs w:val="24"/>
        </w:rPr>
        <w:t xml:space="preserve">a </w:t>
      </w:r>
      <w:r w:rsidR="00B0495E">
        <w:rPr>
          <w:rFonts w:ascii="Times New Roman" w:hAnsi="Times New Roman"/>
          <w:sz w:val="24"/>
          <w:szCs w:val="24"/>
        </w:rPr>
        <w:t xml:space="preserve">Stanislav </w:t>
      </w:r>
      <w:proofErr w:type="spellStart"/>
      <w:r w:rsidR="00B0495E">
        <w:rPr>
          <w:rFonts w:ascii="Times New Roman" w:hAnsi="Times New Roman"/>
          <w:sz w:val="24"/>
          <w:szCs w:val="24"/>
        </w:rPr>
        <w:t>Kmec</w:t>
      </w:r>
      <w:proofErr w:type="spellEnd"/>
      <w:r w:rsidR="00B0495E">
        <w:rPr>
          <w:rFonts w:ascii="Times New Roman" w:hAnsi="Times New Roman"/>
          <w:sz w:val="24"/>
          <w:szCs w:val="24"/>
        </w:rPr>
        <w:t>.</w:t>
      </w:r>
    </w:p>
    <w:p w:rsidR="004C1FCB" w:rsidRPr="00B0495E" w:rsidRDefault="004C1FCB" w:rsidP="00B0495E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</w:p>
    <w:p w:rsidR="004C1FCB" w:rsidRPr="00784655" w:rsidRDefault="004C1FCB" w:rsidP="0007162B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4655">
        <w:rPr>
          <w:rFonts w:ascii="Times New Roman" w:hAnsi="Times New Roman"/>
          <w:b/>
          <w:sz w:val="24"/>
          <w:szCs w:val="24"/>
        </w:rPr>
        <w:t xml:space="preserve">Názov návrhu zákona: </w:t>
      </w:r>
      <w:r w:rsidR="00FD550D">
        <w:rPr>
          <w:rFonts w:ascii="Times New Roman" w:hAnsi="Times New Roman"/>
          <w:sz w:val="24"/>
          <w:szCs w:val="24"/>
        </w:rPr>
        <w:t xml:space="preserve">Návrh </w:t>
      </w:r>
      <w:r w:rsidR="00476DE1" w:rsidRPr="00476DE1">
        <w:rPr>
          <w:rFonts w:ascii="Times New Roman" w:hAnsi="Times New Roman"/>
          <w:sz w:val="24"/>
          <w:szCs w:val="24"/>
        </w:rPr>
        <w:t xml:space="preserve">zákona, ktorým sa mení </w:t>
      </w:r>
      <w:r w:rsidR="00840772">
        <w:rPr>
          <w:rFonts w:ascii="Times New Roman" w:hAnsi="Times New Roman"/>
          <w:sz w:val="24"/>
          <w:szCs w:val="24"/>
        </w:rPr>
        <w:t xml:space="preserve">a dopĺňa </w:t>
      </w:r>
      <w:r w:rsidR="00476DE1" w:rsidRPr="00476DE1">
        <w:rPr>
          <w:rFonts w:ascii="Times New Roman" w:hAnsi="Times New Roman"/>
          <w:sz w:val="24"/>
          <w:szCs w:val="24"/>
        </w:rPr>
        <w:t>zákon č. 340/2012 Z. z. o úhrade za služby verejnosti poskytované Rozhlasom a televíziou Slovenska a o zmene a doplnení niektorých zákonov v znení neskorších predpisov</w:t>
      </w:r>
      <w:r w:rsidR="00EE2063" w:rsidRPr="00EE2063">
        <w:rPr>
          <w:rFonts w:ascii="Times New Roman" w:hAnsi="Times New Roman"/>
          <w:sz w:val="24"/>
          <w:szCs w:val="24"/>
        </w:rPr>
        <w:t>.</w:t>
      </w:r>
    </w:p>
    <w:p w:rsidR="004C1FCB" w:rsidRPr="00784655" w:rsidRDefault="004C1FCB" w:rsidP="00D54B5D">
      <w:pPr>
        <w:autoSpaceDE w:val="0"/>
        <w:autoSpaceDN w:val="0"/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C1FCB" w:rsidRDefault="004C1FCB" w:rsidP="00D54B5D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>
        <w:rPr>
          <w:rFonts w:ascii="Times New Roman" w:hAnsi="Times New Roman"/>
          <w:b/>
          <w:sz w:val="24"/>
          <w:szCs w:val="24"/>
        </w:rPr>
        <w:t>zákona:</w:t>
      </w:r>
      <w:r w:rsidRPr="0062248F">
        <w:rPr>
          <w:rFonts w:ascii="Times New Roman" w:hAnsi="Times New Roman"/>
          <w:sz w:val="24"/>
          <w:szCs w:val="24"/>
        </w:rPr>
        <w:t xml:space="preserve"> </w:t>
      </w:r>
    </w:p>
    <w:p w:rsidR="004C1FCB" w:rsidRPr="008433A7" w:rsidRDefault="004C1FCB" w:rsidP="00D54B5D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4C1FCB" w:rsidRPr="008433A7" w:rsidRDefault="004C1FCB" w:rsidP="00D54B5D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4C1FCB" w:rsidRDefault="004C1FCB" w:rsidP="00D54B5D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4C1FCB" w:rsidRPr="0062248F" w:rsidRDefault="004C1FCB" w:rsidP="00D54B5D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4C1FCB" w:rsidRPr="0062248F" w:rsidRDefault="004C1FCB" w:rsidP="00D54B5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  <w:r w:rsidRPr="0062248F">
        <w:rPr>
          <w:rFonts w:ascii="Times New Roman" w:hAnsi="Times New Roman"/>
          <w:sz w:val="24"/>
          <w:szCs w:val="24"/>
        </w:rPr>
        <w:t xml:space="preserve">        </w:t>
      </w:r>
    </w:p>
    <w:p w:rsidR="004C1FCB" w:rsidRPr="0062248F" w:rsidRDefault="004C1FCB" w:rsidP="00D54B5D">
      <w:pPr>
        <w:pStyle w:val="Odsekzoznamu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1FCB" w:rsidRPr="0062248F" w:rsidRDefault="004C1FCB" w:rsidP="00D54B5D">
      <w:pPr>
        <w:spacing w:after="120" w:line="360" w:lineRule="auto"/>
        <w:rPr>
          <w:rFonts w:ascii="Times New Roman" w:hAnsi="Times New Roman"/>
        </w:rPr>
      </w:pPr>
    </w:p>
    <w:p w:rsidR="004C1FCB" w:rsidRPr="0062248F" w:rsidRDefault="004C1FCB" w:rsidP="00D54B5D">
      <w:pPr>
        <w:spacing w:after="120" w:line="360" w:lineRule="auto"/>
        <w:rPr>
          <w:rFonts w:ascii="Times New Roman" w:hAnsi="Times New Roman"/>
        </w:rPr>
      </w:pPr>
    </w:p>
    <w:p w:rsidR="004C1FCB" w:rsidRPr="0062248F" w:rsidRDefault="004C1FCB" w:rsidP="00D54B5D">
      <w:pPr>
        <w:spacing w:after="120" w:line="360" w:lineRule="auto"/>
        <w:rPr>
          <w:rFonts w:ascii="Times New Roman" w:hAnsi="Times New Roman"/>
        </w:rPr>
      </w:pPr>
    </w:p>
    <w:p w:rsidR="00EC1DC7" w:rsidRPr="00260F35" w:rsidRDefault="00EC1DC7" w:rsidP="00D54B5D">
      <w:pPr>
        <w:spacing w:after="0" w:line="360" w:lineRule="auto"/>
        <w:ind w:left="720"/>
        <w:jc w:val="center"/>
        <w:rPr>
          <w:rFonts w:ascii="Times New Roman" w:hAnsi="Times New Roman"/>
          <w:b/>
        </w:rPr>
      </w:pPr>
    </w:p>
    <w:sectPr w:rsidR="00EC1DC7" w:rsidRPr="00260F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06" w:rsidRDefault="00475A06" w:rsidP="00BB49A2">
      <w:pPr>
        <w:spacing w:after="0" w:line="240" w:lineRule="auto"/>
      </w:pPr>
      <w:r>
        <w:separator/>
      </w:r>
    </w:p>
  </w:endnote>
  <w:endnote w:type="continuationSeparator" w:id="0">
    <w:p w:rsidR="00475A06" w:rsidRDefault="00475A06" w:rsidP="00BB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7D" w:rsidRPr="00BB49A2" w:rsidRDefault="00B6047D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472082">
      <w:rPr>
        <w:rFonts w:ascii="Times New Roman" w:hAnsi="Times New Roman"/>
        <w:noProof/>
      </w:rPr>
      <w:t>2</w:t>
    </w:r>
    <w:r w:rsidRPr="00BB49A2">
      <w:rPr>
        <w:rFonts w:ascii="Times New Roman" w:hAnsi="Times New Roman"/>
      </w:rPr>
      <w:fldChar w:fldCharType="end"/>
    </w:r>
  </w:p>
  <w:p w:rsidR="00B6047D" w:rsidRDefault="00B604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06" w:rsidRDefault="00475A06" w:rsidP="00BB49A2">
      <w:pPr>
        <w:spacing w:after="0" w:line="240" w:lineRule="auto"/>
      </w:pPr>
      <w:r>
        <w:separator/>
      </w:r>
    </w:p>
  </w:footnote>
  <w:footnote w:type="continuationSeparator" w:id="0">
    <w:p w:rsidR="00475A06" w:rsidRDefault="00475A06" w:rsidP="00BB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F85"/>
    <w:multiLevelType w:val="hybridMultilevel"/>
    <w:tmpl w:val="8EFCF878"/>
    <w:lvl w:ilvl="0" w:tplc="C6A41A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936D5"/>
    <w:multiLevelType w:val="hybridMultilevel"/>
    <w:tmpl w:val="8BA49492"/>
    <w:lvl w:ilvl="0" w:tplc="C6A41A1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D5965"/>
    <w:multiLevelType w:val="hybridMultilevel"/>
    <w:tmpl w:val="93AA7A8C"/>
    <w:lvl w:ilvl="0" w:tplc="E2A4551E">
      <w:start w:val="9"/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922"/>
    <w:multiLevelType w:val="hybridMultilevel"/>
    <w:tmpl w:val="794E3DF0"/>
    <w:lvl w:ilvl="0" w:tplc="21FC14D4">
      <w:start w:val="1"/>
      <w:numFmt w:val="lowerLetter"/>
      <w:lvlText w:val="%1)"/>
      <w:lvlJc w:val="left"/>
      <w:pPr>
        <w:ind w:left="2125" w:hanging="141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8D0294"/>
    <w:multiLevelType w:val="hybridMultilevel"/>
    <w:tmpl w:val="3FBC7D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2D4D"/>
    <w:multiLevelType w:val="hybridMultilevel"/>
    <w:tmpl w:val="496E7E18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23303C9"/>
    <w:multiLevelType w:val="hybridMultilevel"/>
    <w:tmpl w:val="66A2BDC6"/>
    <w:lvl w:ilvl="0" w:tplc="1B40D720">
      <w:numFmt w:val="bullet"/>
      <w:lvlText w:val="-"/>
      <w:lvlJc w:val="left"/>
      <w:pPr>
        <w:ind w:left="1299" w:hanging="73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39D53FD"/>
    <w:multiLevelType w:val="hybridMultilevel"/>
    <w:tmpl w:val="B39AD2FC"/>
    <w:lvl w:ilvl="0" w:tplc="A01CC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153C7"/>
    <w:multiLevelType w:val="hybridMultilevel"/>
    <w:tmpl w:val="A2F4E752"/>
    <w:lvl w:ilvl="0" w:tplc="A01CC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080415"/>
    <w:multiLevelType w:val="hybridMultilevel"/>
    <w:tmpl w:val="B8680954"/>
    <w:lvl w:ilvl="0" w:tplc="A01CC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E4835"/>
    <w:multiLevelType w:val="hybridMultilevel"/>
    <w:tmpl w:val="A2042476"/>
    <w:lvl w:ilvl="0" w:tplc="A01CC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37E69"/>
    <w:multiLevelType w:val="hybridMultilevel"/>
    <w:tmpl w:val="DA629432"/>
    <w:lvl w:ilvl="0" w:tplc="E2A4551E">
      <w:start w:val="9"/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DD633FF"/>
    <w:multiLevelType w:val="hybridMultilevel"/>
    <w:tmpl w:val="017E965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CB6537"/>
    <w:multiLevelType w:val="hybridMultilevel"/>
    <w:tmpl w:val="6818D584"/>
    <w:lvl w:ilvl="0" w:tplc="A01CC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7700E"/>
    <w:multiLevelType w:val="hybridMultilevel"/>
    <w:tmpl w:val="53A67D28"/>
    <w:lvl w:ilvl="0" w:tplc="A01CC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D2FAF"/>
    <w:multiLevelType w:val="hybridMultilevel"/>
    <w:tmpl w:val="F3B637D4"/>
    <w:lvl w:ilvl="0" w:tplc="A01CC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04BDD"/>
    <w:multiLevelType w:val="hybridMultilevel"/>
    <w:tmpl w:val="5986FB9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65699D"/>
    <w:multiLevelType w:val="hybridMultilevel"/>
    <w:tmpl w:val="E62CE4E6"/>
    <w:lvl w:ilvl="0" w:tplc="CDB64686">
      <w:start w:val="9"/>
      <w:numFmt w:val="bullet"/>
      <w:lvlText w:val="-"/>
      <w:lvlJc w:val="left"/>
      <w:pPr>
        <w:ind w:left="1335" w:hanging="76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BD15207"/>
    <w:multiLevelType w:val="hybridMultilevel"/>
    <w:tmpl w:val="AF6C68B0"/>
    <w:lvl w:ilvl="0" w:tplc="A01CCB52">
      <w:numFmt w:val="bullet"/>
      <w:lvlText w:val="-"/>
      <w:lvlJc w:val="left"/>
      <w:pPr>
        <w:ind w:left="1383" w:hanging="816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DD63EBE"/>
    <w:multiLevelType w:val="hybridMultilevel"/>
    <w:tmpl w:val="7A708DF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21"/>
  </w:num>
  <w:num w:numId="8">
    <w:abstractNumId w:val="20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15"/>
  </w:num>
  <w:num w:numId="18">
    <w:abstractNumId w:val="9"/>
  </w:num>
  <w:num w:numId="19">
    <w:abstractNumId w:val="18"/>
  </w:num>
  <w:num w:numId="20">
    <w:abstractNumId w:val="13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D"/>
    <w:rsid w:val="00012C70"/>
    <w:rsid w:val="000173F0"/>
    <w:rsid w:val="00020C46"/>
    <w:rsid w:val="0003246C"/>
    <w:rsid w:val="00034C53"/>
    <w:rsid w:val="000450AE"/>
    <w:rsid w:val="00054C12"/>
    <w:rsid w:val="00061B11"/>
    <w:rsid w:val="0006663A"/>
    <w:rsid w:val="0007162B"/>
    <w:rsid w:val="00083A09"/>
    <w:rsid w:val="000842A9"/>
    <w:rsid w:val="00086873"/>
    <w:rsid w:val="00093EFE"/>
    <w:rsid w:val="000943F0"/>
    <w:rsid w:val="000B4540"/>
    <w:rsid w:val="000B4871"/>
    <w:rsid w:val="000B51DD"/>
    <w:rsid w:val="000C2F26"/>
    <w:rsid w:val="000D65E5"/>
    <w:rsid w:val="000E18E3"/>
    <w:rsid w:val="000F33FD"/>
    <w:rsid w:val="000F3B6F"/>
    <w:rsid w:val="00100683"/>
    <w:rsid w:val="0010081E"/>
    <w:rsid w:val="0010373F"/>
    <w:rsid w:val="00131541"/>
    <w:rsid w:val="00136339"/>
    <w:rsid w:val="00151E8C"/>
    <w:rsid w:val="0017557D"/>
    <w:rsid w:val="0018059B"/>
    <w:rsid w:val="00191813"/>
    <w:rsid w:val="001B551C"/>
    <w:rsid w:val="001C558D"/>
    <w:rsid w:val="001D304A"/>
    <w:rsid w:val="001D56D4"/>
    <w:rsid w:val="001E6C18"/>
    <w:rsid w:val="001F1279"/>
    <w:rsid w:val="001F34EF"/>
    <w:rsid w:val="001F41A6"/>
    <w:rsid w:val="001F57E3"/>
    <w:rsid w:val="001F7008"/>
    <w:rsid w:val="002007BE"/>
    <w:rsid w:val="00216F0C"/>
    <w:rsid w:val="00223853"/>
    <w:rsid w:val="00223A61"/>
    <w:rsid w:val="0022633D"/>
    <w:rsid w:val="0022666E"/>
    <w:rsid w:val="00234554"/>
    <w:rsid w:val="0024110E"/>
    <w:rsid w:val="002411FA"/>
    <w:rsid w:val="002416C1"/>
    <w:rsid w:val="00252A9B"/>
    <w:rsid w:val="002533A9"/>
    <w:rsid w:val="00260F35"/>
    <w:rsid w:val="00265AE9"/>
    <w:rsid w:val="002719B2"/>
    <w:rsid w:val="002751F7"/>
    <w:rsid w:val="0028272A"/>
    <w:rsid w:val="00283128"/>
    <w:rsid w:val="00292E74"/>
    <w:rsid w:val="002A0C8F"/>
    <w:rsid w:val="002A215C"/>
    <w:rsid w:val="002C478D"/>
    <w:rsid w:val="002D1EAF"/>
    <w:rsid w:val="002D7BB3"/>
    <w:rsid w:val="002E3EFB"/>
    <w:rsid w:val="002F2776"/>
    <w:rsid w:val="002F6DE7"/>
    <w:rsid w:val="00303AD3"/>
    <w:rsid w:val="003049FD"/>
    <w:rsid w:val="0030537F"/>
    <w:rsid w:val="0030677A"/>
    <w:rsid w:val="00310BF8"/>
    <w:rsid w:val="00313E6E"/>
    <w:rsid w:val="00321EB1"/>
    <w:rsid w:val="00324EE2"/>
    <w:rsid w:val="00334598"/>
    <w:rsid w:val="00336469"/>
    <w:rsid w:val="00342107"/>
    <w:rsid w:val="00352D19"/>
    <w:rsid w:val="00361D8D"/>
    <w:rsid w:val="00366B06"/>
    <w:rsid w:val="003743C9"/>
    <w:rsid w:val="00383AFB"/>
    <w:rsid w:val="00391051"/>
    <w:rsid w:val="00393BE8"/>
    <w:rsid w:val="003B4F64"/>
    <w:rsid w:val="003B6528"/>
    <w:rsid w:val="003B7F2C"/>
    <w:rsid w:val="003C21BF"/>
    <w:rsid w:val="003C695B"/>
    <w:rsid w:val="003E67C8"/>
    <w:rsid w:val="003F2DE8"/>
    <w:rsid w:val="004256E5"/>
    <w:rsid w:val="004411D7"/>
    <w:rsid w:val="00457786"/>
    <w:rsid w:val="00457CE9"/>
    <w:rsid w:val="00462D34"/>
    <w:rsid w:val="00463EBA"/>
    <w:rsid w:val="00466EC3"/>
    <w:rsid w:val="00472082"/>
    <w:rsid w:val="00472A8F"/>
    <w:rsid w:val="00474296"/>
    <w:rsid w:val="00475A06"/>
    <w:rsid w:val="00476DE1"/>
    <w:rsid w:val="00483EAF"/>
    <w:rsid w:val="00487124"/>
    <w:rsid w:val="0049350E"/>
    <w:rsid w:val="00493CC1"/>
    <w:rsid w:val="004957E2"/>
    <w:rsid w:val="004B250E"/>
    <w:rsid w:val="004B46E9"/>
    <w:rsid w:val="004B7C8F"/>
    <w:rsid w:val="004C1FCB"/>
    <w:rsid w:val="004C4B8B"/>
    <w:rsid w:val="004C6E21"/>
    <w:rsid w:val="004D3E15"/>
    <w:rsid w:val="004D6DF8"/>
    <w:rsid w:val="004E2DAB"/>
    <w:rsid w:val="004F0D2D"/>
    <w:rsid w:val="00511C65"/>
    <w:rsid w:val="00516912"/>
    <w:rsid w:val="005228EC"/>
    <w:rsid w:val="00527E2B"/>
    <w:rsid w:val="00533AF5"/>
    <w:rsid w:val="005377B0"/>
    <w:rsid w:val="005424F2"/>
    <w:rsid w:val="00547FEB"/>
    <w:rsid w:val="005511F2"/>
    <w:rsid w:val="005600B6"/>
    <w:rsid w:val="00566260"/>
    <w:rsid w:val="005711F4"/>
    <w:rsid w:val="005712A9"/>
    <w:rsid w:val="0057340E"/>
    <w:rsid w:val="005745C1"/>
    <w:rsid w:val="00585193"/>
    <w:rsid w:val="00586B31"/>
    <w:rsid w:val="0059131C"/>
    <w:rsid w:val="00592DC4"/>
    <w:rsid w:val="005A0639"/>
    <w:rsid w:val="005A074D"/>
    <w:rsid w:val="005B147A"/>
    <w:rsid w:val="005B4F1D"/>
    <w:rsid w:val="005B7087"/>
    <w:rsid w:val="005C172E"/>
    <w:rsid w:val="005E149E"/>
    <w:rsid w:val="005E17C1"/>
    <w:rsid w:val="005E5BAF"/>
    <w:rsid w:val="005F4400"/>
    <w:rsid w:val="005F4739"/>
    <w:rsid w:val="00602787"/>
    <w:rsid w:val="006027CA"/>
    <w:rsid w:val="00603916"/>
    <w:rsid w:val="00611AB6"/>
    <w:rsid w:val="00614CCE"/>
    <w:rsid w:val="0062248F"/>
    <w:rsid w:val="00626D4B"/>
    <w:rsid w:val="00634248"/>
    <w:rsid w:val="00636925"/>
    <w:rsid w:val="00636C5F"/>
    <w:rsid w:val="00652504"/>
    <w:rsid w:val="00661868"/>
    <w:rsid w:val="0069367A"/>
    <w:rsid w:val="006A0A4A"/>
    <w:rsid w:val="006A0B3D"/>
    <w:rsid w:val="006A5138"/>
    <w:rsid w:val="006B2F6C"/>
    <w:rsid w:val="006B6401"/>
    <w:rsid w:val="00713798"/>
    <w:rsid w:val="0072598D"/>
    <w:rsid w:val="007409EB"/>
    <w:rsid w:val="00742412"/>
    <w:rsid w:val="007700D3"/>
    <w:rsid w:val="007810ED"/>
    <w:rsid w:val="00784655"/>
    <w:rsid w:val="00791F84"/>
    <w:rsid w:val="00794F8A"/>
    <w:rsid w:val="007A22D4"/>
    <w:rsid w:val="007B209B"/>
    <w:rsid w:val="007B60A8"/>
    <w:rsid w:val="007C34D2"/>
    <w:rsid w:val="007C3A97"/>
    <w:rsid w:val="007D041A"/>
    <w:rsid w:val="007D27D9"/>
    <w:rsid w:val="007D7C72"/>
    <w:rsid w:val="007E4494"/>
    <w:rsid w:val="007F6AC9"/>
    <w:rsid w:val="00802542"/>
    <w:rsid w:val="00804A9C"/>
    <w:rsid w:val="0081106D"/>
    <w:rsid w:val="0081753E"/>
    <w:rsid w:val="00826E82"/>
    <w:rsid w:val="00827302"/>
    <w:rsid w:val="00831730"/>
    <w:rsid w:val="0083428C"/>
    <w:rsid w:val="00840772"/>
    <w:rsid w:val="00841843"/>
    <w:rsid w:val="00842F79"/>
    <w:rsid w:val="008433A7"/>
    <w:rsid w:val="008505F1"/>
    <w:rsid w:val="00853922"/>
    <w:rsid w:val="00861FAC"/>
    <w:rsid w:val="00867D74"/>
    <w:rsid w:val="00867E32"/>
    <w:rsid w:val="0088628D"/>
    <w:rsid w:val="00890E94"/>
    <w:rsid w:val="00892443"/>
    <w:rsid w:val="008A2E95"/>
    <w:rsid w:val="008B1027"/>
    <w:rsid w:val="008C2975"/>
    <w:rsid w:val="008C54BC"/>
    <w:rsid w:val="008C7E89"/>
    <w:rsid w:val="008F60F7"/>
    <w:rsid w:val="008F6877"/>
    <w:rsid w:val="009015CA"/>
    <w:rsid w:val="009063CE"/>
    <w:rsid w:val="00914610"/>
    <w:rsid w:val="00917D7E"/>
    <w:rsid w:val="009271E1"/>
    <w:rsid w:val="00951E25"/>
    <w:rsid w:val="00954C75"/>
    <w:rsid w:val="009702DE"/>
    <w:rsid w:val="00980AC4"/>
    <w:rsid w:val="0098509F"/>
    <w:rsid w:val="009A0D23"/>
    <w:rsid w:val="009A1946"/>
    <w:rsid w:val="009B6E65"/>
    <w:rsid w:val="009C3AF3"/>
    <w:rsid w:val="009D3FDD"/>
    <w:rsid w:val="009D795B"/>
    <w:rsid w:val="009E254D"/>
    <w:rsid w:val="009E28BA"/>
    <w:rsid w:val="009E3F9A"/>
    <w:rsid w:val="009E59A1"/>
    <w:rsid w:val="009E7D5F"/>
    <w:rsid w:val="00A05DAD"/>
    <w:rsid w:val="00A074BB"/>
    <w:rsid w:val="00A1308D"/>
    <w:rsid w:val="00A25FCF"/>
    <w:rsid w:val="00A26D74"/>
    <w:rsid w:val="00A30A92"/>
    <w:rsid w:val="00A37BE8"/>
    <w:rsid w:val="00A42F8D"/>
    <w:rsid w:val="00A608FA"/>
    <w:rsid w:val="00A70430"/>
    <w:rsid w:val="00A75332"/>
    <w:rsid w:val="00A80F24"/>
    <w:rsid w:val="00A83BCD"/>
    <w:rsid w:val="00A90F82"/>
    <w:rsid w:val="00A954BB"/>
    <w:rsid w:val="00A9784A"/>
    <w:rsid w:val="00AA0FD5"/>
    <w:rsid w:val="00AA3FE1"/>
    <w:rsid w:val="00AA4334"/>
    <w:rsid w:val="00AA7094"/>
    <w:rsid w:val="00AB5249"/>
    <w:rsid w:val="00AD2447"/>
    <w:rsid w:val="00AD44BE"/>
    <w:rsid w:val="00AD560B"/>
    <w:rsid w:val="00AE1304"/>
    <w:rsid w:val="00AE51B4"/>
    <w:rsid w:val="00AF3E35"/>
    <w:rsid w:val="00AF4577"/>
    <w:rsid w:val="00B0199F"/>
    <w:rsid w:val="00B033BA"/>
    <w:rsid w:val="00B0495E"/>
    <w:rsid w:val="00B06893"/>
    <w:rsid w:val="00B268DF"/>
    <w:rsid w:val="00B34BCE"/>
    <w:rsid w:val="00B47EB3"/>
    <w:rsid w:val="00B6047D"/>
    <w:rsid w:val="00B727F4"/>
    <w:rsid w:val="00B74AE7"/>
    <w:rsid w:val="00B801F3"/>
    <w:rsid w:val="00B83A71"/>
    <w:rsid w:val="00B84DD4"/>
    <w:rsid w:val="00BB0FC9"/>
    <w:rsid w:val="00BB1FB7"/>
    <w:rsid w:val="00BB49A2"/>
    <w:rsid w:val="00BE49AF"/>
    <w:rsid w:val="00C1015D"/>
    <w:rsid w:val="00C165C8"/>
    <w:rsid w:val="00C223BA"/>
    <w:rsid w:val="00C22ED0"/>
    <w:rsid w:val="00C30532"/>
    <w:rsid w:val="00C34B47"/>
    <w:rsid w:val="00C34DE0"/>
    <w:rsid w:val="00C4038D"/>
    <w:rsid w:val="00C450C7"/>
    <w:rsid w:val="00C70386"/>
    <w:rsid w:val="00C72F60"/>
    <w:rsid w:val="00C743BD"/>
    <w:rsid w:val="00C77B29"/>
    <w:rsid w:val="00C801C1"/>
    <w:rsid w:val="00C853D4"/>
    <w:rsid w:val="00C85BC4"/>
    <w:rsid w:val="00C87E90"/>
    <w:rsid w:val="00C956AC"/>
    <w:rsid w:val="00C96FB6"/>
    <w:rsid w:val="00CB4152"/>
    <w:rsid w:val="00CB4D29"/>
    <w:rsid w:val="00CB7432"/>
    <w:rsid w:val="00CB756F"/>
    <w:rsid w:val="00CB7A0D"/>
    <w:rsid w:val="00CC2FEC"/>
    <w:rsid w:val="00CC5BA0"/>
    <w:rsid w:val="00CD2C79"/>
    <w:rsid w:val="00CD4BE0"/>
    <w:rsid w:val="00CD7407"/>
    <w:rsid w:val="00CE0A2E"/>
    <w:rsid w:val="00CE3382"/>
    <w:rsid w:val="00CE33ED"/>
    <w:rsid w:val="00CE4B25"/>
    <w:rsid w:val="00CE7338"/>
    <w:rsid w:val="00CF00FC"/>
    <w:rsid w:val="00CF053F"/>
    <w:rsid w:val="00CF6B99"/>
    <w:rsid w:val="00D067E5"/>
    <w:rsid w:val="00D135B3"/>
    <w:rsid w:val="00D2160E"/>
    <w:rsid w:val="00D2168E"/>
    <w:rsid w:val="00D31AC0"/>
    <w:rsid w:val="00D33070"/>
    <w:rsid w:val="00D37A0C"/>
    <w:rsid w:val="00D40A2B"/>
    <w:rsid w:val="00D43827"/>
    <w:rsid w:val="00D466F1"/>
    <w:rsid w:val="00D46D22"/>
    <w:rsid w:val="00D54B5D"/>
    <w:rsid w:val="00D55896"/>
    <w:rsid w:val="00D67F6B"/>
    <w:rsid w:val="00D83013"/>
    <w:rsid w:val="00D8358B"/>
    <w:rsid w:val="00D8735A"/>
    <w:rsid w:val="00DC137D"/>
    <w:rsid w:val="00DC7C03"/>
    <w:rsid w:val="00DE32AD"/>
    <w:rsid w:val="00DF5D8B"/>
    <w:rsid w:val="00E01ABC"/>
    <w:rsid w:val="00E112E3"/>
    <w:rsid w:val="00E4734C"/>
    <w:rsid w:val="00E55838"/>
    <w:rsid w:val="00E55DBF"/>
    <w:rsid w:val="00E60D23"/>
    <w:rsid w:val="00E72549"/>
    <w:rsid w:val="00E87668"/>
    <w:rsid w:val="00E87C37"/>
    <w:rsid w:val="00E923CB"/>
    <w:rsid w:val="00EB58D2"/>
    <w:rsid w:val="00EB629C"/>
    <w:rsid w:val="00EC1DC7"/>
    <w:rsid w:val="00ED26F0"/>
    <w:rsid w:val="00ED5CC3"/>
    <w:rsid w:val="00EE2063"/>
    <w:rsid w:val="00EE7F8B"/>
    <w:rsid w:val="00EF5018"/>
    <w:rsid w:val="00F07203"/>
    <w:rsid w:val="00F1646F"/>
    <w:rsid w:val="00F26B20"/>
    <w:rsid w:val="00F35B79"/>
    <w:rsid w:val="00F401FD"/>
    <w:rsid w:val="00F429C3"/>
    <w:rsid w:val="00F60940"/>
    <w:rsid w:val="00F66DFE"/>
    <w:rsid w:val="00F702A5"/>
    <w:rsid w:val="00F77A8E"/>
    <w:rsid w:val="00F85D1F"/>
    <w:rsid w:val="00F8747D"/>
    <w:rsid w:val="00F9480E"/>
    <w:rsid w:val="00F97295"/>
    <w:rsid w:val="00FA4055"/>
    <w:rsid w:val="00FC5556"/>
    <w:rsid w:val="00FD4522"/>
    <w:rsid w:val="00FD550D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3827"/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4382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49A2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B49A2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256E5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F429C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3827"/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4382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49A2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B49A2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256E5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F429C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66AC-F7CB-453D-B859-9FED7879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Dedo</cp:lastModifiedBy>
  <cp:revision>14</cp:revision>
  <cp:lastPrinted>2018-02-21T16:00:00Z</cp:lastPrinted>
  <dcterms:created xsi:type="dcterms:W3CDTF">2019-03-02T22:02:00Z</dcterms:created>
  <dcterms:modified xsi:type="dcterms:W3CDTF">2019-03-06T10:18:00Z</dcterms:modified>
</cp:coreProperties>
</file>