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8C8" w:rsidRDefault="000978C8" w:rsidP="000978C8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RDefault="000978C8" w:rsidP="000978C8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E97067" w:rsidRDefault="000978C8" w:rsidP="000978C8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067">
        <w:rPr>
          <w:rFonts w:ascii="Times New Roman" w:hAnsi="Times New Roman"/>
          <w:sz w:val="24"/>
          <w:szCs w:val="24"/>
        </w:rPr>
        <w:t>poslan</w:t>
      </w:r>
      <w:r w:rsidR="0031064A">
        <w:rPr>
          <w:rFonts w:ascii="Times New Roman" w:hAnsi="Times New Roman"/>
          <w:sz w:val="24"/>
          <w:szCs w:val="24"/>
        </w:rPr>
        <w:t xml:space="preserve">kyňa </w:t>
      </w:r>
      <w:r w:rsidRPr="00E97067">
        <w:rPr>
          <w:rFonts w:ascii="Times New Roman" w:hAnsi="Times New Roman"/>
          <w:sz w:val="24"/>
          <w:szCs w:val="24"/>
        </w:rPr>
        <w:t>Národnej rady Slovenskej republiky </w:t>
      </w:r>
    </w:p>
    <w:p w:rsidR="000978C8" w:rsidRPr="00E97067" w:rsidRDefault="000978C8" w:rsidP="000978C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97067">
        <w:rPr>
          <w:rFonts w:ascii="Times New Roman" w:hAnsi="Times New Roman"/>
          <w:sz w:val="24"/>
          <w:szCs w:val="24"/>
        </w:rPr>
        <w:t xml:space="preserve"> </w:t>
      </w:r>
    </w:p>
    <w:p w:rsidR="000978C8" w:rsidRPr="00F42F03" w:rsidRDefault="000978C8" w:rsidP="000978C8">
      <w:pPr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2.</w:t>
      </w:r>
      <w:r w:rsidRPr="00E97067">
        <w:rPr>
          <w:rFonts w:ascii="Times New Roman" w:hAnsi="Times New Roman"/>
          <w:b/>
          <w:bCs/>
          <w:sz w:val="24"/>
          <w:szCs w:val="24"/>
        </w:rPr>
        <w:tab/>
        <w:t>Názov návrhu právneho predpisu:</w:t>
      </w:r>
      <w:r w:rsidRPr="00E97067">
        <w:rPr>
          <w:rFonts w:ascii="Times New Roman" w:hAnsi="Times New Roman"/>
          <w:sz w:val="24"/>
          <w:szCs w:val="24"/>
        </w:rPr>
        <w:t xml:space="preserve"> </w:t>
      </w:r>
      <w:r w:rsidR="00BF244D" w:rsidRPr="00165512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="00BF244D" w:rsidRPr="00792E3B">
        <w:rPr>
          <w:rFonts w:ascii="Times New Roman" w:hAnsi="Times New Roman"/>
          <w:color w:val="000000"/>
          <w:sz w:val="24"/>
        </w:rPr>
        <w:t xml:space="preserve"> </w:t>
      </w:r>
      <w:r w:rsidR="00BF244D" w:rsidRPr="00165512">
        <w:rPr>
          <w:rFonts w:ascii="Times New Roman" w:hAnsi="Times New Roman"/>
          <w:color w:val="000000"/>
          <w:sz w:val="24"/>
          <w:szCs w:val="24"/>
          <w:lang w:eastAsia="sk-SK"/>
        </w:rPr>
        <w:t>zákona,</w:t>
      </w:r>
      <w:r w:rsidR="00BF244D" w:rsidRPr="00792E3B">
        <w:rPr>
          <w:rFonts w:ascii="Times New Roman" w:hAnsi="Times New Roman"/>
          <w:color w:val="000000"/>
          <w:sz w:val="24"/>
        </w:rPr>
        <w:t xml:space="preserve"> </w:t>
      </w:r>
      <w:r w:rsidR="00BF244D" w:rsidRPr="00165512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r w:rsidR="00BF244D" w:rsidRPr="00792E3B">
        <w:rPr>
          <w:rFonts w:ascii="Times New Roman" w:hAnsi="Times New Roman"/>
          <w:color w:val="000000"/>
          <w:sz w:val="24"/>
        </w:rPr>
        <w:t xml:space="preserve"> </w:t>
      </w:r>
      <w:r w:rsidR="00BF244D" w:rsidRPr="00165512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="00BF244D" w:rsidRPr="00792E3B">
        <w:rPr>
          <w:rFonts w:ascii="Times New Roman" w:hAnsi="Times New Roman"/>
          <w:color w:val="000000"/>
          <w:sz w:val="24"/>
        </w:rPr>
        <w:t xml:space="preserve"> mení </w:t>
      </w:r>
      <w:r w:rsidR="00BF244D" w:rsidRPr="00165512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r w:rsidR="00BF244D" w:rsidRPr="00792E3B">
        <w:rPr>
          <w:rFonts w:ascii="Times New Roman" w:hAnsi="Times New Roman"/>
          <w:color w:val="000000"/>
          <w:sz w:val="24"/>
        </w:rPr>
        <w:t xml:space="preserve"> </w:t>
      </w:r>
      <w:r w:rsidR="006F4A70">
        <w:rPr>
          <w:rFonts w:ascii="Times New Roman" w:hAnsi="Times New Roman"/>
          <w:color w:val="000000"/>
          <w:sz w:val="24"/>
        </w:rPr>
        <w:t xml:space="preserve">                                        </w:t>
      </w:r>
      <w:r w:rsidR="00BF244D" w:rsidRPr="0016551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č. 448/2008 Z. z. o sociálnych službách </w:t>
      </w:r>
      <w:r w:rsidR="00BF24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BF244D" w:rsidRPr="00165512">
        <w:rPr>
          <w:rFonts w:ascii="Times New Roman" w:hAnsi="Times New Roman"/>
          <w:color w:val="000000"/>
          <w:sz w:val="24"/>
          <w:szCs w:val="24"/>
          <w:lang w:eastAsia="sk-SK"/>
        </w:rPr>
        <w:t>a o zmene a doplnení zákona č. </w:t>
      </w:r>
      <w:hyperlink r:id="rId7" w:tooltip="Odkaz na predpis alebo ustanovenie" w:history="1">
        <w:r w:rsidR="00BF244D" w:rsidRPr="00165512">
          <w:rPr>
            <w:rFonts w:ascii="Times New Roman" w:hAnsi="Times New Roman"/>
            <w:color w:val="000000"/>
            <w:sz w:val="24"/>
            <w:szCs w:val="24"/>
            <w:lang w:eastAsia="sk-SK"/>
          </w:rPr>
          <w:t>455/1991 Zb</w:t>
        </w:r>
      </w:hyperlink>
      <w:r w:rsidR="00BF244D" w:rsidRPr="0016551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  <w:r w:rsidR="006F4A7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</w:t>
      </w:r>
      <w:r w:rsidR="00BF244D" w:rsidRPr="00165512">
        <w:rPr>
          <w:rFonts w:ascii="Times New Roman" w:hAnsi="Times New Roman"/>
          <w:color w:val="000000"/>
          <w:sz w:val="24"/>
          <w:szCs w:val="24"/>
          <w:lang w:eastAsia="sk-SK"/>
        </w:rPr>
        <w:t>o živnostenskom podnikaní (živnostenský zákon) v znení neskorších predpisov</w:t>
      </w:r>
    </w:p>
    <w:p w:rsidR="000978C8" w:rsidRPr="00E97067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3.</w:t>
      </w:r>
      <w:r w:rsidRPr="00E97067">
        <w:rPr>
          <w:rFonts w:ascii="Times New Roman" w:hAnsi="Times New Roman"/>
          <w:b/>
          <w:bCs/>
          <w:sz w:val="24"/>
          <w:szCs w:val="24"/>
        </w:rPr>
        <w:tab/>
        <w:t>Problematika návrhu právneho predpisu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nie je upravená v práve Európskej únie</w:t>
      </w: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:rsidR="000978C8" w:rsidRDefault="000978C8" w:rsidP="000978C8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RDefault="000978C8" w:rsidP="000978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1064A" w:rsidRDefault="0031064A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 w:rsidR="000978C8" w:rsidTr="0031064A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BF244D" w:rsidRDefault="00BF244D" w:rsidP="00463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44D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Návrh</w:t>
            </w:r>
            <w:r w:rsidRPr="00BF24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F244D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zákona,</w:t>
            </w:r>
            <w:r w:rsidRPr="00BF24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F244D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ktorým</w:t>
            </w:r>
            <w:r w:rsidRPr="00BF24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F244D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sa</w:t>
            </w:r>
            <w:r w:rsidRPr="00BF24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mení </w:t>
            </w:r>
            <w:r w:rsidRPr="00BF244D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zákon</w:t>
            </w:r>
            <w:r w:rsidRPr="00BF24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F244D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č. 448/2008 Z. z. o sociálnych službách  a o zmene a doplnení zákona č. </w:t>
            </w:r>
            <w:hyperlink r:id="rId8" w:tooltip="Odkaz na predpis alebo ustanovenie" w:history="1">
              <w:r w:rsidRPr="00BF244D">
                <w:rPr>
                  <w:rFonts w:ascii="Times New Roman" w:hAnsi="Times New Roman"/>
                  <w:color w:val="000000"/>
                  <w:sz w:val="20"/>
                  <w:szCs w:val="20"/>
                  <w:lang w:eastAsia="sk-SK"/>
                </w:rPr>
                <w:t>455/1991 Zb</w:t>
              </w:r>
            </w:hyperlink>
            <w:r w:rsidRPr="00BF244D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. o živnostenskom podnikaní (živnostenský zákon) v znení neskorších predpisov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 w:rsidR="000978C8" w:rsidTr="000978C8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0978C8" w:rsidTr="000978C8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0978C8" w:rsidTr="000978C8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0978C8" w:rsidTr="000978C8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978C8" w:rsidTr="000978C8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 w:rsidR="000978C8" w:rsidTr="000978C8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0978C8" w:rsidTr="000978C8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0978C8" w:rsidTr="000B2258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472BB7" w:rsidRDefault="006F4A70" w:rsidP="005312D8">
            <w:pPr>
              <w:autoSpaceDE w:val="0"/>
              <w:autoSpaceDN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6F4A70">
              <w:rPr>
                <w:rFonts w:ascii="Times New Roman" w:hAnsi="Times New Roman"/>
                <w:sz w:val="20"/>
                <w:szCs w:val="20"/>
                <w:lang w:eastAsia="sk-SK"/>
              </w:rPr>
              <w:t>Platná právna úprava bráni obci ako aj vyššiemu územnému celku finančne podporiť vybraný druh sociálnej služby v jeho územnom obvode, napriek tomu, že  poskytnutý finančný príspevok nie je postačujúci na pokrytie nákladov danej sociálnej služby.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0978C8" w:rsidTr="000978C8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F4A70" w:rsidRPr="006F4A70" w:rsidRDefault="006F4A70" w:rsidP="006F4A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6F4A7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Cieľom návrhu je umožniť, aby na vybraný druh sociálnej služby mohli poskytnúť  finančné príspevky alebo  </w:t>
            </w:r>
            <w:proofErr w:type="spellStart"/>
            <w:r w:rsidRPr="006F4A70">
              <w:rPr>
                <w:rFonts w:ascii="Times New Roman" w:hAnsi="Times New Roman"/>
                <w:sz w:val="20"/>
                <w:szCs w:val="20"/>
                <w:lang w:eastAsia="sk-SK"/>
              </w:rPr>
              <w:t>alikvótnu</w:t>
            </w:r>
            <w:proofErr w:type="spellEnd"/>
            <w:r w:rsidRPr="006F4A7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časť  finančného príspevku  súčasne  obec aj vyšší územný celok. Obsahom návrhu zákona je tiež zvýšenie s</w:t>
            </w:r>
            <w:r w:rsidRPr="006F4A70">
              <w:rPr>
                <w:rFonts w:ascii="Times New Roman" w:hAnsi="Times New Roman"/>
                <w:sz w:val="20"/>
                <w:szCs w:val="20"/>
              </w:rPr>
              <w:t>umy finančného príspevku v zariadeniach krízovej intervencie v nocľahárni zo sumy 120 eur mesačne na sumu 150 eur mesačne a u ostatných zariadení (útulok, zariadenie núdzového bývania a domov na polceste) zo sumy 150 eur mesačne na sumu 200 eur mesačne.</w:t>
            </w:r>
          </w:p>
          <w:p w:rsidR="000978C8" w:rsidRPr="006F4A70" w:rsidRDefault="000978C8" w:rsidP="003106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0978C8" w:rsidTr="000978C8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6F4A7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Obce, vyššie územné celky, klienti sociáln</w:t>
            </w:r>
            <w:r w:rsidR="00776A34">
              <w:rPr>
                <w:rFonts w:ascii="Times" w:hAnsi="Times" w:cs="Times"/>
                <w:sz w:val="20"/>
                <w:szCs w:val="20"/>
              </w:rPr>
              <w:t>ych</w:t>
            </w:r>
            <w:r>
              <w:rPr>
                <w:rFonts w:ascii="Times" w:hAnsi="Times" w:cs="Times"/>
                <w:sz w:val="20"/>
                <w:szCs w:val="20"/>
              </w:rPr>
              <w:t xml:space="preserve"> služ</w:t>
            </w:r>
            <w:r w:rsidR="00776A34">
              <w:rPr>
                <w:rFonts w:ascii="Times" w:hAnsi="Times" w:cs="Times"/>
                <w:sz w:val="20"/>
                <w:szCs w:val="20"/>
              </w:rPr>
              <w:t>ieb</w:t>
            </w:r>
          </w:p>
        </w:tc>
      </w:tr>
      <w:tr w:rsidR="000978C8" w:rsidTr="000978C8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 w:rsidR="000978C8" w:rsidTr="000978C8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978C8" w:rsidTr="000978C8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0978C8" w:rsidTr="000978C8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 w:rsidP="00C22CC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Áno            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 w:rsidR="000978C8" w:rsidTr="000978C8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0978C8" w:rsidTr="000978C8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422024" w:rsidRDefault="00422024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422024">
              <w:rPr>
                <w:rFonts w:ascii="Times" w:hAnsi="Times" w:cs="Times"/>
                <w:bCs/>
                <w:sz w:val="20"/>
                <w:szCs w:val="20"/>
              </w:rPr>
              <w:t>Bezpredmetné</w:t>
            </w:r>
          </w:p>
          <w:p w:rsidR="00422024" w:rsidRDefault="00422024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  <w:p w:rsidR="00422024" w:rsidRDefault="00422024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  9.   Vplyvy navrhovaného materiálu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3A6529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 w:rsidP="005312D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31064A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 w:rsidP="005312D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5312D8">
              <w:rPr>
                <w:rFonts w:ascii="Times" w:hAnsi="Times" w:cs="Times"/>
                <w:sz w:val="20"/>
                <w:szCs w:val="20"/>
              </w:rPr>
              <w:t> </w:t>
            </w:r>
            <w:r w:rsidR="0031064A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A65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A652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A65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A652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1064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1064A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1064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1064A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776A34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776A3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76A34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76A34">
              <w:rPr>
                <w:rFonts w:ascii="Wingdings 2" w:hAnsi="Wingdings 2" w:cs="Times"/>
                <w:sz w:val="20"/>
                <w:szCs w:val="20"/>
              </w:rPr>
              <w:t></w:t>
            </w:r>
            <w:bookmarkStart w:id="0" w:name="_GoBack"/>
            <w:bookmarkEnd w:id="0"/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76A3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76A34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 w:rsidR="000978C8" w:rsidTr="000B225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6F4A70" w:rsidRDefault="006F4A70" w:rsidP="006F4A70">
            <w:pPr>
              <w:spacing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6F4A70">
              <w:rPr>
                <w:rFonts w:ascii="Times New Roman" w:hAnsi="Times New Roman"/>
                <w:sz w:val="20"/>
                <w:szCs w:val="20"/>
              </w:rPr>
              <w:t>Pri predpoklade, že návrh zmien nadobudne účinnosť 1.</w:t>
            </w:r>
            <w:r w:rsidRPr="006F4A7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januára </w:t>
            </w:r>
            <w:r w:rsidRPr="006F4A70">
              <w:rPr>
                <w:rFonts w:ascii="Times New Roman" w:hAnsi="Times New Roman"/>
                <w:sz w:val="20"/>
                <w:szCs w:val="20"/>
              </w:rPr>
              <w:t>2020</w:t>
            </w:r>
            <w:r w:rsidRPr="006F4A70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  <w:r w:rsidRPr="006F4A70">
              <w:rPr>
                <w:rFonts w:ascii="Times New Roman" w:hAnsi="Times New Roman"/>
                <w:sz w:val="20"/>
                <w:szCs w:val="20"/>
              </w:rPr>
              <w:t xml:space="preserve"> celkový dopad na štátny rozpočet   predstavuje  sumu </w:t>
            </w:r>
            <w:r w:rsidRPr="006F4A70">
              <w:rPr>
                <w:rFonts w:ascii="Times New Roman" w:hAnsi="Times New Roman"/>
                <w:b/>
                <w:sz w:val="20"/>
                <w:szCs w:val="20"/>
              </w:rPr>
              <w:t>867 840 eur ročne.</w:t>
            </w:r>
            <w:r w:rsidRPr="006F4A7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Pri výpočte sumy dopadu sa  vychádzalo z údajov Centrálneho registra poskytovateľov sociálnych služieb. 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0978C8" w:rsidTr="000978C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6F4A7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lucia</w:t>
            </w:r>
            <w:r w:rsidR="000978C8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nicholsonová</w:t>
            </w:r>
            <w:r w:rsidR="000978C8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 w:rsidR="000978C8" w:rsidTr="000978C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 w:rsidR="000978C8" w:rsidTr="000978C8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RDefault="000978C8" w:rsidP="000978C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0978C8" w:rsidRDefault="00FB26EA" w:rsidP="000978C8"/>
    <w:sectPr w:rsidR="00FB26EA" w:rsidRPr="0009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082" w:rsidRDefault="00CD2082" w:rsidP="009B5156">
      <w:pPr>
        <w:spacing w:after="0" w:line="240" w:lineRule="auto"/>
      </w:pPr>
      <w:r>
        <w:separator/>
      </w:r>
    </w:p>
  </w:endnote>
  <w:endnote w:type="continuationSeparator" w:id="0">
    <w:p w:rsidR="00CD2082" w:rsidRDefault="00CD2082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082" w:rsidRDefault="00CD2082" w:rsidP="009B5156">
      <w:pPr>
        <w:spacing w:after="0" w:line="240" w:lineRule="auto"/>
      </w:pPr>
      <w:r>
        <w:separator/>
      </w:r>
    </w:p>
  </w:footnote>
  <w:footnote w:type="continuationSeparator" w:id="0">
    <w:p w:rsidR="00CD2082" w:rsidRDefault="00CD2082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831"/>
    <w:multiLevelType w:val="hybridMultilevel"/>
    <w:tmpl w:val="C4C43D30"/>
    <w:lvl w:ilvl="0" w:tplc="4E00C5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10C"/>
    <w:multiLevelType w:val="hybridMultilevel"/>
    <w:tmpl w:val="126297D4"/>
    <w:lvl w:ilvl="0" w:tplc="104EBEC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A8437F"/>
    <w:multiLevelType w:val="hybridMultilevel"/>
    <w:tmpl w:val="DD0A6FF2"/>
    <w:lvl w:ilvl="0" w:tplc="BF2C8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C82409"/>
    <w:multiLevelType w:val="hybridMultilevel"/>
    <w:tmpl w:val="150020D8"/>
    <w:lvl w:ilvl="0" w:tplc="211ED8A6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C5054C1"/>
    <w:multiLevelType w:val="hybridMultilevel"/>
    <w:tmpl w:val="4F7E1494"/>
    <w:lvl w:ilvl="0" w:tplc="CBA28A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7020F6"/>
    <w:multiLevelType w:val="hybridMultilevel"/>
    <w:tmpl w:val="F15602EA"/>
    <w:lvl w:ilvl="0" w:tplc="0F5EF6C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0BF0552"/>
    <w:multiLevelType w:val="hybridMultilevel"/>
    <w:tmpl w:val="D2CA2C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045447"/>
    <w:multiLevelType w:val="hybridMultilevel"/>
    <w:tmpl w:val="7B78063A"/>
    <w:lvl w:ilvl="0" w:tplc="BBF64F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C8541A"/>
    <w:multiLevelType w:val="hybridMultilevel"/>
    <w:tmpl w:val="7B68CF46"/>
    <w:lvl w:ilvl="0" w:tplc="190E813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1A274C"/>
    <w:multiLevelType w:val="hybridMultilevel"/>
    <w:tmpl w:val="67EA0C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C7660E"/>
    <w:multiLevelType w:val="hybridMultilevel"/>
    <w:tmpl w:val="B824DCCA"/>
    <w:lvl w:ilvl="0" w:tplc="B0E4AD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537417"/>
    <w:multiLevelType w:val="hybridMultilevel"/>
    <w:tmpl w:val="7294242A"/>
    <w:lvl w:ilvl="0" w:tplc="12C6A0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1663"/>
    <w:multiLevelType w:val="hybridMultilevel"/>
    <w:tmpl w:val="9CDACAFC"/>
    <w:lvl w:ilvl="0" w:tplc="BCE67038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BD640A"/>
    <w:multiLevelType w:val="hybridMultilevel"/>
    <w:tmpl w:val="02641C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9131AF"/>
    <w:multiLevelType w:val="hybridMultilevel"/>
    <w:tmpl w:val="7ED8BC4A"/>
    <w:lvl w:ilvl="0" w:tplc="DB864E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28C1"/>
    <w:multiLevelType w:val="hybridMultilevel"/>
    <w:tmpl w:val="984C1D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83ADE"/>
    <w:multiLevelType w:val="hybridMultilevel"/>
    <w:tmpl w:val="BD10901E"/>
    <w:lvl w:ilvl="0" w:tplc="F3905FE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6AE57C2"/>
    <w:multiLevelType w:val="hybridMultilevel"/>
    <w:tmpl w:val="9D38DA08"/>
    <w:lvl w:ilvl="0" w:tplc="A8D442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AE0BFC"/>
    <w:multiLevelType w:val="hybridMultilevel"/>
    <w:tmpl w:val="A0B23CDE"/>
    <w:lvl w:ilvl="0" w:tplc="97F86F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B953E0"/>
    <w:multiLevelType w:val="hybridMultilevel"/>
    <w:tmpl w:val="7390DF5A"/>
    <w:lvl w:ilvl="0" w:tplc="FBEAE1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CE6AC5"/>
    <w:multiLevelType w:val="hybridMultilevel"/>
    <w:tmpl w:val="FAB463FC"/>
    <w:lvl w:ilvl="0" w:tplc="08CA7B48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 w15:restartNumberingAfterBreak="0">
    <w:nsid w:val="577F69C9"/>
    <w:multiLevelType w:val="hybridMultilevel"/>
    <w:tmpl w:val="3A5AE8C0"/>
    <w:lvl w:ilvl="0" w:tplc="486A61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96ADA"/>
    <w:multiLevelType w:val="hybridMultilevel"/>
    <w:tmpl w:val="842ACA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5A68E6"/>
    <w:multiLevelType w:val="hybridMultilevel"/>
    <w:tmpl w:val="B4D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0A1BA3"/>
    <w:multiLevelType w:val="hybridMultilevel"/>
    <w:tmpl w:val="0486F4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984598"/>
    <w:multiLevelType w:val="hybridMultilevel"/>
    <w:tmpl w:val="65D87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6F7C5A"/>
    <w:multiLevelType w:val="hybridMultilevel"/>
    <w:tmpl w:val="CAF23CB0"/>
    <w:lvl w:ilvl="0" w:tplc="9E18A8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4E77C3"/>
    <w:multiLevelType w:val="hybridMultilevel"/>
    <w:tmpl w:val="217CE016"/>
    <w:lvl w:ilvl="0" w:tplc="A36014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059E4"/>
    <w:multiLevelType w:val="hybridMultilevel"/>
    <w:tmpl w:val="2F344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501D8E"/>
    <w:multiLevelType w:val="hybridMultilevel"/>
    <w:tmpl w:val="2AE28B82"/>
    <w:lvl w:ilvl="0" w:tplc="DD9C545E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201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4F29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1064A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5C38"/>
    <w:rsid w:val="003A6529"/>
    <w:rsid w:val="003A76F2"/>
    <w:rsid w:val="003B04D5"/>
    <w:rsid w:val="003B16FC"/>
    <w:rsid w:val="003B72BE"/>
    <w:rsid w:val="003C29DB"/>
    <w:rsid w:val="003C3087"/>
    <w:rsid w:val="003C4E41"/>
    <w:rsid w:val="003D5E5C"/>
    <w:rsid w:val="003D6D7F"/>
    <w:rsid w:val="003D6D93"/>
    <w:rsid w:val="003D7ED9"/>
    <w:rsid w:val="003E4943"/>
    <w:rsid w:val="003F064E"/>
    <w:rsid w:val="003F392C"/>
    <w:rsid w:val="003F3EA8"/>
    <w:rsid w:val="003F5970"/>
    <w:rsid w:val="00402806"/>
    <w:rsid w:val="00422024"/>
    <w:rsid w:val="00423C66"/>
    <w:rsid w:val="00445296"/>
    <w:rsid w:val="00450685"/>
    <w:rsid w:val="00451279"/>
    <w:rsid w:val="004576ED"/>
    <w:rsid w:val="004605C5"/>
    <w:rsid w:val="00462F78"/>
    <w:rsid w:val="00463191"/>
    <w:rsid w:val="0047002D"/>
    <w:rsid w:val="00472BB7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12D8"/>
    <w:rsid w:val="005348C1"/>
    <w:rsid w:val="00542F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E08FE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6F4A70"/>
    <w:rsid w:val="00705540"/>
    <w:rsid w:val="00706008"/>
    <w:rsid w:val="0071717D"/>
    <w:rsid w:val="00722BFE"/>
    <w:rsid w:val="00723803"/>
    <w:rsid w:val="007519BD"/>
    <w:rsid w:val="00772D23"/>
    <w:rsid w:val="00773C7A"/>
    <w:rsid w:val="00776A34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31C9F"/>
    <w:rsid w:val="008360D3"/>
    <w:rsid w:val="008424CF"/>
    <w:rsid w:val="00845671"/>
    <w:rsid w:val="00855DDA"/>
    <w:rsid w:val="00856D2E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3CA"/>
    <w:rsid w:val="008B064C"/>
    <w:rsid w:val="008D106A"/>
    <w:rsid w:val="008D1AC8"/>
    <w:rsid w:val="008D41B1"/>
    <w:rsid w:val="008D4B95"/>
    <w:rsid w:val="008E56CC"/>
    <w:rsid w:val="008F1627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6766E"/>
    <w:rsid w:val="00973DE3"/>
    <w:rsid w:val="00982C22"/>
    <w:rsid w:val="00990C93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2F7B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1CF0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6047"/>
    <w:rsid w:val="00BE1C34"/>
    <w:rsid w:val="00BE71B3"/>
    <w:rsid w:val="00BF244D"/>
    <w:rsid w:val="00BF3ED2"/>
    <w:rsid w:val="00BF4948"/>
    <w:rsid w:val="00C02C05"/>
    <w:rsid w:val="00C05414"/>
    <w:rsid w:val="00C12A92"/>
    <w:rsid w:val="00C22CC0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3401"/>
    <w:rsid w:val="00C65493"/>
    <w:rsid w:val="00C70283"/>
    <w:rsid w:val="00C73951"/>
    <w:rsid w:val="00C755CF"/>
    <w:rsid w:val="00CB2293"/>
    <w:rsid w:val="00CC4C24"/>
    <w:rsid w:val="00CD2082"/>
    <w:rsid w:val="00CD5951"/>
    <w:rsid w:val="00CE003A"/>
    <w:rsid w:val="00CE7236"/>
    <w:rsid w:val="00CF0F6C"/>
    <w:rsid w:val="00CF33D8"/>
    <w:rsid w:val="00CF3D24"/>
    <w:rsid w:val="00D10281"/>
    <w:rsid w:val="00D14408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144EB"/>
    <w:rsid w:val="00E2196F"/>
    <w:rsid w:val="00E22F5A"/>
    <w:rsid w:val="00E346FB"/>
    <w:rsid w:val="00E408B2"/>
    <w:rsid w:val="00E40F10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18ED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2F03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356A0"/>
  <w14:defaultImageDpi w14:val="0"/>
  <w15:docId w15:val="{5AB26ADD-B282-4F35-963C-B4FA1E9A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aliases w:val="webb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2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1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2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2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0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20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8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2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8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2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247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7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1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5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1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2471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0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0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1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471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1/45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1/4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Veronika Pitoňáková</cp:lastModifiedBy>
  <cp:revision>4</cp:revision>
  <dcterms:created xsi:type="dcterms:W3CDTF">2019-02-16T19:53:00Z</dcterms:created>
  <dcterms:modified xsi:type="dcterms:W3CDTF">2019-03-01T10:33:00Z</dcterms:modified>
</cp:coreProperties>
</file>