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072" w:rsidRDefault="00E85072" w:rsidP="00E8507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30"/>
          <w:sz w:val="27"/>
          <w:szCs w:val="27"/>
          <w:lang w:eastAsia="sk-SK"/>
        </w:rPr>
      </w:pPr>
      <w:r w:rsidRPr="00B4287D">
        <w:rPr>
          <w:rFonts w:ascii="Times New Roman" w:hAnsi="Times New Roman"/>
          <w:b/>
          <w:bCs/>
          <w:color w:val="000000"/>
          <w:spacing w:val="30"/>
          <w:sz w:val="27"/>
          <w:szCs w:val="27"/>
          <w:lang w:eastAsia="sk-SK"/>
        </w:rPr>
        <w:t>D</w:t>
      </w:r>
      <w:r>
        <w:rPr>
          <w:rFonts w:ascii="Times New Roman" w:hAnsi="Times New Roman"/>
          <w:b/>
          <w:bCs/>
          <w:color w:val="000000"/>
          <w:spacing w:val="30"/>
          <w:sz w:val="27"/>
          <w:szCs w:val="27"/>
          <w:lang w:eastAsia="sk-SK"/>
        </w:rPr>
        <w:t xml:space="preserve">ôvodová správa </w:t>
      </w:r>
    </w:p>
    <w:p w:rsidR="00E85072" w:rsidRDefault="00E85072" w:rsidP="00E85072">
      <w:pPr>
        <w:spacing w:after="0" w:line="240" w:lineRule="auto"/>
        <w:rPr>
          <w:rFonts w:ascii="Times New Roman" w:hAnsi="Times New Roman"/>
          <w:b/>
          <w:bCs/>
          <w:color w:val="000000"/>
          <w:spacing w:val="30"/>
          <w:sz w:val="27"/>
          <w:szCs w:val="27"/>
          <w:lang w:eastAsia="sk-SK"/>
        </w:rPr>
      </w:pPr>
    </w:p>
    <w:p w:rsidR="00E85072" w:rsidRPr="00124F7A" w:rsidRDefault="00E85072" w:rsidP="00E85072">
      <w:pPr>
        <w:pStyle w:val="Odsekzoznamu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24F7A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 xml:space="preserve">Všeobecná časť </w:t>
      </w:r>
    </w:p>
    <w:p w:rsidR="00E85072" w:rsidRDefault="00E85072" w:rsidP="00E8507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E85072" w:rsidRPr="00165512" w:rsidRDefault="00E85072" w:rsidP="00E85072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165512">
        <w:rPr>
          <w:rFonts w:ascii="Times New Roman" w:hAnsi="Times New Roman"/>
          <w:color w:val="000000"/>
          <w:sz w:val="24"/>
          <w:szCs w:val="24"/>
          <w:lang w:eastAsia="sk-SK"/>
        </w:rPr>
        <w:t>Návrh</w:t>
      </w:r>
      <w:r w:rsidRPr="00792E3B">
        <w:rPr>
          <w:rFonts w:ascii="Times New Roman" w:hAnsi="Times New Roman"/>
          <w:color w:val="000000"/>
          <w:sz w:val="24"/>
        </w:rPr>
        <w:t xml:space="preserve"> </w:t>
      </w:r>
      <w:r w:rsidRPr="00165512">
        <w:rPr>
          <w:rFonts w:ascii="Times New Roman" w:hAnsi="Times New Roman"/>
          <w:color w:val="000000"/>
          <w:sz w:val="24"/>
          <w:szCs w:val="24"/>
          <w:lang w:eastAsia="sk-SK"/>
        </w:rPr>
        <w:t>zákona,</w:t>
      </w:r>
      <w:r w:rsidRPr="00792E3B">
        <w:rPr>
          <w:rFonts w:ascii="Times New Roman" w:hAnsi="Times New Roman"/>
          <w:color w:val="000000"/>
          <w:sz w:val="24"/>
        </w:rPr>
        <w:t xml:space="preserve"> </w:t>
      </w:r>
      <w:r w:rsidRPr="00165512">
        <w:rPr>
          <w:rFonts w:ascii="Times New Roman" w:hAnsi="Times New Roman"/>
          <w:color w:val="000000"/>
          <w:sz w:val="24"/>
          <w:szCs w:val="24"/>
          <w:lang w:eastAsia="sk-SK"/>
        </w:rPr>
        <w:t>ktorým</w:t>
      </w:r>
      <w:r w:rsidRPr="00792E3B">
        <w:rPr>
          <w:rFonts w:ascii="Times New Roman" w:hAnsi="Times New Roman"/>
          <w:color w:val="000000"/>
          <w:sz w:val="24"/>
        </w:rPr>
        <w:t xml:space="preserve"> </w:t>
      </w:r>
      <w:r w:rsidRPr="00165512">
        <w:rPr>
          <w:rFonts w:ascii="Times New Roman" w:hAnsi="Times New Roman"/>
          <w:color w:val="000000"/>
          <w:sz w:val="24"/>
          <w:szCs w:val="24"/>
          <w:lang w:eastAsia="sk-SK"/>
        </w:rPr>
        <w:t>sa</w:t>
      </w:r>
      <w:r w:rsidRPr="00792E3B">
        <w:rPr>
          <w:rFonts w:ascii="Times New Roman" w:hAnsi="Times New Roman"/>
          <w:color w:val="000000"/>
          <w:sz w:val="24"/>
        </w:rPr>
        <w:t xml:space="preserve"> mení </w:t>
      </w:r>
      <w:r w:rsidRPr="00165512">
        <w:rPr>
          <w:rFonts w:ascii="Times New Roman" w:hAnsi="Times New Roman"/>
          <w:color w:val="000000"/>
          <w:sz w:val="24"/>
          <w:szCs w:val="24"/>
          <w:lang w:eastAsia="sk-SK"/>
        </w:rPr>
        <w:t>zákon</w:t>
      </w:r>
      <w:r w:rsidRPr="00792E3B">
        <w:rPr>
          <w:rFonts w:ascii="Times New Roman" w:hAnsi="Times New Roman"/>
          <w:color w:val="000000"/>
          <w:sz w:val="24"/>
        </w:rPr>
        <w:t xml:space="preserve"> </w:t>
      </w:r>
      <w:r w:rsidRPr="0016551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č. 448/2008 Z. z. o sociálnych službách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165512">
        <w:rPr>
          <w:rFonts w:ascii="Times New Roman" w:hAnsi="Times New Roman"/>
          <w:color w:val="000000"/>
          <w:sz w:val="24"/>
          <w:szCs w:val="24"/>
          <w:lang w:eastAsia="sk-SK"/>
        </w:rPr>
        <w:t>a o zmene a doplnení zákona č. </w:t>
      </w:r>
      <w:hyperlink r:id="rId7" w:tooltip="Odkaz na predpis alebo ustanovenie" w:history="1">
        <w:r w:rsidRPr="00165512">
          <w:rPr>
            <w:rFonts w:ascii="Times New Roman" w:hAnsi="Times New Roman"/>
            <w:color w:val="000000"/>
            <w:sz w:val="24"/>
            <w:szCs w:val="24"/>
            <w:lang w:eastAsia="sk-SK"/>
          </w:rPr>
          <w:t>455/1991 Zb</w:t>
        </w:r>
      </w:hyperlink>
      <w:r w:rsidRPr="0016551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. o živnostenskom podnikaní (živnostenský zákon) v znení neskorších predpisov predkladá na rokovanie Národnej rady Slovenskej republiky poslankyňa Národnej rady Slovenskej republiky Lucia Ďuriš </w:t>
      </w:r>
      <w:proofErr w:type="spellStart"/>
      <w:r w:rsidRPr="00165512">
        <w:rPr>
          <w:rFonts w:ascii="Times New Roman" w:hAnsi="Times New Roman"/>
          <w:color w:val="000000"/>
          <w:sz w:val="24"/>
          <w:szCs w:val="24"/>
          <w:lang w:eastAsia="sk-SK"/>
        </w:rPr>
        <w:t>Nicholsonová</w:t>
      </w:r>
      <w:proofErr w:type="spellEnd"/>
      <w:r w:rsidRPr="00165512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:rsidR="00E85072" w:rsidRPr="00165512" w:rsidRDefault="00E85072" w:rsidP="00E85072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lang w:eastAsia="sk-SK"/>
        </w:rPr>
      </w:pPr>
      <w:r w:rsidRPr="00165512">
        <w:rPr>
          <w:rFonts w:ascii="Times New Roman" w:hAnsi="Times New Roman"/>
          <w:b/>
          <w:sz w:val="24"/>
          <w:szCs w:val="24"/>
          <w:lang w:eastAsia="sk-SK"/>
        </w:rPr>
        <w:t xml:space="preserve">Cieľom návrhu je umožniť, aby na vybraný druh sociálnej služby mohli poskytnúť  finančné príspevky alebo  </w:t>
      </w:r>
      <w:proofErr w:type="spellStart"/>
      <w:r w:rsidRPr="00165512">
        <w:rPr>
          <w:rFonts w:ascii="Times New Roman" w:hAnsi="Times New Roman"/>
          <w:b/>
          <w:sz w:val="24"/>
          <w:szCs w:val="24"/>
          <w:lang w:eastAsia="sk-SK"/>
        </w:rPr>
        <w:t>alikvótnu</w:t>
      </w:r>
      <w:proofErr w:type="spellEnd"/>
      <w:r w:rsidRPr="00165512">
        <w:rPr>
          <w:rFonts w:ascii="Times New Roman" w:hAnsi="Times New Roman"/>
          <w:b/>
          <w:sz w:val="24"/>
          <w:szCs w:val="24"/>
          <w:lang w:eastAsia="sk-SK"/>
        </w:rPr>
        <w:t xml:space="preserve"> časť  finančného príspevku  súčasne  obec aj vyšší územný celok. Platná právna úprava totiž bráni obci ako aj vyššiemu územnému celku finančne podporiť vybraný druh sociálnej služby v jeho územnom obvode, napriek tomu, že  poskytnutý finančný príspevok nie je postačujúci na pokrytie nákladov danej sociálnej služby. Obsahom návrhu zákona je tiež zvýšenie s</w:t>
      </w:r>
      <w:r w:rsidRPr="00165512">
        <w:rPr>
          <w:rFonts w:ascii="Times New Roman" w:hAnsi="Times New Roman"/>
          <w:b/>
          <w:sz w:val="24"/>
          <w:szCs w:val="24"/>
        </w:rPr>
        <w:t>umy finančného príspevku v zariadeniach krízovej intervencie v nocľahárni zo sumy 120 eur mesačne na sumu 150 eur mesačne a u ostatných zariadení (útulok, zariadenie núdzového bývania a domov na pol ceste) zo sumy 150 eur mesačne na sumu 200 eur mesačne.</w:t>
      </w:r>
    </w:p>
    <w:p w:rsidR="00E85072" w:rsidRPr="0057482F" w:rsidRDefault="00E85072" w:rsidP="00E8507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85072" w:rsidRDefault="00E85072" w:rsidP="00E8507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B4287D">
        <w:rPr>
          <w:rFonts w:ascii="Times New Roman" w:hAnsi="Times New Roman"/>
          <w:color w:val="000000"/>
          <w:sz w:val="24"/>
          <w:szCs w:val="24"/>
          <w:lang w:eastAsia="sk-SK"/>
        </w:rPr>
        <w:t>Účelom</w:t>
      </w:r>
      <w:r w:rsidRPr="00B4287D"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000000"/>
          <w:spacing w:val="11"/>
          <w:sz w:val="24"/>
          <w:szCs w:val="24"/>
          <w:lang w:eastAsia="sk-SK"/>
        </w:rPr>
        <w:t>navrhovaných zmien</w:t>
      </w:r>
      <w:r w:rsidRPr="00792E3B">
        <w:rPr>
          <w:rFonts w:ascii="Times New Roman" w:hAns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je vytvoriť reálne podmienky na poskytovanie vybraných druhov sociálnych služieb krízovej intervencie a umožniť viaczdrojové financovanie sociálnych služieb v praxi. </w:t>
      </w:r>
    </w:p>
    <w:p w:rsidR="00E85072" w:rsidRDefault="00E85072" w:rsidP="00E8507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E85072" w:rsidRPr="00792E3B" w:rsidRDefault="00E85072" w:rsidP="00E85072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r w:rsidRPr="0057482F">
        <w:rPr>
          <w:rFonts w:ascii="Times New Roman" w:hAnsi="Times New Roman"/>
          <w:sz w:val="24"/>
          <w:szCs w:val="24"/>
        </w:rPr>
        <w:t xml:space="preserve">Súčasná situácia v poskytovaní služieb krízovej intervencie, t. j. pre  nocľaháreň, útulok, domov na pol ceste a zariadenie núdzového bývania je už neúnosná, mnohí poskytovatelia avizujú zánik. Výška finančného príspevku, ktorý sa v súčasnosti poskytuje zo štátneho rozpočtu prostredníctvom MPSVR SR nebola s výnimkou útulku menená od roku 2012, čo je už 7 rokov.  Od uvedenej doby však neprimerane vzrástli náklady na zabezpečenie týchto sociálnych služieb. Pokiaľ v roku 2012 </w:t>
      </w:r>
      <w:r w:rsidRPr="00792E3B">
        <w:rPr>
          <w:rFonts w:ascii="Times New Roman" w:hAnsi="Times New Roman"/>
          <w:sz w:val="24"/>
        </w:rPr>
        <w:t>bola minimálna mzda vo výške 327,20 €/mesiac, dnes je  jej výška 520 €/mesiac, čo predstavuje  takmer  60% nárast oproti roku 2012. Je potrebné zdôrazniť, že vo  všetkých  zariadeniach krízovej intervencie sa pracuje aj v noci, cez víkendy a aj počas sviatkov. Zmeny prijaté v Zákonníku práce s účinnosťou od 1.</w:t>
      </w:r>
      <w:r w:rsidRPr="0057482F">
        <w:rPr>
          <w:rFonts w:ascii="Times New Roman" w:hAnsi="Times New Roman"/>
          <w:sz w:val="24"/>
          <w:szCs w:val="24"/>
          <w:lang w:eastAsia="sk-SK"/>
        </w:rPr>
        <w:t xml:space="preserve"> mája </w:t>
      </w:r>
      <w:r w:rsidRPr="00792E3B">
        <w:rPr>
          <w:rFonts w:ascii="Times New Roman" w:hAnsi="Times New Roman"/>
          <w:sz w:val="24"/>
        </w:rPr>
        <w:t>2018 v rámci tzv. sociálnych balíčkov, ktorými sa zaviedli príplatky za prácu nadčas, prácu v noci, počas víkendov a sviatkov, ale aj zmeny, ktoré budú  účinné od 1.</w:t>
      </w:r>
      <w:r w:rsidRPr="0057482F">
        <w:rPr>
          <w:rFonts w:ascii="Times New Roman" w:hAnsi="Times New Roman"/>
          <w:sz w:val="24"/>
          <w:szCs w:val="24"/>
          <w:lang w:eastAsia="sk-SK"/>
        </w:rPr>
        <w:t xml:space="preserve"> mája </w:t>
      </w:r>
      <w:r w:rsidRPr="00792E3B">
        <w:rPr>
          <w:rFonts w:ascii="Times New Roman" w:hAnsi="Times New Roman"/>
          <w:sz w:val="24"/>
        </w:rPr>
        <w:t xml:space="preserve">2019 a  v dôsledku ktorých dôjde k ďalšiemu zvýšeniu uvedených príplatkov, výrazne  navýšili výdavky na mzdy a odvody zamestnancov uvedených druhov sociálnych služieb a tým aj celkové náklady sociálnej služby. </w:t>
      </w:r>
    </w:p>
    <w:p w:rsidR="00E85072" w:rsidRPr="0057482F" w:rsidRDefault="00E85072" w:rsidP="00E85072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2E3B">
        <w:rPr>
          <w:rFonts w:ascii="Times New Roman" w:hAnsi="Times New Roman"/>
          <w:sz w:val="24"/>
        </w:rPr>
        <w:t>Pre niektorých poskytovateľov vzrástli celkové náklady len výlučne z dôvodu zvýšenia príplatkov  o cca 18 000 až 20 000 eur</w:t>
      </w:r>
      <w:r w:rsidRPr="0057482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792E3B">
        <w:rPr>
          <w:rFonts w:ascii="Times New Roman" w:hAnsi="Times New Roman"/>
          <w:sz w:val="24"/>
        </w:rPr>
        <w:t>(za 8 mesiacov roka 2018) a v roku 2019 tieto výpadky zdrojov budú ešte vyššie. Zároveň je potrebné vziať do úvahy, že u neverejných poskytovateľov týchto sociálnych služieb, na rozdiel od verejných poskytovateľov, nie je možné poskytovať zamestnancom minimálnu mzdu vo výške 520 eur, ale vo  výške podľa Zákonníka práce, a to v závislosti od náročnosti vykonávanej práce, čo predstavuje napr. pre  3. stupeň náročnosti práce  v týchto zariadeniach</w:t>
      </w:r>
      <w:r w:rsidRPr="0057482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792E3B">
        <w:rPr>
          <w:rFonts w:ascii="Times New Roman" w:hAnsi="Times New Roman"/>
          <w:sz w:val="24"/>
        </w:rPr>
        <w:t>(ide o fyzicky a psychicky náročnú prácu) sumu minimálnej mzdy vo výške 728 €.</w:t>
      </w:r>
    </w:p>
    <w:p w:rsidR="00E85072" w:rsidRPr="00792E3B" w:rsidRDefault="00E85072" w:rsidP="00E85072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r w:rsidRPr="00792E3B">
        <w:rPr>
          <w:rFonts w:ascii="Times New Roman" w:hAnsi="Times New Roman"/>
          <w:sz w:val="24"/>
        </w:rPr>
        <w:t>Súčasnú nepriaznivú finančnú situáciu zariadení krízovej intervencie ilustrujú náklady tak  verejných ako aj neverejných poskytovateľov v roku 2018. Konkrétne,  celkové  náklady na prevádzku nocľahárne  sa pohybujú vo výške cca 218 eur na jedného klienta. Ak odpočítame finančný  príspevok vo výške 120 eur</w:t>
      </w:r>
      <w:r w:rsidRPr="0057482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792E3B">
        <w:rPr>
          <w:rFonts w:ascii="Times New Roman" w:hAnsi="Times New Roman"/>
          <w:sz w:val="24"/>
        </w:rPr>
        <w:t xml:space="preserve">mesačne, ktorý poskytuje MPSVR </w:t>
      </w:r>
      <w:r w:rsidRPr="0057482F">
        <w:rPr>
          <w:rFonts w:ascii="Times New Roman" w:hAnsi="Times New Roman"/>
          <w:sz w:val="24"/>
          <w:szCs w:val="24"/>
          <w:lang w:eastAsia="sk-SK"/>
        </w:rPr>
        <w:t>SR z prostriedkov</w:t>
      </w:r>
      <w:r w:rsidRPr="00792E3B">
        <w:rPr>
          <w:rFonts w:ascii="Times New Roman" w:hAnsi="Times New Roman"/>
          <w:sz w:val="24"/>
        </w:rPr>
        <w:t xml:space="preserve"> </w:t>
      </w:r>
      <w:r w:rsidRPr="00792E3B">
        <w:rPr>
          <w:rFonts w:ascii="Times New Roman" w:hAnsi="Times New Roman"/>
          <w:sz w:val="24"/>
        </w:rPr>
        <w:lastRenderedPageBreak/>
        <w:t xml:space="preserve">štátneho rozpočtu, priemernú úhradu klienta vo výške 19,60 eur  a sumu 6,25  eur na klienta, ktorým prispelo mesto, rozdiel činí 72,15 eur. To znamená, že poskytovateľom nocľahárne chýbajú  tieto prostriedky a pri kapacite nocľahárne napr.  200 klientov, to predstavuje výpadok zdrojov vo výške 14 430 eur každý mesiac. Poskytovatelia sa usilujú tieto  chýbajúce prostriedky získavať aj z iných zdrojov, napr. od individuálnych darcov, z  2 % z daní a pod., ale robí im to každý mesiac veľké problémy, nakoľko na prostriedky z darov sa nemôžu spoliehať. </w:t>
      </w:r>
    </w:p>
    <w:p w:rsidR="00E85072" w:rsidRPr="00792E3B" w:rsidRDefault="00E85072" w:rsidP="00E85072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r w:rsidRPr="00792E3B">
        <w:rPr>
          <w:rFonts w:ascii="Times New Roman" w:hAnsi="Times New Roman"/>
          <w:sz w:val="24"/>
        </w:rPr>
        <w:t xml:space="preserve">Z uvedených dôvodov sa navrhuje sumu finančného príspevku z MPSVR </w:t>
      </w:r>
      <w:r w:rsidRPr="0057482F">
        <w:rPr>
          <w:rFonts w:ascii="Times New Roman" w:hAnsi="Times New Roman"/>
          <w:sz w:val="24"/>
          <w:szCs w:val="24"/>
          <w:lang w:eastAsia="sk-SK"/>
        </w:rPr>
        <w:t xml:space="preserve">SR </w:t>
      </w:r>
      <w:r w:rsidRPr="00792E3B">
        <w:rPr>
          <w:rFonts w:ascii="Times New Roman" w:hAnsi="Times New Roman"/>
          <w:sz w:val="24"/>
        </w:rPr>
        <w:t>zvýšiť zo 120 eur</w:t>
      </w:r>
      <w:r w:rsidRPr="0057482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792E3B">
        <w:rPr>
          <w:rFonts w:ascii="Times New Roman" w:hAnsi="Times New Roman"/>
          <w:sz w:val="24"/>
        </w:rPr>
        <w:t>mesačne  na minimálne 150 eur</w:t>
      </w:r>
      <w:r w:rsidRPr="0057482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792E3B">
        <w:rPr>
          <w:rFonts w:ascii="Times New Roman" w:hAnsi="Times New Roman"/>
          <w:sz w:val="24"/>
        </w:rPr>
        <w:t xml:space="preserve">mesačne. Rovnaká situácia je aj v útulkoch, kde sa priemerné náklady tejto služby pohybujú vo výške cca 300 eur na klienta. Ak odpočítame z týchto nákladov sumu finančného príspevku poskytovanú z MPSVR </w:t>
      </w:r>
      <w:r w:rsidRPr="0057482F">
        <w:rPr>
          <w:rFonts w:ascii="Times New Roman" w:hAnsi="Times New Roman"/>
          <w:sz w:val="24"/>
          <w:szCs w:val="24"/>
          <w:lang w:eastAsia="sk-SK"/>
        </w:rPr>
        <w:t xml:space="preserve">SR </w:t>
      </w:r>
      <w:r w:rsidRPr="00792E3B">
        <w:rPr>
          <w:rFonts w:ascii="Times New Roman" w:hAnsi="Times New Roman"/>
          <w:sz w:val="24"/>
        </w:rPr>
        <w:t xml:space="preserve">vo výške 150 eur/mesačne a priemernú úhradu platenú klientom vo výške cca 55 eur, rozdiel medzi nákladmi a príjmami tvorí 95 eur mesačne na jedného klienta, ktoré nemajú poskytovatelia z čoho pokryť. Z uvedených dôvodov sa navrhuje zvýšiť sumu súčasnej výšky finančného príspevku z MPSVR </w:t>
      </w:r>
      <w:r w:rsidRPr="0057482F">
        <w:rPr>
          <w:rFonts w:ascii="Times New Roman" w:hAnsi="Times New Roman"/>
          <w:sz w:val="24"/>
          <w:szCs w:val="24"/>
          <w:lang w:eastAsia="sk-SK"/>
        </w:rPr>
        <w:t xml:space="preserve">SR </w:t>
      </w:r>
      <w:r w:rsidRPr="00792E3B">
        <w:rPr>
          <w:rFonts w:ascii="Times New Roman" w:hAnsi="Times New Roman"/>
          <w:sz w:val="24"/>
        </w:rPr>
        <w:t xml:space="preserve">zo sumy 150 eur  </w:t>
      </w:r>
      <w:r w:rsidRPr="0057482F">
        <w:rPr>
          <w:rFonts w:ascii="Times New Roman" w:hAnsi="Times New Roman"/>
          <w:sz w:val="24"/>
          <w:szCs w:val="24"/>
          <w:lang w:eastAsia="sk-SK"/>
        </w:rPr>
        <w:t xml:space="preserve">mesačne </w:t>
      </w:r>
      <w:r w:rsidRPr="00792E3B">
        <w:rPr>
          <w:rFonts w:ascii="Times New Roman" w:hAnsi="Times New Roman"/>
          <w:sz w:val="24"/>
        </w:rPr>
        <w:t>na minimálne 200 eur</w:t>
      </w:r>
      <w:r w:rsidRPr="0057482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792E3B">
        <w:rPr>
          <w:rFonts w:ascii="Times New Roman" w:hAnsi="Times New Roman"/>
          <w:sz w:val="24"/>
        </w:rPr>
        <w:t>mesačne.</w:t>
      </w:r>
    </w:p>
    <w:p w:rsidR="00E85072" w:rsidRPr="00792E3B" w:rsidRDefault="00E85072" w:rsidP="00E85072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r w:rsidRPr="00792E3B">
        <w:rPr>
          <w:rFonts w:ascii="Times New Roman" w:hAnsi="Times New Roman"/>
          <w:sz w:val="24"/>
        </w:rPr>
        <w:t>Finančné príspevky sa rovnako navrhujú zvýšiť  zo sumy 150 eur</w:t>
      </w:r>
      <w:r w:rsidRPr="0057482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792E3B">
        <w:rPr>
          <w:rFonts w:ascii="Times New Roman" w:hAnsi="Times New Roman"/>
          <w:sz w:val="24"/>
        </w:rPr>
        <w:t>mesačne na sumu 200 eur mesačne aj v zariadeniach typu domov na pol ceste a v zariadeniach núdzového bývania.</w:t>
      </w:r>
    </w:p>
    <w:p w:rsidR="00E85072" w:rsidRPr="00792E3B" w:rsidRDefault="00E85072" w:rsidP="00E85072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sk-SK"/>
        </w:rPr>
      </w:pPr>
      <w:r w:rsidRPr="00792E3B">
        <w:rPr>
          <w:rFonts w:ascii="Times New Roman" w:hAnsi="Times New Roman"/>
          <w:sz w:val="24"/>
          <w:szCs w:val="24"/>
        </w:rPr>
        <w:t>Pri predpoklade, že návrh zmien nadobudne účinnosť 1.</w:t>
      </w:r>
      <w:r w:rsidRPr="00792E3B">
        <w:rPr>
          <w:rFonts w:ascii="Times New Roman" w:hAnsi="Times New Roman"/>
          <w:sz w:val="24"/>
          <w:szCs w:val="24"/>
          <w:lang w:eastAsia="sk-SK"/>
        </w:rPr>
        <w:t xml:space="preserve"> januára </w:t>
      </w:r>
      <w:r w:rsidRPr="00792E3B">
        <w:rPr>
          <w:rFonts w:ascii="Times New Roman" w:hAnsi="Times New Roman"/>
          <w:sz w:val="24"/>
          <w:szCs w:val="24"/>
        </w:rPr>
        <w:t>2020</w:t>
      </w:r>
      <w:r w:rsidRPr="00792E3B">
        <w:rPr>
          <w:rFonts w:ascii="Times New Roman" w:hAnsi="Times New Roman"/>
          <w:sz w:val="24"/>
          <w:szCs w:val="24"/>
          <w:lang w:eastAsia="sk-SK"/>
        </w:rPr>
        <w:t>,</w:t>
      </w:r>
      <w:r w:rsidRPr="00792E3B">
        <w:rPr>
          <w:rFonts w:ascii="Times New Roman" w:hAnsi="Times New Roman"/>
          <w:sz w:val="24"/>
          <w:szCs w:val="24"/>
        </w:rPr>
        <w:t xml:space="preserve"> celkový dopad na štátny rozpočet   predstavuje  sumu </w:t>
      </w:r>
      <w:r w:rsidRPr="00792E3B">
        <w:rPr>
          <w:rFonts w:ascii="Times New Roman" w:hAnsi="Times New Roman"/>
          <w:b/>
          <w:sz w:val="24"/>
          <w:szCs w:val="24"/>
        </w:rPr>
        <w:t>867 840 eur ročne.</w:t>
      </w:r>
      <w:r w:rsidRPr="00792E3B">
        <w:rPr>
          <w:rFonts w:ascii="Times New Roman" w:hAnsi="Times New Roman"/>
          <w:sz w:val="24"/>
          <w:szCs w:val="24"/>
          <w:lang w:eastAsia="sk-SK"/>
        </w:rPr>
        <w:t xml:space="preserve"> Pri výpočte sumy dopadu s</w:t>
      </w:r>
      <w:r w:rsidR="00404724">
        <w:rPr>
          <w:rFonts w:ascii="Times New Roman" w:hAnsi="Times New Roman"/>
          <w:sz w:val="24"/>
          <w:szCs w:val="24"/>
          <w:lang w:eastAsia="sk-SK"/>
        </w:rPr>
        <w:t xml:space="preserve">a </w:t>
      </w:r>
      <w:r w:rsidRPr="00792E3B">
        <w:rPr>
          <w:rFonts w:ascii="Times New Roman" w:hAnsi="Times New Roman"/>
          <w:sz w:val="24"/>
          <w:szCs w:val="24"/>
          <w:lang w:eastAsia="sk-SK"/>
        </w:rPr>
        <w:t xml:space="preserve"> vychádzal</w:t>
      </w:r>
      <w:r w:rsidR="00404724">
        <w:rPr>
          <w:rFonts w:ascii="Times New Roman" w:hAnsi="Times New Roman"/>
          <w:sz w:val="24"/>
          <w:szCs w:val="24"/>
          <w:lang w:eastAsia="sk-SK"/>
        </w:rPr>
        <w:t>o</w:t>
      </w:r>
      <w:r w:rsidRPr="00792E3B">
        <w:rPr>
          <w:rFonts w:ascii="Times New Roman" w:hAnsi="Times New Roman"/>
          <w:sz w:val="24"/>
          <w:szCs w:val="24"/>
          <w:lang w:eastAsia="sk-SK"/>
        </w:rPr>
        <w:t xml:space="preserve"> z údajov Centrálneho registra poskytovateľov sociálnych služieb.</w:t>
      </w:r>
    </w:p>
    <w:p w:rsidR="00E85072" w:rsidRPr="00792E3B" w:rsidRDefault="00E85072" w:rsidP="00E85072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2E3B">
        <w:rPr>
          <w:rFonts w:ascii="Times New Roman" w:hAnsi="Times New Roman"/>
          <w:sz w:val="24"/>
          <w:szCs w:val="24"/>
        </w:rPr>
        <w:t>Počet miest u poskytovateľov sociálnej služby v nocľahárni a to zriadených obcami a neverejnými poskytovateľmi je 1154. Dopad návrhu pre tento druh sociálnej služby predstavuje  415 440 eur ročne (1154x30 eur/suma zvýšenia/x12 mesiacov).</w:t>
      </w:r>
    </w:p>
    <w:p w:rsidR="00E85072" w:rsidRPr="00792E3B" w:rsidRDefault="00E85072" w:rsidP="00E85072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2E3B">
        <w:rPr>
          <w:rFonts w:ascii="Times New Roman" w:hAnsi="Times New Roman"/>
          <w:sz w:val="24"/>
          <w:szCs w:val="24"/>
        </w:rPr>
        <w:t>Počet miest v útulkoch, ktorých zriaďovateľom sú obce a ktorých finančne podporuje MPSVR SR</w:t>
      </w:r>
      <w:r w:rsidR="00404724">
        <w:rPr>
          <w:rFonts w:ascii="Times New Roman" w:hAnsi="Times New Roman"/>
          <w:sz w:val="24"/>
          <w:szCs w:val="24"/>
        </w:rPr>
        <w:t>,</w:t>
      </w:r>
      <w:r w:rsidRPr="00792E3B">
        <w:rPr>
          <w:rFonts w:ascii="Times New Roman" w:hAnsi="Times New Roman"/>
          <w:sz w:val="24"/>
          <w:szCs w:val="24"/>
        </w:rPr>
        <w:t xml:space="preserve"> je 605. Pri tejto sociálnej službe je suma </w:t>
      </w:r>
      <w:r w:rsidR="00404724">
        <w:rPr>
          <w:rFonts w:ascii="Times New Roman" w:hAnsi="Times New Roman"/>
          <w:sz w:val="24"/>
          <w:szCs w:val="24"/>
        </w:rPr>
        <w:t xml:space="preserve">vplyvu </w:t>
      </w:r>
      <w:r w:rsidRPr="00792E3B">
        <w:rPr>
          <w:rFonts w:ascii="Times New Roman" w:hAnsi="Times New Roman"/>
          <w:sz w:val="24"/>
          <w:szCs w:val="24"/>
        </w:rPr>
        <w:t>vo výške  363 000 eur ročne (605x50/suma zvýšenia/x12 mesiacov).</w:t>
      </w:r>
    </w:p>
    <w:p w:rsidR="00E85072" w:rsidRPr="00792E3B" w:rsidRDefault="00E85072" w:rsidP="00E85072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2E3B">
        <w:rPr>
          <w:rFonts w:ascii="Times New Roman" w:hAnsi="Times New Roman"/>
          <w:sz w:val="24"/>
          <w:szCs w:val="24"/>
        </w:rPr>
        <w:t>V zariadeniach núdzového bývania, ktoré sú zriadené obcami a ktoré finančne podporuje MPSVR SR</w:t>
      </w:r>
      <w:r w:rsidR="00404724">
        <w:rPr>
          <w:rFonts w:ascii="Times New Roman" w:hAnsi="Times New Roman"/>
          <w:sz w:val="24"/>
          <w:szCs w:val="24"/>
        </w:rPr>
        <w:t>,</w:t>
      </w:r>
      <w:r w:rsidRPr="00792E3B">
        <w:rPr>
          <w:rFonts w:ascii="Times New Roman" w:hAnsi="Times New Roman"/>
          <w:sz w:val="24"/>
          <w:szCs w:val="24"/>
        </w:rPr>
        <w:t xml:space="preserve"> je 149 miest a predpokladaná suma dopadu predstavuje 89 400 eur ročne (149x50/suma zvýšenia/x12 mesiacov).</w:t>
      </w:r>
    </w:p>
    <w:p w:rsidR="00E85072" w:rsidRPr="00792E3B" w:rsidRDefault="00E85072" w:rsidP="00E85072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92E3B">
        <w:rPr>
          <w:rFonts w:ascii="Times New Roman" w:hAnsi="Times New Roman"/>
          <w:sz w:val="24"/>
          <w:szCs w:val="24"/>
        </w:rPr>
        <w:t xml:space="preserve">V zariadeniach typu domov na pol ceste </w:t>
      </w:r>
      <w:r w:rsidR="00404724">
        <w:rPr>
          <w:rFonts w:ascii="Times New Roman" w:hAnsi="Times New Roman"/>
          <w:sz w:val="24"/>
          <w:szCs w:val="24"/>
        </w:rPr>
        <w:t xml:space="preserve">sa </w:t>
      </w:r>
      <w:r w:rsidRPr="00792E3B">
        <w:rPr>
          <w:rFonts w:ascii="Times New Roman" w:hAnsi="Times New Roman"/>
          <w:sz w:val="24"/>
          <w:szCs w:val="24"/>
        </w:rPr>
        <w:t>nepredpokladá žiadne zvýšenie výdavkov zo ŠR, nakoľko obce a mestá neprejavujú  žiadny záujem o tento druh služby. V súčasnosti sú zriaďovateľom týchto zariadení hlavne neverejní poskytovatelia sociálnych služieb, ktorí z celkového počtu miest  299, majú až 277 miest.</w:t>
      </w:r>
    </w:p>
    <w:p w:rsidR="00E85072" w:rsidRPr="00792E3B" w:rsidRDefault="00E85072" w:rsidP="00E85072">
      <w:pPr>
        <w:spacing w:line="240" w:lineRule="auto"/>
        <w:ind w:firstLine="708"/>
        <w:jc w:val="both"/>
        <w:rPr>
          <w:rFonts w:ascii="Times New Roman" w:hAnsi="Times New Roman"/>
          <w:sz w:val="24"/>
        </w:rPr>
      </w:pPr>
      <w:r w:rsidRPr="00B9030E">
        <w:rPr>
          <w:rFonts w:ascii="Times New Roman" w:hAnsi="Times New Roman"/>
          <w:sz w:val="24"/>
        </w:rPr>
        <w:t>Dopad navrhovaných zmien</w:t>
      </w:r>
      <w:r>
        <w:rPr>
          <w:rFonts w:ascii="Times New Roman" w:hAnsi="Times New Roman"/>
          <w:sz w:val="24"/>
        </w:rPr>
        <w:t xml:space="preserve"> je </w:t>
      </w:r>
      <w:r w:rsidRPr="00792E3B">
        <w:rPr>
          <w:rFonts w:ascii="Times New Roman" w:hAnsi="Times New Roman"/>
          <w:sz w:val="24"/>
        </w:rPr>
        <w:t xml:space="preserve"> možné  pokryť z rozpočtu MPSVR</w:t>
      </w:r>
      <w:r w:rsidRPr="0057482F">
        <w:rPr>
          <w:rFonts w:ascii="Times New Roman" w:hAnsi="Times New Roman"/>
          <w:sz w:val="24"/>
          <w:szCs w:val="24"/>
          <w:lang w:eastAsia="sk-SK"/>
        </w:rPr>
        <w:t xml:space="preserve"> SR</w:t>
      </w:r>
      <w:r w:rsidRPr="00792E3B">
        <w:rPr>
          <w:rFonts w:ascii="Times New Roman" w:hAnsi="Times New Roman"/>
          <w:sz w:val="24"/>
        </w:rPr>
        <w:t xml:space="preserve">, ktorému sa  z poskytnutých finančných prostriedkov určených na spolufinancovanie verejných a neverejných poskytovateľov sociálnych služieb každoročne vrátia do rozpočtu  nemalé finančné prostriedky. </w:t>
      </w:r>
      <w:r w:rsidRPr="0057482F">
        <w:rPr>
          <w:rFonts w:ascii="Times New Roman" w:hAnsi="Times New Roman"/>
          <w:sz w:val="24"/>
          <w:szCs w:val="24"/>
          <w:lang w:eastAsia="sk-SK"/>
        </w:rPr>
        <w:t>Napr</w:t>
      </w:r>
      <w:r w:rsidRPr="00792E3B">
        <w:rPr>
          <w:rFonts w:ascii="Times New Roman" w:hAnsi="Times New Roman"/>
          <w:sz w:val="24"/>
        </w:rPr>
        <w:t xml:space="preserve">. k 31. 12. 2017 boli od 185 prijímateľov finančného príspevku vrátené na účet ministerstva finančné prostriedky v sume 3 758 626 eur, z toho 1 168 779 eur od verejných a 2 589 847 eur od neverejných poskytovateľov sociálnej služby, predovšetkým z dôvodu neobsadených miest v zariadeniach sociálnych služieb. V rámci zúčtovania finančných vzťahov so štátnym rozpočtom za rok 2017 vrátili prijímatelia finančného príspevku po 1. </w:t>
      </w:r>
      <w:r w:rsidRPr="0057482F">
        <w:rPr>
          <w:rFonts w:ascii="Times New Roman" w:hAnsi="Times New Roman"/>
          <w:sz w:val="24"/>
          <w:szCs w:val="24"/>
          <w:lang w:eastAsia="sk-SK"/>
        </w:rPr>
        <w:t>januári</w:t>
      </w:r>
      <w:r w:rsidRPr="00792E3B">
        <w:rPr>
          <w:rFonts w:ascii="Times New Roman" w:hAnsi="Times New Roman"/>
          <w:sz w:val="24"/>
        </w:rPr>
        <w:t xml:space="preserve"> 2018 ďalšie rozpočtové prostriedky v sume 2 143 870 eur, z toho 721 338 eur verejní a 1 422 532 eur neverejní poskytovatelia sociálnej služby.  Ďalšie finančné prostriedky </w:t>
      </w:r>
      <w:r w:rsidRPr="00792E3B">
        <w:rPr>
          <w:rFonts w:ascii="Times New Roman" w:hAnsi="Times New Roman"/>
          <w:sz w:val="24"/>
        </w:rPr>
        <w:lastRenderedPageBreak/>
        <w:t>v sume 65 482 eur boli vrátené v priebehu roka 2018 na základe zúčtovania. Porovnateľná situácia bude aj v </w:t>
      </w:r>
      <w:r w:rsidRPr="0057482F">
        <w:rPr>
          <w:rFonts w:ascii="Times New Roman" w:hAnsi="Times New Roman"/>
          <w:sz w:val="24"/>
          <w:szCs w:val="24"/>
          <w:lang w:eastAsia="sk-SK"/>
        </w:rPr>
        <w:t>rokoch</w:t>
      </w:r>
      <w:r w:rsidRPr="00792E3B">
        <w:rPr>
          <w:rFonts w:ascii="Times New Roman" w:hAnsi="Times New Roman"/>
          <w:sz w:val="24"/>
        </w:rPr>
        <w:t xml:space="preserve"> 2018 a 2019.</w:t>
      </w:r>
    </w:p>
    <w:p w:rsidR="00E85072" w:rsidRPr="00F33E0D" w:rsidRDefault="00E85072" w:rsidP="00E8507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  <w:lang w:eastAsia="sk-SK"/>
        </w:rPr>
      </w:pP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Návrh</w:t>
      </w:r>
      <w:r w:rsidRPr="00F33E0D">
        <w:rPr>
          <w:rFonts w:ascii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zákona</w:t>
      </w:r>
      <w:r w:rsidRPr="00F33E0D">
        <w:rPr>
          <w:rFonts w:ascii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je</w:t>
      </w:r>
      <w:r w:rsidRPr="00F33E0D">
        <w:rPr>
          <w:rFonts w:ascii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 súlade</w:t>
      </w:r>
      <w:r w:rsidRPr="00F33E0D">
        <w:rPr>
          <w:rFonts w:ascii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s Ústavou</w:t>
      </w:r>
      <w:r w:rsidRPr="00F33E0D">
        <w:rPr>
          <w:rFonts w:ascii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Slovenskej</w:t>
      </w:r>
      <w:r w:rsidRPr="00F33E0D">
        <w:rPr>
          <w:rFonts w:ascii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republiky,</w:t>
      </w:r>
      <w:r w:rsidRPr="00F33E0D">
        <w:rPr>
          <w:rFonts w:ascii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zákonmi</w:t>
      </w:r>
      <w:r w:rsidRPr="00F33E0D">
        <w:rPr>
          <w:rFonts w:ascii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a</w:t>
      </w:r>
      <w:r w:rsidRPr="00F33E0D">
        <w:rPr>
          <w:rFonts w:ascii="Times New Roman" w:hAnsi="Times New Roman"/>
          <w:color w:val="000000"/>
          <w:spacing w:val="23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ďalšími všeobecne</w:t>
      </w:r>
      <w:r w:rsidRPr="00F33E0D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záväznými</w:t>
      </w:r>
      <w:r w:rsidRPr="00F33E0D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právnymi</w:t>
      </w:r>
      <w:r w:rsidRPr="00F33E0D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predpismi,</w:t>
      </w:r>
      <w:r w:rsidRPr="00F33E0D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ako</w:t>
      </w:r>
      <w:r w:rsidRPr="00F33E0D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aj</w:t>
      </w:r>
      <w:r w:rsidRPr="00F33E0D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s medzinárodnými</w:t>
      </w:r>
      <w:r w:rsidRPr="00F33E0D">
        <w:rPr>
          <w:rFonts w:ascii="Times New Roman" w:hAnsi="Times New Roman"/>
          <w:color w:val="000000"/>
          <w:spacing w:val="101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zmluvami a inými</w:t>
      </w:r>
      <w:r w:rsidRPr="00F33E0D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medzinárodnými</w:t>
      </w:r>
      <w:r w:rsidRPr="00F33E0D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dokumentmi,</w:t>
      </w:r>
      <w:r w:rsidRPr="00F33E0D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ktorými</w:t>
      </w:r>
      <w:r w:rsidRPr="00F33E0D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je</w:t>
      </w:r>
      <w:r w:rsidRPr="00F33E0D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Slovenská</w:t>
      </w:r>
      <w:r w:rsidRPr="00F33E0D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republika</w:t>
      </w:r>
      <w:r w:rsidRPr="00F33E0D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viazaná,</w:t>
      </w:r>
      <w:r w:rsidRPr="00F33E0D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>ako</w:t>
      </w:r>
      <w:r w:rsidRPr="00F33E0D">
        <w:rPr>
          <w:rFonts w:ascii="Times New Roman" w:hAnsi="Times New Roman"/>
          <w:color w:val="000000"/>
          <w:spacing w:val="7"/>
          <w:sz w:val="24"/>
          <w:szCs w:val="24"/>
          <w:lang w:eastAsia="sk-SK"/>
        </w:rPr>
        <w:t xml:space="preserve"> </w:t>
      </w:r>
      <w:r w:rsidRPr="00F33E0D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aj s právom Európskej únie. </w:t>
      </w:r>
    </w:p>
    <w:p w:rsidR="00E85072" w:rsidRDefault="00E85072" w:rsidP="00E8507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</w:p>
    <w:p w:rsidR="00E85072" w:rsidRDefault="00E85072" w:rsidP="00E85072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792E3B">
        <w:rPr>
          <w:rFonts w:ascii="Times New Roman" w:hAnsi="Times New Roman"/>
          <w:sz w:val="24"/>
          <w:szCs w:val="24"/>
          <w:lang w:eastAsia="sk-SK"/>
        </w:rPr>
        <w:t>Návrh</w:t>
      </w:r>
      <w:r w:rsidRPr="00792E3B">
        <w:rPr>
          <w:rFonts w:ascii="Times New Roman" w:hAnsi="Times New Roman"/>
          <w:spacing w:val="71"/>
          <w:sz w:val="24"/>
          <w:szCs w:val="24"/>
          <w:lang w:eastAsia="sk-SK"/>
        </w:rPr>
        <w:t xml:space="preserve"> </w:t>
      </w:r>
      <w:r w:rsidRPr="00792E3B">
        <w:rPr>
          <w:rFonts w:ascii="Times New Roman" w:hAnsi="Times New Roman"/>
          <w:sz w:val="24"/>
          <w:szCs w:val="24"/>
          <w:lang w:eastAsia="sk-SK"/>
        </w:rPr>
        <w:t>zákona</w:t>
      </w:r>
      <w:r w:rsidRPr="00792E3B">
        <w:rPr>
          <w:rFonts w:ascii="Times New Roman" w:hAnsi="Times New Roman"/>
          <w:spacing w:val="71"/>
          <w:sz w:val="24"/>
          <w:szCs w:val="24"/>
          <w:lang w:eastAsia="sk-SK"/>
        </w:rPr>
        <w:t xml:space="preserve"> </w:t>
      </w:r>
      <w:r w:rsidRPr="00792E3B">
        <w:rPr>
          <w:rFonts w:ascii="Times New Roman" w:hAnsi="Times New Roman"/>
          <w:sz w:val="24"/>
          <w:szCs w:val="24"/>
          <w:lang w:eastAsia="sk-SK"/>
        </w:rPr>
        <w:t>má negatívny vplyv</w:t>
      </w:r>
      <w:r w:rsidRPr="00792E3B">
        <w:rPr>
          <w:rFonts w:ascii="Times New Roman" w:hAnsi="Times New Roman"/>
          <w:spacing w:val="71"/>
          <w:sz w:val="24"/>
          <w:szCs w:val="24"/>
          <w:lang w:eastAsia="sk-SK"/>
        </w:rPr>
        <w:t xml:space="preserve"> </w:t>
      </w:r>
      <w:r w:rsidRPr="00792E3B">
        <w:rPr>
          <w:rFonts w:ascii="Times New Roman" w:hAnsi="Times New Roman"/>
          <w:sz w:val="24"/>
          <w:szCs w:val="24"/>
          <w:lang w:eastAsia="sk-SK"/>
        </w:rPr>
        <w:t>na</w:t>
      </w:r>
      <w:r w:rsidRPr="00792E3B">
        <w:rPr>
          <w:rFonts w:ascii="Times New Roman" w:hAnsi="Times New Roman"/>
          <w:spacing w:val="71"/>
          <w:sz w:val="24"/>
          <w:szCs w:val="24"/>
          <w:lang w:eastAsia="sk-SK"/>
        </w:rPr>
        <w:t xml:space="preserve"> </w:t>
      </w:r>
      <w:r w:rsidRPr="00792E3B">
        <w:rPr>
          <w:rFonts w:ascii="Times New Roman" w:hAnsi="Times New Roman"/>
          <w:sz w:val="24"/>
          <w:szCs w:val="24"/>
          <w:lang w:eastAsia="sk-SK"/>
        </w:rPr>
        <w:t>rozpočet</w:t>
      </w:r>
      <w:r w:rsidRPr="00B4287D">
        <w:rPr>
          <w:rFonts w:ascii="Times New Roman" w:hAnsi="Times New Roman"/>
          <w:color w:val="000000"/>
          <w:spacing w:val="71"/>
          <w:sz w:val="24"/>
          <w:szCs w:val="24"/>
          <w:lang w:eastAsia="sk-SK"/>
        </w:rPr>
        <w:t xml:space="preserve"> </w:t>
      </w:r>
      <w:r w:rsidRPr="00B4287D">
        <w:rPr>
          <w:rFonts w:ascii="Times New Roman" w:hAnsi="Times New Roman"/>
          <w:color w:val="000000"/>
          <w:sz w:val="24"/>
          <w:szCs w:val="24"/>
          <w:lang w:eastAsia="sk-SK"/>
        </w:rPr>
        <w:t>verejnej</w:t>
      </w:r>
      <w:r w:rsidRPr="00B4287D">
        <w:rPr>
          <w:rFonts w:ascii="Times New Roman" w:hAnsi="Times New Roman"/>
          <w:color w:val="000000"/>
          <w:spacing w:val="71"/>
          <w:sz w:val="24"/>
          <w:szCs w:val="24"/>
          <w:lang w:eastAsia="sk-SK"/>
        </w:rPr>
        <w:t xml:space="preserve"> </w:t>
      </w:r>
      <w:r w:rsidRPr="00B4287D">
        <w:rPr>
          <w:rFonts w:ascii="Times New Roman" w:hAnsi="Times New Roman"/>
          <w:color w:val="000000"/>
          <w:sz w:val="24"/>
          <w:szCs w:val="24"/>
          <w:lang w:eastAsia="sk-SK"/>
        </w:rPr>
        <w:t>správy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a pozitívny s</w:t>
      </w:r>
      <w:r w:rsidRPr="00B4287D">
        <w:rPr>
          <w:rFonts w:ascii="Times New Roman" w:hAnsi="Times New Roman"/>
          <w:color w:val="000000"/>
          <w:sz w:val="24"/>
          <w:szCs w:val="24"/>
          <w:lang w:eastAsia="sk-SK"/>
        </w:rPr>
        <w:t>ociáln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y</w:t>
      </w:r>
      <w:r w:rsidRPr="00B4287D">
        <w:rPr>
          <w:rFonts w:ascii="Times New Roman" w:hAnsi="Times New Roman"/>
          <w:color w:val="000000"/>
          <w:spacing w:val="71"/>
          <w:sz w:val="24"/>
          <w:szCs w:val="24"/>
          <w:lang w:eastAsia="sk-SK"/>
        </w:rPr>
        <w:t xml:space="preserve"> </w:t>
      </w:r>
      <w:r w:rsidRPr="00B4287D">
        <w:rPr>
          <w:rFonts w:ascii="Times New Roman" w:hAnsi="Times New Roman"/>
          <w:color w:val="000000"/>
          <w:sz w:val="24"/>
          <w:szCs w:val="24"/>
          <w:lang w:eastAsia="sk-SK"/>
        </w:rPr>
        <w:t>vplyv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. Návrh zákona nemá vplyv </w:t>
      </w:r>
      <w:r w:rsidRPr="00B4287D">
        <w:rPr>
          <w:rFonts w:ascii="Times New Roman" w:hAnsi="Times New Roman"/>
          <w:color w:val="000000"/>
          <w:sz w:val="24"/>
          <w:szCs w:val="24"/>
          <w:lang w:eastAsia="sk-SK"/>
        </w:rPr>
        <w:t>na podnikateľské</w:t>
      </w:r>
      <w:r w:rsidRPr="00B4287D">
        <w:rPr>
          <w:rFonts w:ascii="Times New Roman" w:hAnsi="Times New Roman"/>
          <w:color w:val="000000"/>
          <w:spacing w:val="30"/>
          <w:sz w:val="24"/>
          <w:szCs w:val="24"/>
          <w:lang w:eastAsia="sk-SK"/>
        </w:rPr>
        <w:t xml:space="preserve"> </w:t>
      </w:r>
      <w:r w:rsidRPr="00B4287D">
        <w:rPr>
          <w:rFonts w:ascii="Times New Roman" w:hAnsi="Times New Roman"/>
          <w:color w:val="000000"/>
          <w:sz w:val="24"/>
          <w:szCs w:val="24"/>
          <w:lang w:eastAsia="sk-SK"/>
        </w:rPr>
        <w:t>prostredie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>, ani negatívny vplyv na životné prostredie</w:t>
      </w:r>
      <w:r w:rsidRPr="00B4287D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rovnako ako nemá ani vplyv </w:t>
      </w:r>
      <w:r w:rsidRPr="00B4287D">
        <w:rPr>
          <w:rFonts w:ascii="Times New Roman" w:hAnsi="Times New Roman"/>
          <w:color w:val="000000"/>
          <w:sz w:val="24"/>
          <w:szCs w:val="24"/>
          <w:lang w:eastAsia="sk-SK"/>
        </w:rPr>
        <w:t>n</w:t>
      </w:r>
      <w:r w:rsidR="0002107E">
        <w:rPr>
          <w:rFonts w:ascii="Times New Roman" w:hAnsi="Times New Roman"/>
          <w:color w:val="000000"/>
          <w:sz w:val="24"/>
          <w:szCs w:val="24"/>
          <w:lang w:eastAsia="sk-SK"/>
        </w:rPr>
        <w:t>a informatizáciu a na s</w:t>
      </w:r>
      <w:bookmarkStart w:id="0" w:name="_GoBack"/>
      <w:bookmarkEnd w:id="0"/>
      <w:r w:rsidRPr="00B4287D">
        <w:rPr>
          <w:rFonts w:ascii="Times New Roman" w:hAnsi="Times New Roman"/>
          <w:color w:val="000000"/>
          <w:sz w:val="24"/>
          <w:szCs w:val="24"/>
          <w:lang w:eastAsia="sk-SK"/>
        </w:rPr>
        <w:t>lužby verejnej správy pre občana.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</w:p>
    <w:p w:rsidR="00E85072" w:rsidRDefault="00E85072" w:rsidP="00E8507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E85072" w:rsidRDefault="00E85072" w:rsidP="00E8507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E85072" w:rsidRDefault="00E85072" w:rsidP="00E8507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E85072" w:rsidRDefault="00E85072" w:rsidP="00E8507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E85072" w:rsidRDefault="00E85072" w:rsidP="00E8507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E85072" w:rsidRDefault="00E85072" w:rsidP="00E8507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E85072" w:rsidRDefault="00E85072" w:rsidP="00E8507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E85072" w:rsidRDefault="00E85072" w:rsidP="00E8507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E85072" w:rsidRDefault="00E85072" w:rsidP="00E8507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E85072" w:rsidRDefault="00E85072" w:rsidP="00E8507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E85072" w:rsidRDefault="00E85072" w:rsidP="00E8507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E85072" w:rsidRDefault="00E85072" w:rsidP="00E8507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E85072" w:rsidRDefault="00E85072" w:rsidP="00E8507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E85072" w:rsidRDefault="00E85072" w:rsidP="00E8507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E85072" w:rsidRDefault="00E85072" w:rsidP="00E8507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E85072" w:rsidRDefault="00E85072" w:rsidP="00E8507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E85072" w:rsidRDefault="00E85072" w:rsidP="00E8507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E85072" w:rsidRDefault="00E85072" w:rsidP="00E8507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E85072" w:rsidRDefault="00E85072" w:rsidP="00E8507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E85072" w:rsidRDefault="00E85072" w:rsidP="00E8507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E85072" w:rsidRDefault="00E85072" w:rsidP="00E8507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E85072" w:rsidRDefault="00E85072" w:rsidP="00E8507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E85072" w:rsidRDefault="00E85072" w:rsidP="00E8507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E85072" w:rsidRDefault="00E85072" w:rsidP="00E8507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E85072" w:rsidRDefault="00E85072" w:rsidP="00E8507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E85072" w:rsidRDefault="00E85072" w:rsidP="00E8507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E85072" w:rsidRDefault="00E85072" w:rsidP="00E8507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E85072" w:rsidRDefault="00E85072" w:rsidP="00E8507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E85072" w:rsidRDefault="00E85072" w:rsidP="00E8507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E85072" w:rsidRDefault="00E85072" w:rsidP="00E8507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E85072" w:rsidRDefault="00E85072" w:rsidP="00E8507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E85072" w:rsidRDefault="00E85072" w:rsidP="00E8507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E85072" w:rsidRDefault="00E85072" w:rsidP="00E8507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E85072" w:rsidRDefault="00E85072" w:rsidP="00E8507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E85072" w:rsidRDefault="00E85072" w:rsidP="00E85072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sk-SK"/>
        </w:rPr>
      </w:pPr>
    </w:p>
    <w:p w:rsidR="00E85072" w:rsidRPr="00124F7A" w:rsidRDefault="00E85072" w:rsidP="00E8507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sk-SK"/>
        </w:rPr>
      </w:pPr>
      <w:r w:rsidRPr="00124F7A">
        <w:rPr>
          <w:rFonts w:ascii="Times New Roman" w:hAnsi="Times New Roman"/>
          <w:b/>
          <w:bCs/>
          <w:color w:val="000000"/>
          <w:sz w:val="27"/>
          <w:szCs w:val="27"/>
          <w:lang w:eastAsia="sk-SK"/>
        </w:rPr>
        <w:t>B. Osobitná časť</w:t>
      </w:r>
    </w:p>
    <w:p w:rsidR="00E85072" w:rsidRDefault="00E85072" w:rsidP="00E85072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E85072" w:rsidRDefault="00E85072" w:rsidP="00E85072">
      <w:pPr>
        <w:spacing w:after="0" w:line="240" w:lineRule="auto"/>
        <w:ind w:firstLine="708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  <w:r w:rsidRPr="00124F7A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K Čl. I</w:t>
      </w:r>
    </w:p>
    <w:p w:rsidR="00E85072" w:rsidRDefault="00E85072" w:rsidP="00E85072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E85072" w:rsidRPr="00792E3B" w:rsidRDefault="00E85072" w:rsidP="00E85072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4"/>
        </w:rPr>
      </w:pPr>
      <w:r w:rsidRPr="00792E3B">
        <w:rPr>
          <w:rFonts w:ascii="Times New Roman" w:hAnsi="Times New Roman"/>
          <w:b/>
          <w:color w:val="000000"/>
          <w:sz w:val="24"/>
        </w:rPr>
        <w:t>K bodu 1 a 2</w:t>
      </w:r>
    </w:p>
    <w:p w:rsidR="00E85072" w:rsidRPr="00792E3B" w:rsidRDefault="00E85072" w:rsidP="00E85072">
      <w:pPr>
        <w:spacing w:after="0" w:line="240" w:lineRule="auto"/>
        <w:rPr>
          <w:rFonts w:ascii="Times New Roman" w:hAnsi="Times New Roman"/>
          <w:b/>
          <w:color w:val="000000"/>
          <w:sz w:val="24"/>
        </w:rPr>
      </w:pPr>
    </w:p>
    <w:p w:rsidR="00E85072" w:rsidRPr="00792E3B" w:rsidRDefault="00E85072" w:rsidP="00E85072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792E3B">
        <w:rPr>
          <w:rFonts w:ascii="Times New Roman" w:hAnsi="Times New Roman"/>
          <w:sz w:val="24"/>
        </w:rPr>
        <w:t xml:space="preserve">Cieľom návrhu je umožniť, aby na vybraný druh sociálnej služby mohli poskytnúť  finančné príspevky alebo  </w:t>
      </w:r>
      <w:proofErr w:type="spellStart"/>
      <w:r w:rsidRPr="00792E3B">
        <w:rPr>
          <w:rFonts w:ascii="Times New Roman" w:hAnsi="Times New Roman"/>
          <w:sz w:val="24"/>
        </w:rPr>
        <w:t>alikvótnu</w:t>
      </w:r>
      <w:proofErr w:type="spellEnd"/>
      <w:r w:rsidRPr="00792E3B">
        <w:rPr>
          <w:rFonts w:ascii="Times New Roman" w:hAnsi="Times New Roman"/>
          <w:sz w:val="24"/>
        </w:rPr>
        <w:t xml:space="preserve"> časť  finančného príspevku  súčasne  obec aj vyšší územný celok. Platná právna úprava totiž bráni obci ako aj vyššiemu územnému celku finančne podporiť vybraný druh sociálnej služby v jeho územnom obvode, napriek tomu, že  poskytnutý finančný príspevok nie je postačujúci na pokrytie nákladov danej sociálnej služby. V praxi to vytvára veľké problémy a potláča viaczdrojové financovanie sociálnych služieb. Typickým príkladom sú centrá včasnej intervencie, ktoré patria z hľadiska financovania do  obligatórnej pôsobnosti vyššieho územného celku a napriek tomu, že  niektoré mestá/obce boli ochotné finančne podporiť túto novú, žiadanú a nedostatkovú sociálnu službu, obec/mesto nemohlo túto sociálnu službu podporiť, ak  už bola podporená</w:t>
      </w:r>
      <w:r w:rsidRPr="0016551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792E3B">
        <w:rPr>
          <w:rFonts w:ascii="Times New Roman" w:hAnsi="Times New Roman"/>
          <w:sz w:val="24"/>
        </w:rPr>
        <w:t>(aj keď nedostatočne) z vyššieho územného celku.</w:t>
      </w:r>
    </w:p>
    <w:p w:rsidR="00E85072" w:rsidRPr="00792E3B" w:rsidRDefault="00E85072" w:rsidP="00E85072">
      <w:pPr>
        <w:spacing w:after="160" w:line="240" w:lineRule="auto"/>
        <w:ind w:firstLine="708"/>
        <w:rPr>
          <w:rFonts w:ascii="Times New Roman" w:hAnsi="Times New Roman"/>
          <w:b/>
          <w:color w:val="000000"/>
          <w:sz w:val="24"/>
        </w:rPr>
      </w:pPr>
      <w:r w:rsidRPr="00792E3B">
        <w:rPr>
          <w:rFonts w:ascii="Times New Roman" w:hAnsi="Times New Roman"/>
          <w:b/>
          <w:color w:val="000000"/>
          <w:sz w:val="24"/>
        </w:rPr>
        <w:t>K bodu 3</w:t>
      </w:r>
    </w:p>
    <w:p w:rsidR="00E85072" w:rsidRPr="008922DF" w:rsidRDefault="00E85072" w:rsidP="00E8507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22DF">
        <w:rPr>
          <w:rFonts w:ascii="Times New Roman" w:hAnsi="Times New Roman"/>
          <w:sz w:val="24"/>
          <w:szCs w:val="24"/>
        </w:rPr>
        <w:t>Cieľom návrhu je vytvoriť reálne podmienky na poskytovanie vybraných  druhov služieb krízovej intervencie uvedených v prílohe č.4a a to tak pre verejných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2DF">
        <w:rPr>
          <w:rFonts w:ascii="Times New Roman" w:hAnsi="Times New Roman"/>
          <w:sz w:val="24"/>
          <w:szCs w:val="24"/>
        </w:rPr>
        <w:t xml:space="preserve">(obecných)  ako aj </w:t>
      </w:r>
      <w:r>
        <w:rPr>
          <w:rFonts w:ascii="Times New Roman" w:hAnsi="Times New Roman"/>
          <w:sz w:val="24"/>
          <w:szCs w:val="24"/>
        </w:rPr>
        <w:t xml:space="preserve">pre </w:t>
      </w:r>
      <w:r w:rsidRPr="008922DF">
        <w:rPr>
          <w:rFonts w:ascii="Times New Roman" w:hAnsi="Times New Roman"/>
          <w:sz w:val="24"/>
          <w:szCs w:val="24"/>
        </w:rPr>
        <w:t>neverejných poskytovateľov a to  tým, že sa navrhujú zvýšiť sumy finančného príspevku v zariadeniach krízovej intervencie v nocľahárni zo sumy 120 eur mesačne na sumu 150 eur mesačne a u ostatných zariadení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22DF">
        <w:rPr>
          <w:rFonts w:ascii="Times New Roman" w:hAnsi="Times New Roman"/>
          <w:sz w:val="24"/>
          <w:szCs w:val="24"/>
        </w:rPr>
        <w:t>(útulok, zariadenie núdzového bývania a domov na pol ceste) zo sumy 150 eur mesačne na sumu 200 eur mesačne.</w:t>
      </w:r>
    </w:p>
    <w:p w:rsidR="00E85072" w:rsidRDefault="00E85072" w:rsidP="00E85072">
      <w:pPr>
        <w:spacing w:after="160" w:line="240" w:lineRule="auto"/>
        <w:ind w:firstLine="708"/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</w:pPr>
    </w:p>
    <w:p w:rsidR="00E85072" w:rsidRPr="00792E3B" w:rsidRDefault="00E85072" w:rsidP="00E85072">
      <w:pPr>
        <w:spacing w:after="160" w:line="240" w:lineRule="auto"/>
        <w:ind w:firstLine="708"/>
        <w:rPr>
          <w:rFonts w:ascii="Times New Roman" w:hAnsi="Times New Roman"/>
          <w:color w:val="000000"/>
          <w:sz w:val="24"/>
        </w:rPr>
      </w:pPr>
      <w:r w:rsidRPr="008922DF">
        <w:rPr>
          <w:rFonts w:ascii="Times New Roman" w:hAnsi="Times New Roman"/>
          <w:b/>
          <w:bCs/>
          <w:color w:val="000000"/>
          <w:sz w:val="24"/>
          <w:szCs w:val="24"/>
          <w:lang w:eastAsia="sk-SK"/>
        </w:rPr>
        <w:t>K Čl. II</w:t>
      </w:r>
    </w:p>
    <w:p w:rsidR="00E85072" w:rsidRPr="00792E3B" w:rsidRDefault="00404724" w:rsidP="00E85072">
      <w:pPr>
        <w:spacing w:after="160" w:line="240" w:lineRule="auto"/>
        <w:ind w:firstLine="708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zCs w:val="24"/>
          <w:lang w:eastAsia="sk-SK"/>
        </w:rPr>
        <w:t>Navrhuje sa účinnosť návrhu zákona na</w:t>
      </w:r>
      <w:r w:rsidR="00E85072" w:rsidRPr="008922DF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1. januára </w:t>
      </w:r>
      <w:r w:rsidR="00E85072">
        <w:rPr>
          <w:rFonts w:ascii="Times New Roman" w:hAnsi="Times New Roman"/>
          <w:color w:val="000000"/>
          <w:sz w:val="24"/>
          <w:szCs w:val="24"/>
          <w:lang w:eastAsia="sk-SK"/>
        </w:rPr>
        <w:t>2</w:t>
      </w:r>
      <w:r w:rsidR="00E85072" w:rsidRPr="008922DF">
        <w:rPr>
          <w:rFonts w:ascii="Times New Roman" w:hAnsi="Times New Roman"/>
          <w:color w:val="000000"/>
          <w:sz w:val="24"/>
          <w:szCs w:val="24"/>
          <w:lang w:eastAsia="sk-SK"/>
        </w:rPr>
        <w:t>020.</w:t>
      </w:r>
    </w:p>
    <w:p w:rsidR="00E85072" w:rsidRPr="00792E3B" w:rsidRDefault="00E85072" w:rsidP="00E85072">
      <w:pPr>
        <w:spacing w:after="160" w:line="240" w:lineRule="auto"/>
        <w:rPr>
          <w:rFonts w:ascii="Times New Roman" w:hAnsi="Times New Roman"/>
          <w:b/>
          <w:color w:val="000000"/>
          <w:sz w:val="24"/>
        </w:rPr>
      </w:pPr>
    </w:p>
    <w:p w:rsidR="00E85072" w:rsidRPr="00792E3B" w:rsidRDefault="00E85072" w:rsidP="00E85072">
      <w:pPr>
        <w:spacing w:after="0" w:line="240" w:lineRule="auto"/>
        <w:rPr>
          <w:rFonts w:ascii="Times New Roman" w:hAnsi="Times New Roman"/>
          <w:color w:val="000000"/>
          <w:sz w:val="24"/>
        </w:rPr>
      </w:pPr>
    </w:p>
    <w:p w:rsidR="00E85072" w:rsidRPr="00792E3B" w:rsidRDefault="00E85072" w:rsidP="00E85072">
      <w:pPr>
        <w:jc w:val="both"/>
        <w:rPr>
          <w:rFonts w:ascii="Times New Roman" w:hAnsi="Times New Roman"/>
          <w:color w:val="222222"/>
          <w:sz w:val="24"/>
        </w:rPr>
      </w:pPr>
    </w:p>
    <w:p w:rsidR="00E85072" w:rsidRPr="00792E3B" w:rsidRDefault="00E85072" w:rsidP="00E85072"/>
    <w:p w:rsidR="00207304" w:rsidRPr="00E85072" w:rsidRDefault="00207304" w:rsidP="00E85072"/>
    <w:sectPr w:rsidR="00207304" w:rsidRPr="00E8507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A99" w:rsidRDefault="00860A99" w:rsidP="00E85072">
      <w:pPr>
        <w:spacing w:after="0" w:line="240" w:lineRule="auto"/>
      </w:pPr>
      <w:r>
        <w:separator/>
      </w:r>
    </w:p>
  </w:endnote>
  <w:endnote w:type="continuationSeparator" w:id="0">
    <w:p w:rsidR="00860A99" w:rsidRDefault="00860A99" w:rsidP="00E8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A99" w:rsidRDefault="00860A99" w:rsidP="00E85072">
      <w:pPr>
        <w:spacing w:after="0" w:line="240" w:lineRule="auto"/>
      </w:pPr>
      <w:r>
        <w:separator/>
      </w:r>
    </w:p>
  </w:footnote>
  <w:footnote w:type="continuationSeparator" w:id="0">
    <w:p w:rsidR="00860A99" w:rsidRDefault="00860A99" w:rsidP="00E85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1FA" w:rsidRDefault="00860A99">
    <w:pPr>
      <w:pStyle w:val="Hlavika"/>
    </w:pPr>
  </w:p>
  <w:p w:rsidR="00C631FA" w:rsidRDefault="00860A99">
    <w:pPr>
      <w:pStyle w:val="Hlavika"/>
    </w:pPr>
  </w:p>
  <w:p w:rsidR="00C631FA" w:rsidRDefault="00860A9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01170"/>
    <w:multiLevelType w:val="hybridMultilevel"/>
    <w:tmpl w:val="4DD65F4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764E2"/>
    <w:multiLevelType w:val="hybridMultilevel"/>
    <w:tmpl w:val="FBFCA678"/>
    <w:lvl w:ilvl="0" w:tplc="3F2A799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1F12904"/>
    <w:multiLevelType w:val="hybridMultilevel"/>
    <w:tmpl w:val="3EF47390"/>
    <w:lvl w:ilvl="0" w:tplc="C87CD0EA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79DF3CA9"/>
    <w:multiLevelType w:val="hybridMultilevel"/>
    <w:tmpl w:val="53B8160C"/>
    <w:lvl w:ilvl="0" w:tplc="5E2C4D56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B2"/>
    <w:rsid w:val="0002107E"/>
    <w:rsid w:val="00083145"/>
    <w:rsid w:val="0009308C"/>
    <w:rsid w:val="000C519B"/>
    <w:rsid w:val="000D3286"/>
    <w:rsid w:val="00114666"/>
    <w:rsid w:val="001740B9"/>
    <w:rsid w:val="00180098"/>
    <w:rsid w:val="001E684C"/>
    <w:rsid w:val="001F76A1"/>
    <w:rsid w:val="00207304"/>
    <w:rsid w:val="002074AA"/>
    <w:rsid w:val="002410A6"/>
    <w:rsid w:val="00264772"/>
    <w:rsid w:val="002B4290"/>
    <w:rsid w:val="00404724"/>
    <w:rsid w:val="00430232"/>
    <w:rsid w:val="004439B2"/>
    <w:rsid w:val="00443BF2"/>
    <w:rsid w:val="004661DF"/>
    <w:rsid w:val="00493424"/>
    <w:rsid w:val="00493727"/>
    <w:rsid w:val="00496D8F"/>
    <w:rsid w:val="005527B4"/>
    <w:rsid w:val="005E2159"/>
    <w:rsid w:val="005E3DA8"/>
    <w:rsid w:val="00601006"/>
    <w:rsid w:val="00650230"/>
    <w:rsid w:val="00724726"/>
    <w:rsid w:val="0074364E"/>
    <w:rsid w:val="00755D74"/>
    <w:rsid w:val="007655C0"/>
    <w:rsid w:val="00817518"/>
    <w:rsid w:val="008428E0"/>
    <w:rsid w:val="00860A99"/>
    <w:rsid w:val="00885D73"/>
    <w:rsid w:val="008D3C9F"/>
    <w:rsid w:val="0094277F"/>
    <w:rsid w:val="00A072C8"/>
    <w:rsid w:val="00A43788"/>
    <w:rsid w:val="00A61E70"/>
    <w:rsid w:val="00A748B5"/>
    <w:rsid w:val="00AA525C"/>
    <w:rsid w:val="00C243BE"/>
    <w:rsid w:val="00C3441D"/>
    <w:rsid w:val="00E33C2A"/>
    <w:rsid w:val="00E85072"/>
    <w:rsid w:val="00F04708"/>
    <w:rsid w:val="00F301EB"/>
    <w:rsid w:val="00F33E0D"/>
    <w:rsid w:val="00F77767"/>
    <w:rsid w:val="00FE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9C7D81"/>
  <w14:defaultImageDpi w14:val="0"/>
  <w15:docId w15:val="{0DE52018-3EAD-4010-B5D0-84EB17E8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439B2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itulok">
    <w:name w:val="titulok"/>
    <w:basedOn w:val="Normlny"/>
    <w:rsid w:val="004439B2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1F76A1"/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1F76A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rsid w:val="00E85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85072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rsid w:val="00E85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85072"/>
    <w:rPr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zoznamu1 Char,Odsek Char"/>
    <w:basedOn w:val="Predvolenpsmoodseku"/>
    <w:link w:val="Odsekzoznamu"/>
    <w:uiPriority w:val="34"/>
    <w:locked/>
    <w:rsid w:val="00E8507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2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4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4899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741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73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7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6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17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0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73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47798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667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9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88297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4365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0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38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8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56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76444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26916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7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1991/45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klubSaS</dc:creator>
  <cp:keywords/>
  <dc:description/>
  <cp:lastModifiedBy>Veronika Pitoňáková</cp:lastModifiedBy>
  <cp:revision>8</cp:revision>
  <cp:lastPrinted>2013-10-30T11:16:00Z</cp:lastPrinted>
  <dcterms:created xsi:type="dcterms:W3CDTF">2019-01-11T13:49:00Z</dcterms:created>
  <dcterms:modified xsi:type="dcterms:W3CDTF">2019-02-28T20:12:00Z</dcterms:modified>
</cp:coreProperties>
</file>