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84063" w:rsidRPr="00184063" w:rsidTr="004C696E">
        <w:trPr>
          <w:trHeight w:val="567"/>
        </w:trPr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Analýza vplyvov na podnikateľské prostredie </w:t>
            </w:r>
          </w:p>
          <w:p w:rsidR="00184063" w:rsidRPr="00184063" w:rsidRDefault="00184063" w:rsidP="004C6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(vrátane testu MSP)</w:t>
            </w:r>
          </w:p>
        </w:tc>
      </w:tr>
      <w:tr w:rsidR="00184063" w:rsidRPr="00184063" w:rsidTr="004C696E">
        <w:trPr>
          <w:trHeight w:val="567"/>
        </w:trPr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Materiál bude mať vplyv s ohľadom na veľkostnú kategóriu podnikov:</w:t>
            </w:r>
          </w:p>
        </w:tc>
      </w:tr>
      <w:tr w:rsidR="00184063" w:rsidRPr="00184063" w:rsidTr="004C696E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6"/>
              <w:gridCol w:w="8540"/>
            </w:tblGrid>
            <w:tr w:rsidR="00184063" w:rsidRPr="00184063" w:rsidTr="004C696E">
              <w:tc>
                <w:tcPr>
                  <w:tcW w:w="436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>iba na MSP (0 - 249 zamestnancov)</w:t>
                  </w:r>
                </w:p>
              </w:tc>
            </w:tr>
            <w:tr w:rsidR="00184063" w:rsidRPr="00184063" w:rsidTr="004C696E">
              <w:tc>
                <w:tcPr>
                  <w:tcW w:w="436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>iba na veľké podniky (250 a viac zamestnancov)</w:t>
                  </w:r>
                </w:p>
              </w:tc>
            </w:tr>
            <w:tr w:rsidR="00184063" w:rsidRPr="00184063" w:rsidTr="004C696E">
              <w:tc>
                <w:tcPr>
                  <w:tcW w:w="436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MS Mincho" w:eastAsia="MS Mincho" w:hAnsi="MS Mincho" w:cs="MS Mincho" w:hint="eastAsia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shd w:val="clear" w:color="auto" w:fill="auto"/>
                </w:tcPr>
                <w:p w:rsidR="00184063" w:rsidRPr="00184063" w:rsidRDefault="00184063" w:rsidP="004C69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>na všetky kategórie podnikov</w:t>
                  </w:r>
                </w:p>
              </w:tc>
            </w:tr>
          </w:tbl>
          <w:p w:rsidR="00184063" w:rsidRPr="00184063" w:rsidRDefault="00184063" w:rsidP="004C6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184063" w:rsidRPr="00184063" w:rsidTr="004C696E"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3.1 Dotknuté podnikateľské subjekty</w:t>
            </w:r>
          </w:p>
          <w:p w:rsidR="00184063" w:rsidRPr="00184063" w:rsidRDefault="00184063" w:rsidP="004C696E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</w:t>
            </w: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 w:rsidR="00184063" w:rsidRPr="00184063" w:rsidTr="004C696E">
        <w:trPr>
          <w:trHeight w:val="705"/>
        </w:trPr>
        <w:tc>
          <w:tcPr>
            <w:tcW w:w="9212" w:type="dxa"/>
            <w:shd w:val="clear" w:color="auto" w:fill="auto"/>
          </w:tcPr>
          <w:p w:rsidR="008A0CED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06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A0CED">
              <w:rPr>
                <w:rFonts w:ascii="Times New Roman" w:hAnsi="Times New Roman"/>
                <w:sz w:val="24"/>
                <w:szCs w:val="24"/>
              </w:rPr>
              <w:t>Žiadatelia o vydanie povolenia na prevádzkovanie ambulancie dopravnej zdravotnej služby – ich počet nie je možné určiť, vzhľadom na skutočnosť, že každý žiadateľ, ktorý splní podmienky ustanovené zákonom môže získať povolenie na prevádzkovanie ambulancie dopravnej zdravotnej služby.</w:t>
            </w:r>
          </w:p>
          <w:p w:rsidR="00044661" w:rsidRDefault="00044661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0CED" w:rsidRDefault="008A0CED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Žiadatelia o vydanie povolenia na prevádzkovanie</w:t>
            </w:r>
            <w:r w:rsidRPr="00184063">
              <w:rPr>
                <w:rFonts w:ascii="Times New Roman" w:hAnsi="Times New Roman"/>
                <w:sz w:val="24"/>
                <w:szCs w:val="24"/>
              </w:rPr>
              <w:t xml:space="preserve"> ambulancie rýchlej zdravotnej pomoci „S“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ich počet sa predpokladá 48 (ustanovené sídla záchrannej zdravotnej služby opatrením Ministerstva zdravotníctva Slovenskej republiky).</w:t>
            </w:r>
          </w:p>
          <w:p w:rsidR="00184063" w:rsidRPr="008A0CED" w:rsidRDefault="00184063" w:rsidP="008A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063" w:rsidRPr="00184063" w:rsidTr="004C696E">
        <w:trPr>
          <w:trHeight w:val="339"/>
        </w:trPr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3.2 Vyhodnotenie konzultácií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- </w:t>
            </w: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 w:rsidR="00184063" w:rsidRPr="00184063" w:rsidTr="004C696E">
        <w:trPr>
          <w:trHeight w:val="557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84063" w:rsidRPr="00184063" w:rsidTr="004C696E"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3.3 Náklady regulácie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- </w:t>
            </w: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 w:rsidR="00184063" w:rsidRPr="00184063" w:rsidTr="004C696E">
        <w:trPr>
          <w:trHeight w:val="419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3.3.1 Priame finančné náklady</w:t>
            </w:r>
          </w:p>
        </w:tc>
      </w:tr>
      <w:tr w:rsidR="00184063" w:rsidRPr="00184063" w:rsidTr="004C696E">
        <w:tc>
          <w:tcPr>
            <w:tcW w:w="9212" w:type="dxa"/>
            <w:shd w:val="clear" w:color="auto" w:fill="auto"/>
          </w:tcPr>
          <w:p w:rsidR="00A6658E" w:rsidRPr="00A6658E" w:rsidRDefault="00184063" w:rsidP="008A0C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A6658E" w:rsidRPr="00A6658E">
              <w:rPr>
                <w:rFonts w:ascii="Times New Roman" w:hAnsi="Times New Roman"/>
                <w:sz w:val="24"/>
                <w:szCs w:val="24"/>
                <w:u w:val="single"/>
              </w:rPr>
              <w:t>Žiadatelia o vydanie povolenia na prevádzkovanie ambulancie dopravnej zdravotnej služby, pričom každý žiadateľ bude povinný uhradiť:</w:t>
            </w:r>
          </w:p>
          <w:p w:rsidR="00A6658E" w:rsidRDefault="00A6658E" w:rsidP="00A6658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správny poplatok za vydanie povolenia vo výške </w:t>
            </w: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50 eur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A6658E" w:rsidRPr="00A6658E" w:rsidRDefault="00A6658E" w:rsidP="008A0C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58E">
              <w:rPr>
                <w:rFonts w:ascii="Times New Roman" w:hAnsi="Times New Roman"/>
                <w:bCs/>
                <w:sz w:val="24"/>
                <w:szCs w:val="24"/>
              </w:rPr>
              <w:t xml:space="preserve">poplatok za vydanie licencie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 xml:space="preserve">na výkon činnosti odborného zástupcu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o výške 66 eur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právnická osoba, alebo</w:t>
            </w:r>
          </w:p>
          <w:p w:rsidR="00A6658E" w:rsidRPr="00044661" w:rsidRDefault="00A6658E" w:rsidP="008A0CE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poplatok za vydanie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licencie na výkon zdravotníckeho povolania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vo výške 33 eur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fyzická osoba.</w:t>
            </w:r>
          </w:p>
          <w:p w:rsidR="00044661" w:rsidRPr="00A6658E" w:rsidRDefault="00044661" w:rsidP="00044661">
            <w:pPr>
              <w:pStyle w:val="Odsekzoznamu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658E" w:rsidRPr="00A6658E" w:rsidRDefault="00A6658E" w:rsidP="00A665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Navrhovanou úpravou sa ustanovili aj nové povinnosti pre poskytovateľov ambulancie dopravnej zdravotnej služby (§ 79 ods. 15 zákona č. 578/2004 Z. z.) a zároveň aj výška sankcií za ich porušenie (§ 82 ods. 1 zákona č. 578/2004 Z. z.), avšak nie je možné určiť vplyv na priame finančné náklady</w:t>
            </w:r>
            <w:r w:rsidR="00044661">
              <w:rPr>
                <w:rFonts w:ascii="Times New Roman" w:hAnsi="Times New Roman"/>
                <w:bCs/>
                <w:sz w:val="24"/>
                <w:szCs w:val="24"/>
              </w:rPr>
              <w:t xml:space="preserve">, vzhľadom na skutočnosť, že sa predpokladá, že navrhnuté povinnosti budú poskytovatelia ambulancie dopravnej zdravotnej služby dodržiavať.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A6658E" w:rsidRDefault="00A6658E" w:rsidP="008A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4661" w:rsidRPr="00A6658E" w:rsidRDefault="00044661" w:rsidP="0004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44661">
              <w:rPr>
                <w:rFonts w:ascii="Times New Roman" w:hAnsi="Times New Roman"/>
                <w:sz w:val="24"/>
                <w:szCs w:val="24"/>
                <w:u w:val="single"/>
              </w:rPr>
              <w:t>Žiadatelia o vydanie povolenia na prevádzkovanie ambulancie rýchlej zdravotnej pomoci „S“ - ich počet sa predpokladá 48, pričom každý žiad</w:t>
            </w:r>
            <w:r w:rsidRPr="00A6658E">
              <w:rPr>
                <w:rFonts w:ascii="Times New Roman" w:hAnsi="Times New Roman"/>
                <w:sz w:val="24"/>
                <w:szCs w:val="24"/>
                <w:u w:val="single"/>
              </w:rPr>
              <w:t>ateľ bude povinný uhradiť:</w:t>
            </w:r>
          </w:p>
          <w:p w:rsidR="00044661" w:rsidRDefault="00044661" w:rsidP="0004466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správny poplatok za vydanie povolenia vo výške </w:t>
            </w: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50 eur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044661" w:rsidRPr="00A6658E" w:rsidRDefault="00044661" w:rsidP="0004466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58E">
              <w:rPr>
                <w:rFonts w:ascii="Times New Roman" w:hAnsi="Times New Roman"/>
                <w:bCs/>
                <w:sz w:val="24"/>
                <w:szCs w:val="24"/>
              </w:rPr>
              <w:t xml:space="preserve">poplatok za vydanie licencie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 xml:space="preserve">na výkon činnosti odborného zástupcu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o výške 66 eur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právnická osoba, alebo</w:t>
            </w:r>
          </w:p>
          <w:p w:rsidR="00044661" w:rsidRPr="00044661" w:rsidRDefault="00044661" w:rsidP="0004466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poplatok za vydanie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licencie na výkon zdravotníckeho povolania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vo výške 33 eur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fyzická osoba.</w:t>
            </w:r>
          </w:p>
          <w:p w:rsidR="00A6658E" w:rsidRDefault="00A6658E" w:rsidP="008A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4661" w:rsidRDefault="00044661" w:rsidP="008A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Navrhovanou úpravou sa ustanovili aj nové povinnosti pre poskytovateľov ambulancií záchrannej zdravotnej služby (§ 5 zákona č. 579/2004 Z. z.) a zároveň aj výška sankcií za ich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porušenie (§ 6 zákona č. 579/2004 Z. z.), avšak nie je možné určiť vplyv na priame finančné náklady, vzhľadom na skutočnosť, že sa predpokladá, že navrhnuté povinnosti budú poskytovatelia ambulancie dopravnej zdravotnej služby dodržiavať.  </w:t>
            </w:r>
          </w:p>
          <w:p w:rsidR="00184063" w:rsidRPr="00184063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84063" w:rsidRPr="00184063" w:rsidTr="004C696E">
        <w:trPr>
          <w:trHeight w:val="146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lastRenderedPageBreak/>
              <w:t>3.3.2 Nepriame finančné náklady</w:t>
            </w:r>
          </w:p>
        </w:tc>
      </w:tr>
      <w:tr w:rsidR="00184063" w:rsidRPr="00184063" w:rsidTr="004C696E">
        <w:trPr>
          <w:trHeight w:val="396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</w:rPr>
              <w:t>Predkladaný návrh nemá dopad na nepriame finančné náklady MSP.</w:t>
            </w:r>
          </w:p>
        </w:tc>
      </w:tr>
      <w:tr w:rsidR="00184063" w:rsidRPr="00184063" w:rsidTr="004C696E">
        <w:trPr>
          <w:trHeight w:val="130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3.3.3 Administratívne náklady</w:t>
            </w:r>
          </w:p>
          <w:p w:rsidR="00DC77AC" w:rsidRPr="00A6658E" w:rsidRDefault="00184063" w:rsidP="00DC7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406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C77AC"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DC77AC" w:rsidRPr="00A6658E">
              <w:rPr>
                <w:rFonts w:ascii="Times New Roman" w:hAnsi="Times New Roman"/>
                <w:sz w:val="24"/>
                <w:szCs w:val="24"/>
                <w:u w:val="single"/>
              </w:rPr>
              <w:t>Žiadatelia o vydanie povolenia na prevádzkovanie ambulancie dopravnej zdravotnej služby, pričom každý žiadateľ bude povinný uhradiť:</w:t>
            </w:r>
          </w:p>
          <w:p w:rsidR="00DC77AC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správny poplatok za vydanie povolenia,</w:t>
            </w:r>
          </w:p>
          <w:p w:rsidR="00DC77AC" w:rsidRPr="00A6658E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58E">
              <w:rPr>
                <w:rFonts w:ascii="Times New Roman" w:hAnsi="Times New Roman"/>
                <w:bCs/>
                <w:sz w:val="24"/>
                <w:szCs w:val="24"/>
              </w:rPr>
              <w:t xml:space="preserve">poplatok za vydanie licencie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na výkon činnosti odborného zástupcu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právnická osoba, alebo</w:t>
            </w:r>
          </w:p>
          <w:p w:rsidR="00DC77AC" w:rsidRPr="00DC77AC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poplatok za vydanie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licencie na výkon zdravotníckeho povolania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fyzická osoba,</w:t>
            </w:r>
          </w:p>
          <w:p w:rsidR="00DC77AC" w:rsidRPr="00044661" w:rsidRDefault="00C834D5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dokumentáciu (doklady na vydanie povolenia) ustanovenú  §13 ods. 1 až 5 zákona č. 578/2004 Z. z.</w:t>
            </w:r>
          </w:p>
          <w:p w:rsidR="00DC77AC" w:rsidRDefault="00DC77AC" w:rsidP="00DC77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77AC" w:rsidRPr="00A6658E" w:rsidRDefault="00DC77AC" w:rsidP="00DC7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44661">
              <w:rPr>
                <w:rFonts w:ascii="Times New Roman" w:hAnsi="Times New Roman"/>
                <w:sz w:val="24"/>
                <w:szCs w:val="24"/>
                <w:u w:val="single"/>
              </w:rPr>
              <w:t>Žiadatelia o vydanie povolenia na prevádzkovanie ambulancie rýchlej zdravotnej pomoci „S“ - ich počet sa predpokladá 48, pričom každý žiad</w:t>
            </w:r>
            <w:r w:rsidRPr="00A6658E">
              <w:rPr>
                <w:rFonts w:ascii="Times New Roman" w:hAnsi="Times New Roman"/>
                <w:sz w:val="24"/>
                <w:szCs w:val="24"/>
                <w:u w:val="single"/>
              </w:rPr>
              <w:t>ateľ bude povinný uhradiť:</w:t>
            </w:r>
          </w:p>
          <w:p w:rsidR="00DC77AC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správny poplatok za vydanie povolenia</w:t>
            </w:r>
            <w:r w:rsidR="00647F8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C77AC" w:rsidRPr="00A6658E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58E">
              <w:rPr>
                <w:rFonts w:ascii="Times New Roman" w:hAnsi="Times New Roman"/>
                <w:bCs/>
                <w:sz w:val="24"/>
                <w:szCs w:val="24"/>
              </w:rPr>
              <w:t xml:space="preserve">poplatok za vydanie licencie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na výkon činnosti odborného zástupcu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právnická osoba, alebo</w:t>
            </w:r>
          </w:p>
          <w:p w:rsidR="00647F89" w:rsidRPr="00647F89" w:rsidRDefault="00DC77AC" w:rsidP="00DC77A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poplatok za vydanie </w:t>
            </w:r>
            <w:r w:rsidRPr="00A6658E">
              <w:rPr>
                <w:rFonts w:ascii="Times New Roman" w:hAnsi="Times New Roman"/>
                <w:sz w:val="24"/>
                <w:szCs w:val="24"/>
              </w:rPr>
              <w:t>licencie na výkon zdravotníckeho povolania</w:t>
            </w:r>
            <w:r>
              <w:rPr>
                <w:rFonts w:ascii="Times New Roman" w:hAnsi="Times New Roman"/>
                <w:sz w:val="24"/>
                <w:szCs w:val="24"/>
              </w:rPr>
              <w:t>, ak žiadateľom bude fyzická osoba</w:t>
            </w:r>
            <w:r w:rsidR="00647F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77AC" w:rsidRPr="00647F89" w:rsidRDefault="00647F89" w:rsidP="00647F8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dokumentáciu (doklady na vydanie povolenia) ustanovenú  §13 ods. 1 až 8 zákona č. 578/2004 Z. z.</w:t>
            </w:r>
            <w:r w:rsidR="00DC77AC" w:rsidRPr="00647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4063" w:rsidRPr="00184063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063" w:rsidRPr="00184063" w:rsidTr="004C696E"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7AC" w:rsidRPr="00184063" w:rsidTr="004C696E">
        <w:tc>
          <w:tcPr>
            <w:tcW w:w="9212" w:type="dxa"/>
            <w:shd w:val="clear" w:color="auto" w:fill="auto"/>
          </w:tcPr>
          <w:p w:rsidR="00DC77AC" w:rsidRPr="00184063" w:rsidRDefault="00DC77AC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063" w:rsidRPr="00184063" w:rsidTr="00866718">
        <w:trPr>
          <w:trHeight w:val="1408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3.3.4 Súhrnná tabuľka nákladov regulácie</w:t>
            </w:r>
          </w:p>
          <w:p w:rsidR="00647F89" w:rsidRPr="00647F89" w:rsidRDefault="00647F89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47F8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Pozitívny vplyv</w:t>
            </w:r>
          </w:p>
          <w:p w:rsidR="00647F89" w:rsidRDefault="00DC77AC" w:rsidP="00DC7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063">
              <w:rPr>
                <w:rFonts w:ascii="Times New Roman" w:hAnsi="Times New Roman"/>
                <w:sz w:val="24"/>
                <w:szCs w:val="24"/>
              </w:rPr>
              <w:t xml:space="preserve">          Navrhovaná úprava predpokladá </w:t>
            </w:r>
            <w:r w:rsidRPr="00866718">
              <w:rPr>
                <w:rFonts w:ascii="Times New Roman" w:hAnsi="Times New Roman"/>
                <w:sz w:val="24"/>
                <w:szCs w:val="24"/>
              </w:rPr>
              <w:t>pozitívny vplyv pre</w:t>
            </w:r>
            <w:r w:rsidRPr="00184063">
              <w:rPr>
                <w:rFonts w:ascii="Times New Roman" w:hAnsi="Times New Roman"/>
                <w:sz w:val="24"/>
                <w:szCs w:val="24"/>
              </w:rPr>
              <w:t xml:space="preserve"> tých poskytovateľov, ktorí budú úspešní vo výberovom konaní. Predpokladá sa v prípade ambulancie rýchlej zdravotnej pomoci „S“ pevná suma vo výške  cca 21 525 eur/ na jednu ambulanciu rýchlej zdravotnej pomoci „S“ na jeden mesiac. Prevádzka ambulancií rýchlej zdravotnej pomoci „S“ sa plánuje od 1. januára 2020.</w:t>
            </w:r>
            <w:r w:rsidR="00647F89">
              <w:rPr>
                <w:rFonts w:ascii="Times New Roman" w:hAnsi="Times New Roman"/>
                <w:sz w:val="24"/>
                <w:szCs w:val="24"/>
              </w:rPr>
              <w:t xml:space="preserve"> Predpokladá sa celkový počet 48 ambulancií rýchlej zdravotnej pomoci „S“. V pevnej cene na jednu ambulanciu </w:t>
            </w:r>
            <w:r w:rsidR="00647F89" w:rsidRPr="00184063">
              <w:rPr>
                <w:rFonts w:ascii="Times New Roman" w:hAnsi="Times New Roman"/>
                <w:sz w:val="24"/>
                <w:szCs w:val="24"/>
              </w:rPr>
              <w:t>rýchlej zdravotnej pomoci „S“ na jeden mesiac</w:t>
            </w:r>
            <w:r w:rsidR="00647F89">
              <w:rPr>
                <w:rFonts w:ascii="Times New Roman" w:hAnsi="Times New Roman"/>
                <w:sz w:val="24"/>
                <w:szCs w:val="24"/>
              </w:rPr>
              <w:t xml:space="preserve"> sú zahrnuté celkové náklady na prevádzku tejto ambulancie vrátanie miezd zdravotníckych pracovníkov.</w:t>
            </w:r>
          </w:p>
          <w:p w:rsidR="00DC77AC" w:rsidRPr="00184063" w:rsidRDefault="00647F89" w:rsidP="00DC7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V prípade ambulancie dopravnej </w:t>
            </w:r>
            <w:r w:rsidR="00866718">
              <w:rPr>
                <w:rFonts w:ascii="Times New Roman" w:hAnsi="Times New Roman"/>
                <w:sz w:val="24"/>
                <w:szCs w:val="24"/>
              </w:rPr>
              <w:t>zdravotnej služby sa plánuje cena dohodou medzi zdravotnými poisťovňami a samotným poskytovateľom ambulancie dopravnej zdravotnej služby.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84063" w:rsidRDefault="00866718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6671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Negatívny vplyv</w:t>
            </w:r>
          </w:p>
          <w:p w:rsidR="00866718" w:rsidRDefault="00866718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93"/>
              <w:gridCol w:w="2994"/>
              <w:gridCol w:w="2994"/>
            </w:tblGrid>
            <w:tr w:rsidR="00866718" w:rsidRPr="00184063" w:rsidTr="00F4336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Náklady na 1 podnikateľa</w:t>
                  </w:r>
                </w:p>
                <w:p w:rsidR="00BF3D6F" w:rsidRPr="00BF3D6F" w:rsidRDefault="00BF3D6F" w:rsidP="00BF3D6F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maximálna výška</w:t>
                  </w:r>
                  <w:bookmarkStart w:id="0" w:name="_GoBack"/>
                  <w:bookmarkEnd w:id="0"/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Náklady na celé podnikateľské prostredie</w:t>
                  </w:r>
                  <w:r w:rsidR="00BF3D6F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</w:t>
                  </w:r>
                </w:p>
                <w:p w:rsidR="00BF3D6F" w:rsidRPr="00184063" w:rsidRDefault="00BF3D6F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maximálna výška</w:t>
                  </w:r>
                </w:p>
              </w:tc>
            </w:tr>
            <w:tr w:rsidR="00866718" w:rsidRPr="00184063" w:rsidTr="00F4336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8667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56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Pr="0018406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50 eur jednorázovo</w:t>
                  </w: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26 952. 00 jednorázovo</w:t>
                  </w:r>
                  <w:r w:rsidR="004660ED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,</w:t>
                  </w:r>
                </w:p>
                <w:p w:rsidR="004660ED" w:rsidRPr="00184063" w:rsidRDefault="004660ED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 xml:space="preserve">avšak nie je možné v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lastRenderedPageBreak/>
                    <w:t>prípade ambulancie dopravnej zdravotnej služby určiť počet</w:t>
                  </w:r>
                </w:p>
              </w:tc>
            </w:tr>
            <w:tr w:rsidR="00866718" w:rsidRPr="00184063" w:rsidTr="00F4336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lastRenderedPageBreak/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4660ED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</w:t>
                  </w:r>
                </w:p>
              </w:tc>
            </w:tr>
            <w:tr w:rsidR="00866718" w:rsidRPr="00184063" w:rsidTr="00F4336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8667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-</w:t>
                  </w:r>
                  <w:r w:rsidRPr="00184063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</w:tr>
            <w:tr w:rsidR="00866718" w:rsidRPr="00184063" w:rsidTr="00F43369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66718" w:rsidP="00F4336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Pr="00184063" w:rsidRDefault="008C0D4E" w:rsidP="004660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18406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56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Pr="0018406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50 eur jednorázovo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</w:t>
                  </w:r>
                  <w:r w:rsidR="004660ED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 xml:space="preserve"> avšak nie je možné v prípade ambulancie dopravnej zdravotnej služby určiť počet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6718" w:rsidRDefault="00866718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26 952. 00 jednorázovo</w:t>
                  </w:r>
                  <w:r w:rsidR="004660ED"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,</w:t>
                  </w:r>
                </w:p>
                <w:p w:rsidR="004660ED" w:rsidRPr="00184063" w:rsidRDefault="004660ED" w:rsidP="00F433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avšak nie je možné v prípade ambulancie dopravnej zdravotnej služby určiť počet</w:t>
                  </w:r>
                </w:p>
              </w:tc>
            </w:tr>
          </w:tbl>
          <w:p w:rsidR="00866718" w:rsidRDefault="00866718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09138C" w:rsidRDefault="0009138C" w:rsidP="000913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</w:t>
            </w:r>
            <w:r w:rsidR="004E7756"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>Náklady na 1 podnikateľa</w:t>
            </w:r>
            <w:r w:rsidR="004E7756"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7756">
              <w:rPr>
                <w:rFonts w:ascii="Times New Roman" w:hAnsi="Times New Roman"/>
                <w:bCs/>
                <w:sz w:val="24"/>
                <w:szCs w:val="24"/>
              </w:rPr>
              <w:t xml:space="preserve">vo výške </w:t>
            </w:r>
            <w:r w:rsidR="004E7756" w:rsidRPr="00184063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="004E775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E7756" w:rsidRPr="00184063">
              <w:rPr>
                <w:rFonts w:ascii="Times New Roman" w:hAnsi="Times New Roman"/>
                <w:bCs/>
                <w:sz w:val="24"/>
                <w:szCs w:val="24"/>
              </w:rPr>
              <w:t>. 50 eur jednorázovo</w:t>
            </w:r>
            <w:r w:rsidR="004E7756">
              <w:rPr>
                <w:rFonts w:ascii="Times New Roman" w:hAnsi="Times New Roman"/>
                <w:bCs/>
                <w:sz w:val="24"/>
                <w:szCs w:val="24"/>
              </w:rPr>
              <w:t xml:space="preserve"> obsahuj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ú</w:t>
            </w:r>
            <w:r w:rsidR="004E77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5CB9">
              <w:rPr>
                <w:rFonts w:ascii="Times New Roman" w:hAnsi="Times New Roman"/>
                <w:bCs/>
                <w:sz w:val="24"/>
                <w:szCs w:val="24"/>
              </w:rPr>
              <w:t xml:space="preserve">správny poplatok vo výške </w:t>
            </w:r>
            <w:r w:rsidR="009F5CB9" w:rsidRPr="00184063">
              <w:rPr>
                <w:rFonts w:ascii="Times New Roman" w:hAnsi="Times New Roman"/>
                <w:bCs/>
                <w:sz w:val="24"/>
                <w:szCs w:val="24"/>
              </w:rPr>
              <w:t>495</w:t>
            </w:r>
            <w:r w:rsidR="009F5C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F5CB9" w:rsidRPr="00184063">
              <w:rPr>
                <w:rFonts w:ascii="Times New Roman" w:hAnsi="Times New Roman"/>
                <w:bCs/>
                <w:sz w:val="24"/>
                <w:szCs w:val="24"/>
              </w:rPr>
              <w:t xml:space="preserve"> 50 eur</w:t>
            </w:r>
            <w:r w:rsidR="009F5CB9">
              <w:rPr>
                <w:rFonts w:ascii="Times New Roman" w:hAnsi="Times New Roman"/>
                <w:bCs/>
                <w:sz w:val="24"/>
                <w:szCs w:val="24"/>
              </w:rPr>
              <w:t xml:space="preserve"> + poplatok za vydanie licencie vo výške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 eur. Ak pôjde o žiadateľa fyzickú osobu bude to o 33 eur menej, teda 528. 50 eur.</w:t>
            </w:r>
          </w:p>
          <w:p w:rsidR="0009138C" w:rsidRDefault="0009138C" w:rsidP="004C69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E7756" w:rsidRPr="00866718" w:rsidRDefault="0009138C" w:rsidP="0009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</w:t>
            </w: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>Náklady na celé podnikateľské prostredie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obsahuje náklady na jedného podnikateľa násobené číslom 48, teda plánovaným počtom ambulancií rýchlej zdravotnej pomoci „S“ .</w:t>
            </w:r>
          </w:p>
          <w:p w:rsidR="00866718" w:rsidRPr="00184063" w:rsidRDefault="00866718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184063" w:rsidRPr="00184063" w:rsidTr="004C696E"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lastRenderedPageBreak/>
              <w:t>3.4 Konkurencieschopnosť a správanie sa podnikov na trhu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  </w:t>
            </w: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- </w:t>
            </w: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 w:rsidR="00184063" w:rsidRPr="00184063" w:rsidTr="004C696E"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Dochádza k vytvoreniu bariér pre vstup na trh pre nových dodávateľov alebo poskytovateľov služieb? Bude mať navrhovaná zmena za následok prísnejšiu reguláciu správania sa niektorých podnikov?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Bude sa s niektorými podnikmi alebo produktmi zaobchádzať v porovnateľnej situácii rôzne (špeciálne režimy pre </w:t>
            </w:r>
            <w:proofErr w:type="spellStart"/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mikro</w:t>
            </w:r>
            <w:proofErr w:type="spellEnd"/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, malé a stredné podniky tzv. MSP)? Ak áno, popíšte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Ako ovplyvní cenu alebo dostupnosť základných zdrojov (suroviny, mechanizmy, pracovná sila, energie atď.)?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Ovplyvňuje prístup k financiám? Ak áno, ako?</w:t>
            </w:r>
          </w:p>
        </w:tc>
      </w:tr>
      <w:tr w:rsidR="00184063" w:rsidRPr="00184063" w:rsidTr="004C696E">
        <w:trPr>
          <w:trHeight w:val="492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Návrh nemá vplyv na konkurencie schopnosť a správanie sa podnikov.</w:t>
            </w:r>
            <w:r w:rsidR="004660E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Podmienky sú jednoznačne ustanovené zákonom a každý žiadateľ je povinný ich splniť.</w:t>
            </w:r>
            <w:r w:rsidR="003C48C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84063" w:rsidRPr="00184063" w:rsidTr="004C696E">
        <w:tc>
          <w:tcPr>
            <w:tcW w:w="9212" w:type="dxa"/>
            <w:shd w:val="clear" w:color="auto" w:fill="D9D9D9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3.5 Inovácie 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- </w:t>
            </w:r>
            <w:r w:rsidRPr="0018406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 w:rsidR="00184063" w:rsidRPr="00184063" w:rsidTr="004C696E"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Uveďte, ako podporuje navrhovaná zmena inovácie.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Zjednodušuje uvedenie alebo rozšírenie nových výrobných metód, technológií a výrobkov na trh?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Uveďte, ako vplýva navrhovaná zmena na jednotlivé práva duševného vlastníctva (napr. patenty, ochranné známky, autorské práva, vlastníctvo </w:t>
            </w:r>
            <w:proofErr w:type="spellStart"/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know-how</w:t>
            </w:r>
            <w:proofErr w:type="spellEnd"/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).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Podporuje vyššiu efektivitu výroby/využívania zdrojov? Ak áno, ako?</w:t>
            </w:r>
          </w:p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Vytvorí zmena nové pracovné miesta pre zamestnancov výskumu a vývoja v SR?</w:t>
            </w:r>
          </w:p>
        </w:tc>
      </w:tr>
      <w:tr w:rsidR="00184063" w:rsidRPr="00184063" w:rsidTr="004C696E">
        <w:trPr>
          <w:trHeight w:val="532"/>
        </w:trPr>
        <w:tc>
          <w:tcPr>
            <w:tcW w:w="9212" w:type="dxa"/>
            <w:shd w:val="clear" w:color="auto" w:fill="auto"/>
          </w:tcPr>
          <w:p w:rsidR="00184063" w:rsidRPr="00184063" w:rsidRDefault="00184063" w:rsidP="004C6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>Navrhovaný materiál nemá dopad na inovácie v</w:t>
            </w:r>
            <w:r w:rsidR="003C48C0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 w:rsidRPr="00184063">
              <w:rPr>
                <w:rFonts w:ascii="Times New Roman" w:hAnsi="Times New Roman"/>
                <w:sz w:val="24"/>
                <w:szCs w:val="24"/>
                <w:lang w:eastAsia="sk-SK"/>
              </w:rPr>
              <w:t>sektore</w:t>
            </w:r>
            <w:r w:rsidR="003C48C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</w:tc>
      </w:tr>
    </w:tbl>
    <w:p w:rsidR="00184063" w:rsidRPr="00184063" w:rsidRDefault="00184063" w:rsidP="00184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63" w:rsidRPr="00184063" w:rsidRDefault="00184063" w:rsidP="00184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63" w:rsidRPr="00184063" w:rsidRDefault="00184063" w:rsidP="00184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063" w:rsidRPr="00184063" w:rsidRDefault="00184063" w:rsidP="00184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AE8" w:rsidRPr="00184063" w:rsidRDefault="00C46AE8"/>
    <w:sectPr w:rsidR="00C46AE8" w:rsidRPr="0018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3697"/>
    <w:multiLevelType w:val="hybridMultilevel"/>
    <w:tmpl w:val="927C3716"/>
    <w:lvl w:ilvl="0" w:tplc="D65C43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63"/>
    <w:rsid w:val="00044661"/>
    <w:rsid w:val="0009138C"/>
    <w:rsid w:val="00184063"/>
    <w:rsid w:val="003C48C0"/>
    <w:rsid w:val="004660ED"/>
    <w:rsid w:val="004E7756"/>
    <w:rsid w:val="00647F89"/>
    <w:rsid w:val="00866718"/>
    <w:rsid w:val="008A0CED"/>
    <w:rsid w:val="008C0D4E"/>
    <w:rsid w:val="008F4450"/>
    <w:rsid w:val="009F5CB9"/>
    <w:rsid w:val="00A6658E"/>
    <w:rsid w:val="00BE097D"/>
    <w:rsid w:val="00BF3D6F"/>
    <w:rsid w:val="00C46AE8"/>
    <w:rsid w:val="00C834D5"/>
    <w:rsid w:val="00D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063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063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Kontrová Ľubica</cp:lastModifiedBy>
  <cp:revision>9</cp:revision>
  <dcterms:created xsi:type="dcterms:W3CDTF">2019-01-07T12:50:00Z</dcterms:created>
  <dcterms:modified xsi:type="dcterms:W3CDTF">2019-02-14T13:24:00Z</dcterms:modified>
</cp:coreProperties>
</file>