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E86" w:rsidRPr="00380E86" w:rsidRDefault="00380E86" w:rsidP="00380E86">
      <w:pPr>
        <w:spacing w:after="0" w:line="240" w:lineRule="auto"/>
        <w:jc w:val="center"/>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Analýza vplyvov na rozpočet verejnej správy,</w:t>
      </w:r>
    </w:p>
    <w:p w:rsidR="00380E86" w:rsidRPr="00380E86" w:rsidRDefault="00380E86" w:rsidP="00380E86">
      <w:pPr>
        <w:spacing w:after="0" w:line="240" w:lineRule="auto"/>
        <w:jc w:val="center"/>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na zamestnanosť vo verejnej správe a financovanie návrhu</w:t>
      </w:r>
    </w:p>
    <w:p w:rsidR="00380E86" w:rsidRPr="00380E86" w:rsidRDefault="00380E86" w:rsidP="00380E86">
      <w:pPr>
        <w:spacing w:after="0" w:line="240" w:lineRule="auto"/>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2.1 Zhrnutie vplyvov na rozpočet verejnej správy v návrhu</w:t>
      </w:r>
    </w:p>
    <w:p w:rsidR="00380E86" w:rsidRPr="00380E86" w:rsidRDefault="00380E86" w:rsidP="00380E86">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 xml:space="preserve">Tabuľka č. 1 </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1"/>
        <w:gridCol w:w="1267"/>
        <w:gridCol w:w="1441"/>
        <w:gridCol w:w="1485"/>
        <w:gridCol w:w="1516"/>
      </w:tblGrid>
      <w:tr w:rsidR="00380E86" w:rsidRPr="00380E86" w:rsidTr="004C696E">
        <w:trPr>
          <w:cantSplit/>
          <w:trHeight w:val="194"/>
          <w:jc w:val="center"/>
        </w:trPr>
        <w:tc>
          <w:tcPr>
            <w:tcW w:w="3731" w:type="dxa"/>
            <w:vMerge w:val="restart"/>
            <w:shd w:val="clear" w:color="auto" w:fill="BFBFBF"/>
            <w:vAlign w:val="center"/>
          </w:tcPr>
          <w:p w:rsidR="00380E86" w:rsidRPr="00380E86" w:rsidRDefault="00380E86" w:rsidP="004C696E">
            <w:pPr>
              <w:spacing w:after="0" w:line="240" w:lineRule="auto"/>
              <w:jc w:val="center"/>
              <w:rPr>
                <w:rFonts w:ascii="Times New Roman" w:eastAsia="Times New Roman" w:hAnsi="Times New Roman"/>
                <w:b/>
                <w:bCs/>
                <w:sz w:val="24"/>
                <w:szCs w:val="24"/>
                <w:lang w:eastAsia="sk-SK"/>
              </w:rPr>
            </w:pPr>
            <w:bookmarkStart w:id="0" w:name="OLE_LINK1"/>
            <w:r w:rsidRPr="00380E86">
              <w:rPr>
                <w:rFonts w:ascii="Times New Roman" w:eastAsia="Times New Roman" w:hAnsi="Times New Roman"/>
                <w:b/>
                <w:bCs/>
                <w:sz w:val="24"/>
                <w:szCs w:val="24"/>
                <w:lang w:eastAsia="sk-SK"/>
              </w:rPr>
              <w:t>Vplyvy na rozpočet verejnej správy</w:t>
            </w:r>
          </w:p>
        </w:tc>
        <w:tc>
          <w:tcPr>
            <w:tcW w:w="5709" w:type="dxa"/>
            <w:gridSpan w:val="4"/>
            <w:shd w:val="clear" w:color="auto" w:fill="BFBFBF"/>
            <w:vAlign w:val="center"/>
          </w:tcPr>
          <w:p w:rsidR="00380E86" w:rsidRPr="00380E86" w:rsidRDefault="00380E86" w:rsidP="004C696E">
            <w:pPr>
              <w:spacing w:after="0" w:line="240" w:lineRule="auto"/>
              <w:jc w:val="center"/>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Vplyv na rozpočet verejnej správy (v eurách)</w:t>
            </w:r>
          </w:p>
        </w:tc>
      </w:tr>
      <w:tr w:rsidR="00380E86" w:rsidRPr="00380E86" w:rsidTr="004C696E">
        <w:trPr>
          <w:cantSplit/>
          <w:trHeight w:val="70"/>
          <w:jc w:val="center"/>
        </w:trPr>
        <w:tc>
          <w:tcPr>
            <w:tcW w:w="3731" w:type="dxa"/>
            <w:vMerge/>
            <w:shd w:val="clear" w:color="auto" w:fill="BFBFBF"/>
            <w:vAlign w:val="center"/>
          </w:tcPr>
          <w:p w:rsidR="00380E86" w:rsidRPr="00380E86" w:rsidRDefault="00380E86" w:rsidP="004C696E">
            <w:pPr>
              <w:spacing w:after="0" w:line="240" w:lineRule="auto"/>
              <w:jc w:val="center"/>
              <w:rPr>
                <w:rFonts w:ascii="Times New Roman" w:eastAsia="Times New Roman" w:hAnsi="Times New Roman"/>
                <w:b/>
                <w:bCs/>
                <w:sz w:val="24"/>
                <w:szCs w:val="24"/>
                <w:lang w:eastAsia="sk-SK"/>
              </w:rPr>
            </w:pPr>
          </w:p>
        </w:tc>
        <w:tc>
          <w:tcPr>
            <w:tcW w:w="1267" w:type="dxa"/>
            <w:shd w:val="clear" w:color="auto" w:fill="BFBFBF"/>
            <w:vAlign w:val="center"/>
          </w:tcPr>
          <w:p w:rsidR="00380E86" w:rsidRPr="00380E86" w:rsidRDefault="00380E86" w:rsidP="004C696E">
            <w:pPr>
              <w:spacing w:after="0" w:line="240" w:lineRule="auto"/>
              <w:jc w:val="center"/>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2019</w:t>
            </w:r>
          </w:p>
        </w:tc>
        <w:tc>
          <w:tcPr>
            <w:tcW w:w="1441" w:type="dxa"/>
            <w:shd w:val="clear" w:color="auto" w:fill="BFBFBF"/>
            <w:vAlign w:val="center"/>
          </w:tcPr>
          <w:p w:rsidR="00380E86" w:rsidRPr="00380E86" w:rsidRDefault="00380E86" w:rsidP="004C696E">
            <w:pPr>
              <w:spacing w:after="0" w:line="240" w:lineRule="auto"/>
              <w:ind w:right="225"/>
              <w:jc w:val="center"/>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2020</w:t>
            </w:r>
          </w:p>
        </w:tc>
        <w:tc>
          <w:tcPr>
            <w:tcW w:w="1485" w:type="dxa"/>
            <w:shd w:val="clear" w:color="auto" w:fill="BFBFBF"/>
            <w:vAlign w:val="center"/>
          </w:tcPr>
          <w:p w:rsidR="00380E86" w:rsidRPr="00380E86" w:rsidRDefault="00380E86" w:rsidP="004E2CC5">
            <w:pPr>
              <w:spacing w:after="0" w:line="240" w:lineRule="auto"/>
              <w:jc w:val="center"/>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202</w:t>
            </w:r>
            <w:r w:rsidR="004E2CC5">
              <w:rPr>
                <w:rFonts w:ascii="Times New Roman" w:eastAsia="Times New Roman" w:hAnsi="Times New Roman"/>
                <w:b/>
                <w:bCs/>
                <w:sz w:val="24"/>
                <w:szCs w:val="24"/>
                <w:lang w:eastAsia="sk-SK"/>
              </w:rPr>
              <w:t>1</w:t>
            </w:r>
          </w:p>
        </w:tc>
        <w:tc>
          <w:tcPr>
            <w:tcW w:w="1516" w:type="dxa"/>
            <w:shd w:val="clear" w:color="auto" w:fill="BFBFBF"/>
            <w:vAlign w:val="center"/>
          </w:tcPr>
          <w:p w:rsidR="00380E86" w:rsidRPr="00380E86" w:rsidRDefault="00380E86" w:rsidP="004E2CC5">
            <w:pPr>
              <w:spacing w:after="0" w:line="240" w:lineRule="auto"/>
              <w:jc w:val="center"/>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202</w:t>
            </w:r>
            <w:r w:rsidR="004E2CC5">
              <w:rPr>
                <w:rFonts w:ascii="Times New Roman" w:eastAsia="Times New Roman" w:hAnsi="Times New Roman"/>
                <w:b/>
                <w:bCs/>
                <w:sz w:val="24"/>
                <w:szCs w:val="24"/>
                <w:lang w:eastAsia="sk-SK"/>
              </w:rPr>
              <w:t>2</w:t>
            </w:r>
          </w:p>
        </w:tc>
      </w:tr>
      <w:tr w:rsidR="00380E86" w:rsidRPr="00380E86" w:rsidTr="004C696E">
        <w:trPr>
          <w:trHeight w:val="70"/>
          <w:jc w:val="center"/>
        </w:trPr>
        <w:tc>
          <w:tcPr>
            <w:tcW w:w="3731" w:type="dxa"/>
            <w:shd w:val="clear" w:color="auto" w:fill="C0C0C0"/>
            <w:noWrap/>
            <w:vAlign w:val="center"/>
          </w:tcPr>
          <w:p w:rsidR="00380E86" w:rsidRPr="00380E86" w:rsidRDefault="00380E86" w:rsidP="004C696E">
            <w:pPr>
              <w:spacing w:after="0" w:line="240" w:lineRule="auto"/>
              <w:rPr>
                <w:rFonts w:ascii="Times New Roman" w:eastAsia="Times New Roman" w:hAnsi="Times New Roman"/>
                <w:sz w:val="24"/>
                <w:szCs w:val="24"/>
                <w:lang w:eastAsia="sk-SK"/>
              </w:rPr>
            </w:pPr>
            <w:r w:rsidRPr="00380E86">
              <w:rPr>
                <w:rFonts w:ascii="Times New Roman" w:eastAsia="Times New Roman" w:hAnsi="Times New Roman"/>
                <w:b/>
                <w:bCs/>
                <w:sz w:val="24"/>
                <w:szCs w:val="24"/>
                <w:lang w:eastAsia="sk-SK"/>
              </w:rPr>
              <w:t>Príjmy verejnej správy celkom</w:t>
            </w:r>
          </w:p>
        </w:tc>
        <w:tc>
          <w:tcPr>
            <w:tcW w:w="1267" w:type="dxa"/>
            <w:shd w:val="clear" w:color="auto" w:fill="C0C0C0"/>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c>
          <w:tcPr>
            <w:tcW w:w="1441" w:type="dxa"/>
            <w:shd w:val="clear" w:color="auto" w:fill="C0C0C0"/>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c>
          <w:tcPr>
            <w:tcW w:w="1485" w:type="dxa"/>
            <w:shd w:val="clear" w:color="auto" w:fill="C0C0C0"/>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c>
          <w:tcPr>
            <w:tcW w:w="1516" w:type="dxa"/>
            <w:shd w:val="clear" w:color="auto" w:fill="C0C0C0"/>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r>
      <w:tr w:rsidR="00380E86" w:rsidRPr="00380E86" w:rsidTr="004C696E">
        <w:trPr>
          <w:trHeight w:val="132"/>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v tom: za každý subjekt verejnej správy zvlášť</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xml:space="preserve">z toho:  </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p>
        </w:tc>
      </w:tr>
      <w:tr w:rsidR="00380E86" w:rsidRPr="00380E86" w:rsidTr="004C696E">
        <w:trPr>
          <w:trHeight w:val="125"/>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ŠR</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125"/>
          <w:jc w:val="center"/>
        </w:trPr>
        <w:tc>
          <w:tcPr>
            <w:tcW w:w="3731" w:type="dxa"/>
            <w:noWrap/>
            <w:vAlign w:val="center"/>
          </w:tcPr>
          <w:p w:rsidR="00380E86" w:rsidRPr="00380E86" w:rsidRDefault="00380E86" w:rsidP="004C696E">
            <w:pPr>
              <w:spacing w:after="0" w:line="240" w:lineRule="auto"/>
              <w:ind w:left="259"/>
              <w:rPr>
                <w:rFonts w:ascii="Times New Roman" w:eastAsia="Times New Roman" w:hAnsi="Times New Roman"/>
                <w:b/>
                <w:bCs/>
                <w:i/>
                <w:iCs/>
                <w:sz w:val="24"/>
                <w:szCs w:val="24"/>
                <w:lang w:eastAsia="sk-SK"/>
              </w:rPr>
            </w:pPr>
            <w:r w:rsidRPr="00380E86">
              <w:rPr>
                <w:rFonts w:ascii="Times New Roman" w:eastAsia="Times New Roman" w:hAnsi="Times New Roman"/>
                <w:bCs/>
                <w:i/>
                <w:iCs/>
                <w:sz w:val="24"/>
                <w:szCs w:val="24"/>
                <w:lang w:eastAsia="sk-SK"/>
              </w:rPr>
              <w:t>Rozpočtové prostriedky</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125"/>
          <w:jc w:val="center"/>
        </w:trPr>
        <w:tc>
          <w:tcPr>
            <w:tcW w:w="3731" w:type="dxa"/>
            <w:noWrap/>
            <w:vAlign w:val="center"/>
          </w:tcPr>
          <w:p w:rsidR="00380E86" w:rsidRPr="00380E86" w:rsidRDefault="00380E86" w:rsidP="004C696E">
            <w:pPr>
              <w:spacing w:after="0" w:line="240" w:lineRule="auto"/>
              <w:ind w:left="259"/>
              <w:rPr>
                <w:rFonts w:ascii="Times New Roman" w:eastAsia="Times New Roman" w:hAnsi="Times New Roman"/>
                <w:bCs/>
                <w:i/>
                <w:iCs/>
                <w:sz w:val="24"/>
                <w:szCs w:val="24"/>
                <w:lang w:eastAsia="sk-SK"/>
              </w:rPr>
            </w:pPr>
            <w:r w:rsidRPr="00380E86">
              <w:rPr>
                <w:rFonts w:ascii="Times New Roman" w:eastAsia="Times New Roman" w:hAnsi="Times New Roman"/>
                <w:bCs/>
                <w:i/>
                <w:iCs/>
                <w:sz w:val="24"/>
                <w:szCs w:val="24"/>
                <w:lang w:eastAsia="sk-SK"/>
              </w:rPr>
              <w:t>EÚ zdroje</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r>
      <w:tr w:rsidR="00380E86" w:rsidRPr="00380E86" w:rsidTr="004C696E">
        <w:trPr>
          <w:trHeight w:val="125"/>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obce</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125"/>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vyššie územné celky</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125"/>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ostatné subjekty verejnej správy</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125"/>
          <w:jc w:val="center"/>
        </w:trPr>
        <w:tc>
          <w:tcPr>
            <w:tcW w:w="3731" w:type="dxa"/>
            <w:shd w:val="clear" w:color="auto" w:fill="C0C0C0"/>
            <w:noWrap/>
            <w:vAlign w:val="center"/>
          </w:tcPr>
          <w:p w:rsidR="00380E86" w:rsidRPr="00380E86" w:rsidRDefault="00380E86" w:rsidP="004C696E">
            <w:pPr>
              <w:spacing w:after="0" w:line="240" w:lineRule="auto"/>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Výdavky verejnej správy celkom</w:t>
            </w:r>
          </w:p>
        </w:tc>
        <w:tc>
          <w:tcPr>
            <w:tcW w:w="1267" w:type="dxa"/>
            <w:shd w:val="clear" w:color="auto" w:fill="C0C0C0"/>
            <w:noWrap/>
            <w:vAlign w:val="center"/>
          </w:tcPr>
          <w:p w:rsidR="00380E86" w:rsidRPr="00281BE1" w:rsidRDefault="00281BE1" w:rsidP="00FE5A8F">
            <w:pPr>
              <w:spacing w:after="0" w:line="240" w:lineRule="auto"/>
              <w:jc w:val="right"/>
              <w:rPr>
                <w:rFonts w:ascii="Times New Roman" w:eastAsia="Times New Roman" w:hAnsi="Times New Roman"/>
                <w:b/>
                <w:bCs/>
                <w:sz w:val="20"/>
                <w:szCs w:val="20"/>
                <w:lang w:eastAsia="sk-SK"/>
              </w:rPr>
            </w:pPr>
            <w:r w:rsidRPr="00281BE1">
              <w:rPr>
                <w:rFonts w:ascii="Times New Roman" w:eastAsia="Times New Roman" w:hAnsi="Times New Roman"/>
                <w:b/>
                <w:bCs/>
                <w:sz w:val="20"/>
                <w:szCs w:val="20"/>
                <w:lang w:eastAsia="sk-SK"/>
              </w:rPr>
              <w:t>-</w:t>
            </w:r>
            <w:r w:rsidR="00FE5A8F">
              <w:rPr>
                <w:rFonts w:ascii="Times New Roman" w:eastAsia="Times New Roman" w:hAnsi="Times New Roman"/>
                <w:b/>
                <w:bCs/>
                <w:sz w:val="20"/>
                <w:szCs w:val="20"/>
                <w:lang w:eastAsia="sk-SK"/>
              </w:rPr>
              <w:t>114 211,50</w:t>
            </w:r>
            <w:r w:rsidRPr="00281BE1">
              <w:rPr>
                <w:rFonts w:ascii="Times New Roman" w:eastAsia="Times New Roman" w:hAnsi="Times New Roman"/>
                <w:b/>
                <w:bCs/>
                <w:sz w:val="20"/>
                <w:szCs w:val="20"/>
                <w:lang w:eastAsia="sk-SK"/>
              </w:rPr>
              <w:t xml:space="preserve"> </w:t>
            </w:r>
          </w:p>
        </w:tc>
        <w:tc>
          <w:tcPr>
            <w:tcW w:w="1441" w:type="dxa"/>
            <w:shd w:val="clear" w:color="auto" w:fill="C0C0C0"/>
            <w:noWrap/>
            <w:vAlign w:val="center"/>
          </w:tcPr>
          <w:p w:rsidR="00380E86" w:rsidRPr="00281BE1" w:rsidRDefault="00380E86" w:rsidP="00FE5A8F">
            <w:pPr>
              <w:spacing w:after="0" w:line="240" w:lineRule="auto"/>
              <w:jc w:val="right"/>
              <w:rPr>
                <w:rFonts w:ascii="Times New Roman" w:eastAsia="Times New Roman" w:hAnsi="Times New Roman"/>
                <w:b/>
                <w:bCs/>
                <w:sz w:val="20"/>
                <w:szCs w:val="20"/>
                <w:lang w:eastAsia="sk-SK"/>
              </w:rPr>
            </w:pPr>
            <w:r w:rsidRPr="00281BE1">
              <w:rPr>
                <w:rFonts w:ascii="Times New Roman" w:eastAsia="Times New Roman" w:hAnsi="Times New Roman"/>
                <w:b/>
                <w:bCs/>
                <w:sz w:val="20"/>
                <w:szCs w:val="20"/>
                <w:lang w:eastAsia="sk-SK"/>
              </w:rPr>
              <w:t>-</w:t>
            </w:r>
            <w:r w:rsidR="00281BE1" w:rsidRPr="00281BE1">
              <w:rPr>
                <w:rFonts w:ascii="Times New Roman" w:eastAsia="Times New Roman" w:hAnsi="Times New Roman"/>
                <w:b/>
                <w:bCs/>
                <w:sz w:val="20"/>
                <w:szCs w:val="20"/>
                <w:lang w:eastAsia="sk-SK"/>
              </w:rPr>
              <w:t>1</w:t>
            </w:r>
            <w:r w:rsidR="00FE5A8F">
              <w:rPr>
                <w:rFonts w:ascii="Times New Roman" w:eastAsia="Times New Roman" w:hAnsi="Times New Roman"/>
                <w:b/>
                <w:bCs/>
                <w:sz w:val="20"/>
                <w:szCs w:val="20"/>
                <w:lang w:eastAsia="sk-SK"/>
              </w:rPr>
              <w:t>2 855 246,00</w:t>
            </w:r>
            <w:r w:rsidR="00281BE1" w:rsidRPr="00281BE1">
              <w:rPr>
                <w:rFonts w:ascii="Times New Roman" w:eastAsia="Times New Roman" w:hAnsi="Times New Roman"/>
                <w:b/>
                <w:bCs/>
                <w:sz w:val="20"/>
                <w:szCs w:val="20"/>
                <w:lang w:eastAsia="sk-SK"/>
              </w:rPr>
              <w:t xml:space="preserve"> </w:t>
            </w:r>
          </w:p>
        </w:tc>
        <w:tc>
          <w:tcPr>
            <w:tcW w:w="1485" w:type="dxa"/>
            <w:shd w:val="clear" w:color="auto" w:fill="C0C0C0"/>
            <w:noWrap/>
            <w:vAlign w:val="center"/>
          </w:tcPr>
          <w:p w:rsidR="00380E86" w:rsidRPr="00281BE1" w:rsidRDefault="00FE5A8F" w:rsidP="004C696E">
            <w:pPr>
              <w:spacing w:after="0" w:line="240" w:lineRule="auto"/>
              <w:jc w:val="right"/>
              <w:rPr>
                <w:rFonts w:ascii="Times New Roman" w:eastAsia="Times New Roman" w:hAnsi="Times New Roman"/>
                <w:b/>
                <w:bCs/>
                <w:sz w:val="20"/>
                <w:szCs w:val="20"/>
                <w:lang w:eastAsia="sk-SK"/>
              </w:rPr>
            </w:pPr>
            <w:r w:rsidRPr="00281BE1">
              <w:rPr>
                <w:rFonts w:ascii="Times New Roman" w:eastAsia="Times New Roman" w:hAnsi="Times New Roman"/>
                <w:b/>
                <w:bCs/>
                <w:sz w:val="20"/>
                <w:szCs w:val="20"/>
                <w:lang w:eastAsia="sk-SK"/>
              </w:rPr>
              <w:t>-1</w:t>
            </w:r>
            <w:r>
              <w:rPr>
                <w:rFonts w:ascii="Times New Roman" w:eastAsia="Times New Roman" w:hAnsi="Times New Roman"/>
                <w:b/>
                <w:bCs/>
                <w:sz w:val="20"/>
                <w:szCs w:val="20"/>
                <w:lang w:eastAsia="sk-SK"/>
              </w:rPr>
              <w:t>2 855 246,00</w:t>
            </w:r>
          </w:p>
        </w:tc>
        <w:tc>
          <w:tcPr>
            <w:tcW w:w="1516" w:type="dxa"/>
            <w:shd w:val="clear" w:color="auto" w:fill="C0C0C0"/>
            <w:noWrap/>
            <w:vAlign w:val="center"/>
          </w:tcPr>
          <w:p w:rsidR="00380E86" w:rsidRPr="00281BE1" w:rsidRDefault="00FE5A8F" w:rsidP="00FE5A8F">
            <w:pPr>
              <w:spacing w:after="0" w:line="240" w:lineRule="auto"/>
              <w:jc w:val="right"/>
              <w:rPr>
                <w:rFonts w:ascii="Times New Roman" w:eastAsia="Times New Roman" w:hAnsi="Times New Roman"/>
                <w:b/>
                <w:bCs/>
                <w:sz w:val="20"/>
                <w:szCs w:val="20"/>
                <w:lang w:eastAsia="sk-SK"/>
              </w:rPr>
            </w:pPr>
            <w:r w:rsidRPr="00281BE1">
              <w:rPr>
                <w:rFonts w:ascii="Times New Roman" w:eastAsia="Times New Roman" w:hAnsi="Times New Roman"/>
                <w:b/>
                <w:bCs/>
                <w:sz w:val="20"/>
                <w:szCs w:val="20"/>
                <w:lang w:eastAsia="sk-SK"/>
              </w:rPr>
              <w:t>-1</w:t>
            </w:r>
            <w:r>
              <w:rPr>
                <w:rFonts w:ascii="Times New Roman" w:eastAsia="Times New Roman" w:hAnsi="Times New Roman"/>
                <w:b/>
                <w:bCs/>
                <w:sz w:val="20"/>
                <w:szCs w:val="20"/>
                <w:lang w:eastAsia="sk-SK"/>
              </w:rPr>
              <w:t>2 855 246,00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v tom: za každý subjekt verejnej správy / program zvlášť</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xml:space="preserve">z toho: </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ŠR</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ind w:left="259"/>
              <w:rPr>
                <w:rFonts w:ascii="Times New Roman" w:eastAsia="Times New Roman" w:hAnsi="Times New Roman"/>
                <w:b/>
                <w:bCs/>
                <w:i/>
                <w:iCs/>
                <w:sz w:val="24"/>
                <w:szCs w:val="24"/>
                <w:lang w:eastAsia="sk-SK"/>
              </w:rPr>
            </w:pPr>
            <w:r w:rsidRPr="00380E86">
              <w:rPr>
                <w:rFonts w:ascii="Times New Roman" w:eastAsia="Times New Roman" w:hAnsi="Times New Roman"/>
                <w:bCs/>
                <w:i/>
                <w:iCs/>
                <w:sz w:val="24"/>
                <w:szCs w:val="24"/>
                <w:lang w:eastAsia="sk-SK"/>
              </w:rPr>
              <w:t>Rozpočtové prostriedky</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Cs/>
                <w:i/>
                <w:iCs/>
                <w:sz w:val="24"/>
                <w:szCs w:val="24"/>
                <w:lang w:eastAsia="sk-SK"/>
              </w:rPr>
            </w:pPr>
            <w:r w:rsidRPr="00380E86">
              <w:rPr>
                <w:rFonts w:ascii="Times New Roman" w:eastAsia="Times New Roman" w:hAnsi="Times New Roman"/>
                <w:bCs/>
                <w:i/>
                <w:iCs/>
                <w:sz w:val="24"/>
                <w:szCs w:val="24"/>
                <w:lang w:eastAsia="sk-SK"/>
              </w:rPr>
              <w:t xml:space="preserve">    EÚ zdroje</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Cs/>
                <w:i/>
                <w:iCs/>
                <w:sz w:val="24"/>
                <w:szCs w:val="24"/>
                <w:lang w:eastAsia="sk-SK"/>
              </w:rPr>
            </w:pPr>
            <w:r w:rsidRPr="00380E86">
              <w:rPr>
                <w:rFonts w:ascii="Times New Roman" w:eastAsia="Times New Roman" w:hAnsi="Times New Roman"/>
                <w:bCs/>
                <w:i/>
                <w:iCs/>
                <w:sz w:val="24"/>
                <w:szCs w:val="24"/>
                <w:lang w:eastAsia="sk-SK"/>
              </w:rPr>
              <w:t xml:space="preserve">    spolufinancovanie</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0</w:t>
            </w:r>
          </w:p>
        </w:tc>
      </w:tr>
      <w:tr w:rsidR="00380E86" w:rsidRPr="00380E86" w:rsidTr="004C696E">
        <w:trPr>
          <w:trHeight w:val="125"/>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obce</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125"/>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vyššie územné celky</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sz w:val="24"/>
                <w:szCs w:val="24"/>
                <w:lang w:eastAsia="sk-SK"/>
              </w:rPr>
            </w:pPr>
            <w:r w:rsidRPr="00380E86">
              <w:rPr>
                <w:rFonts w:ascii="Times New Roman" w:eastAsia="Times New Roman" w:hAnsi="Times New Roman"/>
                <w:b/>
                <w:bCs/>
                <w:i/>
                <w:iCs/>
                <w:sz w:val="24"/>
                <w:szCs w:val="24"/>
                <w:lang w:eastAsia="sk-SK"/>
              </w:rPr>
              <w:t>- vplyv na ostatné subjekty verejnej správy</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70"/>
          <w:jc w:val="center"/>
        </w:trPr>
        <w:tc>
          <w:tcPr>
            <w:tcW w:w="3731" w:type="dxa"/>
            <w:shd w:val="clear" w:color="auto" w:fill="BFBFBF"/>
            <w:noWrap/>
            <w:vAlign w:val="center"/>
          </w:tcPr>
          <w:p w:rsidR="00380E86" w:rsidRPr="00380E86" w:rsidRDefault="00380E86" w:rsidP="004C696E">
            <w:pPr>
              <w:spacing w:after="0" w:line="240" w:lineRule="auto"/>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 xml:space="preserve">Vplyv na počet zamestnancov </w:t>
            </w:r>
          </w:p>
        </w:tc>
        <w:tc>
          <w:tcPr>
            <w:tcW w:w="1267" w:type="dxa"/>
            <w:shd w:val="clear" w:color="auto" w:fill="BFBFBF"/>
            <w:noWrap/>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c>
          <w:tcPr>
            <w:tcW w:w="1441" w:type="dxa"/>
            <w:shd w:val="clear" w:color="auto" w:fill="BFBFBF"/>
            <w:noWrap/>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c>
          <w:tcPr>
            <w:tcW w:w="1485" w:type="dxa"/>
            <w:shd w:val="clear" w:color="auto" w:fill="BFBFBF"/>
            <w:noWrap/>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c>
          <w:tcPr>
            <w:tcW w:w="1516" w:type="dxa"/>
            <w:shd w:val="clear" w:color="auto" w:fill="BFBFBF"/>
            <w:noWrap/>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ŠR</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obce</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vyššie územné celky</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ostatné subjekty verejnej správy</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70"/>
          <w:jc w:val="center"/>
        </w:trPr>
        <w:tc>
          <w:tcPr>
            <w:tcW w:w="3731" w:type="dxa"/>
            <w:shd w:val="clear" w:color="auto" w:fill="BFBFBF"/>
            <w:noWrap/>
            <w:vAlign w:val="center"/>
          </w:tcPr>
          <w:p w:rsidR="00380E86" w:rsidRPr="00380E86" w:rsidRDefault="00380E86" w:rsidP="004C696E">
            <w:pPr>
              <w:spacing w:after="0" w:line="240" w:lineRule="auto"/>
              <w:rPr>
                <w:rFonts w:ascii="Times New Roman" w:eastAsia="Times New Roman" w:hAnsi="Times New Roman"/>
                <w:b/>
                <w:sz w:val="24"/>
                <w:szCs w:val="24"/>
                <w:lang w:eastAsia="sk-SK"/>
              </w:rPr>
            </w:pPr>
            <w:r w:rsidRPr="00380E86">
              <w:rPr>
                <w:rFonts w:ascii="Times New Roman" w:eastAsia="Times New Roman" w:hAnsi="Times New Roman"/>
                <w:b/>
                <w:sz w:val="24"/>
                <w:szCs w:val="24"/>
                <w:lang w:eastAsia="sk-SK"/>
              </w:rPr>
              <w:t>Vplyv na mzdové výdavky</w:t>
            </w:r>
          </w:p>
        </w:tc>
        <w:tc>
          <w:tcPr>
            <w:tcW w:w="1267" w:type="dxa"/>
            <w:shd w:val="clear" w:color="auto" w:fill="BFBFBF"/>
            <w:noWrap/>
            <w:vAlign w:val="center"/>
          </w:tcPr>
          <w:p w:rsidR="00380E86" w:rsidRPr="00380E86" w:rsidRDefault="00380E86" w:rsidP="004C696E">
            <w:pPr>
              <w:spacing w:after="0" w:line="240" w:lineRule="auto"/>
              <w:jc w:val="right"/>
              <w:rPr>
                <w:rFonts w:ascii="Times New Roman" w:eastAsia="Times New Roman" w:hAnsi="Times New Roman"/>
                <w:b/>
                <w:sz w:val="24"/>
                <w:szCs w:val="24"/>
                <w:lang w:eastAsia="sk-SK"/>
              </w:rPr>
            </w:pPr>
            <w:r w:rsidRPr="00380E86">
              <w:rPr>
                <w:rFonts w:ascii="Times New Roman" w:eastAsia="Times New Roman" w:hAnsi="Times New Roman"/>
                <w:b/>
                <w:sz w:val="24"/>
                <w:szCs w:val="24"/>
                <w:lang w:eastAsia="sk-SK"/>
              </w:rPr>
              <w:t>0</w:t>
            </w:r>
          </w:p>
        </w:tc>
        <w:tc>
          <w:tcPr>
            <w:tcW w:w="1441" w:type="dxa"/>
            <w:shd w:val="clear" w:color="auto" w:fill="BFBFBF"/>
            <w:noWrap/>
            <w:vAlign w:val="center"/>
          </w:tcPr>
          <w:p w:rsidR="00380E86" w:rsidRPr="00380E86" w:rsidRDefault="00380E86" w:rsidP="004C696E">
            <w:pPr>
              <w:spacing w:after="0" w:line="240" w:lineRule="auto"/>
              <w:jc w:val="right"/>
              <w:rPr>
                <w:rFonts w:ascii="Times New Roman" w:eastAsia="Times New Roman" w:hAnsi="Times New Roman"/>
                <w:b/>
                <w:sz w:val="24"/>
                <w:szCs w:val="24"/>
                <w:lang w:eastAsia="sk-SK"/>
              </w:rPr>
            </w:pPr>
            <w:r w:rsidRPr="00380E86">
              <w:rPr>
                <w:rFonts w:ascii="Times New Roman" w:eastAsia="Times New Roman" w:hAnsi="Times New Roman"/>
                <w:b/>
                <w:sz w:val="24"/>
                <w:szCs w:val="24"/>
                <w:lang w:eastAsia="sk-SK"/>
              </w:rPr>
              <w:t>0</w:t>
            </w:r>
          </w:p>
        </w:tc>
        <w:tc>
          <w:tcPr>
            <w:tcW w:w="1485" w:type="dxa"/>
            <w:shd w:val="clear" w:color="auto" w:fill="BFBFBF"/>
            <w:noWrap/>
            <w:vAlign w:val="center"/>
          </w:tcPr>
          <w:p w:rsidR="00380E86" w:rsidRPr="00380E86" w:rsidRDefault="00380E86" w:rsidP="004C696E">
            <w:pPr>
              <w:spacing w:after="0" w:line="240" w:lineRule="auto"/>
              <w:jc w:val="right"/>
              <w:rPr>
                <w:rFonts w:ascii="Times New Roman" w:eastAsia="Times New Roman" w:hAnsi="Times New Roman"/>
                <w:b/>
                <w:sz w:val="24"/>
                <w:szCs w:val="24"/>
                <w:lang w:eastAsia="sk-SK"/>
              </w:rPr>
            </w:pPr>
            <w:r w:rsidRPr="00380E86">
              <w:rPr>
                <w:rFonts w:ascii="Times New Roman" w:eastAsia="Times New Roman" w:hAnsi="Times New Roman"/>
                <w:b/>
                <w:sz w:val="24"/>
                <w:szCs w:val="24"/>
                <w:lang w:eastAsia="sk-SK"/>
              </w:rPr>
              <w:t>0</w:t>
            </w:r>
          </w:p>
        </w:tc>
        <w:tc>
          <w:tcPr>
            <w:tcW w:w="1516" w:type="dxa"/>
            <w:shd w:val="clear" w:color="auto" w:fill="BFBFBF"/>
            <w:noWrap/>
            <w:vAlign w:val="center"/>
          </w:tcPr>
          <w:p w:rsidR="00380E86" w:rsidRPr="00380E86" w:rsidRDefault="00380E86" w:rsidP="004C696E">
            <w:pPr>
              <w:spacing w:after="0" w:line="240" w:lineRule="auto"/>
              <w:jc w:val="right"/>
              <w:rPr>
                <w:rFonts w:ascii="Times New Roman" w:eastAsia="Times New Roman" w:hAnsi="Times New Roman"/>
                <w:b/>
                <w:sz w:val="24"/>
                <w:szCs w:val="24"/>
                <w:lang w:eastAsia="sk-SK"/>
              </w:rPr>
            </w:pPr>
            <w:r w:rsidRPr="00380E86">
              <w:rPr>
                <w:rFonts w:ascii="Times New Roman" w:eastAsia="Times New Roman" w:hAnsi="Times New Roman"/>
                <w:b/>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ŠR</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obce</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i/>
                <w:iCs/>
                <w:sz w:val="24"/>
                <w:szCs w:val="24"/>
                <w:lang w:eastAsia="sk-SK"/>
              </w:rPr>
            </w:pPr>
            <w:r w:rsidRPr="00380E86">
              <w:rPr>
                <w:rFonts w:ascii="Times New Roman" w:eastAsia="Times New Roman" w:hAnsi="Times New Roman"/>
                <w:b/>
                <w:bCs/>
                <w:i/>
                <w:iCs/>
                <w:sz w:val="24"/>
                <w:szCs w:val="24"/>
                <w:lang w:eastAsia="sk-SK"/>
              </w:rPr>
              <w:t>- vplyv na vyššie územné celky</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380E86" w:rsidRPr="00380E86" w:rsidTr="004C696E">
        <w:trPr>
          <w:trHeight w:val="70"/>
          <w:jc w:val="center"/>
        </w:trPr>
        <w:tc>
          <w:tcPr>
            <w:tcW w:w="3731" w:type="dxa"/>
            <w:noWrap/>
            <w:vAlign w:val="center"/>
          </w:tcPr>
          <w:p w:rsidR="00380E86" w:rsidRPr="00380E86" w:rsidRDefault="00380E86" w:rsidP="004C696E">
            <w:pPr>
              <w:spacing w:after="0" w:line="240" w:lineRule="auto"/>
              <w:rPr>
                <w:rFonts w:ascii="Times New Roman" w:eastAsia="Times New Roman" w:hAnsi="Times New Roman"/>
                <w:b/>
                <w:bCs/>
                <w:sz w:val="24"/>
                <w:szCs w:val="24"/>
                <w:lang w:eastAsia="sk-SK"/>
              </w:rPr>
            </w:pPr>
            <w:r w:rsidRPr="00380E86">
              <w:rPr>
                <w:rFonts w:ascii="Times New Roman" w:eastAsia="Times New Roman" w:hAnsi="Times New Roman"/>
                <w:b/>
                <w:bCs/>
                <w:i/>
                <w:iCs/>
                <w:sz w:val="24"/>
                <w:szCs w:val="24"/>
                <w:lang w:eastAsia="sk-SK"/>
              </w:rPr>
              <w:t>- vplyv na ostatné subjekty verejnej správy</w:t>
            </w:r>
          </w:p>
        </w:tc>
        <w:tc>
          <w:tcPr>
            <w:tcW w:w="1267"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41"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485"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c>
          <w:tcPr>
            <w:tcW w:w="1516" w:type="dxa"/>
            <w:noWrap/>
            <w:vAlign w:val="center"/>
          </w:tcPr>
          <w:p w:rsidR="00380E86" w:rsidRPr="00380E86" w:rsidRDefault="00380E86" w:rsidP="004C696E">
            <w:pPr>
              <w:spacing w:after="0" w:line="240" w:lineRule="auto"/>
              <w:jc w:val="right"/>
              <w:rPr>
                <w:rFonts w:ascii="Times New Roman" w:eastAsia="Times New Roman" w:hAnsi="Times New Roman"/>
                <w:b/>
                <w:bCs/>
                <w:iCs/>
                <w:sz w:val="24"/>
                <w:szCs w:val="24"/>
                <w:lang w:eastAsia="sk-SK"/>
              </w:rPr>
            </w:pPr>
            <w:r w:rsidRPr="00380E86">
              <w:rPr>
                <w:rFonts w:ascii="Times New Roman" w:eastAsia="Times New Roman" w:hAnsi="Times New Roman"/>
                <w:b/>
                <w:bCs/>
                <w:iCs/>
                <w:sz w:val="24"/>
                <w:szCs w:val="24"/>
                <w:lang w:eastAsia="sk-SK"/>
              </w:rPr>
              <w:t>0</w:t>
            </w:r>
          </w:p>
        </w:tc>
      </w:tr>
      <w:tr w:rsidR="00281BE1" w:rsidRPr="00380E86" w:rsidTr="00895EDA">
        <w:trPr>
          <w:trHeight w:val="406"/>
          <w:jc w:val="center"/>
        </w:trPr>
        <w:tc>
          <w:tcPr>
            <w:tcW w:w="3731" w:type="dxa"/>
            <w:shd w:val="clear" w:color="auto" w:fill="C0C0C0"/>
            <w:noWrap/>
            <w:vAlign w:val="center"/>
          </w:tcPr>
          <w:p w:rsidR="00281BE1" w:rsidRPr="00380E86" w:rsidRDefault="00281BE1" w:rsidP="004C696E">
            <w:pPr>
              <w:spacing w:after="0" w:line="240" w:lineRule="auto"/>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Financovanie zabezpečené v rozpočte</w:t>
            </w:r>
          </w:p>
        </w:tc>
        <w:tc>
          <w:tcPr>
            <w:tcW w:w="1267" w:type="dxa"/>
            <w:shd w:val="clear" w:color="auto" w:fill="C0C0C0"/>
            <w:noWrap/>
            <w:vAlign w:val="center"/>
          </w:tcPr>
          <w:p w:rsidR="00281BE1" w:rsidRPr="00281BE1" w:rsidRDefault="00FE5A8F" w:rsidP="00281BE1">
            <w:pPr>
              <w:spacing w:after="0" w:line="240" w:lineRule="auto"/>
              <w:jc w:val="right"/>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114 211,50</w:t>
            </w:r>
          </w:p>
        </w:tc>
        <w:tc>
          <w:tcPr>
            <w:tcW w:w="1441" w:type="dxa"/>
            <w:shd w:val="clear" w:color="auto" w:fill="C0C0C0"/>
            <w:noWrap/>
          </w:tcPr>
          <w:p w:rsidR="00281BE1" w:rsidRPr="00281BE1" w:rsidRDefault="00FE5A8F">
            <w:pPr>
              <w:rPr>
                <w:sz w:val="20"/>
                <w:szCs w:val="20"/>
              </w:rPr>
            </w:pPr>
            <w:r w:rsidRPr="00281BE1">
              <w:rPr>
                <w:rFonts w:ascii="Times New Roman" w:eastAsia="Times New Roman" w:hAnsi="Times New Roman"/>
                <w:b/>
                <w:bCs/>
                <w:sz w:val="20"/>
                <w:szCs w:val="20"/>
                <w:lang w:eastAsia="sk-SK"/>
              </w:rPr>
              <w:t>1</w:t>
            </w:r>
            <w:r>
              <w:rPr>
                <w:rFonts w:ascii="Times New Roman" w:eastAsia="Times New Roman" w:hAnsi="Times New Roman"/>
                <w:b/>
                <w:bCs/>
                <w:sz w:val="20"/>
                <w:szCs w:val="20"/>
                <w:lang w:eastAsia="sk-SK"/>
              </w:rPr>
              <w:t>2 855 246,00</w:t>
            </w:r>
          </w:p>
        </w:tc>
        <w:tc>
          <w:tcPr>
            <w:tcW w:w="1485" w:type="dxa"/>
            <w:shd w:val="clear" w:color="auto" w:fill="C0C0C0"/>
            <w:noWrap/>
          </w:tcPr>
          <w:p w:rsidR="00281BE1" w:rsidRPr="00281BE1" w:rsidRDefault="00FE5A8F">
            <w:pPr>
              <w:rPr>
                <w:sz w:val="20"/>
                <w:szCs w:val="20"/>
              </w:rPr>
            </w:pPr>
            <w:r w:rsidRPr="00281BE1">
              <w:rPr>
                <w:rFonts w:ascii="Times New Roman" w:eastAsia="Times New Roman" w:hAnsi="Times New Roman"/>
                <w:b/>
                <w:bCs/>
                <w:sz w:val="20"/>
                <w:szCs w:val="20"/>
                <w:lang w:eastAsia="sk-SK"/>
              </w:rPr>
              <w:t>1</w:t>
            </w:r>
            <w:r>
              <w:rPr>
                <w:rFonts w:ascii="Times New Roman" w:eastAsia="Times New Roman" w:hAnsi="Times New Roman"/>
                <w:b/>
                <w:bCs/>
                <w:sz w:val="20"/>
                <w:szCs w:val="20"/>
                <w:lang w:eastAsia="sk-SK"/>
              </w:rPr>
              <w:t>2 855 246,00</w:t>
            </w:r>
          </w:p>
        </w:tc>
        <w:tc>
          <w:tcPr>
            <w:tcW w:w="1516" w:type="dxa"/>
            <w:shd w:val="clear" w:color="auto" w:fill="C0C0C0"/>
            <w:noWrap/>
          </w:tcPr>
          <w:p w:rsidR="00281BE1" w:rsidRPr="00281BE1" w:rsidRDefault="00FE5A8F">
            <w:pPr>
              <w:rPr>
                <w:sz w:val="20"/>
                <w:szCs w:val="20"/>
              </w:rPr>
            </w:pPr>
            <w:r w:rsidRPr="00281BE1">
              <w:rPr>
                <w:rFonts w:ascii="Times New Roman" w:eastAsia="Times New Roman" w:hAnsi="Times New Roman"/>
                <w:b/>
                <w:bCs/>
                <w:sz w:val="20"/>
                <w:szCs w:val="20"/>
                <w:lang w:eastAsia="sk-SK"/>
              </w:rPr>
              <w:t>1</w:t>
            </w:r>
            <w:r>
              <w:rPr>
                <w:rFonts w:ascii="Times New Roman" w:eastAsia="Times New Roman" w:hAnsi="Times New Roman"/>
                <w:b/>
                <w:bCs/>
                <w:sz w:val="20"/>
                <w:szCs w:val="20"/>
                <w:lang w:eastAsia="sk-SK"/>
              </w:rPr>
              <w:t>2 855 246,00</w:t>
            </w:r>
          </w:p>
        </w:tc>
      </w:tr>
      <w:tr w:rsidR="00FE5A8F" w:rsidRPr="00380E86" w:rsidTr="00281BE1">
        <w:trPr>
          <w:trHeight w:val="569"/>
          <w:jc w:val="center"/>
        </w:trPr>
        <w:tc>
          <w:tcPr>
            <w:tcW w:w="3731" w:type="dxa"/>
            <w:noWrap/>
            <w:vAlign w:val="center"/>
          </w:tcPr>
          <w:p w:rsidR="00FE5A8F" w:rsidRPr="00380E86" w:rsidRDefault="00FE5A8F" w:rsidP="00281BE1">
            <w:pPr>
              <w:spacing w:after="0" w:line="240" w:lineRule="auto"/>
              <w:rPr>
                <w:rFonts w:ascii="Times New Roman" w:eastAsia="Times New Roman" w:hAnsi="Times New Roman"/>
                <w:sz w:val="24"/>
                <w:szCs w:val="24"/>
                <w:lang w:eastAsia="sk-SK"/>
              </w:rPr>
            </w:pPr>
            <w:r w:rsidRPr="00380E86">
              <w:rPr>
                <w:rFonts w:ascii="Times New Roman" w:eastAsia="Times New Roman" w:hAnsi="Times New Roman"/>
                <w:sz w:val="24"/>
                <w:szCs w:val="24"/>
                <w:lang w:eastAsia="sk-SK"/>
              </w:rPr>
              <w:t>v tom: financovanie je kryté z rozpočtu verejného zdravotného poistenia</w:t>
            </w:r>
          </w:p>
        </w:tc>
        <w:tc>
          <w:tcPr>
            <w:tcW w:w="1267" w:type="dxa"/>
            <w:noWrap/>
            <w:vAlign w:val="center"/>
          </w:tcPr>
          <w:p w:rsidR="00FE5A8F" w:rsidRPr="00FE5A8F" w:rsidRDefault="00FE5A8F" w:rsidP="00281BE1">
            <w:pPr>
              <w:spacing w:after="0" w:line="240" w:lineRule="auto"/>
              <w:jc w:val="right"/>
              <w:rPr>
                <w:rFonts w:ascii="Times New Roman" w:eastAsia="Times New Roman" w:hAnsi="Times New Roman"/>
                <w:sz w:val="20"/>
                <w:szCs w:val="20"/>
                <w:lang w:eastAsia="sk-SK"/>
              </w:rPr>
            </w:pPr>
            <w:r w:rsidRPr="00FE5A8F">
              <w:rPr>
                <w:rFonts w:ascii="Times New Roman" w:eastAsia="Times New Roman" w:hAnsi="Times New Roman"/>
                <w:bCs/>
                <w:sz w:val="20"/>
                <w:szCs w:val="20"/>
                <w:lang w:eastAsia="sk-SK"/>
              </w:rPr>
              <w:t>114 211,50</w:t>
            </w:r>
          </w:p>
        </w:tc>
        <w:tc>
          <w:tcPr>
            <w:tcW w:w="1441" w:type="dxa"/>
            <w:noWrap/>
          </w:tcPr>
          <w:p w:rsidR="00FE5A8F" w:rsidRDefault="00FE5A8F">
            <w:r w:rsidRPr="00E743EC">
              <w:rPr>
                <w:rFonts w:ascii="Times New Roman" w:eastAsia="Times New Roman" w:hAnsi="Times New Roman"/>
                <w:b/>
                <w:bCs/>
                <w:sz w:val="20"/>
                <w:szCs w:val="20"/>
                <w:lang w:eastAsia="sk-SK"/>
              </w:rPr>
              <w:t xml:space="preserve">12 855 246,00 </w:t>
            </w:r>
          </w:p>
        </w:tc>
        <w:tc>
          <w:tcPr>
            <w:tcW w:w="1485" w:type="dxa"/>
            <w:noWrap/>
          </w:tcPr>
          <w:p w:rsidR="00FE5A8F" w:rsidRDefault="00FE5A8F">
            <w:r>
              <w:rPr>
                <w:rFonts w:ascii="Times New Roman" w:eastAsia="Times New Roman" w:hAnsi="Times New Roman"/>
                <w:b/>
                <w:bCs/>
                <w:sz w:val="20"/>
                <w:szCs w:val="20"/>
                <w:lang w:eastAsia="sk-SK"/>
              </w:rPr>
              <w:t>1</w:t>
            </w:r>
            <w:r w:rsidRPr="00E743EC">
              <w:rPr>
                <w:rFonts w:ascii="Times New Roman" w:eastAsia="Times New Roman" w:hAnsi="Times New Roman"/>
                <w:b/>
                <w:bCs/>
                <w:sz w:val="20"/>
                <w:szCs w:val="20"/>
                <w:lang w:eastAsia="sk-SK"/>
              </w:rPr>
              <w:t xml:space="preserve">2 855 246,00 </w:t>
            </w:r>
          </w:p>
        </w:tc>
        <w:tc>
          <w:tcPr>
            <w:tcW w:w="1516" w:type="dxa"/>
            <w:noWrap/>
          </w:tcPr>
          <w:p w:rsidR="00FE5A8F" w:rsidRDefault="00FE5A8F">
            <w:r w:rsidRPr="00E743EC">
              <w:rPr>
                <w:rFonts w:ascii="Times New Roman" w:eastAsia="Times New Roman" w:hAnsi="Times New Roman"/>
                <w:b/>
                <w:bCs/>
                <w:sz w:val="20"/>
                <w:szCs w:val="20"/>
                <w:lang w:eastAsia="sk-SK"/>
              </w:rPr>
              <w:t xml:space="preserve">12 855 246,00 </w:t>
            </w:r>
          </w:p>
        </w:tc>
      </w:tr>
      <w:tr w:rsidR="00380E86" w:rsidRPr="00380E86" w:rsidTr="004C696E">
        <w:trPr>
          <w:trHeight w:val="70"/>
          <w:jc w:val="center"/>
        </w:trPr>
        <w:tc>
          <w:tcPr>
            <w:tcW w:w="3731" w:type="dxa"/>
            <w:shd w:val="clear" w:color="auto" w:fill="BFBFBF"/>
            <w:noWrap/>
            <w:vAlign w:val="center"/>
          </w:tcPr>
          <w:p w:rsidR="00380E86" w:rsidRPr="00380E86" w:rsidRDefault="00380E86" w:rsidP="004C696E">
            <w:pPr>
              <w:spacing w:after="0" w:line="240" w:lineRule="auto"/>
              <w:rPr>
                <w:rFonts w:ascii="Times New Roman" w:eastAsia="Times New Roman" w:hAnsi="Times New Roman"/>
                <w:b/>
                <w:sz w:val="24"/>
                <w:szCs w:val="24"/>
                <w:lang w:eastAsia="sk-SK"/>
              </w:rPr>
            </w:pPr>
            <w:r w:rsidRPr="00380E86">
              <w:rPr>
                <w:rFonts w:ascii="Times New Roman" w:eastAsia="Times New Roman" w:hAnsi="Times New Roman"/>
                <w:b/>
                <w:sz w:val="24"/>
                <w:szCs w:val="24"/>
                <w:lang w:eastAsia="sk-SK"/>
              </w:rPr>
              <w:t>Iné ako rozpočtové zdroje</w:t>
            </w:r>
          </w:p>
        </w:tc>
        <w:tc>
          <w:tcPr>
            <w:tcW w:w="1267" w:type="dxa"/>
            <w:shd w:val="clear" w:color="auto" w:fill="BFBFBF"/>
            <w:noWrap/>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c>
          <w:tcPr>
            <w:tcW w:w="1441" w:type="dxa"/>
            <w:shd w:val="clear" w:color="auto" w:fill="BFBFBF"/>
            <w:noWrap/>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c>
          <w:tcPr>
            <w:tcW w:w="1485" w:type="dxa"/>
            <w:shd w:val="clear" w:color="auto" w:fill="BFBFBF"/>
            <w:noWrap/>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c>
          <w:tcPr>
            <w:tcW w:w="1516" w:type="dxa"/>
            <w:shd w:val="clear" w:color="auto" w:fill="BFBFBF"/>
            <w:noWrap/>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r>
      <w:tr w:rsidR="00380E86" w:rsidRPr="00380E86" w:rsidTr="004C696E">
        <w:trPr>
          <w:trHeight w:val="70"/>
          <w:jc w:val="center"/>
        </w:trPr>
        <w:tc>
          <w:tcPr>
            <w:tcW w:w="3731" w:type="dxa"/>
            <w:shd w:val="clear" w:color="auto" w:fill="A6A6A6"/>
            <w:noWrap/>
            <w:vAlign w:val="center"/>
          </w:tcPr>
          <w:p w:rsidR="00380E86" w:rsidRPr="00380E86" w:rsidRDefault="00380E86" w:rsidP="004C696E">
            <w:pPr>
              <w:spacing w:after="0" w:line="240" w:lineRule="auto"/>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Rozpočtovo nekrytý vplyv / úspora</w:t>
            </w:r>
          </w:p>
        </w:tc>
        <w:tc>
          <w:tcPr>
            <w:tcW w:w="1267" w:type="dxa"/>
            <w:shd w:val="clear" w:color="auto" w:fill="A6A6A6"/>
            <w:noWrap/>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c>
          <w:tcPr>
            <w:tcW w:w="1441" w:type="dxa"/>
            <w:shd w:val="clear" w:color="auto" w:fill="A6A6A6"/>
            <w:noWrap/>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c>
          <w:tcPr>
            <w:tcW w:w="1485" w:type="dxa"/>
            <w:shd w:val="clear" w:color="auto" w:fill="A6A6A6"/>
            <w:noWrap/>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c>
          <w:tcPr>
            <w:tcW w:w="1516" w:type="dxa"/>
            <w:shd w:val="clear" w:color="auto" w:fill="A6A6A6"/>
            <w:noWrap/>
            <w:vAlign w:val="center"/>
          </w:tcPr>
          <w:p w:rsidR="00380E86" w:rsidRPr="00380E86" w:rsidRDefault="00380E86" w:rsidP="004C696E">
            <w:pPr>
              <w:spacing w:after="0" w:line="240" w:lineRule="auto"/>
              <w:jc w:val="right"/>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t>0</w:t>
            </w:r>
          </w:p>
        </w:tc>
      </w:tr>
    </w:tbl>
    <w:bookmarkEnd w:id="0"/>
    <w:p w:rsidR="00380E86" w:rsidRPr="00380E86" w:rsidRDefault="00380E86" w:rsidP="00380E86">
      <w:pPr>
        <w:spacing w:after="0" w:line="240" w:lineRule="auto"/>
        <w:jc w:val="both"/>
        <w:rPr>
          <w:rFonts w:ascii="Times New Roman" w:eastAsia="Times New Roman" w:hAnsi="Times New Roman"/>
          <w:b/>
          <w:bCs/>
          <w:sz w:val="24"/>
          <w:szCs w:val="24"/>
          <w:lang w:eastAsia="sk-SK"/>
        </w:rPr>
      </w:pPr>
      <w:r w:rsidRPr="00380E86">
        <w:rPr>
          <w:rFonts w:ascii="Times New Roman" w:eastAsia="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380E86" w:rsidRPr="00380E86" w:rsidRDefault="00380E86" w:rsidP="00380E86">
      <w:pPr>
        <w:spacing w:after="0" w:line="240" w:lineRule="auto"/>
        <w:jc w:val="both"/>
        <w:rPr>
          <w:rFonts w:ascii="Times New Roman" w:eastAsia="Times New Roman" w:hAnsi="Times New Roman"/>
          <w:b/>
          <w:bCs/>
          <w:sz w:val="24"/>
          <w:szCs w:val="24"/>
          <w:lang w:eastAsia="sk-SK"/>
        </w:rPr>
      </w:pPr>
    </w:p>
    <w:p w:rsidR="00AF79B3" w:rsidRDefault="00380E86" w:rsidP="00511341">
      <w:pPr>
        <w:pBdr>
          <w:top w:val="single" w:sz="4" w:space="1" w:color="auto"/>
          <w:left w:val="single" w:sz="4" w:space="4" w:color="auto"/>
          <w:bottom w:val="single" w:sz="4" w:space="31" w:color="auto"/>
          <w:right w:val="single" w:sz="4" w:space="4" w:color="auto"/>
        </w:pBdr>
        <w:spacing w:after="0" w:line="240" w:lineRule="auto"/>
        <w:jc w:val="both"/>
        <w:rPr>
          <w:rFonts w:ascii="Times New Roman" w:hAnsi="Times New Roman"/>
          <w:sz w:val="24"/>
          <w:szCs w:val="24"/>
        </w:rPr>
      </w:pPr>
      <w:r w:rsidRPr="00511341">
        <w:rPr>
          <w:rFonts w:ascii="Times New Roman" w:hAnsi="Times New Roman"/>
          <w:szCs w:val="24"/>
        </w:rPr>
        <w:t xml:space="preserve">     Predpokladá sa zriadenie ambulancií rýchlej zdravotnej pomoci „S“ do systému záchrannej zdravotnej služby. Počet takýchto ambulancií bude stanovený všeobecne záväzným právnym predpisom</w:t>
      </w:r>
      <w:r w:rsidR="00511341" w:rsidRPr="00511341">
        <w:rPr>
          <w:rFonts w:ascii="Times New Roman" w:hAnsi="Times New Roman"/>
          <w:szCs w:val="24"/>
        </w:rPr>
        <w:t xml:space="preserve"> v počte 48. P</w:t>
      </w:r>
      <w:r w:rsidRPr="00511341">
        <w:rPr>
          <w:rFonts w:ascii="Times New Roman" w:hAnsi="Times New Roman"/>
          <w:szCs w:val="24"/>
        </w:rPr>
        <w:t xml:space="preserve">evná cena bude stanovená cenovým opatrením Ministerstva zdravotníctva Slovenskej republiky. V tejto súvislosti sa predpokladá nárast výdavkov zo zdrojov verejného zdravotného poistenia. Za predpokladu rovnakého materiálno-technického vybavenia ako ambulancia rýchlej zdravotnej pomoci </w:t>
      </w:r>
      <w:r w:rsidRPr="003D40F8">
        <w:rPr>
          <w:rFonts w:ascii="Times New Roman" w:hAnsi="Times New Roman"/>
          <w:szCs w:val="24"/>
        </w:rPr>
        <w:t xml:space="preserve">avšak so zmenou personálneho obsadenia oproti ambulancii rýchlej zdravotnej pomoci v počte „1 zdravotnícky záchranár a 1 vodič“ sa predpokladá pevná suma vo výške  cca 21 525 eur/ na jednu ambulanciu rýchlej zdravotnej pomoci „S“ na jeden mesiac. Prevádzka ambulancií rýchlej zdravotnej pomoci „S“ sa plánuje od 1. januára 2020. </w:t>
      </w:r>
      <w:r w:rsidR="00511341" w:rsidRPr="003D40F8">
        <w:rPr>
          <w:rFonts w:ascii="Times New Roman" w:hAnsi="Times New Roman"/>
          <w:szCs w:val="24"/>
        </w:rPr>
        <w:t>Predpokladaný počet ambulancií rýchlej zdravotnej pomoci „S“ je 48 čo predstavuje 1 033 200 eur mesačne a 12 398 400 eur ročne, ktoré budú uhrádzané zo zdrojov verejného zdravotného poistenia.</w:t>
      </w:r>
      <w:r w:rsidR="00511341" w:rsidRPr="003D40F8">
        <w:rPr>
          <w:rFonts w:ascii="Times New Roman" w:hAnsi="Times New Roman"/>
          <w:sz w:val="24"/>
          <w:szCs w:val="24"/>
        </w:rPr>
        <w:t xml:space="preserve"> </w:t>
      </w:r>
    </w:p>
    <w:p w:rsidR="00511341" w:rsidRPr="003D40F8" w:rsidRDefault="00AF79B3" w:rsidP="00511341">
      <w:pPr>
        <w:pBdr>
          <w:top w:val="single" w:sz="4" w:space="1" w:color="auto"/>
          <w:left w:val="single" w:sz="4" w:space="4" w:color="auto"/>
          <w:bottom w:val="single" w:sz="4" w:space="31" w:color="auto"/>
          <w:right w:val="single" w:sz="4" w:space="4" w:color="auto"/>
        </w:pBdr>
        <w:spacing w:after="0" w:line="240" w:lineRule="auto"/>
        <w:jc w:val="both"/>
        <w:rPr>
          <w:rFonts w:ascii="Times New Roman" w:hAnsi="Times New Roman"/>
          <w:szCs w:val="24"/>
        </w:rPr>
      </w:pPr>
      <w:r>
        <w:rPr>
          <w:rFonts w:ascii="Times New Roman" w:hAnsi="Times New Roman"/>
          <w:sz w:val="24"/>
          <w:szCs w:val="24"/>
        </w:rPr>
        <w:t xml:space="preserve">       </w:t>
      </w:r>
      <w:r w:rsidRPr="00BA62AB">
        <w:rPr>
          <w:rFonts w:ascii="Times New Roman" w:hAnsi="Times New Roman"/>
          <w:sz w:val="24"/>
          <w:szCs w:val="24"/>
        </w:rPr>
        <w:t xml:space="preserve">V súvislosti so zadefinovaním podmienok pre vykonávanie </w:t>
      </w:r>
      <w:r w:rsidR="003F6CCB">
        <w:rPr>
          <w:rFonts w:ascii="Times New Roman" w:hAnsi="Times New Roman"/>
          <w:sz w:val="24"/>
          <w:szCs w:val="24"/>
        </w:rPr>
        <w:t>neodkladnej prepravy letúnom</w:t>
      </w:r>
      <w:r w:rsidRPr="00BA62AB">
        <w:rPr>
          <w:rFonts w:ascii="Times New Roman" w:hAnsi="Times New Roman"/>
          <w:sz w:val="24"/>
          <w:szCs w:val="24"/>
        </w:rPr>
        <w:t xml:space="preserve"> nie je možné zadefinovať predpokladaný vplyv, vzhľadom na skutočnosť, že nie je možné určiť koľko </w:t>
      </w:r>
      <w:r w:rsidR="003F6CCB">
        <w:rPr>
          <w:rFonts w:ascii="Times New Roman" w:hAnsi="Times New Roman"/>
          <w:sz w:val="24"/>
          <w:szCs w:val="24"/>
        </w:rPr>
        <w:t>neodkladnej prepravy letúnom</w:t>
      </w:r>
      <w:r w:rsidR="003F6CCB" w:rsidRPr="00BA62AB">
        <w:rPr>
          <w:rFonts w:ascii="Times New Roman" w:hAnsi="Times New Roman"/>
          <w:sz w:val="24"/>
          <w:szCs w:val="24"/>
        </w:rPr>
        <w:t xml:space="preserve"> </w:t>
      </w:r>
      <w:r w:rsidRPr="00BA62AB">
        <w:rPr>
          <w:rFonts w:ascii="Times New Roman" w:hAnsi="Times New Roman"/>
          <w:sz w:val="24"/>
          <w:szCs w:val="24"/>
        </w:rPr>
        <w:t>bude potrebných a vykonaných. Za rok 2018 bolo nalietaných 130 letových hodín lietadlom, čo je 7 800 letových minút. Tieto letové minúty boli hradené zo zdrojov verejného zdravotného poistenia</w:t>
      </w:r>
      <w:r>
        <w:rPr>
          <w:rFonts w:ascii="Times New Roman" w:hAnsi="Times New Roman"/>
          <w:sz w:val="24"/>
          <w:szCs w:val="24"/>
        </w:rPr>
        <w:t xml:space="preserve"> aj doteraz, avšak cenová regulácia nie je upravená</w:t>
      </w:r>
      <w:r w:rsidRPr="00BA62AB">
        <w:rPr>
          <w:rFonts w:ascii="Times New Roman" w:hAnsi="Times New Roman"/>
          <w:sz w:val="24"/>
          <w:szCs w:val="24"/>
        </w:rPr>
        <w:t xml:space="preserve">. Navrhuje sa pevná cena za neodkladnú prepravu za  jednu letovú minútu lietadlom vo výške </w:t>
      </w:r>
      <w:r>
        <w:rPr>
          <w:rFonts w:ascii="Times New Roman" w:hAnsi="Times New Roman"/>
          <w:sz w:val="24"/>
          <w:szCs w:val="24"/>
        </w:rPr>
        <w:t>58,57</w:t>
      </w:r>
      <w:r w:rsidRPr="00BA62AB">
        <w:rPr>
          <w:rFonts w:ascii="Times New Roman" w:hAnsi="Times New Roman"/>
          <w:sz w:val="24"/>
          <w:szCs w:val="24"/>
        </w:rPr>
        <w:t xml:space="preserve"> eur. Za predpokladu rovnakého počtu letových minút lietadlom, tak predpokladaný odhad úhrady za jeden kalendárny rok je </w:t>
      </w:r>
      <w:r>
        <w:rPr>
          <w:rFonts w:ascii="Times New Roman" w:hAnsi="Times New Roman"/>
          <w:sz w:val="24"/>
          <w:szCs w:val="24"/>
        </w:rPr>
        <w:t>456 846, 00</w:t>
      </w:r>
      <w:r w:rsidRPr="00BA62AB">
        <w:rPr>
          <w:rFonts w:ascii="Times New Roman" w:hAnsi="Times New Roman"/>
          <w:sz w:val="24"/>
          <w:szCs w:val="24"/>
        </w:rPr>
        <w:t xml:space="preserve"> eur. Úhrada za </w:t>
      </w:r>
      <w:r w:rsidR="003F6CCB">
        <w:rPr>
          <w:rFonts w:ascii="Times New Roman" w:hAnsi="Times New Roman"/>
          <w:sz w:val="24"/>
          <w:szCs w:val="24"/>
        </w:rPr>
        <w:t>neodkladn</w:t>
      </w:r>
      <w:r w:rsidR="003F6CCB">
        <w:rPr>
          <w:rFonts w:ascii="Times New Roman" w:hAnsi="Times New Roman"/>
          <w:sz w:val="24"/>
          <w:szCs w:val="24"/>
        </w:rPr>
        <w:t>ú prepravu</w:t>
      </w:r>
      <w:r w:rsidR="003F6CCB">
        <w:rPr>
          <w:rFonts w:ascii="Times New Roman" w:hAnsi="Times New Roman"/>
          <w:sz w:val="24"/>
          <w:szCs w:val="24"/>
        </w:rPr>
        <w:t xml:space="preserve"> letúnom</w:t>
      </w:r>
      <w:r w:rsidR="003F6CCB" w:rsidRPr="00BA62AB">
        <w:rPr>
          <w:rFonts w:ascii="Times New Roman" w:hAnsi="Times New Roman"/>
          <w:sz w:val="24"/>
          <w:szCs w:val="24"/>
        </w:rPr>
        <w:t xml:space="preserve"> </w:t>
      </w:r>
      <w:r w:rsidRPr="00BA62AB">
        <w:rPr>
          <w:rFonts w:ascii="Times New Roman" w:hAnsi="Times New Roman"/>
          <w:sz w:val="24"/>
          <w:szCs w:val="24"/>
        </w:rPr>
        <w:t>sa plánuje po prijatí cenového opatrenia</w:t>
      </w:r>
      <w:r>
        <w:rPr>
          <w:rFonts w:ascii="Times New Roman" w:hAnsi="Times New Roman"/>
          <w:sz w:val="24"/>
          <w:szCs w:val="24"/>
        </w:rPr>
        <w:t>,</w:t>
      </w:r>
      <w:r w:rsidRPr="00BA62AB">
        <w:rPr>
          <w:rFonts w:ascii="Times New Roman" w:hAnsi="Times New Roman"/>
          <w:sz w:val="24"/>
          <w:szCs w:val="24"/>
        </w:rPr>
        <w:t xml:space="preserve"> v lehote po ukončení výberových konaní na ambulanciu vrtuľníkovej záchrannej zdravotnej služby, cca na 3 mesiace v roku 2019.</w:t>
      </w:r>
    </w:p>
    <w:p w:rsidR="00562DD8" w:rsidRPr="003D40F8" w:rsidRDefault="00562DD8" w:rsidP="00380E86">
      <w:pPr>
        <w:spacing w:after="0" w:line="240" w:lineRule="auto"/>
        <w:rPr>
          <w:rFonts w:ascii="Times New Roman" w:hAnsi="Times New Roman"/>
          <w:sz w:val="24"/>
          <w:szCs w:val="24"/>
        </w:rPr>
      </w:pPr>
    </w:p>
    <w:p w:rsidR="00380E86" w:rsidRPr="003D40F8" w:rsidRDefault="00380E86" w:rsidP="00380E86">
      <w:pPr>
        <w:spacing w:after="0" w:line="240" w:lineRule="auto"/>
        <w:rPr>
          <w:rFonts w:ascii="Times New Roman" w:eastAsia="Times New Roman" w:hAnsi="Times New Roman"/>
          <w:b/>
          <w:bCs/>
          <w:sz w:val="24"/>
          <w:szCs w:val="24"/>
          <w:lang w:eastAsia="sk-SK"/>
        </w:rPr>
      </w:pPr>
      <w:r w:rsidRPr="003D40F8">
        <w:rPr>
          <w:rFonts w:ascii="Times New Roman" w:eastAsia="Times New Roman" w:hAnsi="Times New Roman"/>
          <w:b/>
          <w:bCs/>
          <w:sz w:val="24"/>
          <w:szCs w:val="24"/>
          <w:lang w:eastAsia="sk-SK"/>
        </w:rPr>
        <w:t>2.2. Popis a charakteristika návrhu</w:t>
      </w:r>
    </w:p>
    <w:p w:rsidR="00380E86" w:rsidRPr="003D40F8" w:rsidRDefault="00380E86" w:rsidP="00380E86">
      <w:pPr>
        <w:spacing w:after="0" w:line="240" w:lineRule="auto"/>
        <w:rPr>
          <w:rFonts w:ascii="Times New Roman" w:eastAsia="Times New Roman" w:hAnsi="Times New Roman"/>
          <w:sz w:val="24"/>
          <w:szCs w:val="24"/>
          <w:lang w:eastAsia="sk-SK"/>
        </w:rPr>
      </w:pPr>
    </w:p>
    <w:p w:rsidR="00380E86" w:rsidRPr="003D40F8" w:rsidRDefault="00380E86" w:rsidP="00380E86">
      <w:pPr>
        <w:spacing w:after="0" w:line="240" w:lineRule="auto"/>
        <w:jc w:val="both"/>
        <w:rPr>
          <w:rFonts w:ascii="Times New Roman" w:eastAsia="Times New Roman" w:hAnsi="Times New Roman"/>
          <w:b/>
          <w:bCs/>
          <w:sz w:val="24"/>
          <w:szCs w:val="24"/>
          <w:lang w:eastAsia="sk-SK"/>
        </w:rPr>
      </w:pPr>
      <w:r w:rsidRPr="003D40F8">
        <w:rPr>
          <w:rFonts w:ascii="Times New Roman" w:eastAsia="Times New Roman" w:hAnsi="Times New Roman"/>
          <w:b/>
          <w:bCs/>
          <w:sz w:val="24"/>
          <w:szCs w:val="24"/>
          <w:lang w:eastAsia="sk-SK"/>
        </w:rPr>
        <w:t>2.2.1. Popis návrhu:</w:t>
      </w:r>
    </w:p>
    <w:p w:rsidR="00380E86" w:rsidRPr="003D40F8" w:rsidRDefault="00380E86" w:rsidP="00380E86">
      <w:pPr>
        <w:spacing w:after="0" w:line="240" w:lineRule="auto"/>
        <w:jc w:val="both"/>
        <w:rPr>
          <w:rFonts w:ascii="Times New Roman" w:eastAsia="Times New Roman" w:hAnsi="Times New Roman"/>
          <w:b/>
          <w:bCs/>
          <w:sz w:val="24"/>
          <w:szCs w:val="24"/>
          <w:lang w:eastAsia="sk-SK"/>
        </w:rPr>
      </w:pPr>
    </w:p>
    <w:p w:rsidR="00380E86" w:rsidRPr="003D40F8" w:rsidRDefault="00380E86" w:rsidP="00380E86">
      <w:pPr>
        <w:spacing w:after="0" w:line="240" w:lineRule="auto"/>
        <w:ind w:firstLine="708"/>
        <w:jc w:val="both"/>
        <w:rPr>
          <w:rFonts w:ascii="Times New Roman" w:eastAsia="Times New Roman" w:hAnsi="Times New Roman"/>
          <w:sz w:val="24"/>
          <w:szCs w:val="24"/>
          <w:lang w:eastAsia="sk-SK"/>
        </w:rPr>
      </w:pPr>
      <w:r w:rsidRPr="003D40F8">
        <w:rPr>
          <w:rFonts w:ascii="Times New Roman" w:eastAsia="Times New Roman" w:hAnsi="Times New Roman"/>
          <w:sz w:val="24"/>
          <w:szCs w:val="24"/>
          <w:lang w:eastAsia="sk-SK"/>
        </w:rPr>
        <w:t>Akú problematiku návrh rieši? Kto bude návrh implementovať? Kde sa budú služby poskytovať?</w:t>
      </w:r>
    </w:p>
    <w:p w:rsidR="00380E86" w:rsidRPr="003D40F8" w:rsidRDefault="00380E86" w:rsidP="00380E86">
      <w:pPr>
        <w:spacing w:after="0" w:line="240" w:lineRule="auto"/>
        <w:ind w:firstLine="708"/>
        <w:jc w:val="both"/>
        <w:rPr>
          <w:rFonts w:ascii="Times New Roman" w:hAnsi="Times New Roman"/>
          <w:sz w:val="24"/>
          <w:szCs w:val="24"/>
        </w:rPr>
      </w:pPr>
    </w:p>
    <w:p w:rsidR="00380E86" w:rsidRPr="003D40F8" w:rsidRDefault="00380E86" w:rsidP="00380E86">
      <w:pPr>
        <w:spacing w:after="0" w:line="240" w:lineRule="auto"/>
        <w:ind w:firstLine="708"/>
        <w:jc w:val="both"/>
        <w:rPr>
          <w:rFonts w:ascii="Times New Roman" w:hAnsi="Times New Roman"/>
          <w:sz w:val="24"/>
          <w:szCs w:val="24"/>
        </w:rPr>
      </w:pPr>
      <w:r w:rsidRPr="003D40F8">
        <w:rPr>
          <w:rFonts w:ascii="Times New Roman" w:hAnsi="Times New Roman"/>
          <w:sz w:val="24"/>
          <w:szCs w:val="24"/>
        </w:rPr>
        <w:t>Doplnením ambulancií rýchlej zdravotnej pomoci „S“ do systému záchrannej zdravotnej služby v roku 2020 sa predpokladá pozitívny vplyv na zamestnanosť.  Na zabezpečenie nepretržitej prevádzky jednej ambulancie od 1. januára 2020 sa predpokladá zvýšenie zamestnanosti o 1 vodiča a 1 zdravotníckeho záchranára na jednu ambulanciu rýchlej zdravotnej pomoci „S“. Počet takýchto ambulancií bude stanovený všeobecne záväzným právnym predpisom, ktorý vydá Ministerstvo zdravotníctva Slovenskej republiky na základe analýzy počtu sekundárnych prevozov, pričom pevná cena bude stanovená cenovým opatrením Ministerstva zdravotníctva Slovenskej republiky. V tejto súvislosti sa predpokladá nárast výdavkov zo zdrojov verejného zdravotného poistenia. Za predpokladu rovnakého materiálno-technického vybavenia ako ambulancia rýchlej zdravotnej pomoci avšak so zmenou personálneho obsadenia oproti ambulancii rýchlej zdravotnej pomoci v počte „1 zdravotnícky záchranár a 1 vodič“ sa predpokladá pevná suma vo výške  cca 21 525 eur/ na jednu ambulanciu rýchlej zdravotnej pomoci „S“ na jeden mesiac. Náklady na mzdy sú zohľadnené vo výške paušálnych platieb</w:t>
      </w:r>
      <w:r w:rsidR="00511341" w:rsidRPr="003D40F8">
        <w:rPr>
          <w:rFonts w:ascii="Times New Roman" w:hAnsi="Times New Roman"/>
          <w:sz w:val="24"/>
          <w:szCs w:val="24"/>
        </w:rPr>
        <w:t>.</w:t>
      </w:r>
    </w:p>
    <w:p w:rsidR="00511341" w:rsidRPr="003D40F8" w:rsidRDefault="00511341" w:rsidP="00380E86">
      <w:pPr>
        <w:spacing w:after="0" w:line="240" w:lineRule="auto"/>
        <w:ind w:firstLine="708"/>
        <w:jc w:val="both"/>
        <w:rPr>
          <w:rFonts w:ascii="Times New Roman" w:hAnsi="Times New Roman"/>
          <w:sz w:val="24"/>
          <w:szCs w:val="24"/>
        </w:rPr>
      </w:pPr>
    </w:p>
    <w:p w:rsidR="00511341" w:rsidRPr="003D40F8" w:rsidRDefault="00511341" w:rsidP="00AF79B3">
      <w:pPr>
        <w:spacing w:after="0" w:line="240" w:lineRule="auto"/>
        <w:jc w:val="both"/>
        <w:rPr>
          <w:rFonts w:ascii="Times New Roman" w:hAnsi="Times New Roman"/>
          <w:sz w:val="24"/>
          <w:szCs w:val="24"/>
        </w:rPr>
      </w:pPr>
      <w:r w:rsidRPr="003D40F8">
        <w:rPr>
          <w:rFonts w:ascii="Times New Roman" w:hAnsi="Times New Roman"/>
          <w:sz w:val="24"/>
          <w:szCs w:val="24"/>
        </w:rPr>
        <w:lastRenderedPageBreak/>
        <w:t xml:space="preserve">          </w:t>
      </w:r>
      <w:r w:rsidR="00AF79B3" w:rsidRPr="00BA62AB">
        <w:rPr>
          <w:rFonts w:ascii="Times New Roman" w:hAnsi="Times New Roman"/>
          <w:sz w:val="24"/>
          <w:szCs w:val="24"/>
        </w:rPr>
        <w:t xml:space="preserve">V súvislosti so zadefinovaním podmienok pre vykonávanie </w:t>
      </w:r>
      <w:r w:rsidR="003F6CCB">
        <w:rPr>
          <w:rFonts w:ascii="Times New Roman" w:hAnsi="Times New Roman"/>
          <w:sz w:val="24"/>
          <w:szCs w:val="24"/>
        </w:rPr>
        <w:t>neodkladnej prepravy letúnom</w:t>
      </w:r>
      <w:r w:rsidR="003F6CCB" w:rsidRPr="00BA62AB">
        <w:rPr>
          <w:rFonts w:ascii="Times New Roman" w:hAnsi="Times New Roman"/>
          <w:sz w:val="24"/>
          <w:szCs w:val="24"/>
        </w:rPr>
        <w:t xml:space="preserve"> </w:t>
      </w:r>
      <w:r w:rsidR="00AF79B3" w:rsidRPr="00BA62AB">
        <w:rPr>
          <w:rFonts w:ascii="Times New Roman" w:hAnsi="Times New Roman"/>
          <w:sz w:val="24"/>
          <w:szCs w:val="24"/>
        </w:rPr>
        <w:t xml:space="preserve">nie je možné zadefinovať predpokladaný vplyv, vzhľadom na skutočnosť, že nie je možné určiť koľko </w:t>
      </w:r>
      <w:r w:rsidR="003F6CCB">
        <w:rPr>
          <w:rFonts w:ascii="Times New Roman" w:hAnsi="Times New Roman"/>
          <w:sz w:val="24"/>
          <w:szCs w:val="24"/>
        </w:rPr>
        <w:t>neodkladnej prepravy letúnom</w:t>
      </w:r>
      <w:r w:rsidR="003F6CCB" w:rsidRPr="00BA62AB">
        <w:rPr>
          <w:rFonts w:ascii="Times New Roman" w:hAnsi="Times New Roman"/>
          <w:sz w:val="24"/>
          <w:szCs w:val="24"/>
        </w:rPr>
        <w:t xml:space="preserve"> </w:t>
      </w:r>
      <w:r w:rsidR="00AF79B3" w:rsidRPr="00BA62AB">
        <w:rPr>
          <w:rFonts w:ascii="Times New Roman" w:hAnsi="Times New Roman"/>
          <w:sz w:val="24"/>
          <w:szCs w:val="24"/>
        </w:rPr>
        <w:t>bude potrebných a vykonaných. Za rok 2018 bolo nalietaných 130 letových hodín lietadlom, čo je 7 800 letových minút. Tieto letové minúty boli hradené zo zdrojov verejného zdravotného poistenia</w:t>
      </w:r>
      <w:r w:rsidR="00AF79B3">
        <w:rPr>
          <w:rFonts w:ascii="Times New Roman" w:hAnsi="Times New Roman"/>
          <w:sz w:val="24"/>
          <w:szCs w:val="24"/>
        </w:rPr>
        <w:t xml:space="preserve"> aj doteraz, avšak cenová regulácia nie je upravená</w:t>
      </w:r>
      <w:r w:rsidR="00AF79B3" w:rsidRPr="00BA62AB">
        <w:rPr>
          <w:rFonts w:ascii="Times New Roman" w:hAnsi="Times New Roman"/>
          <w:sz w:val="24"/>
          <w:szCs w:val="24"/>
        </w:rPr>
        <w:t xml:space="preserve">. Navrhuje sa pevná cena za neodkladnú prepravu za  jednu letovú minútu lietadlom vo výške </w:t>
      </w:r>
      <w:r w:rsidR="00AF79B3">
        <w:rPr>
          <w:rFonts w:ascii="Times New Roman" w:hAnsi="Times New Roman"/>
          <w:sz w:val="24"/>
          <w:szCs w:val="24"/>
        </w:rPr>
        <w:t>58,57</w:t>
      </w:r>
      <w:r w:rsidR="00AF79B3" w:rsidRPr="00BA62AB">
        <w:rPr>
          <w:rFonts w:ascii="Times New Roman" w:hAnsi="Times New Roman"/>
          <w:sz w:val="24"/>
          <w:szCs w:val="24"/>
        </w:rPr>
        <w:t xml:space="preserve"> eur. Za predpokladu rovnakého počtu letových minút lietadlom, tak predpokladaný odhad úhrady za jeden kalendárny rok je </w:t>
      </w:r>
      <w:r w:rsidR="00AF79B3">
        <w:rPr>
          <w:rFonts w:ascii="Times New Roman" w:hAnsi="Times New Roman"/>
          <w:sz w:val="24"/>
          <w:szCs w:val="24"/>
        </w:rPr>
        <w:t>456 846, 00</w:t>
      </w:r>
      <w:r w:rsidR="00AF79B3" w:rsidRPr="00BA62AB">
        <w:rPr>
          <w:rFonts w:ascii="Times New Roman" w:hAnsi="Times New Roman"/>
          <w:sz w:val="24"/>
          <w:szCs w:val="24"/>
        </w:rPr>
        <w:t xml:space="preserve"> eur. Úhrada za </w:t>
      </w:r>
      <w:r w:rsidR="003F6CCB">
        <w:rPr>
          <w:rFonts w:ascii="Times New Roman" w:hAnsi="Times New Roman"/>
          <w:sz w:val="24"/>
          <w:szCs w:val="24"/>
        </w:rPr>
        <w:t>neodkladn</w:t>
      </w:r>
      <w:r w:rsidR="003F6CCB">
        <w:rPr>
          <w:rFonts w:ascii="Times New Roman" w:hAnsi="Times New Roman"/>
          <w:sz w:val="24"/>
          <w:szCs w:val="24"/>
        </w:rPr>
        <w:t>ú prepravu</w:t>
      </w:r>
      <w:r w:rsidR="003F6CCB">
        <w:rPr>
          <w:rFonts w:ascii="Times New Roman" w:hAnsi="Times New Roman"/>
          <w:sz w:val="24"/>
          <w:szCs w:val="24"/>
        </w:rPr>
        <w:t xml:space="preserve"> letúnom</w:t>
      </w:r>
      <w:r w:rsidR="003F6CCB" w:rsidRPr="00BA62AB">
        <w:rPr>
          <w:rFonts w:ascii="Times New Roman" w:hAnsi="Times New Roman"/>
          <w:sz w:val="24"/>
          <w:szCs w:val="24"/>
        </w:rPr>
        <w:t xml:space="preserve"> </w:t>
      </w:r>
      <w:r w:rsidR="00AF79B3" w:rsidRPr="00BA62AB">
        <w:rPr>
          <w:rFonts w:ascii="Times New Roman" w:hAnsi="Times New Roman"/>
          <w:sz w:val="24"/>
          <w:szCs w:val="24"/>
        </w:rPr>
        <w:t>sa plánuje po prijatí cenového opatrenia</w:t>
      </w:r>
      <w:r w:rsidR="00AF79B3">
        <w:rPr>
          <w:rFonts w:ascii="Times New Roman" w:hAnsi="Times New Roman"/>
          <w:sz w:val="24"/>
          <w:szCs w:val="24"/>
        </w:rPr>
        <w:t>,</w:t>
      </w:r>
      <w:r w:rsidR="00AF79B3" w:rsidRPr="00BA62AB">
        <w:rPr>
          <w:rFonts w:ascii="Times New Roman" w:hAnsi="Times New Roman"/>
          <w:sz w:val="24"/>
          <w:szCs w:val="24"/>
        </w:rPr>
        <w:t xml:space="preserve"> v lehote po ukončení výberových konaní na ambulanciu vrtuľníkovej záchrannej zdravotnej služby, cca na 3 mesiace v roku 2019.</w:t>
      </w:r>
    </w:p>
    <w:p w:rsidR="00380E86" w:rsidRPr="003D40F8" w:rsidRDefault="00380E86" w:rsidP="00380E86">
      <w:pPr>
        <w:spacing w:after="0" w:line="240" w:lineRule="auto"/>
        <w:ind w:firstLine="708"/>
        <w:jc w:val="both"/>
        <w:rPr>
          <w:rFonts w:ascii="Times New Roman" w:eastAsia="Times New Roman" w:hAnsi="Times New Roman"/>
          <w:sz w:val="24"/>
          <w:szCs w:val="24"/>
          <w:lang w:eastAsia="sk-SK"/>
        </w:rPr>
      </w:pPr>
    </w:p>
    <w:p w:rsidR="00380E86" w:rsidRPr="003D40F8" w:rsidRDefault="00380E86" w:rsidP="00380E86">
      <w:pPr>
        <w:spacing w:after="0" w:line="240" w:lineRule="auto"/>
        <w:rPr>
          <w:rFonts w:ascii="Times New Roman" w:eastAsia="Times New Roman" w:hAnsi="Times New Roman"/>
          <w:sz w:val="24"/>
          <w:szCs w:val="24"/>
          <w:lang w:eastAsia="sk-SK"/>
        </w:rPr>
      </w:pPr>
      <w:r w:rsidRPr="003D40F8">
        <w:rPr>
          <w:rFonts w:ascii="Times New Roman" w:eastAsia="Times New Roman" w:hAnsi="Times New Roman"/>
          <w:sz w:val="24"/>
          <w:szCs w:val="24"/>
          <w:lang w:eastAsia="sk-SK"/>
        </w:rPr>
        <w:t>.......................................................................................................................................................</w:t>
      </w:r>
    </w:p>
    <w:p w:rsidR="00380E86" w:rsidRPr="003D40F8" w:rsidRDefault="00380E86" w:rsidP="00380E86">
      <w:pPr>
        <w:spacing w:after="0" w:line="240" w:lineRule="auto"/>
        <w:rPr>
          <w:rFonts w:ascii="Times New Roman" w:eastAsia="Times New Roman" w:hAnsi="Times New Roman"/>
          <w:b/>
          <w:bCs/>
          <w:sz w:val="24"/>
          <w:szCs w:val="24"/>
          <w:lang w:eastAsia="sk-SK"/>
        </w:rPr>
      </w:pPr>
      <w:r w:rsidRPr="003D40F8">
        <w:rPr>
          <w:rFonts w:ascii="Times New Roman" w:eastAsia="Times New Roman" w:hAnsi="Times New Roman"/>
          <w:b/>
          <w:bCs/>
          <w:sz w:val="24"/>
          <w:szCs w:val="24"/>
          <w:lang w:eastAsia="sk-SK"/>
        </w:rPr>
        <w:t>2.2.2. Charakteristika návrhu:</w:t>
      </w:r>
    </w:p>
    <w:p w:rsidR="00380E86" w:rsidRPr="003D40F8" w:rsidRDefault="00380E86" w:rsidP="00380E86">
      <w:pPr>
        <w:spacing w:after="0" w:line="240" w:lineRule="auto"/>
        <w:rPr>
          <w:rFonts w:ascii="Times New Roman" w:eastAsia="Times New Roman" w:hAnsi="Times New Roman"/>
          <w:sz w:val="24"/>
          <w:szCs w:val="24"/>
          <w:lang w:eastAsia="sk-SK"/>
        </w:rPr>
      </w:pPr>
    </w:p>
    <w:p w:rsidR="00380E86" w:rsidRPr="003D40F8" w:rsidRDefault="00380E86" w:rsidP="00380E86">
      <w:pPr>
        <w:spacing w:after="0" w:line="240" w:lineRule="auto"/>
        <w:rPr>
          <w:rFonts w:ascii="Times New Roman" w:eastAsia="Times New Roman" w:hAnsi="Times New Roman"/>
          <w:sz w:val="24"/>
          <w:szCs w:val="24"/>
          <w:lang w:eastAsia="sk-SK"/>
        </w:rPr>
      </w:pPr>
      <w:r w:rsidRPr="003D40F8">
        <w:rPr>
          <w:rFonts w:ascii="Times New Roman" w:eastAsia="Times New Roman" w:hAnsi="Times New Roman"/>
          <w:b/>
          <w:sz w:val="24"/>
          <w:szCs w:val="24"/>
          <w:bdr w:val="single" w:sz="4" w:space="0" w:color="auto"/>
          <w:lang w:eastAsia="sk-SK"/>
        </w:rPr>
        <w:t xml:space="preserve">     </w:t>
      </w:r>
      <w:r w:rsidRPr="003D40F8">
        <w:rPr>
          <w:rFonts w:ascii="Times New Roman" w:eastAsia="Times New Roman" w:hAnsi="Times New Roman"/>
          <w:b/>
          <w:sz w:val="24"/>
          <w:szCs w:val="24"/>
          <w:lang w:eastAsia="sk-SK"/>
        </w:rPr>
        <w:t xml:space="preserve">  </w:t>
      </w:r>
      <w:r w:rsidRPr="003D40F8">
        <w:rPr>
          <w:rFonts w:ascii="Times New Roman" w:eastAsia="Times New Roman" w:hAnsi="Times New Roman"/>
          <w:sz w:val="24"/>
          <w:szCs w:val="24"/>
          <w:lang w:eastAsia="sk-SK"/>
        </w:rPr>
        <w:t>zmena sadzby</w:t>
      </w:r>
    </w:p>
    <w:p w:rsidR="00380E86" w:rsidRPr="003D40F8" w:rsidRDefault="00380E86" w:rsidP="00380E86">
      <w:pPr>
        <w:spacing w:after="0" w:line="240" w:lineRule="auto"/>
        <w:rPr>
          <w:rFonts w:ascii="Times New Roman" w:eastAsia="Times New Roman" w:hAnsi="Times New Roman"/>
          <w:sz w:val="24"/>
          <w:szCs w:val="24"/>
          <w:lang w:eastAsia="sk-SK"/>
        </w:rPr>
      </w:pPr>
      <w:r w:rsidRPr="003D40F8">
        <w:rPr>
          <w:rFonts w:ascii="Times New Roman" w:eastAsia="Times New Roman" w:hAnsi="Times New Roman"/>
          <w:sz w:val="24"/>
          <w:szCs w:val="24"/>
          <w:bdr w:val="single" w:sz="4" w:space="0" w:color="auto"/>
          <w:lang w:eastAsia="sk-SK"/>
        </w:rPr>
        <w:t xml:space="preserve">     </w:t>
      </w:r>
      <w:r w:rsidRPr="003D40F8">
        <w:rPr>
          <w:rFonts w:ascii="Times New Roman" w:eastAsia="Times New Roman" w:hAnsi="Times New Roman"/>
          <w:sz w:val="24"/>
          <w:szCs w:val="24"/>
          <w:lang w:eastAsia="sk-SK"/>
        </w:rPr>
        <w:t xml:space="preserve">  zmena v nároku</w:t>
      </w:r>
    </w:p>
    <w:p w:rsidR="00380E86" w:rsidRPr="003D40F8" w:rsidRDefault="00380E86" w:rsidP="00380E86">
      <w:pPr>
        <w:spacing w:after="0" w:line="240" w:lineRule="auto"/>
        <w:rPr>
          <w:rFonts w:ascii="Times New Roman" w:eastAsia="Times New Roman" w:hAnsi="Times New Roman"/>
          <w:sz w:val="24"/>
          <w:szCs w:val="24"/>
          <w:lang w:eastAsia="sk-SK"/>
        </w:rPr>
      </w:pPr>
      <w:r w:rsidRPr="003D40F8">
        <w:rPr>
          <w:rFonts w:ascii="Times New Roman" w:eastAsia="Times New Roman" w:hAnsi="Times New Roman"/>
          <w:sz w:val="24"/>
          <w:szCs w:val="24"/>
          <w:bdr w:val="single" w:sz="4" w:space="0" w:color="auto"/>
          <w:lang w:eastAsia="sk-SK"/>
        </w:rPr>
        <w:t xml:space="preserve">  x </w:t>
      </w:r>
      <w:r w:rsidRPr="003D40F8">
        <w:rPr>
          <w:rFonts w:ascii="Times New Roman" w:eastAsia="Times New Roman" w:hAnsi="Times New Roman"/>
          <w:sz w:val="24"/>
          <w:szCs w:val="24"/>
          <w:lang w:eastAsia="sk-SK"/>
        </w:rPr>
        <w:t xml:space="preserve">  </w:t>
      </w:r>
      <w:r w:rsidRPr="003D40F8">
        <w:rPr>
          <w:rFonts w:ascii="Times New Roman" w:eastAsia="Times New Roman" w:hAnsi="Times New Roman"/>
          <w:b/>
          <w:sz w:val="24"/>
          <w:szCs w:val="24"/>
          <w:u w:val="single"/>
          <w:lang w:eastAsia="sk-SK"/>
        </w:rPr>
        <w:t>nová služba</w:t>
      </w:r>
      <w:r w:rsidRPr="003D40F8">
        <w:rPr>
          <w:rFonts w:ascii="Times New Roman" w:eastAsia="Times New Roman" w:hAnsi="Times New Roman"/>
          <w:sz w:val="24"/>
          <w:szCs w:val="24"/>
          <w:lang w:eastAsia="sk-SK"/>
        </w:rPr>
        <w:t xml:space="preserve"> alebo nariadenie (alebo ich zrušenie)</w:t>
      </w:r>
    </w:p>
    <w:p w:rsidR="00380E86" w:rsidRPr="003D40F8" w:rsidRDefault="00380E86" w:rsidP="00380E86">
      <w:pPr>
        <w:spacing w:after="0" w:line="240" w:lineRule="auto"/>
        <w:rPr>
          <w:rFonts w:ascii="Times New Roman" w:eastAsia="Times New Roman" w:hAnsi="Times New Roman"/>
          <w:sz w:val="24"/>
          <w:szCs w:val="24"/>
          <w:lang w:eastAsia="sk-SK"/>
        </w:rPr>
      </w:pPr>
      <w:r w:rsidRPr="003D40F8">
        <w:rPr>
          <w:rFonts w:ascii="Times New Roman" w:eastAsia="Times New Roman" w:hAnsi="Times New Roman"/>
          <w:sz w:val="24"/>
          <w:szCs w:val="24"/>
          <w:bdr w:val="single" w:sz="4" w:space="0" w:color="auto"/>
          <w:lang w:eastAsia="sk-SK"/>
        </w:rPr>
        <w:t xml:space="preserve">     </w:t>
      </w:r>
      <w:r w:rsidRPr="003D40F8">
        <w:rPr>
          <w:rFonts w:ascii="Times New Roman" w:eastAsia="Times New Roman" w:hAnsi="Times New Roman"/>
          <w:sz w:val="24"/>
          <w:szCs w:val="24"/>
          <w:lang w:eastAsia="sk-SK"/>
        </w:rPr>
        <w:t xml:space="preserve">  kombinovaný návrh</w:t>
      </w:r>
    </w:p>
    <w:p w:rsidR="00380E86" w:rsidRPr="003D40F8" w:rsidRDefault="00380E86" w:rsidP="00380E86">
      <w:pPr>
        <w:spacing w:after="0" w:line="240" w:lineRule="auto"/>
        <w:rPr>
          <w:rFonts w:ascii="Times New Roman" w:eastAsia="Times New Roman" w:hAnsi="Times New Roman"/>
          <w:sz w:val="24"/>
          <w:szCs w:val="24"/>
          <w:lang w:eastAsia="sk-SK"/>
        </w:rPr>
      </w:pPr>
      <w:r w:rsidRPr="003D40F8">
        <w:rPr>
          <w:rFonts w:ascii="Times New Roman" w:eastAsia="Times New Roman" w:hAnsi="Times New Roman"/>
          <w:sz w:val="24"/>
          <w:szCs w:val="24"/>
          <w:bdr w:val="single" w:sz="4" w:space="0" w:color="auto"/>
          <w:lang w:eastAsia="sk-SK"/>
        </w:rPr>
        <w:t xml:space="preserve">     </w:t>
      </w:r>
      <w:r w:rsidRPr="003D40F8">
        <w:rPr>
          <w:rFonts w:ascii="Times New Roman" w:eastAsia="Times New Roman" w:hAnsi="Times New Roman"/>
          <w:sz w:val="24"/>
          <w:szCs w:val="24"/>
          <w:lang w:eastAsia="sk-SK"/>
        </w:rPr>
        <w:t xml:space="preserve">  iné </w:t>
      </w:r>
    </w:p>
    <w:p w:rsidR="00380E86" w:rsidRPr="003D40F8" w:rsidRDefault="00380E86" w:rsidP="00380E86">
      <w:pPr>
        <w:spacing w:after="0" w:line="240" w:lineRule="auto"/>
        <w:rPr>
          <w:rFonts w:ascii="Times New Roman" w:eastAsia="Times New Roman" w:hAnsi="Times New Roman"/>
          <w:sz w:val="24"/>
          <w:szCs w:val="24"/>
          <w:lang w:eastAsia="sk-SK"/>
        </w:rPr>
      </w:pPr>
    </w:p>
    <w:p w:rsidR="00380E86" w:rsidRPr="003D40F8" w:rsidRDefault="00380E86" w:rsidP="00380E86">
      <w:pPr>
        <w:spacing w:after="0" w:line="240" w:lineRule="auto"/>
        <w:rPr>
          <w:rFonts w:ascii="Times New Roman" w:eastAsia="Times New Roman" w:hAnsi="Times New Roman"/>
          <w:sz w:val="24"/>
          <w:szCs w:val="24"/>
          <w:lang w:eastAsia="sk-SK"/>
        </w:rPr>
      </w:pPr>
      <w:r w:rsidRPr="003D40F8">
        <w:rPr>
          <w:rFonts w:ascii="Times New Roman" w:eastAsia="Times New Roman" w:hAnsi="Times New Roman"/>
          <w:b/>
          <w:bCs/>
          <w:sz w:val="24"/>
          <w:szCs w:val="24"/>
          <w:lang w:eastAsia="sk-SK"/>
        </w:rPr>
        <w:t>2.2.3. Predpoklady vývoja objemu aktivít:</w:t>
      </w:r>
    </w:p>
    <w:p w:rsidR="00380E86" w:rsidRPr="003D40F8" w:rsidRDefault="00380E86" w:rsidP="00380E86">
      <w:pPr>
        <w:spacing w:after="0" w:line="240" w:lineRule="auto"/>
        <w:rPr>
          <w:rFonts w:ascii="Times New Roman" w:eastAsia="Times New Roman" w:hAnsi="Times New Roman"/>
          <w:sz w:val="24"/>
          <w:szCs w:val="24"/>
          <w:lang w:eastAsia="sk-SK"/>
        </w:rPr>
      </w:pPr>
    </w:p>
    <w:p w:rsidR="00380E86" w:rsidRPr="003D40F8" w:rsidRDefault="00380E86" w:rsidP="00380E86">
      <w:pPr>
        <w:spacing w:after="0" w:line="240" w:lineRule="auto"/>
        <w:ind w:firstLine="708"/>
        <w:jc w:val="both"/>
        <w:rPr>
          <w:rFonts w:ascii="Times New Roman" w:eastAsia="Times New Roman" w:hAnsi="Times New Roman"/>
          <w:sz w:val="24"/>
          <w:szCs w:val="24"/>
          <w:lang w:eastAsia="sk-SK"/>
        </w:rPr>
      </w:pPr>
      <w:r w:rsidRPr="003D40F8">
        <w:rPr>
          <w:rFonts w:ascii="Times New Roman" w:eastAsia="Times New Roman" w:hAnsi="Times New Roman"/>
          <w:sz w:val="24"/>
          <w:szCs w:val="24"/>
          <w:lang w:eastAsia="sk-SK"/>
        </w:rPr>
        <w:t>Jasne popíšte, v prípade potreby použite nižšie uvedenú tabuľku. Uveďte aj odhady základov daní a/alebo poplatkov, ak sa ich táto zmena týka.</w:t>
      </w:r>
    </w:p>
    <w:p w:rsidR="00380E86" w:rsidRPr="003D40F8" w:rsidRDefault="00380E86" w:rsidP="00380E86">
      <w:pPr>
        <w:spacing w:after="0" w:line="240" w:lineRule="auto"/>
        <w:jc w:val="right"/>
        <w:rPr>
          <w:rFonts w:ascii="Times New Roman" w:eastAsia="Times New Roman" w:hAnsi="Times New Roman"/>
          <w:sz w:val="24"/>
          <w:szCs w:val="24"/>
          <w:lang w:eastAsia="sk-SK"/>
        </w:rPr>
      </w:pPr>
      <w:r w:rsidRPr="003D40F8">
        <w:rPr>
          <w:rFonts w:ascii="Times New Roman" w:eastAsia="Times New Roman" w:hAnsi="Times New Roman"/>
          <w:sz w:val="24"/>
          <w:szCs w:val="24"/>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3D40F8" w:rsidRPr="003D40F8" w:rsidTr="004C696E">
        <w:trPr>
          <w:cantSplit/>
          <w:trHeight w:val="70"/>
        </w:trPr>
        <w:tc>
          <w:tcPr>
            <w:tcW w:w="4530" w:type="dxa"/>
            <w:vMerge w:val="restart"/>
            <w:shd w:val="clear" w:color="auto" w:fill="BFBFBF"/>
            <w:vAlign w:val="center"/>
          </w:tcPr>
          <w:p w:rsidR="00380E86" w:rsidRPr="003D40F8" w:rsidRDefault="00380E86" w:rsidP="004C696E">
            <w:pPr>
              <w:autoSpaceDE w:val="0"/>
              <w:autoSpaceDN w:val="0"/>
              <w:adjustRightInd w:val="0"/>
              <w:spacing w:after="0" w:line="240" w:lineRule="auto"/>
              <w:jc w:val="center"/>
              <w:rPr>
                <w:rFonts w:ascii="Times New Roman" w:eastAsia="Times New Roman" w:hAnsi="Times New Roman"/>
                <w:b/>
                <w:bCs/>
                <w:sz w:val="24"/>
                <w:szCs w:val="24"/>
                <w:lang w:eastAsia="sk-SK"/>
              </w:rPr>
            </w:pPr>
            <w:r w:rsidRPr="003D40F8">
              <w:rPr>
                <w:rFonts w:ascii="Times New Roman" w:eastAsia="Times New Roman" w:hAnsi="Times New Roman"/>
                <w:b/>
                <w:bCs/>
                <w:sz w:val="24"/>
                <w:szCs w:val="24"/>
                <w:lang w:eastAsia="sk-SK"/>
              </w:rPr>
              <w:t>Objem aktivít</w:t>
            </w:r>
          </w:p>
        </w:tc>
        <w:tc>
          <w:tcPr>
            <w:tcW w:w="1134" w:type="dxa"/>
            <w:gridSpan w:val="4"/>
            <w:shd w:val="clear" w:color="auto" w:fill="BFBFBF"/>
            <w:vAlign w:val="center"/>
          </w:tcPr>
          <w:p w:rsidR="00380E86" w:rsidRPr="003D40F8" w:rsidRDefault="00380E86" w:rsidP="004C696E">
            <w:pPr>
              <w:autoSpaceDE w:val="0"/>
              <w:autoSpaceDN w:val="0"/>
              <w:adjustRightInd w:val="0"/>
              <w:spacing w:after="0" w:line="240" w:lineRule="auto"/>
              <w:jc w:val="center"/>
              <w:rPr>
                <w:rFonts w:ascii="Times New Roman" w:eastAsia="Times New Roman" w:hAnsi="Times New Roman"/>
                <w:b/>
                <w:bCs/>
                <w:sz w:val="24"/>
                <w:szCs w:val="24"/>
                <w:lang w:eastAsia="sk-SK"/>
              </w:rPr>
            </w:pPr>
            <w:r w:rsidRPr="003D40F8">
              <w:rPr>
                <w:rFonts w:ascii="Times New Roman" w:eastAsia="Times New Roman" w:hAnsi="Times New Roman"/>
                <w:b/>
                <w:bCs/>
                <w:sz w:val="24"/>
                <w:szCs w:val="24"/>
                <w:lang w:eastAsia="sk-SK"/>
              </w:rPr>
              <w:t>Odhadované objemy</w:t>
            </w:r>
          </w:p>
        </w:tc>
      </w:tr>
      <w:tr w:rsidR="003D40F8" w:rsidRPr="003D40F8" w:rsidTr="004C696E">
        <w:trPr>
          <w:cantSplit/>
          <w:trHeight w:val="70"/>
        </w:trPr>
        <w:tc>
          <w:tcPr>
            <w:tcW w:w="4530" w:type="dxa"/>
            <w:vMerge/>
            <w:shd w:val="clear" w:color="auto" w:fill="BFBFBF"/>
          </w:tcPr>
          <w:p w:rsidR="00380E86" w:rsidRPr="003D40F8" w:rsidRDefault="00380E86" w:rsidP="004C696E">
            <w:pPr>
              <w:autoSpaceDE w:val="0"/>
              <w:autoSpaceDN w:val="0"/>
              <w:adjustRightInd w:val="0"/>
              <w:spacing w:after="0" w:line="240" w:lineRule="auto"/>
              <w:jc w:val="center"/>
              <w:rPr>
                <w:rFonts w:ascii="Times New Roman" w:eastAsia="Times New Roman" w:hAnsi="Times New Roman"/>
                <w:b/>
                <w:bCs/>
                <w:sz w:val="24"/>
                <w:szCs w:val="24"/>
                <w:lang w:eastAsia="sk-SK"/>
              </w:rPr>
            </w:pPr>
          </w:p>
        </w:tc>
        <w:tc>
          <w:tcPr>
            <w:tcW w:w="1134" w:type="dxa"/>
            <w:shd w:val="clear" w:color="auto" w:fill="BFBFBF"/>
            <w:vAlign w:val="center"/>
          </w:tcPr>
          <w:p w:rsidR="00380E86" w:rsidRPr="003D40F8" w:rsidRDefault="00380E86" w:rsidP="004C696E">
            <w:pPr>
              <w:autoSpaceDE w:val="0"/>
              <w:autoSpaceDN w:val="0"/>
              <w:adjustRightInd w:val="0"/>
              <w:spacing w:after="0" w:line="240" w:lineRule="auto"/>
              <w:jc w:val="center"/>
              <w:rPr>
                <w:rFonts w:ascii="Times New Roman" w:eastAsia="Times New Roman" w:hAnsi="Times New Roman"/>
                <w:b/>
                <w:bCs/>
                <w:sz w:val="24"/>
                <w:szCs w:val="24"/>
                <w:lang w:eastAsia="sk-SK"/>
              </w:rPr>
            </w:pPr>
            <w:r w:rsidRPr="003D40F8">
              <w:rPr>
                <w:rFonts w:ascii="Times New Roman" w:eastAsia="Times New Roman" w:hAnsi="Times New Roman"/>
                <w:b/>
                <w:bCs/>
                <w:sz w:val="24"/>
                <w:szCs w:val="24"/>
                <w:lang w:eastAsia="sk-SK"/>
              </w:rPr>
              <w:t>r</w:t>
            </w:r>
          </w:p>
        </w:tc>
        <w:tc>
          <w:tcPr>
            <w:tcW w:w="1134" w:type="dxa"/>
            <w:shd w:val="clear" w:color="auto" w:fill="BFBFBF"/>
            <w:vAlign w:val="center"/>
          </w:tcPr>
          <w:p w:rsidR="00380E86" w:rsidRPr="003D40F8" w:rsidRDefault="00380E86" w:rsidP="004C696E">
            <w:pPr>
              <w:autoSpaceDE w:val="0"/>
              <w:autoSpaceDN w:val="0"/>
              <w:adjustRightInd w:val="0"/>
              <w:spacing w:after="0" w:line="240" w:lineRule="auto"/>
              <w:jc w:val="center"/>
              <w:rPr>
                <w:rFonts w:ascii="Times New Roman" w:eastAsia="Times New Roman" w:hAnsi="Times New Roman"/>
                <w:b/>
                <w:bCs/>
                <w:sz w:val="24"/>
                <w:szCs w:val="24"/>
                <w:lang w:eastAsia="sk-SK"/>
              </w:rPr>
            </w:pPr>
            <w:r w:rsidRPr="003D40F8">
              <w:rPr>
                <w:rFonts w:ascii="Times New Roman" w:eastAsia="Times New Roman" w:hAnsi="Times New Roman"/>
                <w:b/>
                <w:bCs/>
                <w:sz w:val="24"/>
                <w:szCs w:val="24"/>
                <w:lang w:eastAsia="sk-SK"/>
              </w:rPr>
              <w:t>r + 1</w:t>
            </w:r>
          </w:p>
        </w:tc>
        <w:tc>
          <w:tcPr>
            <w:tcW w:w="1134" w:type="dxa"/>
            <w:shd w:val="clear" w:color="auto" w:fill="BFBFBF"/>
            <w:vAlign w:val="center"/>
          </w:tcPr>
          <w:p w:rsidR="00380E86" w:rsidRPr="003D40F8" w:rsidRDefault="00380E86" w:rsidP="004C696E">
            <w:pPr>
              <w:autoSpaceDE w:val="0"/>
              <w:autoSpaceDN w:val="0"/>
              <w:adjustRightInd w:val="0"/>
              <w:spacing w:after="0" w:line="240" w:lineRule="auto"/>
              <w:jc w:val="center"/>
              <w:rPr>
                <w:rFonts w:ascii="Times New Roman" w:eastAsia="Times New Roman" w:hAnsi="Times New Roman"/>
                <w:b/>
                <w:bCs/>
                <w:sz w:val="24"/>
                <w:szCs w:val="24"/>
                <w:lang w:eastAsia="sk-SK"/>
              </w:rPr>
            </w:pPr>
            <w:r w:rsidRPr="003D40F8">
              <w:rPr>
                <w:rFonts w:ascii="Times New Roman" w:eastAsia="Times New Roman" w:hAnsi="Times New Roman"/>
                <w:b/>
                <w:bCs/>
                <w:sz w:val="24"/>
                <w:szCs w:val="24"/>
                <w:lang w:eastAsia="sk-SK"/>
              </w:rPr>
              <w:t>r + 2</w:t>
            </w:r>
          </w:p>
        </w:tc>
        <w:tc>
          <w:tcPr>
            <w:tcW w:w="1134" w:type="dxa"/>
            <w:shd w:val="clear" w:color="auto" w:fill="BFBFBF"/>
            <w:vAlign w:val="center"/>
          </w:tcPr>
          <w:p w:rsidR="00380E86" w:rsidRPr="003D40F8" w:rsidRDefault="00380E86" w:rsidP="004C696E">
            <w:pPr>
              <w:autoSpaceDE w:val="0"/>
              <w:autoSpaceDN w:val="0"/>
              <w:adjustRightInd w:val="0"/>
              <w:spacing w:after="0" w:line="240" w:lineRule="auto"/>
              <w:jc w:val="center"/>
              <w:rPr>
                <w:rFonts w:ascii="Times New Roman" w:eastAsia="Times New Roman" w:hAnsi="Times New Roman"/>
                <w:b/>
                <w:bCs/>
                <w:sz w:val="24"/>
                <w:szCs w:val="24"/>
                <w:lang w:eastAsia="sk-SK"/>
              </w:rPr>
            </w:pPr>
            <w:r w:rsidRPr="003D40F8">
              <w:rPr>
                <w:rFonts w:ascii="Times New Roman" w:eastAsia="Times New Roman" w:hAnsi="Times New Roman"/>
                <w:b/>
                <w:bCs/>
                <w:sz w:val="24"/>
                <w:szCs w:val="24"/>
                <w:lang w:eastAsia="sk-SK"/>
              </w:rPr>
              <w:t>r + 3</w:t>
            </w:r>
          </w:p>
        </w:tc>
      </w:tr>
      <w:tr w:rsidR="003D40F8" w:rsidRPr="003D40F8" w:rsidTr="004C696E">
        <w:trPr>
          <w:trHeight w:val="70"/>
        </w:trPr>
        <w:tc>
          <w:tcPr>
            <w:tcW w:w="4530" w:type="dxa"/>
          </w:tcPr>
          <w:p w:rsidR="00380E86" w:rsidRPr="003D40F8" w:rsidRDefault="00380E86" w:rsidP="004C696E">
            <w:pPr>
              <w:autoSpaceDE w:val="0"/>
              <w:autoSpaceDN w:val="0"/>
              <w:adjustRightInd w:val="0"/>
              <w:spacing w:after="0" w:line="240" w:lineRule="auto"/>
              <w:rPr>
                <w:rFonts w:ascii="Times New Roman" w:eastAsia="Times New Roman" w:hAnsi="Times New Roman"/>
                <w:sz w:val="24"/>
                <w:szCs w:val="24"/>
                <w:lang w:eastAsia="sk-SK"/>
              </w:rPr>
            </w:pPr>
            <w:r w:rsidRPr="003D40F8">
              <w:rPr>
                <w:rFonts w:ascii="Times New Roman" w:eastAsia="Times New Roman" w:hAnsi="Times New Roman"/>
                <w:sz w:val="24"/>
                <w:szCs w:val="24"/>
                <w:lang w:eastAsia="sk-SK"/>
              </w:rPr>
              <w:t>Indikátor ABC</w:t>
            </w:r>
          </w:p>
        </w:tc>
        <w:tc>
          <w:tcPr>
            <w:tcW w:w="1134" w:type="dxa"/>
          </w:tcPr>
          <w:p w:rsidR="00380E86" w:rsidRPr="003D40F8" w:rsidRDefault="00380E86" w:rsidP="004C696E">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380E86" w:rsidRPr="003D40F8" w:rsidRDefault="00380E86" w:rsidP="004C696E">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380E86" w:rsidRPr="003D40F8" w:rsidRDefault="00380E86" w:rsidP="004C696E">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380E86" w:rsidRPr="003D40F8" w:rsidRDefault="00380E86" w:rsidP="004C696E">
            <w:pPr>
              <w:autoSpaceDE w:val="0"/>
              <w:autoSpaceDN w:val="0"/>
              <w:adjustRightInd w:val="0"/>
              <w:spacing w:after="0" w:line="240" w:lineRule="auto"/>
              <w:jc w:val="right"/>
              <w:rPr>
                <w:rFonts w:ascii="Times New Roman" w:eastAsia="Times New Roman" w:hAnsi="Times New Roman"/>
                <w:sz w:val="24"/>
                <w:szCs w:val="24"/>
                <w:lang w:eastAsia="sk-SK"/>
              </w:rPr>
            </w:pPr>
          </w:p>
        </w:tc>
      </w:tr>
      <w:tr w:rsidR="003D40F8" w:rsidRPr="003D40F8" w:rsidTr="004C696E">
        <w:trPr>
          <w:trHeight w:val="70"/>
        </w:trPr>
        <w:tc>
          <w:tcPr>
            <w:tcW w:w="4530" w:type="dxa"/>
          </w:tcPr>
          <w:p w:rsidR="00380E86" w:rsidRPr="003D40F8" w:rsidRDefault="00380E86" w:rsidP="004C696E">
            <w:pPr>
              <w:autoSpaceDE w:val="0"/>
              <w:autoSpaceDN w:val="0"/>
              <w:adjustRightInd w:val="0"/>
              <w:spacing w:after="0" w:line="240" w:lineRule="auto"/>
              <w:rPr>
                <w:rFonts w:ascii="Times New Roman" w:eastAsia="Times New Roman" w:hAnsi="Times New Roman"/>
                <w:sz w:val="24"/>
                <w:szCs w:val="24"/>
                <w:lang w:eastAsia="sk-SK"/>
              </w:rPr>
            </w:pPr>
            <w:r w:rsidRPr="003D40F8">
              <w:rPr>
                <w:rFonts w:ascii="Times New Roman" w:eastAsia="Times New Roman" w:hAnsi="Times New Roman"/>
                <w:sz w:val="24"/>
                <w:szCs w:val="24"/>
                <w:lang w:eastAsia="sk-SK"/>
              </w:rPr>
              <w:t>Indikátor KLM</w:t>
            </w:r>
          </w:p>
        </w:tc>
        <w:tc>
          <w:tcPr>
            <w:tcW w:w="1134" w:type="dxa"/>
          </w:tcPr>
          <w:p w:rsidR="00380E86" w:rsidRPr="003D40F8" w:rsidRDefault="00380E86" w:rsidP="004C696E">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380E86" w:rsidRPr="003D40F8" w:rsidRDefault="00380E86" w:rsidP="004C696E">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380E86" w:rsidRPr="003D40F8" w:rsidRDefault="00380E86" w:rsidP="004C696E">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380E86" w:rsidRPr="003D40F8" w:rsidRDefault="00380E86" w:rsidP="004C696E">
            <w:pPr>
              <w:autoSpaceDE w:val="0"/>
              <w:autoSpaceDN w:val="0"/>
              <w:adjustRightInd w:val="0"/>
              <w:spacing w:after="0" w:line="240" w:lineRule="auto"/>
              <w:jc w:val="right"/>
              <w:rPr>
                <w:rFonts w:ascii="Times New Roman" w:eastAsia="Times New Roman" w:hAnsi="Times New Roman"/>
                <w:sz w:val="24"/>
                <w:szCs w:val="24"/>
                <w:lang w:eastAsia="sk-SK"/>
              </w:rPr>
            </w:pPr>
          </w:p>
        </w:tc>
      </w:tr>
      <w:tr w:rsidR="00380E86" w:rsidRPr="003D40F8" w:rsidTr="004C696E">
        <w:trPr>
          <w:trHeight w:val="70"/>
        </w:trPr>
        <w:tc>
          <w:tcPr>
            <w:tcW w:w="4530" w:type="dxa"/>
          </w:tcPr>
          <w:p w:rsidR="00380E86" w:rsidRPr="003D40F8" w:rsidRDefault="00380E86" w:rsidP="004C696E">
            <w:pPr>
              <w:autoSpaceDE w:val="0"/>
              <w:autoSpaceDN w:val="0"/>
              <w:adjustRightInd w:val="0"/>
              <w:spacing w:after="0" w:line="240" w:lineRule="auto"/>
              <w:rPr>
                <w:rFonts w:ascii="Times New Roman" w:eastAsia="Times New Roman" w:hAnsi="Times New Roman"/>
                <w:sz w:val="24"/>
                <w:szCs w:val="24"/>
                <w:lang w:eastAsia="sk-SK"/>
              </w:rPr>
            </w:pPr>
            <w:r w:rsidRPr="003D40F8">
              <w:rPr>
                <w:rFonts w:ascii="Times New Roman" w:eastAsia="Times New Roman" w:hAnsi="Times New Roman"/>
                <w:sz w:val="24"/>
                <w:szCs w:val="24"/>
                <w:lang w:eastAsia="sk-SK"/>
              </w:rPr>
              <w:t>Indikátor XYZ</w:t>
            </w:r>
          </w:p>
        </w:tc>
        <w:tc>
          <w:tcPr>
            <w:tcW w:w="1134" w:type="dxa"/>
          </w:tcPr>
          <w:p w:rsidR="00380E86" w:rsidRPr="003D40F8" w:rsidRDefault="00380E86" w:rsidP="004C696E">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380E86" w:rsidRPr="003D40F8" w:rsidRDefault="00380E86" w:rsidP="004C696E">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380E86" w:rsidRPr="003D40F8" w:rsidRDefault="00380E86" w:rsidP="004C696E">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380E86" w:rsidRPr="003D40F8" w:rsidRDefault="00380E86" w:rsidP="004C696E">
            <w:pPr>
              <w:autoSpaceDE w:val="0"/>
              <w:autoSpaceDN w:val="0"/>
              <w:adjustRightInd w:val="0"/>
              <w:spacing w:after="0" w:line="240" w:lineRule="auto"/>
              <w:jc w:val="right"/>
              <w:rPr>
                <w:rFonts w:ascii="Times New Roman" w:eastAsia="Times New Roman" w:hAnsi="Times New Roman"/>
                <w:sz w:val="24"/>
                <w:szCs w:val="24"/>
                <w:lang w:eastAsia="sk-SK"/>
              </w:rPr>
            </w:pPr>
          </w:p>
        </w:tc>
      </w:tr>
    </w:tbl>
    <w:p w:rsidR="00380E86" w:rsidRPr="003D40F8" w:rsidRDefault="00380E86" w:rsidP="00380E86">
      <w:pPr>
        <w:spacing w:after="0" w:line="240" w:lineRule="auto"/>
        <w:rPr>
          <w:rFonts w:ascii="Times New Roman" w:eastAsia="Times New Roman" w:hAnsi="Times New Roman"/>
          <w:sz w:val="24"/>
          <w:szCs w:val="24"/>
          <w:lang w:eastAsia="sk-SK"/>
        </w:rPr>
      </w:pPr>
    </w:p>
    <w:p w:rsidR="00380E86" w:rsidRPr="003D40F8" w:rsidRDefault="00380E86" w:rsidP="00380E86">
      <w:pPr>
        <w:spacing w:after="0" w:line="240" w:lineRule="auto"/>
        <w:rPr>
          <w:rFonts w:ascii="Times New Roman" w:eastAsia="Times New Roman" w:hAnsi="Times New Roman"/>
          <w:sz w:val="24"/>
          <w:szCs w:val="24"/>
          <w:lang w:eastAsia="sk-SK"/>
        </w:rPr>
      </w:pPr>
    </w:p>
    <w:p w:rsidR="00380E86" w:rsidRPr="003D40F8" w:rsidRDefault="00380E86" w:rsidP="00380E86">
      <w:pPr>
        <w:spacing w:after="0" w:line="240" w:lineRule="auto"/>
        <w:rPr>
          <w:rFonts w:ascii="Times New Roman" w:eastAsia="Times New Roman" w:hAnsi="Times New Roman"/>
          <w:b/>
          <w:bCs/>
          <w:sz w:val="24"/>
          <w:szCs w:val="24"/>
          <w:lang w:eastAsia="sk-SK"/>
        </w:rPr>
      </w:pPr>
      <w:r w:rsidRPr="003D40F8">
        <w:rPr>
          <w:rFonts w:ascii="Times New Roman" w:eastAsia="Times New Roman" w:hAnsi="Times New Roman"/>
          <w:b/>
          <w:bCs/>
          <w:sz w:val="24"/>
          <w:szCs w:val="24"/>
          <w:lang w:eastAsia="sk-SK"/>
        </w:rPr>
        <w:t>2.2.4. Výpočty vplyvov na verejné financie</w:t>
      </w:r>
    </w:p>
    <w:p w:rsidR="00380E86" w:rsidRPr="003D40F8" w:rsidRDefault="00380E86" w:rsidP="00380E86">
      <w:pPr>
        <w:spacing w:after="0" w:line="240" w:lineRule="auto"/>
        <w:rPr>
          <w:rFonts w:ascii="Times New Roman" w:eastAsia="Times New Roman" w:hAnsi="Times New Roman"/>
          <w:sz w:val="24"/>
          <w:szCs w:val="24"/>
          <w:lang w:eastAsia="sk-SK"/>
        </w:rPr>
      </w:pPr>
    </w:p>
    <w:p w:rsidR="00380E86" w:rsidRPr="003D40F8" w:rsidRDefault="00380E86" w:rsidP="00380E86">
      <w:pPr>
        <w:spacing w:after="0" w:line="240" w:lineRule="auto"/>
        <w:ind w:firstLine="708"/>
        <w:jc w:val="both"/>
        <w:rPr>
          <w:rFonts w:ascii="Times New Roman" w:eastAsia="Times New Roman" w:hAnsi="Times New Roman"/>
          <w:sz w:val="24"/>
          <w:szCs w:val="24"/>
          <w:lang w:eastAsia="sk-SK"/>
        </w:rPr>
      </w:pPr>
      <w:r w:rsidRPr="003D40F8">
        <w:rPr>
          <w:rFonts w:ascii="Times New Roman" w:eastAsia="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380E86" w:rsidRPr="003D40F8" w:rsidRDefault="00380E86" w:rsidP="00380E86">
      <w:pPr>
        <w:spacing w:after="0" w:line="240" w:lineRule="auto"/>
        <w:jc w:val="both"/>
        <w:rPr>
          <w:rFonts w:ascii="Times New Roman" w:eastAsia="Times New Roman" w:hAnsi="Times New Roman"/>
          <w:sz w:val="24"/>
          <w:szCs w:val="24"/>
          <w:lang w:eastAsia="sk-SK"/>
        </w:rPr>
      </w:pPr>
    </w:p>
    <w:p w:rsidR="00380E86" w:rsidRPr="003D40F8" w:rsidRDefault="00380E86" w:rsidP="00380E86">
      <w:pPr>
        <w:spacing w:after="0" w:line="240" w:lineRule="auto"/>
        <w:ind w:firstLine="708"/>
        <w:jc w:val="both"/>
        <w:rPr>
          <w:rFonts w:ascii="Times New Roman" w:hAnsi="Times New Roman"/>
          <w:sz w:val="24"/>
          <w:szCs w:val="24"/>
        </w:rPr>
      </w:pPr>
      <w:r w:rsidRPr="003D40F8">
        <w:rPr>
          <w:rFonts w:ascii="Times New Roman" w:hAnsi="Times New Roman"/>
          <w:sz w:val="24"/>
          <w:szCs w:val="24"/>
        </w:rPr>
        <w:t>Doplnením ambulancií rýchlej zdravotnej pomoci „S“ do systému záchrannej zdravotnej služby v roku 2020 sa predpokladá pozitívny vplyv na zamestnanosť.  Na zabezpečenie nepretržitej prevádzky jednej ambulancie od 1. januára 2020 sa predpokladá zvýšenie zamestnanosti o 1 vodiča a 1 zdravotníckeho záchranára na jednu ambulanciu rýchlej zdravotnej pomoci „S“. Počet takýchto ambulancií bude stanovený všeobecne záväzným právnym predpisom, ktorý vydá Ministerstvo zdravotníctva Slovenskej republiky na základe analýzy počtu sekundárnych prevozov, pričom pevná cena bude stanoven</w:t>
      </w:r>
      <w:bookmarkStart w:id="1" w:name="_GoBack"/>
      <w:bookmarkEnd w:id="1"/>
      <w:r w:rsidRPr="003D40F8">
        <w:rPr>
          <w:rFonts w:ascii="Times New Roman" w:hAnsi="Times New Roman"/>
          <w:sz w:val="24"/>
          <w:szCs w:val="24"/>
        </w:rPr>
        <w:t xml:space="preserve">á cenovým opatrením Ministerstva zdravotníctva Slovenskej republiky. </w:t>
      </w:r>
    </w:p>
    <w:p w:rsidR="00511341" w:rsidRPr="003D40F8" w:rsidRDefault="00511341" w:rsidP="00380E86">
      <w:pPr>
        <w:spacing w:after="0" w:line="240" w:lineRule="auto"/>
        <w:ind w:firstLine="708"/>
        <w:jc w:val="both"/>
        <w:rPr>
          <w:rFonts w:ascii="Times New Roman" w:hAnsi="Times New Roman"/>
          <w:sz w:val="24"/>
          <w:szCs w:val="24"/>
        </w:rPr>
      </w:pPr>
    </w:p>
    <w:p w:rsidR="00380E86" w:rsidRPr="003D40F8" w:rsidRDefault="00380E86" w:rsidP="00380E86">
      <w:pPr>
        <w:spacing w:after="0" w:line="240" w:lineRule="auto"/>
        <w:ind w:firstLine="708"/>
        <w:jc w:val="both"/>
        <w:rPr>
          <w:rFonts w:ascii="Times New Roman" w:eastAsia="Times New Roman" w:hAnsi="Times New Roman"/>
          <w:sz w:val="24"/>
          <w:szCs w:val="24"/>
          <w:lang w:eastAsia="sk-SK"/>
        </w:rPr>
      </w:pPr>
      <w:r w:rsidRPr="003D40F8">
        <w:rPr>
          <w:rFonts w:ascii="Times New Roman" w:hAnsi="Times New Roman"/>
          <w:sz w:val="24"/>
          <w:szCs w:val="24"/>
        </w:rPr>
        <w:t xml:space="preserve">Za predpokladu rovnakého materiálno-technického vybavenia ako ambulancia rýchlej zdravotnej pomoci avšak so zmenou personálneho obsadenia oproti ambulancii rýchlej </w:t>
      </w:r>
      <w:r w:rsidRPr="003D40F8">
        <w:rPr>
          <w:rFonts w:ascii="Times New Roman" w:hAnsi="Times New Roman"/>
          <w:sz w:val="24"/>
          <w:szCs w:val="24"/>
        </w:rPr>
        <w:lastRenderedPageBreak/>
        <w:t xml:space="preserve">zdravotnej pomoci v počte „1 zdravotnícky záchranár a 1 vodič“ sa predpokladá pevná suma vo výške  cca 21 525 eur/ na jednu ambulanciu rýchlej zdravotnej pomoci „S“ na jeden mesiac. Náklady na mzdy sú zohľadnené vo výške paušálnych platieb. </w:t>
      </w:r>
    </w:p>
    <w:p w:rsidR="00380E86" w:rsidRPr="003D40F8" w:rsidRDefault="003D40F8" w:rsidP="00AF79B3">
      <w:pPr>
        <w:spacing w:after="0" w:line="240" w:lineRule="auto"/>
        <w:jc w:val="both"/>
        <w:rPr>
          <w:rFonts w:ascii="Times New Roman" w:hAnsi="Times New Roman"/>
          <w:sz w:val="24"/>
          <w:szCs w:val="24"/>
        </w:rPr>
      </w:pPr>
      <w:r w:rsidRPr="003D40F8">
        <w:rPr>
          <w:rFonts w:ascii="Times New Roman" w:hAnsi="Times New Roman"/>
          <w:sz w:val="24"/>
          <w:szCs w:val="24"/>
        </w:rPr>
        <w:t xml:space="preserve">           </w:t>
      </w:r>
      <w:r w:rsidR="00AF79B3" w:rsidRPr="00BA62AB">
        <w:rPr>
          <w:rFonts w:ascii="Times New Roman" w:hAnsi="Times New Roman"/>
          <w:sz w:val="24"/>
          <w:szCs w:val="24"/>
        </w:rPr>
        <w:t xml:space="preserve">V súvislosti so zadefinovaním podmienok pre vykonávanie </w:t>
      </w:r>
      <w:r w:rsidR="003F6CCB">
        <w:rPr>
          <w:rFonts w:ascii="Times New Roman" w:hAnsi="Times New Roman"/>
          <w:sz w:val="24"/>
          <w:szCs w:val="24"/>
        </w:rPr>
        <w:t>neodkladnej prepravy letúnom</w:t>
      </w:r>
      <w:r w:rsidR="003F6CCB" w:rsidRPr="00BA62AB">
        <w:rPr>
          <w:rFonts w:ascii="Times New Roman" w:hAnsi="Times New Roman"/>
          <w:sz w:val="24"/>
          <w:szCs w:val="24"/>
        </w:rPr>
        <w:t xml:space="preserve"> </w:t>
      </w:r>
      <w:r w:rsidR="00AF79B3" w:rsidRPr="00BA62AB">
        <w:rPr>
          <w:rFonts w:ascii="Times New Roman" w:hAnsi="Times New Roman"/>
          <w:sz w:val="24"/>
          <w:szCs w:val="24"/>
        </w:rPr>
        <w:t xml:space="preserve">nie je možné zadefinovať predpokladaný vplyv, vzhľadom na skutočnosť, že nie je možné určiť koľko </w:t>
      </w:r>
      <w:r w:rsidR="003F6CCB">
        <w:rPr>
          <w:rFonts w:ascii="Times New Roman" w:hAnsi="Times New Roman"/>
          <w:sz w:val="24"/>
          <w:szCs w:val="24"/>
        </w:rPr>
        <w:t>neodkladnej prepravy letúnom</w:t>
      </w:r>
      <w:r w:rsidR="003F6CCB" w:rsidRPr="00BA62AB">
        <w:rPr>
          <w:rFonts w:ascii="Times New Roman" w:hAnsi="Times New Roman"/>
          <w:sz w:val="24"/>
          <w:szCs w:val="24"/>
        </w:rPr>
        <w:t xml:space="preserve"> </w:t>
      </w:r>
      <w:r w:rsidR="00AF79B3" w:rsidRPr="00BA62AB">
        <w:rPr>
          <w:rFonts w:ascii="Times New Roman" w:hAnsi="Times New Roman"/>
          <w:sz w:val="24"/>
          <w:szCs w:val="24"/>
        </w:rPr>
        <w:t>bude potrebných a vykonaných. Za rok 2018 bolo nalietaných 130 letových hodín lietadlom, čo je 7 800 letových minút. Tieto letové minúty boli hradené zo zdrojov verejného zdravotného poistenia</w:t>
      </w:r>
      <w:r w:rsidR="00AF79B3">
        <w:rPr>
          <w:rFonts w:ascii="Times New Roman" w:hAnsi="Times New Roman"/>
          <w:sz w:val="24"/>
          <w:szCs w:val="24"/>
        </w:rPr>
        <w:t xml:space="preserve"> aj doteraz, avšak cenová regulácia nie je upravená</w:t>
      </w:r>
      <w:r w:rsidR="00AF79B3" w:rsidRPr="00BA62AB">
        <w:rPr>
          <w:rFonts w:ascii="Times New Roman" w:hAnsi="Times New Roman"/>
          <w:sz w:val="24"/>
          <w:szCs w:val="24"/>
        </w:rPr>
        <w:t xml:space="preserve">. Navrhuje sa pevná cena za neodkladnú prepravu za  jednu letovú minútu lietadlom vo výške </w:t>
      </w:r>
      <w:r w:rsidR="00AF79B3">
        <w:rPr>
          <w:rFonts w:ascii="Times New Roman" w:hAnsi="Times New Roman"/>
          <w:sz w:val="24"/>
          <w:szCs w:val="24"/>
        </w:rPr>
        <w:t>58,57</w:t>
      </w:r>
      <w:r w:rsidR="00AF79B3" w:rsidRPr="00BA62AB">
        <w:rPr>
          <w:rFonts w:ascii="Times New Roman" w:hAnsi="Times New Roman"/>
          <w:sz w:val="24"/>
          <w:szCs w:val="24"/>
        </w:rPr>
        <w:t xml:space="preserve"> eur. Za predpokladu rovnakého počtu letových minút lietadlom, tak predpokladaný odhad úhrady za jeden kalendárny rok je </w:t>
      </w:r>
      <w:r w:rsidR="00AF79B3">
        <w:rPr>
          <w:rFonts w:ascii="Times New Roman" w:hAnsi="Times New Roman"/>
          <w:sz w:val="24"/>
          <w:szCs w:val="24"/>
        </w:rPr>
        <w:t>456 846, 00</w:t>
      </w:r>
      <w:r w:rsidR="00AF79B3" w:rsidRPr="00BA62AB">
        <w:rPr>
          <w:rFonts w:ascii="Times New Roman" w:hAnsi="Times New Roman"/>
          <w:sz w:val="24"/>
          <w:szCs w:val="24"/>
        </w:rPr>
        <w:t xml:space="preserve"> eur. Úhrada za </w:t>
      </w:r>
      <w:r w:rsidR="003F6CCB">
        <w:rPr>
          <w:rFonts w:ascii="Times New Roman" w:hAnsi="Times New Roman"/>
          <w:sz w:val="24"/>
          <w:szCs w:val="24"/>
        </w:rPr>
        <w:t>neodkladn</w:t>
      </w:r>
      <w:r w:rsidR="003F6CCB">
        <w:rPr>
          <w:rFonts w:ascii="Times New Roman" w:hAnsi="Times New Roman"/>
          <w:sz w:val="24"/>
          <w:szCs w:val="24"/>
        </w:rPr>
        <w:t>ú prepravu</w:t>
      </w:r>
      <w:r w:rsidR="003F6CCB">
        <w:rPr>
          <w:rFonts w:ascii="Times New Roman" w:hAnsi="Times New Roman"/>
          <w:sz w:val="24"/>
          <w:szCs w:val="24"/>
        </w:rPr>
        <w:t xml:space="preserve"> letúnom</w:t>
      </w:r>
      <w:r w:rsidR="003F6CCB" w:rsidRPr="00BA62AB">
        <w:rPr>
          <w:rFonts w:ascii="Times New Roman" w:hAnsi="Times New Roman"/>
          <w:sz w:val="24"/>
          <w:szCs w:val="24"/>
        </w:rPr>
        <w:t xml:space="preserve"> </w:t>
      </w:r>
      <w:r w:rsidR="00AF79B3" w:rsidRPr="00BA62AB">
        <w:rPr>
          <w:rFonts w:ascii="Times New Roman" w:hAnsi="Times New Roman"/>
          <w:sz w:val="24"/>
          <w:szCs w:val="24"/>
        </w:rPr>
        <w:t>sa plánuje po prijatí cenového opatrenia</w:t>
      </w:r>
      <w:r w:rsidR="00AF79B3">
        <w:rPr>
          <w:rFonts w:ascii="Times New Roman" w:hAnsi="Times New Roman"/>
          <w:sz w:val="24"/>
          <w:szCs w:val="24"/>
        </w:rPr>
        <w:t>,</w:t>
      </w:r>
      <w:r w:rsidR="00AF79B3" w:rsidRPr="00BA62AB">
        <w:rPr>
          <w:rFonts w:ascii="Times New Roman" w:hAnsi="Times New Roman"/>
          <w:sz w:val="24"/>
          <w:szCs w:val="24"/>
        </w:rPr>
        <w:t xml:space="preserve"> v lehote po ukončení výberových konaní na ambulanciu vrtuľníkovej záchrannej zdravotnej služby, cca na 3 mesiace v roku 2019.</w:t>
      </w:r>
    </w:p>
    <w:sectPr w:rsidR="00380E86" w:rsidRPr="003D4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E86"/>
    <w:rsid w:val="00281BE1"/>
    <w:rsid w:val="00380E86"/>
    <w:rsid w:val="003D40F8"/>
    <w:rsid w:val="003F6CCB"/>
    <w:rsid w:val="004E2CC5"/>
    <w:rsid w:val="00511341"/>
    <w:rsid w:val="00562DD8"/>
    <w:rsid w:val="00895EDA"/>
    <w:rsid w:val="00AF79B3"/>
    <w:rsid w:val="00B973D6"/>
    <w:rsid w:val="00C46AE8"/>
    <w:rsid w:val="00FE5A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041C"/>
  <w15:docId w15:val="{802E5744-99CC-4E1B-BEE6-9578E2D8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0E86"/>
    <w:pPr>
      <w:jc w:val="left"/>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F6CC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F6CC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40578-DE86-4DCC-82EC-87485139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1314</Words>
  <Characters>7496</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Kontrová Ľubica</dc:creator>
  <cp:lastModifiedBy>Jakubíková Jana</cp:lastModifiedBy>
  <cp:revision>7</cp:revision>
  <cp:lastPrinted>2019-02-26T12:22:00Z</cp:lastPrinted>
  <dcterms:created xsi:type="dcterms:W3CDTF">2019-01-07T12:49:00Z</dcterms:created>
  <dcterms:modified xsi:type="dcterms:W3CDTF">2019-02-26T12:22:00Z</dcterms:modified>
</cp:coreProperties>
</file>