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122B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122B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B122B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B122BB">
      <w:pPr>
        <w:bidi w:val="0"/>
        <w:jc w:val="left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B122BB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2185</w:t>
      </w: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B122BB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B122B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22BB" w:rsidR="00825ECC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1199</w:t>
      </w:r>
      <w:r w:rsidRPr="00B122B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122B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122B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122B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B122B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B122B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 o sprístupňovaní strelných zbraní a streliva na civilné použitie na trhu</w:t>
      </w:r>
      <w:r w:rsidRPr="00B122BB" w:rsidR="00825E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1199)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122B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122BB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E260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o sprístupňovaní strelných zbraní a streliva na civilné použitie na trhu</w:t>
      </w:r>
      <w:r w:rsidRPr="00B122BB" w:rsidR="00825E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1199)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122B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1511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decembra </w:t>
      </w:r>
      <w:r w:rsidRPr="00B122B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B122BB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122B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122B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122B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RPr="00B122B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122B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B122BB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5148" w:rsidRPr="00B122BB" w:rsidP="00740988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0519E9" w:rsidRPr="00B122BB" w:rsidP="00740988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Výboru Národnej rady Slovenskej republiky pre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obranu a bezpečnosť</w:t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B122BB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B122BB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B122B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B122B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122B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B122BB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B122BB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B122B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122BB" w:rsidR="001576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508</w:t>
      </w:r>
      <w:r w:rsidRPr="00B122BB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122BB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B122BB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B122B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122BB" w:rsidR="001576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325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24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315148" w:rsidRPr="00B122B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obranu a bezpečnosť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122BB" w:rsidR="00C446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174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 w:rsidRPr="00B122BB" w:rsidR="00C446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januára 2019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6C1591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B122BB" w:rsidRP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B122B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122B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B122BB" w:rsidP="00B122BB">
      <w:pPr>
        <w:pStyle w:val="Abecednzoznam"/>
        <w:numPr>
          <w:ilvl w:val="1"/>
          <w:numId w:val="30"/>
        </w:numPr>
        <w:tabs>
          <w:tab w:val="num" w:pos="284"/>
          <w:tab w:val="clear" w:pos="425"/>
          <w:tab w:val="clear" w:pos="1134"/>
        </w:tabs>
        <w:bidi w:val="0"/>
        <w:spacing w:before="0" w:after="0" w:line="360" w:lineRule="auto"/>
        <w:ind w:left="284" w:hanging="284"/>
        <w:jc w:val="both"/>
        <w:rPr>
          <w:rFonts w:ascii="Times New Roman" w:eastAsia="Times New Roman" w:hAnsi="Times New Roman"/>
          <w:szCs w:val="24"/>
        </w:rPr>
      </w:pPr>
      <w:r w:rsidRPr="00B122B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V § 2 písm. j) sa slová „tabuľkami stálej komisie“ nahrádzajú slovami „tabuľkami normalizovaných rozmerov nábojových komôr a nábojov (ďalej len „tabuľky stálej komisie“)“.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122BB" w:rsidRPr="00B122BB" w:rsidP="00B122BB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zavádzaný pojem sa v záujme terminologickej presnosti a jednoty zosúlaďuje s pojmom používaným v 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čl. 5 stanov Medzinárodnej stálej komisie </w:t>
      </w:r>
      <w:r w:rsidRPr="00B122BB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(CIP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a vzhľadom na  rozsah  jeho výskytu v návrhu zákona  sa zároveň  zavádza aj jeho legislatívna skratka.</w:t>
      </w:r>
    </w:p>
    <w:p w:rsidR="00B122BB" w:rsidP="00B122BB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B122BB" w:rsidRPr="00B122BB" w:rsidP="00B122BB">
      <w:pPr>
        <w:pStyle w:val="NoSpacing"/>
        <w:numPr>
          <w:ilvl w:val="1"/>
          <w:numId w:val="30"/>
        </w:numPr>
        <w:tabs>
          <w:tab w:val="num" w:pos="284"/>
          <w:tab w:val="clear" w:pos="425"/>
        </w:tabs>
        <w:bidi w:val="0"/>
        <w:spacing w:line="360" w:lineRule="auto"/>
        <w:ind w:left="284" w:hanging="284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rtl w:val="0"/>
          <w:cs w:val="0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§ 6 sa slovo „sprístupniť“ nahrádza slovom „sprístupňovať“.    </w:t>
      </w:r>
    </w:p>
    <w:p w:rsidR="00B122BB" w:rsidRPr="00B122BB" w:rsidP="00B122BB">
      <w:pPr>
        <w:pStyle w:val="NoSpacing"/>
        <w:bidi w:val="0"/>
        <w:ind w:left="3402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highlight w:val="lightGray"/>
          <w:rtl w:val="0"/>
          <w:cs w:val="0"/>
        </w:rPr>
      </w:pPr>
    </w:p>
    <w:p w:rsidR="00B122BB" w:rsidRPr="00B122BB" w:rsidP="00B122BB">
      <w:pPr>
        <w:pStyle w:val="NoSpacing"/>
        <w:bidi w:val="0"/>
        <w:ind w:left="3600"/>
        <w:jc w:val="both"/>
        <w:rPr>
          <w:rFonts w:ascii="Times New Roman" w:eastAsia="Times New Roman" w:hAnsi="Times New Roman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ustanovenie sa zosúlaďuje v záujme terminologickej presnosti a jednoty  poukazujúc na pojem zavedený v § 2 písm. a) návrhu zákona.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  <w:highlight w:val="lightGray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  <w:highlight w:val="lightGray"/>
        </w:rPr>
      </w:pPr>
    </w:p>
    <w:p w:rsidR="00B122BB" w:rsidRPr="00B122BB" w:rsidP="00B122BB">
      <w:pPr>
        <w:pStyle w:val="Abecednzoznam"/>
        <w:numPr>
          <w:ilvl w:val="1"/>
          <w:numId w:val="30"/>
        </w:numPr>
        <w:tabs>
          <w:tab w:val="num" w:pos="284"/>
          <w:tab w:val="clear" w:pos="425"/>
          <w:tab w:val="clear" w:pos="1134"/>
        </w:tabs>
        <w:bidi w:val="0"/>
        <w:spacing w:before="0" w:after="0" w:line="360" w:lineRule="auto"/>
        <w:ind w:left="284" w:hanging="284"/>
        <w:jc w:val="both"/>
        <w:rPr>
          <w:rFonts w:ascii="Times New Roman" w:eastAsia="Times New Roman" w:hAnsi="Times New Roman"/>
          <w:szCs w:val="24"/>
        </w:rPr>
      </w:pPr>
      <w:r w:rsidRPr="00B122B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V § 7 ods. 1 sa slová „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dáva navrhnúť alebo dáva vyrobiť a uvádza na trh“ sa nahrádzajú slovami „zadáva navrhnutie alebo zadáva výrobu a uvedie na trh“</w:t>
      </w:r>
      <w:r w:rsidRPr="00B122B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 </w:t>
      </w:r>
    </w:p>
    <w:p w:rsidR="00B122BB" w:rsidRPr="00B122BB" w:rsidP="00B122BB">
      <w:pPr>
        <w:pStyle w:val="NoSpacing"/>
        <w:bidi w:val="0"/>
        <w:ind w:left="3402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highlight w:val="lightGray"/>
          <w:rtl w:val="0"/>
          <w:cs w:val="0"/>
        </w:rPr>
      </w:pPr>
    </w:p>
    <w:p w:rsidR="00B122BB" w:rsidRPr="00B122BB" w:rsidP="00B122BB">
      <w:pPr>
        <w:pStyle w:val="NoSpacing"/>
        <w:bidi w:val="0"/>
        <w:ind w:left="3600"/>
        <w:jc w:val="both"/>
        <w:rPr>
          <w:rFonts w:ascii="Times New Roman" w:eastAsia="Times New Roman" w:hAnsi="Times New Roman"/>
          <w:i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>Ide o legislatívno-technickú úpravu; ustanovenie sa upravuje štylisticky a terminologicky spresňuje s poukazom na pojem zavedený v § 2 písm. b) návrhu zákona.</w:t>
      </w:r>
    </w:p>
    <w:p w:rsid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  <w:highlight w:val="lightGray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  <w:highlight w:val="lightGray"/>
        </w:rPr>
      </w:pPr>
    </w:p>
    <w:p w:rsidR="00B122BB" w:rsidRPr="00B122BB" w:rsidP="00B122BB">
      <w:pPr>
        <w:overflowPunct w:val="0"/>
        <w:bidi w:val="0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4.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§ 7 ods. 2 úvodnej vete sa slová „pri uvedení“ nahrádzajú slovami „pred uvedením“.</w:t>
      </w:r>
    </w:p>
    <w:p w:rsidR="00B122BB" w:rsidRPr="00B122BB" w:rsidP="00B122BB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>Ide o legislatívno-technickú úpravu; ustanovenie sa spresňuje s ohľadom na jednoznačnosť určenia času, v ktorom si výrobca musí splniť povinnosti súvisiace s uvedením strelnej zbrane alebo streliva na trh. T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ext sa zosúlaďuje s čl. 4 ods. 1 písm. a) smernice Rady 91/477/EHS z 18. júna 1991 o kontrole získavania a vlastnenia zbraní v znení neskorších zmien „Pokiaľ ide o strelné zbrane vyrobené alebo dovezené do Únie k 14. septembru 2018 alebo po tomto dátume, členské štáty zabezpečia, aby každá takáto strelná zbraň alebo hlavná časť uvedená na trh bola označená jasným, trvalým a jedinečným označením, a to bezodkladne po výrobe a najneskôr pred jej uvedením na trh, alebo bezodkladne po dovoze do Únie.“</w:t>
      </w:r>
    </w:p>
    <w:p w:rsidR="00B122BB" w:rsidP="00B122BB">
      <w:pPr>
        <w:shd w:val="clear" w:color="auto" w:fill="FFFFFF"/>
        <w:overflowPunct w:val="0"/>
        <w:bidi w:val="0"/>
        <w:ind w:left="284"/>
        <w:jc w:val="both"/>
        <w:rPr>
          <w:rFonts w:ascii="Times New Roman" w:eastAsia="Times New Roman" w:hAnsi="Times New Roman" w:cs="Times New Roman"/>
          <w:i/>
          <w:iCs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shd w:val="clear" w:color="auto" w:fill="FFFFFF"/>
        <w:overflowPunct w:val="0"/>
        <w:bidi w:val="0"/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5.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V § 8 ods. 1  sa slovo „uvádza“ nahrádza slovom „uvedie“.  </w:t>
      </w:r>
    </w:p>
    <w:p w:rsidR="00B122BB" w:rsidRPr="00B122BB" w:rsidP="00B122BB">
      <w:pPr>
        <w:pStyle w:val="NoSpacing"/>
        <w:shd w:val="clear" w:color="auto" w:fill="FFFFFF"/>
        <w:bidi w:val="0"/>
        <w:ind w:left="3600"/>
        <w:jc w:val="both"/>
        <w:rPr>
          <w:rFonts w:ascii="Times New Roman" w:eastAsia="Times New Roman" w:hAnsi="Times New Roman"/>
          <w:i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>Ide o legislatívno-technickú úpravu; ustanovenie sa terminologicky spresňuje s poukazom na pojem zavedený v § 2 písm. b) návrhu zákona.</w:t>
      </w:r>
      <w:r w:rsidRPr="00B122BB">
        <w:rPr>
          <w:rStyle w:val="Emphasis"/>
          <w:rFonts w:ascii="Times New Roman" w:eastAsia="Times New Roman" w:hAnsi="Times New Roman"/>
          <w:iCs/>
          <w:sz w:val="24"/>
          <w:szCs w:val="24"/>
          <w:lang w:val="sk-SK" w:eastAsia="sk-SK" w:bidi="ar-SA"/>
        </w:rPr>
        <w:t xml:space="preserve">  </w:t>
      </w:r>
      <w:r w:rsidRPr="00B122BB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122BB" w:rsidP="00B122BB">
      <w:pPr>
        <w:pStyle w:val="NoSpacing"/>
        <w:shd w:val="clear" w:color="auto" w:fill="FFFFFF"/>
        <w:bidi w:val="0"/>
        <w:ind w:left="3402"/>
        <w:jc w:val="both"/>
        <w:rPr>
          <w:rFonts w:ascii="Times New Roman" w:eastAsia="Times New Roman" w:hAnsi="Times New Roman"/>
          <w:i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shd w:val="clear" w:color="auto" w:fill="FFFFFF"/>
        <w:bidi w:val="0"/>
        <w:ind w:left="3402"/>
        <w:jc w:val="both"/>
        <w:rPr>
          <w:rFonts w:ascii="Times New Roman" w:eastAsia="Times New Roman" w:hAnsi="Times New Roman"/>
          <w:i/>
        </w:rPr>
      </w:pPr>
    </w:p>
    <w:p w:rsidR="00B122BB" w:rsidRPr="00B122BB" w:rsidP="00B122BB">
      <w:pPr>
        <w:widowControl/>
        <w:numPr>
          <w:numId w:val="32"/>
        </w:numPr>
        <w:shd w:val="clear" w:color="auto" w:fill="FFFFFF"/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§ 8 ods. 3 sa za slová „označiť strelnú zbraň alebo strelivo“ vkladajú slová „údajmi“</w:t>
      </w:r>
      <w:r w:rsidR="007B7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slová  „a dovozca  môže strelnú zbraň“ sa nahrádzajú slovami „a môže strelnú zbraň“. </w:t>
      </w:r>
    </w:p>
    <w:p w:rsidR="00B122BB" w:rsidRPr="00B122BB" w:rsidP="00B122BB">
      <w:pPr>
        <w:pStyle w:val="NoSpacing"/>
        <w:shd w:val="clear" w:color="auto" w:fill="FFFFFF"/>
        <w:bidi w:val="0"/>
        <w:ind w:left="3600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rtl w:val="0"/>
          <w:cs w:val="0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ustanovenie sa  zosúlaďuje v záujme terminologickej jednoty a presnosti a zároveň sa upravuje aj štylisticky.  </w:t>
      </w:r>
    </w:p>
    <w:p w:rsidR="00B122BB" w:rsidP="00B122BB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sz w:val="32"/>
          <w:rtl w:val="0"/>
          <w:cs w:val="0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sz w:val="32"/>
          <w:rtl w:val="0"/>
          <w:cs w:val="0"/>
        </w:rPr>
      </w:pPr>
    </w:p>
    <w:p w:rsidR="00B122BB" w:rsidRPr="00B122BB" w:rsidP="00B122BB">
      <w:pPr>
        <w:widowControl/>
        <w:numPr>
          <w:numId w:val="31"/>
        </w:numPr>
        <w:shd w:val="clear" w:color="auto" w:fill="FFFFFF"/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i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ar-SA" w:bidi="ar-SA"/>
        </w:rPr>
        <w:t xml:space="preserve">V § 9 ods. 2 úvodnej vete sa slovo „sprístupniť“ nahrádza slovom „sprístupňovať“. </w:t>
      </w:r>
    </w:p>
    <w:p w:rsidR="00B122BB" w:rsidRPr="00B122BB" w:rsidP="00B122BB">
      <w:pPr>
        <w:pStyle w:val="NoSpacing"/>
        <w:bidi w:val="0"/>
        <w:ind w:left="3600"/>
        <w:jc w:val="both"/>
        <w:rPr>
          <w:rFonts w:ascii="Times New Roman" w:eastAsia="Times New Roman" w:hAnsi="Times New Roman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ustanovenie sa  zosúlaďuje v záujme terminologickej presnosti a jednoty  poukazujúc na pojem zavedený v § 2 písm. a) návrhu zákona.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bidi w:val="0"/>
        <w:ind w:left="3402"/>
        <w:jc w:val="both"/>
        <w:rPr>
          <w:rFonts w:ascii="Times New Roman" w:eastAsia="Times New Roman" w:hAnsi="Times New Roman"/>
        </w:rPr>
      </w:pPr>
    </w:p>
    <w:p w:rsidR="00B122BB" w:rsidRPr="00B122BB" w:rsidP="00B122BB">
      <w:pPr>
        <w:widowControl/>
        <w:numPr>
          <w:numId w:val="31"/>
        </w:numPr>
        <w:shd w:val="clear" w:color="auto" w:fill="FFFFFF"/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 § 12 ods. 3 sa slová „osobitného predpisu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18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 nahrádzajú slovami „medzinárodnej zmluvy, ktorou je Slovenská republika viazaná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18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)“. </w:t>
      </w:r>
    </w:p>
    <w:p w:rsidR="00B122BB" w:rsidRPr="00B122BB" w:rsidP="00B122BB">
      <w:pPr>
        <w:pStyle w:val="NoSpacing"/>
        <w:shd w:val="clear" w:color="auto" w:fill="FFFFFF"/>
        <w:bidi w:val="0"/>
        <w:ind w:left="3600"/>
        <w:jc w:val="both"/>
        <w:rPr>
          <w:rFonts w:ascii="Times New Roman" w:eastAsia="Times New Roman" w:hAnsi="Times New Roman"/>
          <w:i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úpravou sa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nahrádza nesprávne označenie medzinárodnej zmluvy správnym označením </w:t>
      </w:r>
      <w:r w:rsidRPr="00B122BB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(medzinárodná zmluva nie je osobitný predpis).</w:t>
      </w:r>
    </w:p>
    <w:p w:rsidR="00B122BB" w:rsidP="00B122BB">
      <w:pPr>
        <w:pStyle w:val="NoSpacing"/>
        <w:shd w:val="clear" w:color="auto" w:fill="FFFFFF"/>
        <w:bidi w:val="0"/>
        <w:ind w:left="3402"/>
        <w:jc w:val="both"/>
        <w:rPr>
          <w:rFonts w:ascii="Times New Roman" w:eastAsia="Times New Roman" w:hAnsi="Times New Roman"/>
          <w:i/>
          <w:iCs/>
          <w:sz w:val="32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shd w:val="clear" w:color="auto" w:fill="FFFFFF"/>
        <w:bidi w:val="0"/>
        <w:ind w:left="3402"/>
        <w:jc w:val="both"/>
        <w:rPr>
          <w:rFonts w:ascii="Times New Roman" w:eastAsia="Times New Roman" w:hAnsi="Times New Roman"/>
          <w:i/>
          <w:iCs/>
          <w:sz w:val="32"/>
        </w:rPr>
      </w:pPr>
    </w:p>
    <w:p w:rsidR="00B122BB" w:rsidRPr="00B122BB" w:rsidP="00B122BB">
      <w:pPr>
        <w:widowControl/>
        <w:numPr>
          <w:numId w:val="31"/>
        </w:numPr>
        <w:shd w:val="clear" w:color="auto" w:fill="FFFFFF"/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16 ods. 2 písm. b) druhom bode sa slová „údajov dodaných“ nahrádzajú slovami „údajov oznámených“.</w:t>
      </w:r>
    </w:p>
    <w:p w:rsidR="00B122BB" w:rsidRPr="00B122BB" w:rsidP="00B122BB">
      <w:pPr>
        <w:pStyle w:val="NoSpacing"/>
        <w:shd w:val="clear" w:color="auto" w:fill="FFFFFF"/>
        <w:bidi w:val="0"/>
        <w:ind w:left="3600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rtl w:val="0"/>
          <w:cs w:val="0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ustanovenie sa spresňuje  v záujme terminologickej presnosti a jednoty. </w:t>
      </w:r>
    </w:p>
    <w:p w:rsidR="00B122BB" w:rsidP="00B122BB">
      <w:pPr>
        <w:pStyle w:val="NoSpacing"/>
        <w:shd w:val="clear" w:color="auto" w:fill="FFFFFF"/>
        <w:bidi w:val="0"/>
        <w:ind w:left="3402"/>
        <w:jc w:val="both"/>
        <w:rPr>
          <w:rStyle w:val="Emphasis"/>
          <w:rFonts w:ascii="Times New Roman" w:eastAsia="Times New Roman" w:hAnsi="Times New Roman" w:cs="Times New Roman" w:hint="default"/>
          <w:i w:val="0"/>
          <w:iCs/>
          <w:rtl w:val="0"/>
          <w:cs w:val="0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  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122BB" w:rsidRPr="00B122BB" w:rsidP="00B122BB">
      <w:pPr>
        <w:pStyle w:val="NoSpacing"/>
        <w:shd w:val="clear" w:color="auto" w:fill="FFFFFF"/>
        <w:bidi w:val="0"/>
        <w:ind w:left="3402"/>
        <w:jc w:val="both"/>
        <w:rPr>
          <w:rFonts w:ascii="Times New Roman" w:eastAsia="Times New Roman" w:hAnsi="Times New Roman"/>
        </w:rPr>
      </w:pPr>
    </w:p>
    <w:p w:rsidR="00B122BB" w:rsidRPr="00B122BB" w:rsidP="00B122BB">
      <w:pPr>
        <w:widowControl/>
        <w:numPr>
          <w:numId w:val="31"/>
        </w:numPr>
        <w:shd w:val="clear" w:color="auto" w:fill="FFFFFF"/>
        <w:overflowPunct w:val="0"/>
        <w:bidi w:val="0"/>
        <w:adjustRightInd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§  17 nadpise sa za slovo „Dohľad“ pripájajú slová „nad trhom“.  </w:t>
      </w:r>
    </w:p>
    <w:p w:rsidR="00B122BB" w:rsidRPr="00B122BB" w:rsidP="00B122BB">
      <w:pPr>
        <w:tabs>
          <w:tab w:val="left" w:pos="-1985"/>
          <w:tab w:val="left" w:pos="709"/>
          <w:tab w:val="left" w:pos="1077"/>
        </w:tabs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B122BB">
        <w:rPr>
          <w:rStyle w:val="Emphasis"/>
          <w:rFonts w:ascii="Times New Roman" w:eastAsia="Times New Roman" w:hAnsi="Times New Roman"/>
          <w:i w:val="0"/>
          <w:iCs/>
          <w:sz w:val="24"/>
          <w:szCs w:val="24"/>
          <w:lang w:val="sk-SK" w:eastAsia="sk-SK" w:bidi="ar-SA"/>
        </w:rPr>
        <w:t xml:space="preserve">Ide o legislatívno-technickú úpravu; nadpis sa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spresňuje z dôvodu rozlíšenia dohľadu nad zákonom od dohľadu nad trhom</w:t>
      </w:r>
    </w:p>
    <w:p w:rsid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122BB" w:rsidRPr="00B122BB" w:rsidP="00B122BB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obranu a bezpečnosť </w:t>
      </w: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22BB" w:rsidRPr="00B122BB" w:rsidP="00B122BB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E5DAA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939A2" w:rsidRPr="00B122BB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spoločne 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B122BB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Pr="00B122BB" w:rsidR="002F5E8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B122BB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10 </w:t>
      </w:r>
      <w:r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o sprístupňovaní strelných zbraní a streliva na civilné použitie na trhu</w:t>
      </w:r>
      <w:r w:rsidRPr="00B122BB" w:rsidR="00825E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1199)</w:t>
      </w:r>
    </w:p>
    <w:p w:rsidR="000519E9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B122BB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122BB" w:rsidR="001576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333</w:t>
      </w:r>
      <w:r w:rsidRPr="00B122BB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B122B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Róberta Puciho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2AC4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31C05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B122BB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B122B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122B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122B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7B7BF0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8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1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2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0"/>
  </w:num>
  <w:num w:numId="5">
    <w:abstractNumId w:val="18"/>
  </w:num>
  <w:num w:numId="6">
    <w:abstractNumId w:val="2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0"/>
  </w:num>
  <w:num w:numId="11">
    <w:abstractNumId w:val="19"/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0"/>
  </w:num>
  <w:num w:numId="21">
    <w:abstractNumId w:val="5"/>
  </w:num>
  <w:num w:numId="22">
    <w:abstractNumId w:val="22"/>
  </w:num>
  <w:num w:numId="23">
    <w:abstractNumId w:val="4"/>
  </w:num>
  <w:num w:numId="24">
    <w:abstractNumId w:val="28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6</Pages>
  <Words>1187</Words>
  <Characters>6772</Characters>
  <Application>Microsoft Office Word</Application>
  <DocSecurity>0</DocSecurity>
  <Lines>0</Lines>
  <Paragraphs>0</Paragraphs>
  <ScaleCrop>false</ScaleCrop>
  <Company>Kancelária NR SR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</cp:revision>
  <cp:lastPrinted>2018-05-07T11:14:00Z</cp:lastPrinted>
  <dcterms:created xsi:type="dcterms:W3CDTF">2018-11-26T10:10:00Z</dcterms:created>
  <dcterms:modified xsi:type="dcterms:W3CDTF">2019-01-29T10:12:00Z</dcterms:modified>
</cp:coreProperties>
</file>