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860B80" w:rsidP="003F758D">
      <w:pPr>
        <w:bidi w:val="0"/>
        <w:jc w:val="both"/>
        <w:rPr>
          <w:rFonts w:ascii="Times New Roman" w:eastAsia="Times New Roman" w:hAnsi="Times New Roman"/>
          <w:i/>
        </w:rPr>
      </w:pPr>
    </w:p>
    <w:p w:rsidR="00860B80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</w:p>
    <w:p w:rsidR="00EA5DC2" w:rsidRPr="00F95756" w:rsidP="00255451">
      <w:pPr>
        <w:bidi w:val="0"/>
        <w:ind w:firstLine="567"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72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EE6A95" w:rsidRPr="00A1790A" w:rsidP="00A1790A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- </w:t>
      </w:r>
      <w:r w:rsidR="00152221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2174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/201</w:t>
      </w:r>
      <w:r w:rsidR="00697BB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9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 </w:t>
      </w:r>
    </w:p>
    <w:p w:rsidR="009A3C1A" w:rsidP="003F758D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785A49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326</w:t>
      </w:r>
    </w:p>
    <w:p w:rsidR="00EA5DC2" w:rsidRPr="00F95756" w:rsidP="003F758D">
      <w:pPr>
        <w:pStyle w:val="Heading2"/>
        <w:bidi w:val="0"/>
        <w:spacing w:line="240" w:lineRule="auto"/>
        <w:jc w:val="center"/>
        <w:rPr>
          <w:rFonts w:ascii="Times New Roman" w:eastAsia="Times New Roman" w:hAnsi="Times New Roman"/>
          <w:b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DF6858" w:rsidP="00A1790A">
      <w:pPr>
        <w:bidi w:val="0"/>
        <w:jc w:val="center"/>
        <w:rPr>
          <w:rFonts w:ascii="Times New Roman" w:eastAsia="Times New Roman" w:hAnsi="Times New Roman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3142E3" w:rsidR="00B16E2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3142E3" w:rsidR="00EA5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477B6" w:rsidRPr="00F95756" w:rsidP="00A1790A">
      <w:pPr>
        <w:bidi w:val="0"/>
        <w:jc w:val="center"/>
        <w:rPr>
          <w:rFonts w:ascii="Times New Roman" w:eastAsia="Times New Roman" w:hAnsi="Times New Roman"/>
        </w:rPr>
      </w:pPr>
    </w:p>
    <w:p w:rsidR="005242C8" w:rsidRPr="00F95756" w:rsidP="00152221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E477B6" w:rsidR="00E477B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152221" w:rsidR="0015222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zákona, ktorým sa mení a dopĺňa zákon č. 513/2009 Z. z. o dráhach a o zmene a doplnení niektorých zákonov v znení neskorších predpisov a ktorým sa menia a dopĺňajú niektoré zákony</w:t>
      </w:r>
      <w:r w:rsidRPr="00EB482B" w:rsidR="0015222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1201)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jc w:val="both"/>
        <w:rPr>
          <w:rFonts w:ascii="Times New Roman" w:eastAsia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0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</w:p>
    <w:p w:rsidR="00A1790A" w:rsidRPr="00A1790A" w:rsidP="00A1790A">
      <w:pPr>
        <w:pStyle w:val="BodyTextIndent2"/>
        <w:numPr>
          <w:numId w:val="5"/>
        </w:numPr>
        <w:bidi w:val="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152221" w:rsidP="002B1F59">
      <w:pPr>
        <w:pStyle w:val="BodyTextIndent2"/>
        <w:bidi w:val="0"/>
        <w:ind w:firstLine="709"/>
        <w:jc w:val="both"/>
        <w:rPr>
          <w:rFonts w:eastAsia="Times New Roman" w:cs="Arial"/>
          <w:color w:val="auto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E477B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Pr="00152221" w:rsidR="00152221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zákona, ktorým sa mení a dopĺňa zákon č. 513/2009 Z. z. o dráhach a o zmene a doplnení niektorých zákonov v znení neskorších predpisov a ktorým sa menia a dopĺňajú niektoré zákony (</w:t>
      </w:r>
      <w:r w:rsidRPr="00152221" w:rsidR="00152221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tlač 1201</w:t>
      </w:r>
      <w:r w:rsidRPr="00152221" w:rsidR="00152221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152221" w:rsidR="00F95756">
        <w:rPr>
          <w:rFonts w:ascii="AT*Toronto" w:eastAsia="Times New Roman" w:hAnsi="AT*Toronto" w:cs="Arial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P="005A06D8">
      <w:pPr>
        <w:pStyle w:val="Heading4"/>
        <w:numPr>
          <w:numId w:val="4"/>
        </w:numPr>
        <w:bidi w:val="0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A1790A" w:rsidP="00A1790A">
      <w:pPr>
        <w:bidi w:val="0"/>
        <w:jc w:val="left"/>
        <w:rPr>
          <w:rFonts w:ascii="Times New Roman" w:eastAsia="Times New Roman" w:hAnsi="Times New Roman"/>
        </w:rPr>
      </w:pPr>
    </w:p>
    <w:p w:rsidR="00A1790A" w:rsidRPr="00A1790A" w:rsidP="00A1790A">
      <w:pPr>
        <w:pStyle w:val="Heading1"/>
        <w:bidi w:val="0"/>
        <w:spacing w:line="240" w:lineRule="auto"/>
        <w:ind w:firstLine="360"/>
        <w:jc w:val="both"/>
        <w:rPr>
          <w:rFonts w:ascii="Times New Roman" w:eastAsia="Times New Roman" w:hAnsi="Times New Roman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5242C8" w:rsidRPr="00242EDA" w:rsidP="00A1790A">
      <w:pPr>
        <w:pStyle w:val="BodyTextIndent2"/>
        <w:bidi w:val="0"/>
        <w:ind w:firstLine="709"/>
        <w:jc w:val="both"/>
        <w:rPr>
          <w:rFonts w:ascii="Times New Roman" w:eastAsia="Times New Roman" w:hAnsi="Times New Roman"/>
          <w:color w:val="000000"/>
          <w:lang w:val="sk-SK"/>
        </w:rPr>
      </w:pPr>
      <w:r w:rsidRPr="00E477B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Pr="00152221" w:rsidR="00152221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zákona, ktorým sa mení a dopĺňa zákon č. 513/2009 Z. z. o dráhach a o zmene a doplnení niektorých zákonov v znení neskorších predpisov a ktorým sa menia a dopĺňajú niektoré zákony (</w:t>
      </w:r>
      <w:r w:rsidRPr="00152221" w:rsidR="00152221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tlač 1201</w:t>
      </w:r>
      <w:r w:rsidRPr="00152221" w:rsidR="00152221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EB482B" w:rsidR="00152221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="009A5564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="00D3040C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 xml:space="preserve">chváliť </w:t>
      </w:r>
      <w:r w:rsidRPr="00242EDA" w:rsidR="00D3040C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242EDA" w:rsidR="00D3040C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predsedníčku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9A55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="00E477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5756" w:rsidR="004B21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ju na schválenie gestorskému výboru,</w:t>
      </w:r>
    </w:p>
    <w:p w:rsidR="004533E2" w:rsidP="00AC23E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</w:rPr>
      </w:pPr>
      <w:r w:rsidRPr="00860B80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860B80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0B80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Pr="00860B80" w:rsidR="0015222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M. Bagačku </w:t>
      </w:r>
      <w:r w:rsidRPr="00860B80" w:rsidR="00E477B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0B80" w:rsidR="00977DD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(</w:t>
      </w:r>
      <w:r w:rsidRPr="00860B80" w:rsidR="0015222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P. Pamulu</w:t>
      </w:r>
      <w:r w:rsidRPr="00860B80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), aby v súlade s § 80 ods. 2 </w:t>
      </w:r>
      <w:r w:rsidRPr="00860B80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860B80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60B80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860B80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</w:t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6E1A0A" w:rsidRPr="002A1985" w:rsidP="00450CF7">
      <w:pPr>
        <w:bidi w:val="0"/>
        <w:spacing w:after="120"/>
        <w:ind w:left="714"/>
        <w:jc w:val="both"/>
        <w:rPr>
          <w:rFonts w:ascii="Times New Roman" w:eastAsia="Times New Roman" w:hAnsi="Times New Roman"/>
          <w:bCs/>
        </w:rPr>
      </w:pP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="00450C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Pr="007F15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7F15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 </w:t>
      </w:r>
      <w:r w:rsidRPr="007F15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B a g a č k a</w:t>
      </w:r>
      <w:r w:rsidRPr="002833E0"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="003C7D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9E13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Jana </w:t>
      </w:r>
      <w:r w:rsidR="001079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i š š o v</w:t>
      </w:r>
      <w:r w:rsidR="003C7D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1079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á</w:t>
      </w:r>
      <w:r w:rsidR="003C7D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 v.r.</w:t>
      </w:r>
      <w:r w:rsidRPr="007F154D" w:rsidR="002833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  <w:r w:rsidR="002833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Eduard</w:t>
      </w:r>
      <w:r w:rsidRPr="007F15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H e g e r</w:t>
      </w:r>
      <w:r w:rsidRPr="002833E0"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3B691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predsedníčka</w:t>
      </w:r>
      <w:r w:rsidRPr="007F154D"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</w:t>
      </w:r>
      <w:r w:rsidR="00EC31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ru</w:t>
      </w:r>
    </w:p>
    <w:p w:rsidR="000C526A" w:rsidP="000C526A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eastAsia="Times New Roman" w:hAnsi="Times New Roman"/>
        </w:rPr>
      </w:pPr>
      <w:r w:rsidR="000C526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 w:rsidR="00B954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eastAsia="Times New Roman" w:hAnsi="Times New Roman"/>
        </w:rPr>
      </w:pP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72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179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</w:t>
      </w:r>
      <w:r w:rsidR="00C1385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loha k </w:t>
      </w:r>
      <w:r w:rsidR="00785A4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uzneseniu č. 326</w:t>
      </w:r>
    </w:p>
    <w:p w:rsidR="000C526A" w:rsidP="000C526A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0C526A" w:rsidP="000C526A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0C526A" w:rsidP="000C526A">
      <w:pPr>
        <w:bidi w:val="0"/>
        <w:jc w:val="left"/>
        <w:rPr>
          <w:rFonts w:ascii="Times New Roman" w:eastAsia="Times New Roman" w:hAnsi="Times New Roman"/>
        </w:rPr>
      </w:pPr>
    </w:p>
    <w:p w:rsidR="00E17DA9" w:rsidP="0015222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Arial"/>
        </w:rPr>
      </w:pPr>
      <w:r w:rsidR="000C52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E477B6" w:rsidR="00E477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152221" w:rsidR="001522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zákona, ktorým sa mení a dopĺňa zákon č. 513/2009 Z. z. o dráhach a o zmene a doplnení niektorých zákonov v znení neskorších predpisov a ktorým sa menia a dopĺňajú niektoré zákony</w:t>
      </w:r>
      <w:r w:rsidRPr="00EB482B" w:rsidR="0015222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1201)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 w:rsidR="00717E6A" w:rsidRPr="00990271" w:rsidP="00717E6A">
      <w:pPr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 sa za bod 1 vkladá nový bod 2, ktorý znie: </w:t>
      </w:r>
    </w:p>
    <w:p w:rsidR="00717E6A" w:rsidRPr="00990271" w:rsidP="00717E6A">
      <w:pPr>
        <w:pStyle w:val="ListParagraph"/>
        <w:autoSpaceDE w:val="0"/>
        <w:autoSpaceDN w:val="0"/>
        <w:bidi w:val="0"/>
        <w:adjustRightInd w:val="0"/>
        <w:ind w:left="360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„2. V § 8 ods. 2 sa na konci druhej vety dopĺňajú slová „inak je povinný stavebníkovi uhradiť náklady na údržbu, prevádzku a zabezpečenie stavby až do jej prevzatia“.“.</w:t>
      </w:r>
    </w:p>
    <w:p w:rsidR="00717E6A" w:rsidRPr="00990271" w:rsidP="00717E6A">
      <w:pPr>
        <w:pStyle w:val="ListParagraph"/>
        <w:autoSpaceDE w:val="0"/>
        <w:autoSpaceDN w:val="0"/>
        <w:bidi w:val="0"/>
        <w:adjustRightInd w:val="0"/>
        <w:ind w:left="360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717E6A" w:rsidP="00717E6A">
      <w:pPr>
        <w:pStyle w:val="ListParagraph"/>
        <w:bidi w:val="0"/>
        <w:ind w:left="2836"/>
        <w:contextualSpacing/>
        <w:jc w:val="left"/>
        <w:rPr>
          <w:rFonts w:ascii="Times New Roman" w:eastAsia="Times New Roman" w:hAnsi="Times New Roman"/>
          <w:bCs/>
          <w:i/>
          <w:highlight w:val="yellow"/>
        </w:rPr>
      </w:pPr>
    </w:p>
    <w:p w:rsidR="00717E6A" w:rsidRPr="00717E6A" w:rsidP="00717E6A">
      <w:pPr>
        <w:pStyle w:val="ListParagraph"/>
        <w:bidi w:val="0"/>
        <w:ind w:left="2836"/>
        <w:contextualSpacing/>
        <w:jc w:val="left"/>
        <w:rPr>
          <w:rFonts w:ascii="Times New Roman" w:eastAsia="Times New Roman" w:hAnsi="Times New Roman"/>
          <w:bCs/>
        </w:rPr>
      </w:pP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Ustanovuje sa sankcia za neprevzatie stavby z vyvolanej investície.</w:t>
      </w:r>
    </w:p>
    <w:p w:rsidR="00717E6A" w:rsidRPr="00990271" w:rsidP="00717E6A">
      <w:pPr>
        <w:pStyle w:val="ListParagraph"/>
        <w:bidi w:val="0"/>
        <w:ind w:left="0"/>
        <w:contextualSpacing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717E6A" w:rsidRPr="00990271" w:rsidP="00717E6A">
      <w:pPr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 sa za doterajší bod 8 vkladá nový bod 9, ktorý znie: </w:t>
      </w:r>
    </w:p>
    <w:p w:rsidR="00717E6A" w:rsidRPr="00990271" w:rsidP="00717E6A">
      <w:pPr>
        <w:bidi w:val="0"/>
        <w:spacing w:before="120"/>
        <w:ind w:left="360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„9. § 34 ods. 3 sa dopĺňa písmenami f) a g), ktoré znejú:</w:t>
      </w:r>
    </w:p>
    <w:p w:rsidR="00717E6A" w:rsidRPr="00990271" w:rsidP="00717E6A">
      <w:pPr>
        <w:bidi w:val="0"/>
        <w:spacing w:before="120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f) je právne oddelená od akéhokoľvek železničného podniku, a vo vertikálne integrovaných podnikoch od akýchkoľvek iných právnych subjektov v rámci podniku,</w:t>
      </w:r>
    </w:p>
    <w:p w:rsidR="00717E6A" w:rsidRPr="00990271" w:rsidP="00717E6A">
      <w:pPr>
        <w:bidi w:val="0"/>
        <w:ind w:left="360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g) má takú organizačnú a rozhodovaciu nezávislosť pri plnení základných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povinností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aby žiaden železničný podnik alebo iný právny subjekt nemal na neho rozhodujúci vplyv a nedochádzalo ku konfliktu záujmov osôb zodpovedných za plnenie základných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povinností</w:t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.“.“.</w:t>
      </w:r>
    </w:p>
    <w:p w:rsidR="00717E6A" w:rsidRPr="00990271" w:rsidP="00717E6A">
      <w:pPr>
        <w:bidi w:val="0"/>
        <w:ind w:firstLine="360"/>
        <w:contextualSpacing/>
        <w:jc w:val="left"/>
        <w:rPr>
          <w:rFonts w:ascii="Times New Roman" w:eastAsia="Times New Roman" w:hAnsi="Times New Roman"/>
        </w:rPr>
      </w:pPr>
    </w:p>
    <w:p w:rsidR="00717E6A" w:rsidRPr="00990271" w:rsidP="00717E6A">
      <w:pPr>
        <w:bidi w:val="0"/>
        <w:ind w:firstLine="360"/>
        <w:contextualSpacing/>
        <w:jc w:val="left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717E6A" w:rsidRPr="00990271" w:rsidP="00717E6A">
      <w:pPr>
        <w:bidi w:val="0"/>
        <w:ind w:firstLine="360"/>
        <w:contextualSpacing/>
        <w:jc w:val="left"/>
        <w:rPr>
          <w:rFonts w:ascii="Times New Roman" w:eastAsia="Times New Roman" w:hAnsi="Times New Roman"/>
        </w:rPr>
      </w:pPr>
    </w:p>
    <w:p w:rsidR="00717E6A" w:rsidRPr="00717E6A" w:rsidP="00717E6A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</w:rPr>
      </w:pP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 2012/34/EÚ.</w:t>
      </w:r>
    </w:p>
    <w:p w:rsidR="00717E6A" w:rsidP="00717E6A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717E6A" w:rsidRPr="00990271" w:rsidP="00717E6A">
      <w:pPr>
        <w:numPr>
          <w:ilvl w:val="1"/>
          <w:numId w:val="3"/>
        </w:numPr>
        <w:tabs>
          <w:tab w:val="num" w:pos="284"/>
          <w:tab w:val="clear" w:pos="1440"/>
        </w:tabs>
        <w:bidi w:val="0"/>
        <w:spacing w:before="120"/>
        <w:ind w:left="284" w:hanging="284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doterajšom bode 10 § 34 odsek 7 znie:</w:t>
      </w:r>
    </w:p>
    <w:p w:rsidR="00717E6A" w:rsidRPr="00990271" w:rsidP="00717E6A">
      <w:pPr>
        <w:bidi w:val="0"/>
        <w:spacing w:before="120"/>
        <w:ind w:left="360"/>
        <w:jc w:val="both"/>
        <w:rPr>
          <w:rStyle w:val="awspan1"/>
          <w:rFonts w:ascii="Times New Roman" w:eastAsia="Times New Roman" w:hAnsi="Times New Roman"/>
          <w:sz w:val="20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„(7)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Manažér</w:t>
      </w:r>
      <w:r w:rsidRPr="00990271">
        <w:rPr>
          <w:rStyle w:val="awspan1"/>
          <w:rFonts w:ascii="Times New Roman" w:eastAsia="Times New Roman" w:hAnsi="Times New Roman" w:cs="Times New Roman" w:hint="cs"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infraštruktúry</w:t>
      </w:r>
      <w:r w:rsidRPr="00990271">
        <w:rPr>
          <w:rStyle w:val="awspan1"/>
          <w:rFonts w:ascii="Times New Roman" w:eastAsia="Times New Roman" w:hAnsi="Times New Roman" w:cs="Times New Roman" w:hint="cs"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môže, pod podmienkou</w:t>
      </w:r>
      <w:r w:rsidRPr="00990271">
        <w:rPr>
          <w:rStyle w:val="awspan1"/>
          <w:rFonts w:ascii="Times New Roman" w:eastAsia="Times New Roman" w:hAnsi="Times New Roman" w:cs="Times New Roman" w:hint="cs"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zachovania</w:t>
      </w:r>
      <w:r w:rsidRPr="00990271">
        <w:rPr>
          <w:rStyle w:val="awspan1"/>
          <w:rFonts w:ascii="Times New Roman" w:eastAsia="Times New Roman" w:hAnsi="Times New Roman" w:cs="Times New Roman" w:hint="cs"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obchodného</w:t>
      </w:r>
      <w:r w:rsidRPr="00990271">
        <w:rPr>
          <w:rStyle w:val="awspan1"/>
          <w:rFonts w:ascii="Times New Roman" w:eastAsia="Times New Roman" w:hAnsi="Times New Roman" w:cs="Times New Roman" w:hint="cs"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tajomstva</w:t>
      </w:r>
      <w:r w:rsidRPr="00990271">
        <w:rPr>
          <w:rStyle w:val="awspan1"/>
          <w:rFonts w:ascii="Times New Roman" w:eastAsia="Times New Roman" w:hAnsi="Times New Roman" w:cs="Times New Roman" w:hint="cs"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a nediskriminačného</w:t>
      </w:r>
      <w:r w:rsidRPr="00990271">
        <w:rPr>
          <w:rStyle w:val="awspan1"/>
          <w:rFonts w:ascii="Times New Roman" w:eastAsia="Times New Roman" w:hAnsi="Times New Roman" w:cs="Times New Roman" w:hint="cs"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prístupu, so subjektom, ktorý spĺňa podmienky podľa § 34a uzatvoriť</w:t>
      </w:r>
      <w:r w:rsidRPr="00990271">
        <w:rPr>
          <w:rStyle w:val="awspan1"/>
          <w:rFonts w:ascii="Times New Roman" w:eastAsia="Times New Roman" w:hAnsi="Times New Roman" w:cs="Times New Roman" w:hint="cs"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zmluvu:</w:t>
      </w:r>
    </w:p>
    <w:p w:rsidR="00717E6A" w:rsidRPr="00990271" w:rsidP="00717E6A">
      <w:pPr>
        <w:pStyle w:val="ListParagraph"/>
        <w:numPr>
          <w:numId w:val="17"/>
        </w:numPr>
        <w:bidi w:val="0"/>
        <w:spacing w:before="120"/>
        <w:jc w:val="both"/>
        <w:rPr>
          <w:rStyle w:val="awspan1"/>
          <w:rFonts w:ascii="Times New Roman" w:eastAsia="Times New Roman" w:hAnsi="Times New Roman"/>
          <w:spacing w:val="24"/>
          <w:sz w:val="20"/>
        </w:rPr>
      </w:pP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na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vykonávanie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základných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povinností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7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podľa §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34a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ods.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4, ak takýto subjekt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nie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je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železničným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podnikom,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8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neriadi železničný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podnik,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ani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nie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je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riadený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železničným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podnikom,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alebo</w:t>
      </w:r>
    </w:p>
    <w:p w:rsidR="00717E6A" w:rsidRPr="00990271" w:rsidP="00717E6A">
      <w:pPr>
        <w:pStyle w:val="ListParagraph"/>
        <w:numPr>
          <w:numId w:val="17"/>
        </w:numPr>
        <w:bidi w:val="0"/>
        <w:spacing w:before="120"/>
        <w:jc w:val="both"/>
        <w:rPr>
          <w:rStyle w:val="awspan1"/>
          <w:rFonts w:ascii="Times New Roman" w:eastAsia="Times New Roman" w:hAnsi="Times New Roman"/>
          <w:sz w:val="20"/>
        </w:rPr>
      </w:pP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 prenechaní správy infraštruktúry inému manažérovi infraštruktúry alebo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účastníkom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verejno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– súkromných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3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partnerstiev.“.</w:t>
      </w:r>
    </w:p>
    <w:p w:rsidR="00717E6A" w:rsidP="00717E6A">
      <w:pPr>
        <w:bidi w:val="0"/>
        <w:ind w:left="2835"/>
        <w:contextualSpacing/>
        <w:jc w:val="both"/>
        <w:rPr>
          <w:rFonts w:ascii="Times New Roman" w:eastAsia="Times New Roman" w:hAnsi="Times New Roman"/>
          <w:i/>
          <w:noProof/>
        </w:rPr>
      </w:pPr>
    </w:p>
    <w:p w:rsidR="00717E6A" w:rsidP="00717E6A">
      <w:pPr>
        <w:bidi w:val="0"/>
        <w:ind w:left="2835"/>
        <w:contextualSpacing/>
        <w:jc w:val="both"/>
        <w:rPr>
          <w:rFonts w:ascii="Times New Roman" w:eastAsia="Times New Roman" w:hAnsi="Times New Roman"/>
          <w:noProof/>
        </w:rPr>
      </w:pP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 čl. 7c ods. 4 smernice 2012/34/EÚ.</w:t>
      </w:r>
    </w:p>
    <w:p w:rsidR="00717E6A" w:rsidRPr="00717E6A" w:rsidP="00717E6A">
      <w:pPr>
        <w:bidi w:val="0"/>
        <w:ind w:left="2835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Style w:val="awspan1"/>
          <w:rFonts w:ascii="Times New Roman" w:eastAsia="Times New Roman" w:hAnsi="Times New Roman"/>
          <w:sz w:val="20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 bode 10 § 34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 xml:space="preserve"> ods. 9 sa slová „povinností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podľa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odsekov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7“ nahrádzajú slovami „povinností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podľa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odsekov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22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 xml:space="preserve">7 písm. a)“. </w:t>
      </w:r>
    </w:p>
    <w:p w:rsidR="00717E6A" w:rsidP="00717E6A">
      <w:pPr>
        <w:pStyle w:val="ListParagraph"/>
        <w:autoSpaceDE w:val="0"/>
        <w:autoSpaceDN w:val="0"/>
        <w:bidi w:val="0"/>
        <w:adjustRightInd w:val="0"/>
        <w:ind w:left="2835"/>
        <w:contextualSpacing/>
        <w:jc w:val="both"/>
        <w:rPr>
          <w:rFonts w:ascii="Times New Roman" w:eastAsia="Times New Roman" w:hAnsi="Times New Roman"/>
          <w:bCs/>
          <w:i/>
          <w:highlight w:val="yellow"/>
        </w:rPr>
      </w:pPr>
    </w:p>
    <w:p w:rsidR="00717E6A" w:rsidRPr="00717E6A" w:rsidP="00717E6A">
      <w:pPr>
        <w:pStyle w:val="ListParagraph"/>
        <w:autoSpaceDE w:val="0"/>
        <w:autoSpaceDN w:val="0"/>
        <w:bidi w:val="0"/>
        <w:adjustRightInd w:val="0"/>
        <w:ind w:left="2835"/>
        <w:contextualSpacing/>
        <w:jc w:val="both"/>
        <w:rPr>
          <w:rFonts w:ascii="Times New Roman" w:eastAsia="Times New Roman" w:hAnsi="Times New Roman"/>
          <w:bCs/>
        </w:rPr>
      </w:pP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 čl. 7c ods. 4 smernice 2012/34/EÚ.</w:t>
      </w:r>
    </w:p>
    <w:p w:rsidR="00717E6A" w:rsidP="00717E6A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360"/>
          <w:tab w:val="clear" w:pos="1440"/>
        </w:tabs>
        <w:bidi w:val="0"/>
        <w:spacing w:before="120"/>
        <w:ind w:left="360"/>
        <w:jc w:val="both"/>
        <w:rPr>
          <w:rStyle w:val="awspan1"/>
          <w:rFonts w:ascii="Times New Roman" w:eastAsia="Times New Roman" w:hAnsi="Times New Roman"/>
          <w:color w:val="FF0000"/>
          <w:sz w:val="20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 bode 10 § 34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 xml:space="preserve"> ods. 11 poslednej vete sa na konci pripájajú tieto slová: „monitoruje jej vykonávanie a v odôvodnených prípadoch môže odporučiť jej vypovedanie“.</w:t>
      </w:r>
    </w:p>
    <w:p w:rsidR="00717E6A" w:rsidP="00717E6A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  <w:i/>
        </w:rPr>
      </w:pPr>
    </w:p>
    <w:p w:rsidR="00717E6A" w:rsidRPr="00717E6A" w:rsidP="00717E6A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</w:rPr>
      </w:pP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 čl. 7c ods. 4 smernice 2012/34/EÚ.</w:t>
      </w:r>
    </w:p>
    <w:p w:rsidR="00717E6A" w:rsidRPr="00990271" w:rsidP="00717E6A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  <w:i/>
        </w:rPr>
      </w:pPr>
    </w:p>
    <w:p w:rsidR="00717E6A" w:rsidRPr="00990271" w:rsidP="00717E6A">
      <w:pPr>
        <w:numPr>
          <w:ilvl w:val="1"/>
          <w:numId w:val="3"/>
        </w:numPr>
        <w:tabs>
          <w:tab w:val="num" w:pos="360"/>
          <w:tab w:val="clear" w:pos="1440"/>
        </w:tabs>
        <w:bidi w:val="0"/>
        <w:spacing w:before="120"/>
        <w:ind w:left="360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 doterajšom bode 11 § 34 ods. 17 sa slovo „správnym“ nahrádza slovom „verejným“ a slová „majú právo“ sa nahrádzajú slovami „nadobúdajú právo“.</w:t>
      </w:r>
    </w:p>
    <w:p w:rsidR="00717E6A" w:rsidRPr="00990271" w:rsidP="00717E6A">
      <w:pPr>
        <w:bidi w:val="0"/>
        <w:spacing w:before="120"/>
        <w:jc w:val="both"/>
        <w:rPr>
          <w:rFonts w:ascii="Times New Roman" w:eastAsia="Times New Roman" w:hAnsi="Times New Roman"/>
        </w:rPr>
      </w:pPr>
    </w:p>
    <w:p w:rsidR="00717E6A" w:rsidP="00717E6A">
      <w:pPr>
        <w:bidi w:val="0"/>
        <w:ind w:left="2836"/>
        <w:contextualSpacing/>
        <w:jc w:val="both"/>
        <w:rPr>
          <w:rFonts w:ascii="Times New Roman" w:eastAsia="Times New Roman" w:hAnsi="Times New Roman"/>
        </w:rPr>
      </w:pPr>
      <w:r w:rsidRPr="00717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17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Smernice EÚ 2012/34.</w:t>
      </w:r>
    </w:p>
    <w:p w:rsidR="00717E6A" w:rsidRPr="00717E6A" w:rsidP="00717E6A">
      <w:pPr>
        <w:bidi w:val="0"/>
        <w:ind w:left="2836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 bode 11 (§ 34) sa dopĺňa odsek 18, ktorý znie:</w:t>
      </w:r>
    </w:p>
    <w:p w:rsidR="00717E6A" w:rsidRPr="00990271" w:rsidP="00717E6A">
      <w:pPr>
        <w:bidi w:val="0"/>
        <w:spacing w:before="120"/>
        <w:ind w:left="360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„(18) Vertikálne integrovaným podnikom sa rozumie podnik, v ktorom manažéra infraštruktúry kontroluje podnik, ktorý zároveň kontroluje aj železničný podnik alebo ho kontroluje železničný podnik prevádzkujúci službu železničnej dopravy na sieti manažéra infraštruktúry.“.</w:t>
      </w:r>
    </w:p>
    <w:p w:rsidR="00717E6A" w:rsidRPr="00990271" w:rsidP="00717E6A">
      <w:pPr>
        <w:bidi w:val="0"/>
        <w:spacing w:before="120"/>
        <w:ind w:left="360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nadväznosti na túto zmenu sa primerane upraví úvodná veta k novelizačnému bodu. </w:t>
      </w:r>
    </w:p>
    <w:p w:rsidR="00717E6A" w:rsidRPr="00990271" w:rsidP="00717E6A">
      <w:pPr>
        <w:bidi w:val="0"/>
        <w:spacing w:before="120"/>
        <w:ind w:left="360"/>
        <w:jc w:val="both"/>
        <w:rPr>
          <w:rFonts w:ascii="Times New Roman" w:eastAsia="Times New Roman" w:hAnsi="Times New Roman"/>
        </w:rPr>
      </w:pPr>
    </w:p>
    <w:p w:rsidR="00717E6A" w:rsidRPr="00717E6A" w:rsidP="00717E6A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</w:rPr>
      </w:pP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EÚ 2012/34.</w:t>
      </w:r>
    </w:p>
    <w:p w:rsidR="00717E6A" w:rsidP="00717E6A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I bode 12 § 34a ods. 4 sa slovo „je“ nahrádza slovom „sú“. </w:t>
      </w:r>
    </w:p>
    <w:p w:rsidR="00717E6A" w:rsidP="00717E6A">
      <w:pPr>
        <w:bidi w:val="0"/>
        <w:spacing w:before="120" w:line="360" w:lineRule="auto"/>
        <w:ind w:left="2127" w:firstLine="709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 formulačnú úpravu ustanovenia.</w:t>
      </w:r>
    </w:p>
    <w:p w:rsidR="00717E6A" w:rsidRPr="00990271" w:rsidP="00717E6A">
      <w:pPr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  <w:color w:val="FF0000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 doterajšom bode 21 § 39 ods. 10 sa slová „môžu ohroziť“ nahrádzajú slovami „narušujú“.</w:t>
      </w:r>
    </w:p>
    <w:p w:rsidR="00717E6A" w:rsidRPr="00717E6A" w:rsidP="00717E6A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</w:rPr>
      </w:pP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 2012/34/EÚ.</w:t>
      </w:r>
    </w:p>
    <w:p w:rsidR="00717E6A" w:rsidRPr="00717E6A" w:rsidP="00717E6A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 bode 22  § 40 ods. 4 sa slová „zároveň sa“ nahrádzajú slovami „zároveň je“ a za slová „alternatívnu trasu“ sa vkladajú slová „obmedzené právo k prístupu k železničnej infraštruktúre, alebo sa na ňu“.</w:t>
      </w:r>
    </w:p>
    <w:p w:rsidR="00717E6A" w:rsidRPr="00990271" w:rsidP="00717E6A">
      <w:pPr>
        <w:pStyle w:val="ListParagraph"/>
        <w:bidi w:val="0"/>
        <w:spacing w:before="120"/>
        <w:ind w:left="360"/>
        <w:jc w:val="both"/>
        <w:rPr>
          <w:rFonts w:ascii="Times New Roman" w:eastAsia="Times New Roman" w:hAnsi="Times New Roman"/>
        </w:rPr>
      </w:pPr>
    </w:p>
    <w:p w:rsidR="00717E6A" w:rsidP="00717E6A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</w:rPr>
      </w:pP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 2012/34/EÚ.</w:t>
      </w:r>
    </w:p>
    <w:p w:rsidR="00717E6A" w:rsidRPr="00717E6A" w:rsidP="00717E6A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 sa za doterajší bod 28 vkladá nový bod 29, ktorý znie: </w:t>
      </w:r>
    </w:p>
    <w:p w:rsidR="00717E6A" w:rsidRPr="00990271" w:rsidP="00717E6A">
      <w:pPr>
        <w:bidi w:val="0"/>
        <w:spacing w:before="120"/>
        <w:ind w:left="360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„29. V § 51 ods. 1 prvej vete sa za slová „havarijný plán,“ vkladajú slová: „ktorý si vzájomne skoordinujú a“.“.</w:t>
      </w:r>
    </w:p>
    <w:p w:rsidR="00717E6A" w:rsidRPr="00990271" w:rsidP="00717E6A">
      <w:pPr>
        <w:bidi w:val="0"/>
        <w:contextualSpacing/>
        <w:jc w:val="left"/>
        <w:rPr>
          <w:rFonts w:ascii="Times New Roman" w:eastAsia="Times New Roman" w:hAnsi="Times New Roman"/>
        </w:rPr>
      </w:pPr>
    </w:p>
    <w:p w:rsidR="00717E6A" w:rsidRPr="00990271" w:rsidP="00717E6A">
      <w:pPr>
        <w:bidi w:val="0"/>
        <w:ind w:firstLine="360"/>
        <w:contextualSpacing/>
        <w:jc w:val="left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717E6A" w:rsidP="00717E6A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  <w:bCs/>
          <w:i/>
          <w:highlight w:val="yellow"/>
        </w:rPr>
      </w:pPr>
    </w:p>
    <w:p w:rsidR="00717E6A" w:rsidRPr="00717E6A" w:rsidP="00717E6A">
      <w:pPr>
        <w:pStyle w:val="ListParagraph"/>
        <w:autoSpaceDE w:val="0"/>
        <w:autoSpaceDN w:val="0"/>
        <w:bidi w:val="0"/>
        <w:adjustRightInd w:val="0"/>
        <w:ind w:left="2836"/>
        <w:contextualSpacing/>
        <w:jc w:val="both"/>
        <w:rPr>
          <w:rFonts w:ascii="Times New Roman" w:eastAsia="Times New Roman" w:hAnsi="Times New Roman"/>
        </w:rPr>
      </w:pP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Podľa ods. 3 čl. 13a Smernice 2012/34/EÚ sa vyžaduje od železničných podnikov prevádzkujúcich služby osobnej dopravy, aby zaviedli havarijné plány pre prípady výrazného narušenia služieb a tieto náležite koordinovali v záujme poskytnutia pomoci cestujúcim.</w:t>
      </w:r>
    </w:p>
    <w:p w:rsidR="00717E6A" w:rsidP="00717E6A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 bode 29 § 51 ods. 1 sa slová „manažérmi infraštruktúry susedných štátov“ nahrádzajú slovami „manažérmi infraštruktúry, na ktorých sieť a dopravu môže mať toto narušenie vplyv“.</w:t>
      </w:r>
    </w:p>
    <w:p w:rsid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717E6A" w:rsidRP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 2012/34/EÚ.</w:t>
      </w:r>
    </w:p>
    <w:p w:rsidR="00717E6A" w:rsidP="00717E6A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717E6A" w:rsidRPr="00990271" w:rsidP="00717E6A">
      <w:pPr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 doterajšom bode 34 § 61a ods. 2 sa na konci vkladá čiarka a pripájajú sa tieto slová: „ktorej cieľom je najmä rozvíjanie železničnej infraštruktúry, podporovanie zavedenia jednotného európskeho železničného priestoru, monitorovanie a meranie výkonnosti a riešenie cezhraničných úzkych miest“.</w:t>
      </w:r>
    </w:p>
    <w:p w:rsidR="00717E6A" w:rsidRPr="00990271" w:rsidP="00717E6A">
      <w:pPr>
        <w:bidi w:val="0"/>
        <w:ind w:left="426"/>
        <w:contextualSpacing/>
        <w:jc w:val="both"/>
        <w:rPr>
          <w:rFonts w:ascii="Times New Roman" w:eastAsia="Times New Roman" w:hAnsi="Times New Roman"/>
        </w:rPr>
      </w:pPr>
    </w:p>
    <w:p w:rsidR="00717E6A" w:rsidRP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283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Dopĺňa sa definícia Európskej siete manažérov infraštruktúry.</w:t>
      </w:r>
    </w:p>
    <w:p w:rsidR="00717E6A" w:rsidRPr="00990271" w:rsidP="00717E6A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</w:rPr>
      </w:pPr>
    </w:p>
    <w:p w:rsidR="00717E6A" w:rsidRPr="00990271" w:rsidP="00717E6A">
      <w:pPr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 doterajšom bode 34 § 61a ods. 3  poslednej vete sa na konci pripájajú tieto slová „a v prípade potreby možno prizvať aj zástupcov používateľov služieb a regionálnych a miestnych orgánov“.</w:t>
      </w:r>
    </w:p>
    <w:p w:rsid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717E6A" w:rsidRP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so znením</w:t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Smernice  2012/34/EÚ.</w:t>
      </w:r>
    </w:p>
    <w:p w:rsidR="00717E6A" w:rsidP="00717E6A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  <w:b/>
        </w:rPr>
      </w:pPr>
    </w:p>
    <w:p w:rsidR="00717E6A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A3373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 bode 35 § 64 ods. 4 sa slová „ako napríklad softvér“ nahrádzajú slovami „najmä softvér“.</w:t>
      </w:r>
    </w:p>
    <w:p w:rsidR="00717E6A" w:rsidRPr="00A33737" w:rsidP="00717E6A">
      <w:pPr>
        <w:pStyle w:val="ListParagraph"/>
        <w:tabs>
          <w:tab w:val="num" w:pos="426"/>
        </w:tabs>
        <w:bidi w:val="0"/>
        <w:spacing w:before="120" w:after="160" w:line="360" w:lineRule="auto"/>
        <w:ind w:left="426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A3373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>Ide o formulačné spresnenie textu.</w:t>
      </w:r>
    </w:p>
    <w:p w:rsidR="00717E6A" w:rsidRPr="00990271" w:rsidP="00717E6A">
      <w:pPr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left"/>
        <w:rPr>
          <w:rStyle w:val="awspan1"/>
          <w:rFonts w:ascii="Times New Roman" w:eastAsia="Times New Roman" w:hAnsi="Times New Roman"/>
          <w:sz w:val="20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 doterajšom bode 35 § 66 ods. 2 sa slová „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aj na iné účely“ nahrádzajú slovami „na iné účely ako v železničnom</w:t>
      </w:r>
      <w:r w:rsidRPr="00990271">
        <w:rPr>
          <w:rStyle w:val="awspan1"/>
          <w:rFonts w:ascii="Times New Roman" w:eastAsia="Times New Roman" w:hAnsi="Times New Roman" w:cs="Times New Roman" w:hint="cs"/>
          <w:spacing w:val="85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szCs w:val="24"/>
          <w:rtl w:val="0"/>
          <w:cs w:val="0"/>
          <w:lang w:val="sk-SK" w:eastAsia="sk-SK" w:bidi="ar-SA"/>
        </w:rPr>
        <w:t>systéme“.</w:t>
      </w:r>
    </w:p>
    <w:p w:rsidR="00717E6A" w:rsidP="00717E6A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  <w:i/>
        </w:rPr>
      </w:pPr>
      <w:r w:rsidRP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717E6A" w:rsidRPr="00717E6A" w:rsidP="00717E6A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Legislatívno -  technické spresnenie.</w:t>
      </w:r>
    </w:p>
    <w:p w:rsidR="00717E6A" w:rsidP="00717E6A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</w:rPr>
      </w:pPr>
    </w:p>
    <w:p w:rsidR="00717E6A" w:rsidRPr="00990271" w:rsidP="00717E6A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</w:rPr>
      </w:pPr>
    </w:p>
    <w:p w:rsidR="00717E6A" w:rsidRPr="00990271" w:rsidP="00717E6A">
      <w:pPr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left"/>
        <w:rPr>
          <w:rStyle w:val="awspan"/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doterajšom bode 35 § 69 ods. 3 sa slová „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komponentu,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vrátane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možnosti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uložiť pokutu.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23)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“ nahrádzajú slovami „komponentu.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23)</w:t>
      </w:r>
      <w:r w:rsidRPr="00990271">
        <w:rPr>
          <w:rStyle w:val="awspan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“.</w:t>
      </w:r>
    </w:p>
    <w:p w:rsidR="00717E6A" w:rsidRPr="00990271" w:rsidP="00717E6A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Zároveň sa v poznámke pod čiarou k odkazu 23 vypúšťajú slová „ods.2“.</w:t>
      </w:r>
    </w:p>
    <w:p w:rsid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</w:p>
    <w:p w:rsidR="00717E6A" w:rsidRP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 nariadením</w:t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EÚ 2016/796.</w:t>
      </w:r>
    </w:p>
    <w:p w:rsidR="00717E6A" w:rsidRPr="00990271" w:rsidP="00717E6A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</w:rPr>
      </w:pPr>
    </w:p>
    <w:p w:rsidR="00717E6A" w:rsidRPr="00990271" w:rsidP="00717E6A">
      <w:pPr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left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 doterajšom bode 35 § 70 ods. 9 a 10 sa slovo „rozsiahle“ nahrádza slovom „také“.</w:t>
      </w:r>
    </w:p>
    <w:p w:rsid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 w:rsidRP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717E6A" w:rsidRP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Ide o spresnenie určenia rozsahu prác, ktoré upravujú podmienky pre definíciu </w:t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modernizácie a obnovy subsystému a modernizácie.</w:t>
      </w:r>
    </w:p>
    <w:p w:rsidR="00717E6A" w:rsidRPr="00990271" w:rsidP="00717E6A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</w:p>
    <w:p w:rsidR="00717E6A" w:rsidRPr="00990271" w:rsidP="00717E6A">
      <w:pPr>
        <w:pStyle w:val="ListParagraph"/>
        <w:framePr w:wrap="auto"/>
        <w:widowControl/>
        <w:numPr>
          <w:ilvl w:val="1"/>
          <w:numId w:val="3"/>
        </w:numPr>
        <w:tabs>
          <w:tab w:val="num" w:pos="426"/>
        </w:tabs>
        <w:autoSpaceDE/>
        <w:autoSpaceDN/>
        <w:bidi w:val="0"/>
        <w:adjustRightInd/>
        <w:ind w:left="426" w:right="0" w:hanging="426"/>
        <w:jc w:val="both"/>
        <w:textAlignment w:val="auto"/>
        <w:pPrChange w:id="0" w:author="Unknown" w:date="2019-01-24T15:57:00Z">
          <w:pPr>
            <w:pStyle w:val="ListParagraph"/>
            <w:numPr>
              <w:ilvl w:val="1"/>
              <w:numId w:val="3"/>
            </w:numPr>
            <w:tabs>
              <w:tab w:val="num" w:pos="426"/>
              <w:tab w:val="clear" w:pos="1440"/>
            </w:tabs>
            <w:bidi w:val="0"/>
            <w:ind w:left="426" w:hanging="426"/>
            <w:jc w:val="both"/>
          </w:pPr>
        </w:pPrChange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 doterajšom bode 35 §72 ods. 9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na konci pripája táto veta: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„Predloženie predpisu Európskej komisii a agentúre prostredníctvom informačných technológií podľa osobitného predpisu</w:t>
      </w:r>
      <w:r w:rsidRPr="00F4609A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24a)  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sa v takomto prípade uskutoční bezodkladne.“.</w:t>
      </w:r>
    </w:p>
    <w:p w:rsid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 w:rsidRP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717E6A" w:rsidRP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 nariadením</w:t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EÚ 2016/796.</w:t>
      </w:r>
    </w:p>
    <w:p w:rsidR="00717E6A" w:rsidRPr="00990271" w:rsidP="00717E6A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bode 35 § 80 ods. 2 sa slová „vymedzené pre register Európskou komisiou“ nahrádzajú slovami „podľa osobitného predpisu“. </w:t>
      </w:r>
    </w:p>
    <w:p w:rsidR="00717E6A" w:rsidP="00717E6A">
      <w:pPr>
        <w:tabs>
          <w:tab w:val="num" w:pos="426"/>
        </w:tabs>
        <w:bidi w:val="0"/>
        <w:spacing w:before="120"/>
        <w:ind w:left="2880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Legislatívno-technická úprava (čl. 5 Legislatívnych pravidiel tvorby zákonov č. 19/1997 Z. z.).</w:t>
      </w:r>
    </w:p>
    <w:p w:rsidR="00717E6A" w:rsidRPr="00990271" w:rsidP="00717E6A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 bode 35 § 80 ods. 9 sa za slová „v registri“ vkladá slovo „železničnej“.</w:t>
      </w:r>
    </w:p>
    <w:p w:rsidR="00717E6A" w:rsidP="00717E6A">
      <w:pPr>
        <w:tabs>
          <w:tab w:val="num" w:pos="426"/>
        </w:tabs>
        <w:bidi w:val="0"/>
        <w:spacing w:before="120"/>
        <w:ind w:left="258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Navrhuje sa úprava pojmu v súlade so zavedenou terminológiou.</w:t>
      </w:r>
    </w:p>
    <w:p w:rsidR="00717E6A" w:rsidRPr="00990271" w:rsidP="00717E6A">
      <w:pPr>
        <w:tabs>
          <w:tab w:val="num" w:pos="426"/>
        </w:tabs>
        <w:bidi w:val="0"/>
        <w:ind w:left="426" w:hanging="426"/>
        <w:jc w:val="both"/>
        <w:rPr>
          <w:rFonts w:ascii="Times New Roman" w:eastAsia="Times New Roman" w:hAnsi="Times New Roman"/>
        </w:rPr>
      </w:pPr>
    </w:p>
    <w:p w:rsidR="00717E6A" w:rsidRPr="00990271" w:rsidP="00717E6A">
      <w:pPr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left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čl. I doterajšom bode 35 § 80 ods. 11 sa za slová „Európskej komisie“ vkladajú slová „a sprístupní ho na svojom webovom sídle“.</w:t>
      </w:r>
    </w:p>
    <w:p w:rsid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717E6A" w:rsidRP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Precizácia textu pre zosúladenie s nariadením</w:t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EÚ 2016/796.</w:t>
      </w:r>
    </w:p>
    <w:p w:rsidR="00717E6A" w:rsidRPr="00990271" w:rsidP="00717E6A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 bode 36 § 90 ods. 5 sa slovo „Úlohy“ nahrádza slovom „Oprávnenia“.</w:t>
      </w:r>
    </w:p>
    <w:p w:rsidR="00717E6A" w:rsidRPr="00990271" w:rsidP="00717E6A">
      <w:pPr>
        <w:tabs>
          <w:tab w:val="num" w:pos="426"/>
        </w:tabs>
        <w:bidi w:val="0"/>
        <w:spacing w:before="120"/>
        <w:ind w:left="2880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Navrhuje sa formulačné spresnenie textu v súlade s obsahom ustanovenia vymedzeným v § 90 ods. 1.</w:t>
      </w:r>
    </w:p>
    <w:p w:rsidR="00717E6A" w:rsidP="00717E6A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čl. I sa za doterajší novelizačný bod 63 vkladajú nové body 64 až 66, ktoré znejú:</w:t>
      </w: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„64. V § 109 sa za odsek 13 vkladá nový odsek 14, ktorý znie:</w:t>
      </w:r>
    </w:p>
    <w:p w:rsidR="00717E6A" w:rsidRPr="00990271" w:rsidP="00717E6A">
      <w:pPr>
        <w:pStyle w:val="ListParagraph"/>
        <w:tabs>
          <w:tab w:val="num" w:pos="567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„(14) Ministerstvo uloží pokutu od 10 000 eur do 50 000 eur vlastníkovi dotknutej stavby, ktorý si neprevezme stavbu v súlade s § 8 ods. 2.“ . </w:t>
      </w:r>
    </w:p>
    <w:p w:rsidR="00717E6A" w:rsidRPr="00990271" w:rsidP="00717E6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Doterajšie odseky 14 až 16 sa označujú ako odseky 15 až 17. </w:t>
      </w:r>
    </w:p>
    <w:p w:rsidR="00717E6A" w:rsidRPr="00990271" w:rsidP="00717E6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65. V § 109 ods. 15 sa slová „1 až13“ nahrádzajú slovami „1 až 14“.</w:t>
      </w:r>
    </w:p>
    <w:p w:rsidR="00717E6A" w:rsidRPr="00990271" w:rsidP="00717E6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tabs>
          <w:tab w:val="num" w:pos="284"/>
        </w:tabs>
        <w:autoSpaceDE w:val="0"/>
        <w:autoSpaceDN w:val="0"/>
        <w:bidi w:val="0"/>
        <w:adjustRightInd w:val="0"/>
        <w:ind w:left="284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66. V § 109 ods. 16 sa na konci dopĺňa veta, ktorá znie:</w:t>
      </w: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„Vlastníkovi dotknutej stavby, ktorý si neprevzal stavbu v súlade s § 8 ods. 2 ani do jedného mesiaca od právoplatnosti rozhodnutia o uložení predchádzajúcej pokuty podľa odseku 14, ministerstvo ukladá pokutu opakovane až do splnenia povinnosti.“.“.</w:t>
      </w: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717E6A" w:rsidP="00717E6A">
      <w:pPr>
        <w:pStyle w:val="ListParagraph"/>
        <w:tabs>
          <w:tab w:val="num" w:pos="426"/>
        </w:tabs>
        <w:bidi w:val="0"/>
        <w:ind w:left="2836" w:hanging="426"/>
        <w:contextualSpacing/>
        <w:jc w:val="left"/>
        <w:rPr>
          <w:rFonts w:ascii="Times New Roman" w:eastAsia="Times New Roman" w:hAnsi="Times New Roman"/>
          <w:bCs/>
          <w:i/>
        </w:rPr>
      </w:pPr>
      <w:r w:rsidRP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717E6A" w:rsidRPr="00717E6A" w:rsidP="00717E6A">
      <w:pPr>
        <w:pStyle w:val="ListParagraph"/>
        <w:tabs>
          <w:tab w:val="num" w:pos="426"/>
        </w:tabs>
        <w:bidi w:val="0"/>
        <w:ind w:left="2836" w:hanging="426"/>
        <w:contextualSpacing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Ustanovuje sa sankcia za neprevzatie stavby z vyvolanej investície.</w:t>
      </w: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čl. I sa za doterajší novelizačný bod 63 vkladá nový bod 64, ktorý znie:</w:t>
      </w:r>
    </w:p>
    <w:p w:rsidR="00717E6A" w:rsidRPr="00990271" w:rsidP="00717E6A">
      <w:pPr>
        <w:tabs>
          <w:tab w:val="num" w:pos="426"/>
        </w:tabs>
        <w:bidi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9902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„64. V § 110 ods. 2 písm. a) sa vypúšťajú slová „okrem Cyperskej republiky a Maltskej republiky“.“.</w:t>
      </w: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 w:rsidRP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717E6A" w:rsidRP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Zosúladenie ustanovení so smernicou </w:t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2012/34/EÚ</w:t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sa za doterajší bod 65 vkladajú nové body 66 a 67, ktoré znejú: </w:t>
      </w:r>
    </w:p>
    <w:p w:rsidR="00717E6A" w:rsidRPr="00990271" w:rsidP="00717E6A">
      <w:pPr>
        <w:pStyle w:val="ListParagraph"/>
        <w:tabs>
          <w:tab w:val="num" w:pos="426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„66. V § 111 ods. 1 sa slová „siete a na vydávanie predchádzajúceho súhlasu ministerstva podľa § 28 ods. 8“ nahrádzajú slovami „siete, na vydávanie predchádzajúceho súhlasu ministerstva podľa § 28 ods. 8 a na postup regulačného orgánu podľa § 39“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717E6A" w:rsidRPr="00990271" w:rsidP="00717E6A">
      <w:pPr>
        <w:pStyle w:val="ListParagraph"/>
        <w:tabs>
          <w:tab w:val="num" w:pos="426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67. V § 111 ods. 3 sa slová „Proti rozhodnutiu“ nahrádzajú slovami „Ak v tomto zákone nie je ustanovené inak, proti rozhodnutiu“.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  <w:i/>
        </w:rPr>
      </w:pPr>
      <w:r w:rsidRP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717E6A" w:rsidRPr="00717E6A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Precizujú sa procesné ustanovenie s ohľadom na osobitosti konaní podľa § 28 a 39. </w:t>
      </w: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  <w:i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 bode 10 § 37 ods. 3 sa označenie písmena i) nahrádza označením písmena j) vrátane úvodnej vety k novelizačnému bodu.</w:t>
      </w:r>
    </w:p>
    <w:p w:rsidR="00717E6A" w:rsidRPr="00990271" w:rsidP="00717E6A">
      <w:pPr>
        <w:tabs>
          <w:tab w:val="num" w:pos="426"/>
        </w:tabs>
        <w:bidi w:val="0"/>
        <w:spacing w:before="120"/>
        <w:ind w:left="283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Vzhľadom na poslednú novelu zákona o organizácii pracovného času v doprave (čl. VI zákona č. 9/2019 Z. z.), ktorý rovnako upravoval citovaný paragraf je potrebné zmeniť označenie dopĺňaného ustanovenia.</w:t>
      </w:r>
    </w:p>
    <w:p w:rsidR="00717E6A" w:rsidRPr="00990271" w:rsidP="00717E6A">
      <w:pPr>
        <w:tabs>
          <w:tab w:val="num" w:pos="426"/>
        </w:tabs>
        <w:bidi w:val="0"/>
        <w:spacing w:before="120"/>
        <w:ind w:left="-294" w:hanging="426"/>
        <w:jc w:val="both"/>
        <w:rPr>
          <w:rFonts w:ascii="Times New Roman" w:eastAsia="Times New Roman" w:hAnsi="Times New Roman"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III bode 1 § 2b ods. 3 sa slovo „pokiaľ“ nahrádza slovom „ak“ a slová „u susedného štátu“ sa nahrádzajú slovami „so susedným štátom“.</w:t>
      </w:r>
    </w:p>
    <w:p w:rsidR="00717E6A" w:rsidRPr="00990271" w:rsidP="00717E6A">
      <w:pPr>
        <w:tabs>
          <w:tab w:val="num" w:pos="426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Navrhuje sa formulačná úprava ustanovenia.</w:t>
      </w:r>
    </w:p>
    <w:p w:rsidR="00717E6A" w:rsidRPr="00990271" w:rsidP="00717E6A">
      <w:pPr>
        <w:tabs>
          <w:tab w:val="num" w:pos="426"/>
        </w:tabs>
        <w:bidi w:val="0"/>
        <w:ind w:left="426" w:hanging="426"/>
        <w:jc w:val="both"/>
        <w:rPr>
          <w:rFonts w:ascii="Times New Roman" w:eastAsia="Times New Roman" w:hAnsi="Times New Roman"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  <w:color w:val="FF0000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III bode 4 § 8a ods. 1 sa za slovo „vydávania“ vkladajú slová „cestovných lístkov,“.</w:t>
      </w:r>
    </w:p>
    <w:p w:rsidR="00717E6A" w:rsidP="00717E6A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  <w:i/>
        </w:rPr>
      </w:pPr>
      <w:r w:rsidRP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717E6A" w:rsidRPr="00717E6A" w:rsidP="00717E6A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Spresnenie ustanovenia.</w:t>
      </w: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before="120" w:after="160" w:line="36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III bode 8 § 21 ods. 2 sa slová „za slovo „rekreačného“ vkladá slovo“ nahrádzajú slovami „čiarka za slovom „rekreačného“ nahrádza slovom“.</w:t>
      </w:r>
    </w:p>
    <w:p w:rsidR="00717E6A" w:rsidP="00717E6A">
      <w:pPr>
        <w:tabs>
          <w:tab w:val="num" w:pos="426"/>
        </w:tabs>
        <w:bidi w:val="0"/>
        <w:spacing w:before="120"/>
        <w:ind w:left="426" w:hanging="426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Ide o legislatívno-technickú úpravu ustanovenia.</w:t>
      </w:r>
    </w:p>
    <w:p w:rsidR="00717E6A" w:rsidRPr="0057105D" w:rsidP="00717E6A">
      <w:pPr>
        <w:pStyle w:val="ListParagraph"/>
        <w:autoSpaceDE w:val="0"/>
        <w:autoSpaceDN w:val="0"/>
        <w:bidi w:val="0"/>
        <w:adjustRightInd w:val="0"/>
        <w:ind w:left="426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III bode 15 § 21d ods. 1 písm. a) sa slová „s uvedením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obchodného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mena,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sídla,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miesta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podnikania uchádzača a heslom súťaže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“ nahrádzajú slovami „uvedie sa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obchodné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meno,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sídlo,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miesto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pacing w:val="1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Style w:val="awspan1"/>
          <w:rFonts w:ascii="Times New Roman" w:eastAsia="Times New Roman" w:hAnsi="Times New Roman" w:cs="Times New Roman" w:hint="cs"/>
          <w:noProof/>
          <w:szCs w:val="24"/>
          <w:rtl w:val="0"/>
          <w:cs w:val="0"/>
          <w:lang w:val="sk-SK" w:eastAsia="sk-SK" w:bidi="ar-SA"/>
        </w:rPr>
        <w:t>podnikania uchádzača a heslo súťaže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“ a  v § 21d ods. 1 písm. b)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sa 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za slová „alebo osobne,“ vkladajú slová „doručí sa“.</w:t>
      </w:r>
    </w:p>
    <w:p w:rsidR="00717E6A" w:rsidP="00717E6A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  <w:i/>
        </w:rPr>
      </w:pPr>
      <w:r w:rsidRP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</w:p>
    <w:p w:rsidR="00717E6A" w:rsidRPr="00717E6A" w:rsidP="00717E6A">
      <w:pPr>
        <w:pStyle w:val="ListParagraph"/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Pr="00717E6A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Legislatívno -  technické spresnenie.</w:t>
      </w: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III bode 15 § 21e ods. 1 sa za prvú vetu vkladajú nová druhá a tretia veta, ktoré znejú „Komisia musí mať nepárny počet členov. Komisia rozhoduje nadpolovičnou väčšinou hlasov všetkých členov.“. </w:t>
      </w:r>
    </w:p>
    <w:p w:rsidR="00717E6A" w:rsidP="00717E6A">
      <w:pPr>
        <w:pStyle w:val="ListParagraph"/>
        <w:tabs>
          <w:tab w:val="num" w:pos="426"/>
        </w:tabs>
        <w:bidi w:val="0"/>
        <w:ind w:left="2836" w:hanging="426"/>
        <w:contextualSpacing/>
        <w:jc w:val="left"/>
        <w:rPr>
          <w:rFonts w:ascii="Times New Roman" w:eastAsia="Times New Roman" w:hAnsi="Times New Roman"/>
          <w:bCs/>
          <w:i/>
        </w:rPr>
      </w:pPr>
      <w:r w:rsidRPr="00990271"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</w:p>
    <w:p w:rsidR="00717E6A" w:rsidRPr="00717E6A" w:rsidP="00717E6A">
      <w:pPr>
        <w:pStyle w:val="ListParagraph"/>
        <w:tabs>
          <w:tab w:val="num" w:pos="426"/>
        </w:tabs>
        <w:bidi w:val="0"/>
        <w:ind w:left="2836" w:hanging="426"/>
        <w:contextualSpacing/>
        <w:jc w:val="lef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i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Ustanovuje sa pravidlá činnosti komisie na vyhodnocovanie ponúk.</w:t>
      </w:r>
    </w:p>
    <w:p w:rsidR="00717E6A" w:rsidRPr="00990271" w:rsidP="00717E6A">
      <w:pPr>
        <w:pStyle w:val="ListParagraph"/>
        <w:bidi w:val="0"/>
        <w:spacing w:before="120" w:after="160" w:line="360" w:lineRule="auto"/>
        <w:ind w:left="2116" w:firstLine="720"/>
        <w:contextualSpacing/>
        <w:jc w:val="both"/>
        <w:rPr>
          <w:rFonts w:ascii="Times New Roman" w:eastAsia="Times New Roman" w:hAnsi="Times New Roman"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 čl. III sa za novelizačný bod 19 vkladá nový novelizačný bod 20, ktorý znie:</w:t>
      </w:r>
    </w:p>
    <w:p w:rsidR="00717E6A" w:rsidRPr="00990271" w:rsidP="00717E6A">
      <w:pPr>
        <w:pStyle w:val="ListParagraph"/>
        <w:tabs>
          <w:tab w:val="num" w:pos="426"/>
        </w:tabs>
        <w:bidi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„20. V § 36 ods. 1 písm. p) sa na konci pripájajú tieto slová: „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a</w:t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podmienky poskytovania výhod prepravy po železniciach členských štátov združených v Organizácii pre spoluprácu železníc“.“.</w:t>
      </w: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</w:p>
    <w:p w:rsidR="00717E6A" w:rsidRPr="00990271" w:rsidP="00717E6A">
      <w:pPr>
        <w:pStyle w:val="ListParagraph"/>
        <w:tabs>
          <w:tab w:val="num" w:pos="426"/>
        </w:tabs>
        <w:autoSpaceDE w:val="0"/>
        <w:autoSpaceDN w:val="0"/>
        <w:bidi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ab/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717E6A" w:rsidRPr="00990271" w:rsidP="00717E6A">
      <w:pPr>
        <w:tabs>
          <w:tab w:val="num" w:pos="426"/>
        </w:tabs>
        <w:bidi w:val="0"/>
        <w:ind w:left="426" w:hanging="426"/>
        <w:contextualSpacing/>
        <w:jc w:val="left"/>
        <w:rPr>
          <w:rFonts w:ascii="Times New Roman" w:eastAsia="Times New Roman" w:hAnsi="Times New Roman"/>
          <w:bCs/>
          <w:i/>
        </w:rPr>
      </w:pPr>
    </w:p>
    <w:p w:rsidR="00717E6A" w:rsidRPr="00717E6A" w:rsidP="00717E6A">
      <w:pPr>
        <w:tabs>
          <w:tab w:val="num" w:pos="426"/>
        </w:tabs>
        <w:bidi w:val="0"/>
        <w:ind w:left="2836" w:hanging="426"/>
        <w:contextualSpacing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Slovenská republika je zmluvnou stranou Organizácie pre spoluprácu železníc a z toho jej vyplývajú práva a povinnosti. Jednou z povinností je aj upraviť podmienky a určiť tarifu cestovného na prepravu osôb, ktoré majú právo na zľavnené cestovné vyplývajúce z členstva v tejto organizácií.  </w:t>
      </w:r>
    </w:p>
    <w:p w:rsidR="00717E6A" w:rsidRPr="00990271" w:rsidP="00717E6A">
      <w:pPr>
        <w:tabs>
          <w:tab w:val="left" w:pos="-1985"/>
          <w:tab w:val="num" w:pos="426"/>
          <w:tab w:val="left" w:pos="709"/>
          <w:tab w:val="left" w:pos="1077"/>
        </w:tabs>
        <w:bidi w:val="0"/>
        <w:ind w:left="426" w:hanging="426"/>
        <w:jc w:val="both"/>
        <w:rPr>
          <w:rStyle w:val="PlaceholderText"/>
          <w:rFonts w:eastAsia="Times New Roman" w:cs="Times New Roman" w:hint="default"/>
          <w:color w:val="000000"/>
          <w:rtl w:val="0"/>
          <w:cs w:val="0"/>
        </w:rPr>
      </w:pPr>
    </w:p>
    <w:p w:rsidR="00717E6A" w:rsidRPr="00990271" w:rsidP="00717E6A">
      <w:pPr>
        <w:pStyle w:val="ListParagraph"/>
        <w:numPr>
          <w:ilvl w:val="1"/>
          <w:numId w:val="3"/>
        </w:numPr>
        <w:tabs>
          <w:tab w:val="num" w:pos="426"/>
          <w:tab w:val="clear" w:pos="1440"/>
        </w:tabs>
        <w:bidi w:val="0"/>
        <w:spacing w:after="120"/>
        <w:ind w:left="425" w:hanging="425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V </w:t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sa slová 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„15. februára“ nahrádzajú slovami „15. marca“ a slová </w:t>
      </w:r>
      <w:r w:rsidRPr="00990271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„16. júna 2019“ sa nahrádzajú slovami „16. júna 2020“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717E6A" w:rsidRPr="00990271" w:rsidP="00717E6A">
      <w:pPr>
        <w:pStyle w:val="ListParagraph"/>
        <w:tabs>
          <w:tab w:val="num" w:pos="426"/>
        </w:tabs>
        <w:bidi w:val="0"/>
        <w:spacing w:after="120"/>
        <w:ind w:left="425" w:hanging="425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>V tejto súvislosti sa v čl. I bode 66 (§ 112e) a čl. III bode 24 (§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46f) slová „15. februára“ vo všetkých tvaroch nahrádzajú slovami „15. marca“ v príslušnom tvare a slová „14. februára“ vo všetkých tvaroch sa nahrádzajú slovami „14. marca“ v príslušnom tvare.</w:t>
      </w:r>
    </w:p>
    <w:p w:rsidR="00717E6A" w:rsidRPr="00990271" w:rsidP="00717E6A">
      <w:pPr>
        <w:pStyle w:val="ListParagraph"/>
        <w:tabs>
          <w:tab w:val="num" w:pos="426"/>
        </w:tabs>
        <w:bidi w:val="0"/>
        <w:spacing w:after="120"/>
        <w:ind w:left="425" w:hanging="425"/>
        <w:jc w:val="both"/>
        <w:rPr>
          <w:rFonts w:ascii="Times New Roman" w:eastAsia="Times New Roman" w:hAnsi="Times New Roman"/>
        </w:rPr>
      </w:pPr>
      <w:r w:rsidRPr="0099027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>V tejto súvislosti sa v čl. I bode 66 (§ 112f) slová „16. júna 2019“ vo všetkých tvaroch nahrádzajú slovami „16. júna 2020“ v príslušnom tvare a slová „15. júna 2019“ vo všetkých tvaroch sa nahrádzajú slovami „15. júna 2020“ v príslušnom tvare.</w:t>
      </w:r>
    </w:p>
    <w:p w:rsidR="00717E6A" w:rsidRPr="00717E6A" w:rsidP="00717E6A">
      <w:pPr>
        <w:tabs>
          <w:tab w:val="num" w:pos="426"/>
        </w:tabs>
        <w:bidi w:val="0"/>
        <w:ind w:left="2836" w:hanging="426"/>
        <w:contextualSpacing/>
        <w:jc w:val="both"/>
        <w:rPr>
          <w:rFonts w:ascii="Times New Roman" w:eastAsia="Times New Roman" w:hAnsi="Times New Roman"/>
          <w:bCs/>
        </w:rPr>
      </w:pPr>
      <w:r w:rsidRPr="00990271">
        <w:rPr>
          <w:rFonts w:ascii="Times New Roman" w:eastAsia="Times New Roman" w:hAnsi="Times New Roman" w:cs="Times New Roman" w:hint="cs"/>
          <w:bCs/>
          <w:i/>
          <w:sz w:val="24"/>
          <w:szCs w:val="24"/>
          <w:rtl w:val="0"/>
          <w:cs w:val="0"/>
          <w:lang w:val="sk-SK" w:eastAsia="sk-SK" w:bidi="ar-SA"/>
        </w:rPr>
        <w:tab/>
      </w:r>
      <w:r w:rsidRPr="00717E6A">
        <w:rPr>
          <w:rStyle w:val="PlaceholderText"/>
          <w:rFonts w:eastAsia="Times New Roman"/>
          <w:color w:val="000000"/>
          <w:sz w:val="24"/>
          <w:szCs w:val="24"/>
          <w:lang w:val="sk-SK" w:eastAsia="sk-SK" w:bidi="ar-SA"/>
        </w:rPr>
        <w:t>Zmena  navrhovaného  nadobudnutia  účinnosti právneho predpisu sa navrhuje z hľadiska  prebiehajúceho legislatívneho procesu. Súčasne vzhľadom na možnosť vyplývajúcu z čl.</w:t>
      </w:r>
      <w:r w:rsidRPr="00717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57 ods. 2 smernice EP a Rady 2016/797 z 11. mája 2016 o interoperabilite železničného systému v Európskej únii a článok 33 ods. 2 smernice EP a Rady z 11. mája 2016 o bezpečnosti železníc predĺžiť členským štátom lehotu určenú na transpozíciu smerníc o ďalší jeden rok. Túto skutočnosť SR v termíne do 16. decembra 2018 oznámila Železničnej agentúre Európskej únie a Európskej komisii. Nové povoľovanie železničných vozidiel si vyžaduje dostatočný čas (pre bezpečnostný orgán, výrobcov atď.), na dostatočné oboznámenie sa s kompletnými novými požiadavkami a pravidlami, aby sa tak mohli pripraviť na plynulý prechod na nový povoľovací systém. Vzhľadom na vyššie uvedené Slovenská republika túto možnosť využila a v stanovenom termíne oznámila odklad transpozičnej lehoty o ďalší jeden rok, teda do 16. júna 2020. </w:t>
      </w:r>
    </w:p>
    <w:p w:rsidR="00717E6A" w:rsidRPr="00990271" w:rsidP="00717E6A">
      <w:pPr>
        <w:pStyle w:val="ListParagraph"/>
        <w:tabs>
          <w:tab w:val="num" w:pos="426"/>
        </w:tabs>
        <w:bidi w:val="0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717E6A" w:rsidRPr="00990271" w:rsidP="00717E6A">
      <w:pPr>
        <w:tabs>
          <w:tab w:val="left" w:pos="-1985"/>
          <w:tab w:val="num" w:pos="426"/>
          <w:tab w:val="left" w:pos="709"/>
          <w:tab w:val="left" w:pos="1077"/>
        </w:tabs>
        <w:bidi w:val="0"/>
        <w:ind w:left="426" w:hanging="426"/>
        <w:jc w:val="both"/>
        <w:rPr>
          <w:rFonts w:ascii="Times New Roman" w:eastAsia="Times New Roman" w:hAnsi="Times New Roman"/>
        </w:rPr>
      </w:pPr>
    </w:p>
    <w:sectPr w:rsidSect="00B12DA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00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 w:rsidR="00717E6A">
      <w:rPr>
        <w:rStyle w:val="PageNumber"/>
        <w:rFonts w:ascii="Times New Roman" w:eastAsia="Times New Roman" w:hAnsi="Times New Roman"/>
        <w:noProof/>
        <w:sz w:val="24"/>
        <w:szCs w:val="24"/>
        <w:lang w:val="sk-SK" w:eastAsia="cs-CZ" w:bidi="ar-SA"/>
      </w:rPr>
      <w:t>8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4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22FF3D05"/>
    <w:multiLevelType w:val="hybridMultilevel"/>
    <w:tmpl w:val="8CF4F1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7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3C8743E0"/>
    <w:multiLevelType w:val="hybridMultilevel"/>
    <w:tmpl w:val="C6D2072E"/>
    <w:lvl w:ilvl="0">
      <w:start w:val="1"/>
      <w:numFmt w:val="lowerLetter"/>
      <w:lvlText w:val="%1)"/>
      <w:lvlJc w:val="left"/>
      <w:pPr>
        <w:ind w:left="765" w:hanging="405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66D84C1A"/>
    <w:multiLevelType w:val="hybridMultilevel"/>
    <w:tmpl w:val="0FF8E7C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color w:val="auto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7DA73CB8"/>
    <w:multiLevelType w:val="hybridMultilevel"/>
    <w:tmpl w:val="6E564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3"/>
  </w:num>
  <w:num w:numId="5">
    <w:abstractNumId w:val="10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5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outlineLvl w:val="7"/>
    </w:pPr>
    <w:rPr>
      <w:rFonts w:ascii="Cambria" w:eastAsia="MS Gothic" w:hAnsi="Cambria" w:hint="eastAs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outlineLvl w:val="8"/>
    </w:pPr>
    <w:rPr>
      <w:rFonts w:ascii="Cambria" w:eastAsia="MS Gothic" w:hAnsi="Cambria" w:hint="eastAs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 w:hint="cs"/>
      <w:b/>
      <w:color w:val="0000FF"/>
      <w:sz w:val="24"/>
      <w:rtl w:val="0"/>
      <w:cs w:val="0"/>
      <w:lang w:val="cs-CZ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 w:hint="eastAsia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 w:hint="eastAsia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 w:hint="cs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 w:hint="cs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 w:hint="cs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</w:p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 w:hint="cs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 w:hint="cs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</w:pPr>
  </w:style>
  <w:style w:type="character" w:customStyle="1" w:styleId="tw4winMark">
    <w:name w:val="tw4winMark"/>
    <w:rsid w:val="00487B16"/>
    <w:rPr>
      <w:rFonts w:ascii="Courier New" w:hAnsi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 w:hint="cs"/>
      <w:rtl w:val="0"/>
      <w:cs w:val="0"/>
    </w:rPr>
  </w:style>
  <w:style w:type="paragraph" w:styleId="ListParagraph">
    <w:name w:val="List Paragraph"/>
    <w:aliases w:val="Conclusion de partie,List Paragraph (Czech Tourism),Nad,ODRAZKY PRVA UROVEN,Odsek,Odsek zoznamu1,Odsek zoznamu2,Odsek zákon,Odstavec cíl se seznamem,Odstavec se seznamem5,Odstavec_muj,Seznam - odrážky,_Odstavec se seznamem,body"/>
    <w:basedOn w:val="Normal"/>
    <w:link w:val="OdsekzoznamuChar"/>
    <w:uiPriority w:val="34"/>
    <w:qFormat/>
    <w:rsid w:val="00E92076"/>
    <w:pPr>
      <w:ind w:left="708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 w:hint="cs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 w:hint="cs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hint="eastAs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 w:hint="eastAsia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</w:pPr>
    <w:rPr>
      <w:rFonts w:ascii="Cambria" w:eastAsia="MS Gothic" w:hAnsi="Cambria" w:hint="eastAs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 w:hint="eastAsia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 w:hint="cs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 w:hint="cs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 w:hint="cs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 w:hint="cs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 w:hint="cs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 w:hint="cs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 w:hint="cs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 w:hint="cs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 w:hint="eastAsia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Conclusion de partie Char,Nad Char,Odsek Char,Odsek zoznamu1 Char,Odsek zoznamu2 Char,Odsek zákon Char,Odstavec cíl se seznamem Char,Odstavec se seznamem5 Char,Odstavec_muj Char,Seznam - odrážky Char,_Odstavec se seznamem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 w:hint="cs"/>
      <w:color w:val="0563C1"/>
      <w:u w:val="single"/>
      <w:rtl w:val="0"/>
      <w:cs w:val="0"/>
    </w:rPr>
  </w:style>
  <w:style w:type="paragraph" w:customStyle="1" w:styleId="gmail-msolistparagraph">
    <w:name w:val="gmail-msolistparagraph"/>
    <w:basedOn w:val="Normal"/>
    <w:rsid w:val="00275ECE"/>
    <w:pPr>
      <w:spacing w:before="100" w:beforeAutospacing="1" w:after="100" w:afterAutospacing="1"/>
    </w:pPr>
  </w:style>
  <w:style w:type="character" w:customStyle="1" w:styleId="awspan1">
    <w:name w:val="awspan1"/>
    <w:rsid w:val="00E17257"/>
    <w:rPr>
      <w:color w:val="000000"/>
      <w:sz w:val="24"/>
    </w:rPr>
  </w:style>
  <w:style w:type="character" w:customStyle="1" w:styleId="awspan">
    <w:name w:val="awspan"/>
    <w:rsid w:val="00E172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8</Pages>
  <Words>2180</Words>
  <Characters>12432</Characters>
  <Application>Microsoft Office Word</Application>
  <DocSecurity>0</DocSecurity>
  <Lines>0</Lines>
  <Paragraphs>0</Paragraphs>
  <ScaleCrop>false</ScaleCrop>
  <Company>Kancelaria NR SR</Company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11</cp:revision>
  <cp:lastPrinted>2017-06-05T10:31:00Z</cp:lastPrinted>
  <dcterms:created xsi:type="dcterms:W3CDTF">2019-01-14T09:44:00Z</dcterms:created>
  <dcterms:modified xsi:type="dcterms:W3CDTF">2019-01-24T16:11:00Z</dcterms:modified>
</cp:coreProperties>
</file>