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pStyle w:val="Heading1"/>
        <w:bidi w:val="0"/>
        <w:spacing w:line="240" w:lineRule="auto"/>
        <w:ind w:firstLine="540"/>
        <w:jc w:val="both"/>
        <w:rPr>
          <w:rFonts w:ascii="Times New Roman" w:eastAsia="Times New Roman" w:hAnsi="Times New Roman"/>
          <w:b w:val="0"/>
          <w:bCs/>
          <w:i/>
          <w:iCs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0C003C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bidi w:val="0"/>
        <w:jc w:val="both"/>
        <w:rPr>
          <w:rFonts w:ascii="Times New Roman" w:eastAsia="Times New Roman" w:hAnsi="Times New Roman"/>
          <w:i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C34355" w:rsidP="003F758D">
      <w:pPr>
        <w:bidi w:val="0"/>
        <w:jc w:val="both"/>
        <w:rPr>
          <w:rFonts w:ascii="Times New Roman" w:eastAsia="Times New Roman" w:hAnsi="Times New Roman"/>
          <w:i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EA0A4F" w:rsidP="003F758D">
      <w:pPr>
        <w:bidi w:val="0"/>
        <w:jc w:val="both"/>
        <w:rPr>
          <w:rFonts w:ascii="Times New Roman" w:eastAsia="Times New Roman" w:hAnsi="Times New Roman"/>
          <w:i/>
        </w:rPr>
      </w:pPr>
    </w:p>
    <w:p w:rsidR="00EA0A4F" w:rsidRPr="00F95756" w:rsidP="003F758D">
      <w:pPr>
        <w:bidi w:val="0"/>
        <w:jc w:val="both"/>
        <w:rPr>
          <w:rFonts w:ascii="Times New Roman" w:eastAsia="Times New Roman" w:hAnsi="Times New Roman"/>
          <w:i/>
        </w:rPr>
      </w:pPr>
    </w:p>
    <w:p w:rsidR="00EA5DC2" w:rsidRPr="00F95756" w:rsidP="00255451">
      <w:pPr>
        <w:bidi w:val="0"/>
        <w:ind w:firstLine="567"/>
        <w:jc w:val="both"/>
        <w:rPr>
          <w:rFonts w:ascii="Times New Roman" w:eastAsia="Times New Roman" w:hAnsi="Times New Roman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72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EE6A95" w:rsidRPr="00A1790A" w:rsidP="00A1790A">
      <w:pPr>
        <w:pStyle w:val="BodyTextIndent"/>
        <w:bidi w:val="0"/>
        <w:jc w:val="both"/>
        <w:rPr>
          <w:rFonts w:ascii="Times New Roman" w:eastAsia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- </w:t>
      </w:r>
      <w:r w:rsidR="00697BBD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2185</w:t>
      </w:r>
      <w:r w:rsidRPr="00F95756" w:rsidR="00EA5DC2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/201</w:t>
      </w:r>
      <w:r w:rsidR="00697BB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9</w:t>
      </w:r>
      <w:r w:rsidRPr="00F95756" w:rsidR="00EA5DC2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 </w:t>
      </w:r>
    </w:p>
    <w:p w:rsidR="009A3C1A" w:rsidP="003F758D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="007814F2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325</w:t>
      </w:r>
    </w:p>
    <w:p w:rsidR="00EA5DC2" w:rsidRPr="00F95756" w:rsidP="003F758D">
      <w:pPr>
        <w:pStyle w:val="Heading2"/>
        <w:bidi w:val="0"/>
        <w:spacing w:line="240" w:lineRule="auto"/>
        <w:jc w:val="center"/>
        <w:rPr>
          <w:rFonts w:ascii="Times New Roman" w:eastAsia="Times New Roman" w:hAnsi="Times New Roman"/>
          <w:b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DF6858" w:rsidP="00A1790A">
      <w:pPr>
        <w:bidi w:val="0"/>
        <w:jc w:val="center"/>
        <w:rPr>
          <w:rFonts w:ascii="Times New Roman" w:eastAsia="Times New Roman" w:hAnsi="Times New Roman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3142E3" w:rsidR="00B16E2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24</w:t>
      </w:r>
      <w:r w:rsidRPr="003142E3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januára </w:t>
      </w:r>
      <w:r w:rsidRPr="003142E3" w:rsidR="00EA5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E477B6" w:rsidRPr="00F95756" w:rsidP="00A1790A">
      <w:pPr>
        <w:bidi w:val="0"/>
        <w:jc w:val="center"/>
        <w:rPr>
          <w:rFonts w:ascii="Times New Roman" w:eastAsia="Times New Roman" w:hAnsi="Times New Roman"/>
        </w:rPr>
      </w:pPr>
    </w:p>
    <w:p w:rsidR="005242C8" w:rsidRPr="00F95756" w:rsidP="00697BBD">
      <w:pPr>
        <w:pStyle w:val="ListParagraph"/>
        <w:bidi w:val="0"/>
        <w:ind w:left="0" w:firstLine="360"/>
        <w:contextualSpacing/>
        <w:jc w:val="both"/>
        <w:rPr>
          <w:rFonts w:ascii="Times New Roman" w:eastAsia="Times New Roman" w:hAnsi="Times New Roman"/>
        </w:rPr>
      </w:pPr>
      <w:r w:rsidRPr="00F9575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F95756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E477B6" w:rsidR="00E477B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697BBD" w:rsidR="00697B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zákona o sprístupňovaní strelných zbraní a streliva na civilné použitie na trhu</w:t>
      </w:r>
      <w:r w:rsidRPr="00EB482B" w:rsidR="00697B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(tlač 1199)</w:t>
      </w:r>
    </w:p>
    <w:p w:rsidR="00E445D2" w:rsidRPr="00F95756" w:rsidP="00E445D2">
      <w:pPr>
        <w:pStyle w:val="ListParagraph"/>
        <w:bidi w:val="0"/>
        <w:ind w:left="0" w:firstLine="360"/>
        <w:contextualSpacing/>
        <w:jc w:val="both"/>
        <w:rPr>
          <w:rFonts w:ascii="Times New Roman" w:eastAsia="Times New Roman" w:hAnsi="Times New Roman"/>
        </w:rPr>
      </w:pPr>
    </w:p>
    <w:p w:rsidR="005242C8" w:rsidRPr="00F95756" w:rsidP="003F758D">
      <w:pPr>
        <w:pStyle w:val="BodyTextIndent"/>
        <w:bidi w:val="0"/>
        <w:ind w:firstLine="360"/>
        <w:jc w:val="both"/>
        <w:rPr>
          <w:rFonts w:ascii="Times New Roman" w:eastAsia="Times New Roman" w:hAnsi="Times New Roman"/>
          <w:b/>
          <w:bCs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0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  <w:b/>
          <w:color w:val="auto"/>
          <w:lang w:val="sk-SK"/>
        </w:rPr>
      </w:pPr>
    </w:p>
    <w:p w:rsidR="00A1790A" w:rsidRPr="00A1790A" w:rsidP="00A1790A">
      <w:pPr>
        <w:pStyle w:val="BodyTextIndent2"/>
        <w:numPr>
          <w:numId w:val="5"/>
        </w:numPr>
        <w:bidi w:val="0"/>
        <w:jc w:val="both"/>
        <w:rPr>
          <w:rFonts w:ascii="Times New Roman" w:eastAsia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5242C8" w:rsidRPr="00697BBD" w:rsidP="002B1F59">
      <w:pPr>
        <w:pStyle w:val="BodyTextIndent2"/>
        <w:bidi w:val="0"/>
        <w:ind w:firstLine="709"/>
        <w:jc w:val="both"/>
        <w:rPr>
          <w:rFonts w:eastAsia="Times New Roman" w:cs="Arial"/>
          <w:color w:val="auto"/>
        </w:rPr>
      </w:pPr>
      <w:r w:rsidRPr="00A2629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s</w:t>
      </w:r>
      <w:r w:rsidRPr="00A26293" w:rsidR="00F046BA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E477B6" w:rsidR="00E477B6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vládnym návrhom </w:t>
      </w:r>
      <w:r w:rsidRPr="00697BBD" w:rsidR="00697BBD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zákona o sprístupňovaní strelných zbraní a streliva na civilné použitie na trhu (</w:t>
      </w:r>
      <w:r w:rsidRPr="00697BBD" w:rsidR="00697BBD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tlač 1199</w:t>
      </w:r>
      <w:r w:rsidRPr="00697BBD" w:rsidR="00697BBD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)</w:t>
      </w:r>
      <w:r w:rsidRPr="00697BBD" w:rsidR="00F95756">
        <w:rPr>
          <w:rFonts w:ascii="AT*Toronto" w:eastAsia="Times New Roman" w:hAnsi="AT*Toronto" w:cs="Arial" w:hint="cs"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F95756" w:rsidP="00F95756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</w:rPr>
      </w:pPr>
    </w:p>
    <w:p w:rsidR="005242C8" w:rsidP="005A06D8">
      <w:pPr>
        <w:pStyle w:val="Heading4"/>
        <w:numPr>
          <w:numId w:val="4"/>
        </w:numPr>
        <w:bidi w:val="0"/>
        <w:jc w:val="both"/>
        <w:rPr>
          <w:rFonts w:ascii="Times New Roman" w:eastAsia="Times New Roman" w:hAnsi="Times New Roman"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RPr="00A1790A" w:rsidP="00A1790A">
      <w:pPr>
        <w:bidi w:val="0"/>
        <w:jc w:val="left"/>
        <w:rPr>
          <w:rFonts w:ascii="Times New Roman" w:eastAsia="Times New Roman" w:hAnsi="Times New Roman"/>
        </w:rPr>
      </w:pPr>
    </w:p>
    <w:p w:rsidR="00A1790A" w:rsidRPr="00A1790A" w:rsidP="00A1790A">
      <w:pPr>
        <w:pStyle w:val="Heading1"/>
        <w:bidi w:val="0"/>
        <w:spacing w:line="240" w:lineRule="auto"/>
        <w:ind w:firstLine="360"/>
        <w:jc w:val="both"/>
        <w:rPr>
          <w:rFonts w:ascii="Times New Roman" w:eastAsia="Times New Roman" w:hAnsi="Times New Roman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5242C8" w:rsidRPr="00242EDA" w:rsidP="00A1790A">
      <w:pPr>
        <w:pStyle w:val="BodyTextIndent2"/>
        <w:bidi w:val="0"/>
        <w:ind w:firstLine="709"/>
        <w:jc w:val="both"/>
        <w:rPr>
          <w:rFonts w:ascii="Times New Roman" w:eastAsia="Times New Roman" w:hAnsi="Times New Roman"/>
          <w:color w:val="000000"/>
          <w:lang w:val="sk-SK"/>
        </w:rPr>
      </w:pPr>
      <w:r w:rsidRPr="00E477B6" w:rsidR="00E477B6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 návrh </w:t>
      </w:r>
      <w:r w:rsidRPr="00697BBD" w:rsidR="00697BBD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zákona o sprístupňovaní strelných zbraní a streliva na civilné použitie na trhu (</w:t>
      </w:r>
      <w:r w:rsidRPr="00697BBD" w:rsidR="00697BBD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tlač 1199</w:t>
      </w:r>
      <w:r w:rsidRPr="00697BBD" w:rsidR="00697BBD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)</w:t>
      </w:r>
      <w:r w:rsidRPr="00EB482B" w:rsidR="00697BBD">
        <w:rPr>
          <w:rFonts w:ascii="AT*Toronto" w:eastAsia="Times New Roman" w:hAnsi="AT*Toronto" w:cs="Times New Roman" w:hint="cs"/>
          <w:b/>
          <w:color w:val="0000FF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E477B6" w:rsidR="007B1B5E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F95756" w:rsidR="00A16444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s</w:t>
      </w:r>
      <w:r w:rsidR="00D3040C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 xml:space="preserve">chváliť </w:t>
      </w:r>
      <w:r w:rsidRPr="00242EDA" w:rsidR="00D3040C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s pozmeňujúcimi a doplňujúcimi návrhmi uvedený</w:t>
      </w:r>
      <w:r w:rsidRPr="00242EDA" w:rsidR="00D3040C">
        <w:rPr>
          <w:rFonts w:ascii="AT*Toronto" w:eastAsia="Times New Roman" w:hAnsi="AT*Toronto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mi v prílohe;</w:t>
      </w:r>
    </w:p>
    <w:p w:rsidR="005242C8" w:rsidRPr="00F95756" w:rsidP="003F758D">
      <w:pPr>
        <w:bidi w:val="0"/>
        <w:ind w:firstLine="360"/>
        <w:jc w:val="both"/>
        <w:rPr>
          <w:rFonts w:ascii="Times New Roman" w:eastAsia="Times New Roman" w:hAnsi="Times New Roman"/>
        </w:rPr>
      </w:pPr>
    </w:p>
    <w:p w:rsidR="005242C8" w:rsidRPr="00F95756" w:rsidP="005A06D8">
      <w:pPr>
        <w:pStyle w:val="Heading4"/>
        <w:numPr>
          <w:numId w:val="3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4E7F04" w:rsidRPr="00F95756" w:rsidP="005A06D8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predsedníčku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0020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24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januára</w:t>
      </w:r>
      <w:r w:rsidR="00E477B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95756" w:rsidR="004B21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</w:t>
      </w:r>
      <w:r w:rsidR="006522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</w:t>
      </w:r>
      <w:r w:rsidR="006522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ju na schválenie gestorskému výboru,</w:t>
      </w:r>
    </w:p>
    <w:p w:rsidR="00450CF7" w:rsidRPr="00956C0E" w:rsidP="00D3230B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  <w:bCs/>
        </w:rPr>
      </w:pPr>
      <w:r w:rsidRPr="00956C0E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956C0E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56C0E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="00E477B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R. Puciho </w:t>
      </w:r>
      <w:r w:rsidRPr="00956C0E" w:rsidR="00977DD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(</w:t>
      </w:r>
      <w:r w:rsidR="00E477B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M. </w:t>
      </w:r>
      <w:r w:rsidR="00697BB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Bagačku</w:t>
      </w:r>
      <w:r w:rsidRPr="00956C0E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), aby v súlade s § 80 ods. 2 </w:t>
      </w:r>
      <w:r w:rsidRPr="00956C0E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956C0E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56C0E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956C0E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4533E2" w:rsidP="00450CF7">
      <w:pPr>
        <w:bidi w:val="0"/>
        <w:spacing w:after="120"/>
        <w:ind w:left="714"/>
        <w:jc w:val="both"/>
        <w:rPr>
          <w:rFonts w:ascii="Times New Roman" w:eastAsia="Times New Roman" w:hAnsi="Times New Roman"/>
        </w:rPr>
      </w:pP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</w:t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</w:t>
      </w:r>
    </w:p>
    <w:p w:rsidR="006E1A0A" w:rsidRPr="002A1985" w:rsidP="00450CF7">
      <w:pPr>
        <w:bidi w:val="0"/>
        <w:spacing w:after="120"/>
        <w:ind w:left="714"/>
        <w:jc w:val="both"/>
        <w:rPr>
          <w:rFonts w:ascii="Times New Roman" w:eastAsia="Times New Roman" w:hAnsi="Times New Roman"/>
          <w:bCs/>
        </w:rPr>
      </w:pP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</w:t>
      </w:r>
      <w:r w:rsidR="00450C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  <w:r w:rsidRPr="007F15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  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  <w:bCs/>
        </w:rPr>
      </w:pP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7F15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Michal  </w:t>
      </w:r>
      <w:r w:rsidRPr="007F15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B a g a č k a</w:t>
      </w:r>
      <w:r w:rsidRPr="002833E0"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 w:rsidR="003C7D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="009E13B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Jana </w:t>
      </w:r>
      <w:r w:rsidR="0010794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 i š š o v</w:t>
      </w:r>
      <w:r w:rsidR="003C7D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10794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á</w:t>
      </w:r>
      <w:r w:rsidR="003C7D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, v.r.</w:t>
      </w:r>
      <w:r w:rsidRPr="007F154D" w:rsidR="002833E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</w:rPr>
      </w:pPr>
      <w:r w:rsidR="002833E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Eduard</w:t>
      </w:r>
      <w:r w:rsidRPr="007F15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H e g e r</w:t>
      </w:r>
      <w:r w:rsidRPr="002833E0"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3B691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predsedníčka</w:t>
      </w:r>
      <w:r w:rsidRPr="007F154D"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</w:t>
      </w:r>
    </w:p>
    <w:p w:rsidR="00B9540C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</w:t>
      </w:r>
      <w:r w:rsidR="00EC31B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ru</w:t>
      </w:r>
    </w:p>
    <w:p w:rsidR="00697BBD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</w:p>
    <w:p w:rsidR="00697BBD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</w:p>
    <w:p w:rsidR="000C526A" w:rsidP="000C526A">
      <w:pPr>
        <w:pStyle w:val="Heading1"/>
        <w:bidi w:val="0"/>
        <w:spacing w:line="240" w:lineRule="auto"/>
        <w:ind w:firstLine="540"/>
        <w:jc w:val="both"/>
        <w:rPr>
          <w:rFonts w:ascii="Times New Roman" w:eastAsia="Times New Roman" w:hAnsi="Times New Roman"/>
          <w:b w:val="0"/>
          <w:bCs/>
          <w:i/>
          <w:iCs/>
        </w:rPr>
      </w:pPr>
      <w:r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 Výbor</w:t>
      </w:r>
    </w:p>
    <w:p w:rsidR="000C526A" w:rsidP="000C526A">
      <w:pPr>
        <w:bidi w:val="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8C179E" w:rsidP="006223CA">
      <w:pPr>
        <w:bidi w:val="0"/>
        <w:jc w:val="both"/>
        <w:rPr>
          <w:rFonts w:ascii="Times New Roman" w:eastAsia="Times New Roman" w:hAnsi="Times New Roman"/>
        </w:rPr>
      </w:pPr>
      <w:r w:rsidR="000C526A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 w:rsidR="00B9540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  <w:tab/>
        <w:tab/>
      </w:r>
    </w:p>
    <w:p w:rsidR="000C526A" w:rsidP="008C179E">
      <w:pPr>
        <w:bidi w:val="0"/>
        <w:ind w:left="5672" w:firstLine="709"/>
        <w:jc w:val="both"/>
        <w:rPr>
          <w:rFonts w:ascii="Times New Roman" w:eastAsia="Times New Roman" w:hAnsi="Times New Roman"/>
        </w:rPr>
      </w:pP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72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0C526A" w:rsidP="000C526A">
      <w:pPr>
        <w:bidi w:val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1790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Prí</w:t>
      </w:r>
      <w:r w:rsidR="00C1385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loha k </w:t>
      </w:r>
      <w:r w:rsidR="007814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uzneseniu č. 325</w:t>
      </w:r>
    </w:p>
    <w:p w:rsidR="000C526A" w:rsidP="000C526A">
      <w:pPr>
        <w:pStyle w:val="BodyTextIndent"/>
        <w:bidi w:val="0"/>
        <w:jc w:val="both"/>
        <w:rPr>
          <w:rFonts w:ascii="Times New Roman" w:eastAsia="Times New Roman" w:hAnsi="Times New Roman"/>
          <w:iCs/>
          <w:color w:val="auto"/>
          <w:lang w:val="sk-SK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0C526A" w:rsidP="000C526A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0C526A" w:rsidP="000C526A">
      <w:pPr>
        <w:pStyle w:val="Heading5"/>
        <w:bidi w:val="0"/>
        <w:spacing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0C526A" w:rsidP="000C526A">
      <w:pPr>
        <w:bidi w:val="0"/>
        <w:jc w:val="left"/>
        <w:rPr>
          <w:rFonts w:ascii="Times New Roman" w:eastAsia="Times New Roman" w:hAnsi="Times New Roman"/>
        </w:rPr>
      </w:pPr>
    </w:p>
    <w:p w:rsidR="00E17DA9" w:rsidP="00697BBD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Arial"/>
        </w:rPr>
      </w:pPr>
      <w:r w:rsidR="000C52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</w:t>
      </w:r>
      <w:r w:rsidRPr="00E477B6" w:rsidR="00E477B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697BBD"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o sprístupňovaní strelných zbraní a streliva na civilné použitie na trhu</w:t>
      </w:r>
      <w:r w:rsidRPr="00EB482B" w:rsidR="00697BB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1199)</w:t>
      </w:r>
    </w:p>
    <w:p w:rsidR="001763D6" w:rsidP="004533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</w:p>
    <w:p w:rsidR="00A84506" w:rsidRPr="00DF576B" w:rsidP="00A84506">
      <w:pPr>
        <w:pStyle w:val="Abecednzoznam"/>
        <w:numPr>
          <w:ilvl w:val="1"/>
          <w:numId w:val="16"/>
        </w:numPr>
        <w:tabs>
          <w:tab w:val="num" w:pos="284"/>
          <w:tab w:val="clear" w:pos="425"/>
          <w:tab w:val="clear" w:pos="1134"/>
        </w:tabs>
        <w:bidi w:val="0"/>
        <w:spacing w:before="0" w:after="0" w:line="360" w:lineRule="auto"/>
        <w:ind w:left="284" w:hanging="284"/>
        <w:jc w:val="both"/>
        <w:rPr>
          <w:rFonts w:ascii="Times New Roman" w:eastAsia="Times New Roman" w:hAnsi="Times New Roman"/>
          <w:szCs w:val="24"/>
        </w:rPr>
      </w:pPr>
      <w:r w:rsidRPr="00D2686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V § 2 písm. j) sa slová „tabuľkami stálej komisie“ nahrádzajú slovami „tabuľk</w:t>
      </w:r>
      <w:r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ami</w:t>
      </w:r>
      <w:r w:rsidRPr="00D2686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normalizovaných rozmerov nábojových komôr a nábojov</w:t>
      </w:r>
      <w:r w:rsidRPr="00BC2ACB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D2686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(ďalej len „tabuľky stálej komisie“)“.</w:t>
      </w:r>
      <w:r w:rsidRPr="00DF57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A84506" w:rsidP="00A84506">
      <w:pPr>
        <w:bidi w:val="0"/>
        <w:ind w:left="3402"/>
        <w:jc w:val="both"/>
        <w:rPr>
          <w:rFonts w:ascii="Times New Roman" w:eastAsia="Times New Roman" w:hAnsi="Times New Roman"/>
        </w:rPr>
      </w:pPr>
      <w:r w:rsidRPr="00702E88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sk-SK" w:bidi="ar-SA"/>
        </w:rPr>
        <w:t xml:space="preserve">Ide o legislatívno-technickú úpravu; </w:t>
      </w:r>
      <w:r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sk-SK" w:bidi="ar-SA"/>
        </w:rPr>
        <w:t xml:space="preserve">zavádzaný pojem </w:t>
      </w:r>
      <w:r w:rsidRPr="00702E88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sk-SK" w:bidi="ar-SA"/>
        </w:rPr>
        <w:t xml:space="preserve">sa v záujme terminologickej presnosti a jednoty </w:t>
      </w:r>
      <w:r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sk-SK" w:bidi="ar-SA"/>
        </w:rPr>
        <w:t xml:space="preserve">zosúlaďuje s pojmom používaným v  </w:t>
      </w:r>
      <w:r w:rsidRPr="00702E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čl. 5 stanov Medzinárodnej stálej komisie </w:t>
      </w:r>
      <w:r w:rsidRPr="00ED5D03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(CIP</w:t>
      </w:r>
      <w:r w:rsidRPr="00702E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 a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702E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vzhľadom na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rozsah </w:t>
      </w:r>
      <w:r w:rsidRPr="00702E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jeho výskytu </w:t>
      </w:r>
      <w:r w:rsidRPr="00702E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návrhu zákona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sa zároveň  z</w:t>
      </w:r>
      <w:r w:rsidRPr="00702E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avádza aj jeho legislatívna skratka.</w:t>
      </w:r>
    </w:p>
    <w:p w:rsidR="00A84506" w:rsidRPr="00702E88" w:rsidP="00A84506">
      <w:pPr>
        <w:bidi w:val="0"/>
        <w:ind w:left="3402"/>
        <w:jc w:val="both"/>
        <w:rPr>
          <w:rFonts w:ascii="Times New Roman" w:eastAsia="Times New Roman" w:hAnsi="Times New Roman"/>
        </w:rPr>
      </w:pPr>
    </w:p>
    <w:p w:rsidR="00A84506" w:rsidRPr="004A4269" w:rsidP="00A84506">
      <w:pPr>
        <w:pStyle w:val="NoSpacing"/>
        <w:numPr>
          <w:ilvl w:val="1"/>
          <w:numId w:val="16"/>
        </w:numPr>
        <w:tabs>
          <w:tab w:val="num" w:pos="284"/>
          <w:tab w:val="clear" w:pos="425"/>
        </w:tabs>
        <w:bidi w:val="0"/>
        <w:spacing w:line="360" w:lineRule="auto"/>
        <w:ind w:left="284" w:hanging="284"/>
        <w:jc w:val="both"/>
        <w:rPr>
          <w:rStyle w:val="Emphasis"/>
          <w:rFonts w:ascii="Times New Roman" w:eastAsia="Times New Roman" w:hAnsi="Times New Roman" w:cs="Times New Roman" w:hint="default"/>
          <w:i w:val="0"/>
          <w:iCs/>
          <w:sz w:val="24"/>
          <w:szCs w:val="24"/>
          <w:rtl w:val="0"/>
          <w:cs w:val="0"/>
        </w:rPr>
      </w:pPr>
      <w:r w:rsidRPr="004A42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V § 6 sa slovo „sprístupniť“ nahrádza slovom „sprístupňovať“.    </w:t>
      </w:r>
    </w:p>
    <w:p w:rsidR="00A84506" w:rsidRPr="00A2166F" w:rsidP="00A84506">
      <w:pPr>
        <w:pStyle w:val="NoSpacing"/>
        <w:bidi w:val="0"/>
        <w:ind w:left="3402"/>
        <w:jc w:val="both"/>
        <w:rPr>
          <w:rStyle w:val="Emphasis"/>
          <w:rFonts w:eastAsia="Times New Roman" w:cs="Times New Roman" w:hint="default"/>
          <w:i w:val="0"/>
          <w:iCs/>
          <w:highlight w:val="lightGray"/>
          <w:rtl w:val="0"/>
          <w:cs w:val="0"/>
        </w:rPr>
      </w:pPr>
    </w:p>
    <w:p w:rsidR="00A84506" w:rsidRPr="00A84506" w:rsidP="00A84506">
      <w:pPr>
        <w:pStyle w:val="NoSpacing"/>
        <w:bidi w:val="0"/>
        <w:ind w:left="3402"/>
        <w:jc w:val="both"/>
        <w:rPr>
          <w:rFonts w:ascii="Times New Roman" w:eastAsia="Times New Roman" w:hAnsi="Times New Roman"/>
          <w:sz w:val="24"/>
          <w:szCs w:val="24"/>
        </w:rPr>
      </w:pPr>
      <w:r w:rsidRPr="00A84506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en-US" w:bidi="ar-SA"/>
        </w:rPr>
        <w:t xml:space="preserve">Ide o legislatívno-technickú úpravu; ustanovenie sa zosúlaďuje v záujme terminologickej presnosti a jednoty  poukazujúc na pojem zavedený v § 2 písm. a) návrhu zákona. </w:t>
      </w:r>
      <w:r w:rsidRPr="00A845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</w:t>
      </w:r>
    </w:p>
    <w:p w:rsidR="00A84506" w:rsidRPr="00A2166F" w:rsidP="00A84506">
      <w:pPr>
        <w:pStyle w:val="NoSpacing"/>
        <w:bidi w:val="0"/>
        <w:ind w:left="3402"/>
        <w:jc w:val="both"/>
        <w:rPr>
          <w:rFonts w:eastAsia="Times New Roman"/>
          <w:highlight w:val="lightGray"/>
        </w:rPr>
      </w:pPr>
    </w:p>
    <w:p w:rsidR="00A84506" w:rsidRPr="00B10FE6" w:rsidP="00A84506">
      <w:pPr>
        <w:pStyle w:val="Abecednzoznam"/>
        <w:numPr>
          <w:ilvl w:val="1"/>
          <w:numId w:val="16"/>
        </w:numPr>
        <w:tabs>
          <w:tab w:val="num" w:pos="284"/>
          <w:tab w:val="clear" w:pos="425"/>
          <w:tab w:val="clear" w:pos="1134"/>
        </w:tabs>
        <w:bidi w:val="0"/>
        <w:spacing w:before="0" w:after="0" w:line="360" w:lineRule="auto"/>
        <w:ind w:left="284" w:hanging="284"/>
        <w:jc w:val="both"/>
        <w:rPr>
          <w:rFonts w:ascii="Times New Roman" w:eastAsia="Times New Roman" w:hAnsi="Times New Roman"/>
          <w:szCs w:val="24"/>
        </w:rPr>
      </w:pPr>
      <w:r w:rsidRPr="00B10FE6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V § </w:t>
      </w:r>
      <w:r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7 </w:t>
      </w:r>
      <w:r w:rsidRPr="00B10FE6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ods. </w:t>
      </w:r>
      <w:r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1 sa slová „</w:t>
      </w:r>
      <w:r w:rsidRPr="004C0F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dáva navrhnúť alebo dáva vyrobiť a uv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ádza</w:t>
      </w:r>
      <w:r w:rsidRPr="004C0F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na trh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“</w:t>
      </w:r>
      <w:r w:rsidRPr="004C0F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sa nahrádzajú slovami „zadáva </w:t>
      </w:r>
      <w:r w:rsidRPr="004C0F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navrhnu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tie</w:t>
      </w:r>
      <w:r w:rsidRPr="004C0F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alebo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za</w:t>
      </w:r>
      <w:r w:rsidRPr="004C0F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dáva 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ýrobu</w:t>
      </w:r>
      <w:r w:rsidRPr="004C0F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a uvedie na trh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“</w:t>
      </w:r>
      <w:r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.</w:t>
      </w:r>
      <w:r w:rsidRPr="00B10FE6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A84506" w:rsidRPr="00A2166F" w:rsidP="00A84506">
      <w:pPr>
        <w:pStyle w:val="NoSpacing"/>
        <w:bidi w:val="0"/>
        <w:ind w:left="3402"/>
        <w:jc w:val="both"/>
        <w:rPr>
          <w:rStyle w:val="Emphasis"/>
          <w:rFonts w:eastAsia="Times New Roman" w:cs="Times New Roman" w:hint="default"/>
          <w:i w:val="0"/>
          <w:iCs/>
          <w:highlight w:val="lightGray"/>
          <w:rtl w:val="0"/>
          <w:cs w:val="0"/>
        </w:rPr>
      </w:pPr>
    </w:p>
    <w:p w:rsidR="00A84506" w:rsidRPr="00A84506" w:rsidP="00A84506">
      <w:pPr>
        <w:pStyle w:val="NoSpacing"/>
        <w:bidi w:val="0"/>
        <w:ind w:left="34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84506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en-US" w:bidi="ar-SA"/>
        </w:rPr>
        <w:t>Ide o legislatívno-technickú úpravu; ustanovenie sa upravuje štylisticky a terminologicky spresňuje s poukazom na pojem zavedený v § 2 písm. b) návrhu zákona.</w:t>
      </w:r>
    </w:p>
    <w:p w:rsidR="00A84506" w:rsidRPr="00A2166F" w:rsidP="00A84506">
      <w:pPr>
        <w:pStyle w:val="NoSpacing"/>
        <w:bidi w:val="0"/>
        <w:ind w:left="3402"/>
        <w:jc w:val="both"/>
        <w:rPr>
          <w:rFonts w:eastAsia="Times New Roman"/>
          <w:highlight w:val="lightGray"/>
        </w:rPr>
      </w:pPr>
    </w:p>
    <w:p w:rsidR="00A84506" w:rsidP="00A84506">
      <w:pPr>
        <w:overflowPunct w:val="0"/>
        <w:autoSpaceDE w:val="0"/>
        <w:autoSpaceDN w:val="0"/>
        <w:bidi w:val="0"/>
        <w:spacing w:line="36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4</w:t>
      </w:r>
      <w:r w:rsidRPr="009708F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0F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§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7 </w:t>
      </w:r>
      <w:r w:rsidRPr="00B10F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 úvodnej vete sa slová „</w:t>
      </w:r>
      <w:r w:rsidRPr="009F377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</w:t>
      </w:r>
      <w:r w:rsidRPr="009F377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uvedení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“</w:t>
      </w:r>
      <w:r w:rsidRPr="009F377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nahrádzajú slovami „pred uvedením“.</w:t>
      </w:r>
    </w:p>
    <w:p w:rsidR="00A84506" w:rsidRPr="000366AF" w:rsidP="00A84506">
      <w:pPr>
        <w:bidi w:val="0"/>
        <w:ind w:left="3402"/>
        <w:jc w:val="both"/>
        <w:rPr>
          <w:rFonts w:ascii="Times New Roman" w:eastAsia="Times New Roman" w:hAnsi="Times New Roman"/>
        </w:rPr>
      </w:pPr>
      <w:r w:rsidRPr="000366AF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sk-SK" w:bidi="ar-SA"/>
        </w:rPr>
        <w:t>Ide o legislatívno-technickú úpravu; ustanovenie sa spresňuje s ohľadom na jednoznačnosť určenia času, v ktorom si výrobca musí splniť povinnosti súvisiace s uvedením strelnej zbrane alebo streliva na trh. T</w:t>
      </w:r>
      <w:r w:rsidRPr="000366A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ext sa zosúlaďuje s čl. 4 ods. 1 písm. a) smernice Rady 91/477/EHS z 18. júna 1991 o kontrole získavania a vlastnenia zbraní v znení neskorších zmien „Pokiaľ ide o strelné zbrane vyrobe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né alebo dovezené do Únie k 14. </w:t>
      </w:r>
      <w:r w:rsidRPr="000366A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septembru 2018 alebo po tomto dátume, členské štáty zabezpečia, aby každá takáto strelná zbraň alebo hlavná časť uvedená na trh bola označená jasným, trvalým a jedinečným označením, a to bezodkladne po výrobe a najneskôr pred jej uvedením na trh, alebo bezodkladne po dovoze do Únie.“</w:t>
      </w:r>
    </w:p>
    <w:p w:rsidR="00A84506" w:rsidRPr="000C7F12" w:rsidP="00A84506">
      <w:pPr>
        <w:shd w:val="clear" w:color="auto" w:fill="FFFFFF"/>
        <w:overflowPunct w:val="0"/>
        <w:autoSpaceDE w:val="0"/>
        <w:autoSpaceDN w:val="0"/>
        <w:bidi w:val="0"/>
        <w:ind w:left="284"/>
        <w:jc w:val="both"/>
        <w:rPr>
          <w:rFonts w:ascii="Times New Roman" w:eastAsia="Times New Roman" w:hAnsi="Times New Roman"/>
          <w:i/>
          <w:iCs/>
        </w:rPr>
      </w:pPr>
    </w:p>
    <w:p w:rsidR="00A84506" w:rsidRPr="00665457" w:rsidP="00A84506">
      <w:pPr>
        <w:shd w:val="clear" w:color="auto" w:fill="FFFFFF"/>
        <w:overflowPunct w:val="0"/>
        <w:autoSpaceDE w:val="0"/>
        <w:autoSpaceDN w:val="0"/>
        <w:bidi w:val="0"/>
        <w:spacing w:line="360" w:lineRule="auto"/>
        <w:jc w:val="both"/>
        <w:rPr>
          <w:rFonts w:ascii="Times New Roman" w:eastAsia="Times New Roman" w:hAnsi="Times New Roman"/>
          <w:iCs/>
        </w:rPr>
      </w:pPr>
      <w:r w:rsidRPr="007535C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5.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B10F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§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8 </w:t>
      </w:r>
      <w:r w:rsidRPr="00B10F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1  sa slovo </w:t>
      </w:r>
      <w:r w:rsidRPr="000C7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uvádza“ nahrádza slovom „uvedie“.  </w:t>
      </w:r>
    </w:p>
    <w:p w:rsidR="00A84506" w:rsidRPr="00A84506" w:rsidP="00A84506">
      <w:pPr>
        <w:pStyle w:val="NoSpacing"/>
        <w:shd w:val="clear" w:color="auto" w:fill="FFFFFF"/>
        <w:bidi w:val="0"/>
        <w:ind w:left="34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84506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en-US" w:bidi="ar-SA"/>
        </w:rPr>
        <w:t>Ide o legislatívno-technickú úpravu; ustanovenie sa terminologicky spresňuje s poukazom na pojem zavedený v § 2 písm. b) návrhu zákona.</w:t>
      </w:r>
      <w:r w:rsidRPr="00A84506">
        <w:rPr>
          <w:rStyle w:val="Emphasis"/>
          <w:rFonts w:ascii="Times New Roman" w:eastAsia="Times New Roman" w:hAnsi="Times New Roman"/>
          <w:iCs/>
          <w:sz w:val="24"/>
          <w:szCs w:val="24"/>
          <w:lang w:val="sk-SK" w:eastAsia="en-US" w:bidi="ar-SA"/>
        </w:rPr>
        <w:t xml:space="preserve">  </w:t>
      </w:r>
      <w:r w:rsidRPr="00A8450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en-US" w:bidi="ar-SA"/>
        </w:rPr>
        <w:t xml:space="preserve"> </w:t>
      </w:r>
    </w:p>
    <w:p w:rsidR="00A84506" w:rsidRPr="00134F18" w:rsidP="00A84506">
      <w:pPr>
        <w:pStyle w:val="NoSpacing"/>
        <w:shd w:val="clear" w:color="auto" w:fill="FFFFFF"/>
        <w:bidi w:val="0"/>
        <w:ind w:left="3402"/>
        <w:jc w:val="both"/>
        <w:rPr>
          <w:rFonts w:eastAsia="Times New Roman"/>
          <w:i/>
        </w:rPr>
      </w:pPr>
    </w:p>
    <w:p w:rsidR="00A84506" w:rsidRPr="00180971" w:rsidP="00A84506">
      <w:pPr>
        <w:numPr>
          <w:numId w:val="18"/>
        </w:numPr>
        <w:shd w:val="clear" w:color="auto" w:fill="FFFFFF"/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eastAsia="Times New Roman" w:hAnsi="Times New Roman"/>
          <w:i/>
          <w:iCs/>
        </w:rPr>
      </w:pPr>
      <w:r w:rsidRPr="000C7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§ 8 ods. 3 sa za slová „označiť strelnú zbraň alebo strelivo“ vkladajú slová „údajmi“, slová  „</w:t>
      </w:r>
      <w:r w:rsidRPr="00910FB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dovozca </w:t>
      </w:r>
      <w:r w:rsidRPr="00910FB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môže strelnú zbraň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“ sa nahrádzajú slovami „a môže strelnú zbraň“. </w:t>
      </w:r>
    </w:p>
    <w:p w:rsidR="00A84506" w:rsidRPr="00A84506" w:rsidP="00A84506">
      <w:pPr>
        <w:pStyle w:val="NoSpacing"/>
        <w:shd w:val="clear" w:color="auto" w:fill="FFFFFF"/>
        <w:bidi w:val="0"/>
        <w:ind w:left="3402"/>
        <w:jc w:val="both"/>
        <w:rPr>
          <w:rStyle w:val="Emphasis"/>
          <w:rFonts w:ascii="Times New Roman" w:eastAsia="Times New Roman" w:hAnsi="Times New Roman" w:cs="Times New Roman" w:hint="default"/>
          <w:i w:val="0"/>
          <w:iCs/>
          <w:sz w:val="24"/>
          <w:szCs w:val="24"/>
          <w:rtl w:val="0"/>
          <w:cs w:val="0"/>
        </w:rPr>
      </w:pPr>
      <w:r w:rsidRPr="00A84506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en-US" w:bidi="ar-SA"/>
        </w:rPr>
        <w:t xml:space="preserve">Ide o legislatívno-technickú úpravu; ustanovenie sa  zosúlaďuje v záujme terminologickej jednoty a presnosti a zároveň sa upravuje aj štylisticky.  </w:t>
      </w:r>
    </w:p>
    <w:p w:rsidR="00A84506" w:rsidRPr="00EE4533" w:rsidP="00A84506">
      <w:pPr>
        <w:pStyle w:val="NoSpacing"/>
        <w:shd w:val="clear" w:color="auto" w:fill="FFFFFF"/>
        <w:bidi w:val="0"/>
        <w:ind w:left="3402"/>
        <w:jc w:val="both"/>
        <w:rPr>
          <w:rStyle w:val="Emphasis"/>
          <w:rFonts w:eastAsia="Times New Roman" w:cs="Times New Roman" w:hint="default"/>
          <w:i w:val="0"/>
          <w:iCs/>
          <w:sz w:val="32"/>
          <w:rtl w:val="0"/>
          <w:cs w:val="0"/>
        </w:rPr>
      </w:pPr>
    </w:p>
    <w:p w:rsidR="00A84506" w:rsidRPr="001117A6" w:rsidP="00A84506">
      <w:pPr>
        <w:numPr>
          <w:numId w:val="17"/>
        </w:numPr>
        <w:shd w:val="clear" w:color="auto" w:fill="FFFFFF"/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eastAsia="Times New Roman" w:hAnsi="Times New Roman"/>
          <w:iCs/>
        </w:rPr>
      </w:pPr>
      <w:r w:rsidRPr="001117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ar-SA" w:bidi="ar-SA"/>
        </w:rPr>
        <w:t xml:space="preserve">V §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ar-SA" w:bidi="ar-SA"/>
        </w:rPr>
        <w:t>9</w:t>
      </w:r>
      <w:r w:rsidRPr="001117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ar-SA" w:bidi="ar-SA"/>
        </w:rPr>
        <w:t xml:space="preserve"> ods.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ar-SA" w:bidi="ar-SA"/>
        </w:rPr>
        <w:t>2</w:t>
      </w:r>
      <w:r w:rsidRPr="001117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ar-SA" w:bidi="ar-SA"/>
        </w:rPr>
        <w:t xml:space="preserve"> úvodnej vete sa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ar-SA" w:bidi="ar-SA"/>
        </w:rPr>
        <w:t>slovo</w:t>
      </w:r>
      <w:r w:rsidRPr="001117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ar-SA" w:bidi="ar-SA"/>
        </w:rPr>
        <w:t xml:space="preserve"> „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ar-SA" w:bidi="ar-SA"/>
        </w:rPr>
        <w:t xml:space="preserve">sprístupniť“ nahrádza slovom „sprístupňovať“. </w:t>
      </w:r>
    </w:p>
    <w:p w:rsidR="00A84506" w:rsidRPr="00A84506" w:rsidP="00A84506">
      <w:pPr>
        <w:pStyle w:val="NoSpacing"/>
        <w:bidi w:val="0"/>
        <w:ind w:left="3402"/>
        <w:jc w:val="both"/>
        <w:rPr>
          <w:rFonts w:ascii="Times New Roman" w:eastAsia="Times New Roman" w:hAnsi="Times New Roman"/>
          <w:sz w:val="24"/>
          <w:szCs w:val="24"/>
        </w:rPr>
      </w:pPr>
      <w:r w:rsidRPr="00A84506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en-US" w:bidi="ar-SA"/>
        </w:rPr>
        <w:t xml:space="preserve">Ide o legislatívno-technickú úpravu; ustanovenie sa  zosúlaďuje v záujme terminologickej presnosti a jednoty  poukazujúc na pojem zavedený v § 2 písm. a) návrhu zákona. </w:t>
      </w:r>
      <w:r w:rsidRPr="00A845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</w:t>
      </w:r>
    </w:p>
    <w:p w:rsidR="00A84506" w:rsidRPr="00894EED" w:rsidP="00A84506">
      <w:pPr>
        <w:pStyle w:val="NoSpacing"/>
        <w:bidi w:val="0"/>
        <w:ind w:left="3402"/>
        <w:jc w:val="both"/>
        <w:rPr>
          <w:rFonts w:eastAsia="Times New Roman"/>
        </w:rPr>
      </w:pPr>
    </w:p>
    <w:p w:rsidR="00A84506" w:rsidRPr="00A902F1" w:rsidP="00A84506">
      <w:pPr>
        <w:numPr>
          <w:numId w:val="17"/>
        </w:numPr>
        <w:shd w:val="clear" w:color="auto" w:fill="FFFFFF"/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eastAsia="Times New Roman" w:hAnsi="Times New Roman"/>
          <w:i/>
          <w:iCs/>
        </w:rPr>
      </w:pPr>
      <w:r w:rsidRPr="00D2686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 § 12 ods. 3 sa slová „osobitného predpisu</w:t>
      </w:r>
      <w:r w:rsidRPr="004325AF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18</w:t>
      </w:r>
      <w:r w:rsidRPr="00D2686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)“ nahrádzajú slovami „medzinárodnej zmluvy, ktorou je Slovenská republika viazaná</w:t>
      </w:r>
      <w:r w:rsidRPr="004325AF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18</w:t>
      </w:r>
      <w:r w:rsidRPr="00D2686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)“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A84506" w:rsidRPr="00A84506" w:rsidP="00A84506">
      <w:pPr>
        <w:pStyle w:val="NoSpacing"/>
        <w:shd w:val="clear" w:color="auto" w:fill="FFFFFF"/>
        <w:bidi w:val="0"/>
        <w:ind w:left="340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84506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en-US" w:bidi="ar-SA"/>
        </w:rPr>
        <w:t xml:space="preserve">Ide o legislatívno-technickú úpravu; úpravou sa </w:t>
      </w:r>
      <w:r w:rsidRPr="00A845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nahrádza nesprávne označenie medzinárodnej zmluvy správnym označením </w:t>
      </w:r>
      <w:r w:rsidRPr="00A8450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en-US" w:bidi="ar-SA"/>
        </w:rPr>
        <w:t>(medzinárodná zmluva nie je osobitný predpis).</w:t>
      </w:r>
    </w:p>
    <w:p w:rsidR="00A84506" w:rsidRPr="00EE4533" w:rsidP="00A84506">
      <w:pPr>
        <w:pStyle w:val="NoSpacing"/>
        <w:shd w:val="clear" w:color="auto" w:fill="FFFFFF"/>
        <w:bidi w:val="0"/>
        <w:ind w:left="3402"/>
        <w:jc w:val="both"/>
        <w:rPr>
          <w:rFonts w:eastAsia="Times New Roman"/>
          <w:i/>
          <w:iCs/>
          <w:sz w:val="32"/>
        </w:rPr>
      </w:pPr>
    </w:p>
    <w:p w:rsidR="00A84506" w:rsidRPr="00180971" w:rsidP="00A84506">
      <w:pPr>
        <w:numPr>
          <w:numId w:val="17"/>
        </w:numPr>
        <w:shd w:val="clear" w:color="auto" w:fill="FFFFFF"/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0C7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16 ods. 2 písm. b) druhom bode sa slová „údajov dodaných“ nahrádzajú slovami „údajov oznámených“.</w:t>
      </w:r>
    </w:p>
    <w:p w:rsidR="00A84506" w:rsidRPr="00A84506" w:rsidP="00A84506">
      <w:pPr>
        <w:pStyle w:val="NoSpacing"/>
        <w:shd w:val="clear" w:color="auto" w:fill="FFFFFF"/>
        <w:bidi w:val="0"/>
        <w:ind w:left="3402"/>
        <w:jc w:val="both"/>
        <w:rPr>
          <w:rStyle w:val="Emphasis"/>
          <w:rFonts w:ascii="Times New Roman" w:eastAsia="Times New Roman" w:hAnsi="Times New Roman" w:cs="Times New Roman" w:hint="default"/>
          <w:i w:val="0"/>
          <w:iCs/>
          <w:sz w:val="24"/>
          <w:szCs w:val="24"/>
          <w:rtl w:val="0"/>
          <w:cs w:val="0"/>
        </w:rPr>
      </w:pPr>
      <w:r w:rsidRPr="00A84506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en-US" w:bidi="ar-SA"/>
        </w:rPr>
        <w:t xml:space="preserve">Ide o legislatívno-technickú úpravu; ustanovenie sa spresňuje  v záujme terminologickej presnosti a jednoty. </w:t>
      </w:r>
    </w:p>
    <w:p w:rsidR="00A84506" w:rsidRPr="00753E2F" w:rsidP="00A84506">
      <w:pPr>
        <w:pStyle w:val="NoSpacing"/>
        <w:shd w:val="clear" w:color="auto" w:fill="FFFFFF"/>
        <w:bidi w:val="0"/>
        <w:ind w:left="3402"/>
        <w:jc w:val="both"/>
        <w:rPr>
          <w:rFonts w:eastAsia="Times New Roman"/>
        </w:rPr>
      </w:pPr>
      <w:r>
        <w:rPr>
          <w:rStyle w:val="Emphasis"/>
          <w:rFonts w:ascii="Calibri" w:eastAsia="Times New Roman" w:hAnsi="Calibri"/>
          <w:i w:val="0"/>
          <w:iCs/>
          <w:sz w:val="22"/>
          <w:szCs w:val="22"/>
          <w:lang w:val="sk-SK" w:eastAsia="en-US" w:bidi="ar-SA"/>
        </w:rPr>
        <w:t xml:space="preserve">   </w:t>
      </w:r>
    </w:p>
    <w:p w:rsidR="00A84506" w:rsidRPr="00753E2F" w:rsidP="00A84506">
      <w:pPr>
        <w:numPr>
          <w:numId w:val="17"/>
        </w:numPr>
        <w:shd w:val="clear" w:color="auto" w:fill="FFFFFF"/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</w:t>
      </w:r>
      <w:r w:rsidRPr="000C7F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§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17 nadpise sa za slovo „Dohľad“ pripájajú slová „nad trhom“. </w:t>
      </w:r>
      <w:r w:rsidRPr="00753E2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520847" w:rsidP="00A84506">
      <w:pPr>
        <w:tabs>
          <w:tab w:val="left" w:pos="-1985"/>
          <w:tab w:val="left" w:pos="709"/>
          <w:tab w:val="left" w:pos="1077"/>
        </w:tabs>
        <w:bidi w:val="0"/>
        <w:ind w:left="3402"/>
        <w:jc w:val="both"/>
        <w:rPr>
          <w:rFonts w:ascii="Times New Roman" w:eastAsia="Times New Roman" w:hAnsi="Times New Roman" w:cs="Arial"/>
        </w:rPr>
      </w:pPr>
      <w:r w:rsidRPr="00753E2F" w:rsidR="00A84506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sk-SK" w:bidi="ar-SA"/>
        </w:rPr>
        <w:t xml:space="preserve">Ide o legislatívno-technickú úpravu; </w:t>
      </w:r>
      <w:r w:rsidR="00A84506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sk-SK" w:bidi="ar-SA"/>
        </w:rPr>
        <w:t xml:space="preserve">nadpis sa </w:t>
      </w:r>
      <w:r w:rsidR="00A845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spresňuje z dôvodu rozlíšenia dohľadu nad zákonom od dohľadu nad trhom</w:t>
      </w:r>
    </w:p>
    <w:sectPr w:rsidSect="00B12DA5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EE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@SimSun">
    <w:panose1 w:val="00000000000000000000"/>
    <w:charset w:val="86"/>
    <w:family w:val="auto"/>
    <w:pitch w:val="variable"/>
  </w:font>
  <w:font w:name="Lucida Sans">
    <w:panose1 w:val="00000000000000000000"/>
    <w:charset w:val="00"/>
    <w:family w:val="swiss"/>
    <w:pitch w:val="variable"/>
  </w:font>
  <w:font w:name="@MS Gothic">
    <w:panose1 w:val="00000000000000000000"/>
    <w:charset w:val="80"/>
    <w:family w:val="modern"/>
    <w:pitch w:val="fixed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AT*Toronto CE">
    <w:altName w:val="Times New Roman"/>
    <w:panose1 w:val="00000000000000000000"/>
    <w:charset w:val="EE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yr">
    <w:charset w:val="CC"/>
    <w:family w:val="swiss"/>
    <w:pitch w:val="variable"/>
  </w:font>
  <w:font w:name="Helvetica Greek">
    <w:charset w:val="A1"/>
    <w:family w:val="swiss"/>
    <w:pitch w:val="variable"/>
  </w:font>
  <w:font w:name="Helvetica Tur">
    <w:charset w:val="A2"/>
    <w:family w:val="swiss"/>
    <w:pitch w:val="variable"/>
  </w:font>
  <w:font w:name="Helvetica (Hebrew)">
    <w:charset w:val="B1"/>
    <w:family w:val="swiss"/>
    <w:pitch w:val="variable"/>
  </w:font>
  <w:font w:name="Helvetica (Arabic)">
    <w:charset w:val="B2"/>
    <w:family w:val="swiss"/>
    <w:pitch w:val="variable"/>
  </w:font>
  <w:font w:name="Helvetica Baltic">
    <w:charset w:val="BA"/>
    <w:family w:val="swiss"/>
    <w:pitch w:val="variable"/>
  </w:font>
  <w:font w:name="Helvetica (Vietnamese)">
    <w:charset w:val="A3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@SimSun Western">
    <w:charset w:val="00"/>
    <w:family w:val="auto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end"/>
    </w:r>
  </w:p>
  <w:p w:rsidR="001C2601" w:rsidP="00B12DA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separate"/>
    </w:r>
    <w:r w:rsidR="004A4269">
      <w:rPr>
        <w:rStyle w:val="PageNumber"/>
        <w:rFonts w:ascii="Times New Roman" w:eastAsia="Times New Roman" w:hAnsi="Times New Roman"/>
        <w:noProof/>
        <w:sz w:val="24"/>
        <w:szCs w:val="24"/>
        <w:lang w:val="sk-SK" w:eastAsia="cs-CZ" w:bidi="ar-SA"/>
      </w:rPr>
      <w:t>2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end"/>
    </w:r>
  </w:p>
  <w:p w:rsidR="001C2601" w:rsidP="00B12DA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5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6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7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8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9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11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13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5"/>
  </w:num>
  <w:num w:numId="5">
    <w:abstractNumId w:val="11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0"/>
  </w:num>
  <w:num w:numId="16">
    <w:abstractNumId w:val="4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outlineLvl w:val="7"/>
    </w:pPr>
    <w:rPr>
      <w:rFonts w:ascii="Cambria" w:eastAsia="MS Gothic" w:hAnsi="Cambria" w:hint="eastAs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outlineLvl w:val="8"/>
    </w:pPr>
    <w:rPr>
      <w:rFonts w:ascii="Cambria" w:eastAsia="MS Gothic" w:hAnsi="Cambria" w:hint="eastAs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 w:hint="cs"/>
      <w:b/>
      <w:color w:val="0000FF"/>
      <w:sz w:val="24"/>
      <w:rtl w:val="0"/>
      <w:cs w:val="0"/>
      <w:lang w:val="cs-CZ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 w:hint="eastAsia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 w:hint="eastAsia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 w:hint="cs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 w:hint="cs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 w:hint="cs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</w:p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 w:hint="cs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 w:hint="cs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</w:pPr>
  </w:style>
  <w:style w:type="character" w:customStyle="1" w:styleId="tw4winMark">
    <w:name w:val="tw4winMark"/>
    <w:rsid w:val="00487B16"/>
    <w:rPr>
      <w:rFonts w:ascii="Courier New" w:hAnsi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 w:hint="cs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92076"/>
    <w:pPr>
      <w:ind w:left="708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 w:hint="cs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 w:hint="cs"/>
      <w:rtl w:val="0"/>
      <w:cs w:val="0"/>
    </w:rPr>
  </w:style>
  <w:style w:type="paragraph" w:customStyle="1" w:styleId="odsek0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/>
      <w:color w:val="837A73"/>
      <w:sz w:val="16"/>
    </w:rPr>
  </w:style>
  <w:style w:type="paragraph" w:styleId="NoSpacing">
    <w:name w:val="No Spacing"/>
    <w:link w:val="BezriadkovaniaChar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 w:hint="cs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hint="eastAs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 w:hint="eastAsia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</w:pPr>
    <w:rPr>
      <w:rFonts w:ascii="Cambria" w:eastAsia="MS Gothic" w:hAnsi="Cambria" w:hint="eastAs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 w:hint="eastAsia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 w:hint="cs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 w:hint="cs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 w:hint="cs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 w:hint="cs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 w:hint="cs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 w:hint="cs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 w:hint="cs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 w:hint="cs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 w:hint="eastAsia"/>
      <w:kern w:val="3"/>
      <w:sz w:val="24"/>
      <w:szCs w:val="24"/>
      <w:rtl w:val="0"/>
      <w:cs w:val="0"/>
      <w:lang w:val="sk-SK" w:eastAsia="zh-CN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90A31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C7ACD"/>
    <w:rPr>
      <w:rFonts w:cs="Times New Roman" w:hint="cs"/>
      <w:color w:val="0563C1"/>
      <w:u w:val="single"/>
      <w:rtl w:val="0"/>
      <w:cs w:val="0"/>
    </w:rPr>
  </w:style>
  <w:style w:type="paragraph" w:customStyle="1" w:styleId="gmail-msolistparagraph">
    <w:name w:val="gmail-msolistparagraph"/>
    <w:basedOn w:val="Normal"/>
    <w:rsid w:val="00275ECE"/>
    <w:pPr>
      <w:spacing w:before="100" w:beforeAutospacing="1" w:after="100" w:afterAutospacing="1"/>
    </w:pPr>
  </w:style>
  <w:style w:type="paragraph" w:customStyle="1" w:styleId="Abecednzoznam">
    <w:name w:val="Abecedný zoznam"/>
    <w:basedOn w:val="ListParagraph"/>
    <w:uiPriority w:val="99"/>
    <w:rsid w:val="00A84506"/>
    <w:pPr>
      <w:numPr>
        <w:numId w:val="15"/>
      </w:numPr>
      <w:tabs>
        <w:tab w:val="left" w:pos="1134"/>
      </w:tabs>
      <w:spacing w:before="120" w:after="120"/>
      <w:ind w:left="360" w:hanging="360"/>
      <w:jc w:val="both"/>
    </w:pPr>
    <w:rPr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A84506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3</Pages>
  <Words>829</Words>
  <Characters>4731</Characters>
  <Application>Microsoft Office Word</Application>
  <DocSecurity>0</DocSecurity>
  <Lines>0</Lines>
  <Paragraphs>0</Paragraphs>
  <ScaleCrop>false</ScaleCrop>
  <Company>Kancelaria NR SR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21</cp:revision>
  <cp:lastPrinted>2017-06-05T10:31:00Z</cp:lastPrinted>
  <dcterms:created xsi:type="dcterms:W3CDTF">2018-05-23T14:46:00Z</dcterms:created>
  <dcterms:modified xsi:type="dcterms:W3CDTF">2019-01-24T15:52:00Z</dcterms:modified>
</cp:coreProperties>
</file>