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CBD" w:rsidRPr="004E5111" w:rsidRDefault="00161CBD" w:rsidP="00161CBD">
      <w:pPr>
        <w:pStyle w:val="Default"/>
        <w:ind w:left="360"/>
        <w:jc w:val="center"/>
      </w:pPr>
      <w:bookmarkStart w:id="0" w:name="_GoBack"/>
      <w:bookmarkEnd w:id="0"/>
      <w:r w:rsidRPr="004E5111">
        <w:rPr>
          <w:b/>
          <w:bCs/>
        </w:rPr>
        <w:t>DOLOŽKA ZLUČITEĽNOSTI</w:t>
      </w:r>
    </w:p>
    <w:p w:rsidR="00161CBD" w:rsidRPr="004E5111" w:rsidRDefault="00161CBD" w:rsidP="00161CBD">
      <w:pPr>
        <w:pStyle w:val="Default"/>
        <w:jc w:val="center"/>
      </w:pPr>
      <w:r w:rsidRPr="004E5111">
        <w:rPr>
          <w:b/>
          <w:bCs/>
        </w:rPr>
        <w:t>návrhu zákona s právom Európskej únie</w:t>
      </w:r>
    </w:p>
    <w:p w:rsidR="00161CBD" w:rsidRDefault="00161CBD" w:rsidP="00161CBD">
      <w:pPr>
        <w:pStyle w:val="Default"/>
        <w:ind w:firstLine="426"/>
      </w:pPr>
    </w:p>
    <w:p w:rsidR="00161CBD" w:rsidRPr="004E5111" w:rsidRDefault="00161CBD" w:rsidP="00161CBD">
      <w:pPr>
        <w:pStyle w:val="Default"/>
        <w:ind w:firstLine="426"/>
      </w:pPr>
    </w:p>
    <w:p w:rsidR="00161CBD" w:rsidRPr="004E5111" w:rsidRDefault="00161CBD" w:rsidP="00161CBD">
      <w:pPr>
        <w:pStyle w:val="Default"/>
        <w:ind w:firstLine="426"/>
      </w:pPr>
      <w:r w:rsidRPr="004E5111">
        <w:t xml:space="preserve">1. </w:t>
      </w:r>
      <w:r w:rsidRPr="004E5111">
        <w:rPr>
          <w:b/>
        </w:rPr>
        <w:t>Navrhovateľ zákona</w:t>
      </w:r>
      <w:r w:rsidRPr="004E5111">
        <w:t>:</w:t>
      </w:r>
    </w:p>
    <w:p w:rsidR="00161CBD" w:rsidRPr="004E5111" w:rsidRDefault="00161CBD" w:rsidP="00161CBD">
      <w:pPr>
        <w:pStyle w:val="Default"/>
        <w:ind w:firstLine="426"/>
      </w:pPr>
    </w:p>
    <w:p w:rsidR="00161CBD" w:rsidRPr="004E5111" w:rsidRDefault="00161CBD" w:rsidP="00161CBD">
      <w:pPr>
        <w:pStyle w:val="Default"/>
        <w:ind w:firstLine="426"/>
      </w:pPr>
      <w:r w:rsidRPr="004E5111">
        <w:t>Poslan</w:t>
      </w:r>
      <w:r>
        <w:t>kyňa</w:t>
      </w:r>
      <w:r w:rsidRPr="004E5111">
        <w:t xml:space="preserve"> Národnej rady Slovenskej republiky Viera Dubačová.</w:t>
      </w:r>
    </w:p>
    <w:p w:rsidR="00161CBD" w:rsidRPr="004E5111" w:rsidRDefault="00161CBD" w:rsidP="00161CBD">
      <w:pPr>
        <w:pStyle w:val="Default"/>
        <w:ind w:firstLine="426"/>
      </w:pPr>
      <w:r w:rsidRPr="004E5111">
        <w:t xml:space="preserve"> </w:t>
      </w:r>
    </w:p>
    <w:p w:rsidR="00161CBD" w:rsidRPr="004E5111" w:rsidRDefault="00161CBD" w:rsidP="00161CBD">
      <w:pPr>
        <w:pStyle w:val="Default"/>
        <w:ind w:firstLine="426"/>
      </w:pPr>
      <w:r w:rsidRPr="004E5111">
        <w:t xml:space="preserve">2. </w:t>
      </w:r>
      <w:r w:rsidRPr="004E5111">
        <w:rPr>
          <w:b/>
        </w:rPr>
        <w:t>Názov návrhu zákona</w:t>
      </w:r>
      <w:r w:rsidRPr="004E5111">
        <w:t>:</w:t>
      </w:r>
    </w:p>
    <w:p w:rsidR="00161CBD" w:rsidRPr="004E5111" w:rsidRDefault="00161CBD" w:rsidP="00161CBD">
      <w:pPr>
        <w:pStyle w:val="Default"/>
        <w:ind w:firstLine="426"/>
      </w:pPr>
    </w:p>
    <w:p w:rsidR="00161CBD" w:rsidRPr="004E5111" w:rsidRDefault="00161CBD" w:rsidP="00161CBD">
      <w:pPr>
        <w:pStyle w:val="Default"/>
        <w:ind w:left="426"/>
      </w:pPr>
      <w:r w:rsidRPr="004E5111">
        <w:t>Návrh zákona, ktorým sa mení a dopĺňa zákon č. 213/1997 Z. z. o neziskových organizáciách poskytujúcich všeobecne prospešné služby v znení neskorších predpisov</w:t>
      </w:r>
    </w:p>
    <w:p w:rsidR="00161CBD" w:rsidRPr="004E5111" w:rsidRDefault="00161CBD" w:rsidP="00161CBD">
      <w:pPr>
        <w:pStyle w:val="Default"/>
        <w:ind w:firstLine="426"/>
      </w:pPr>
    </w:p>
    <w:p w:rsidR="00161CBD" w:rsidRPr="004E5111" w:rsidRDefault="00161CBD" w:rsidP="00161CBD">
      <w:pPr>
        <w:pStyle w:val="Default"/>
        <w:ind w:firstLine="426"/>
      </w:pPr>
      <w:r w:rsidRPr="004E5111">
        <w:t xml:space="preserve">3. </w:t>
      </w:r>
      <w:r w:rsidRPr="004E5111">
        <w:rPr>
          <w:b/>
          <w:bCs/>
        </w:rPr>
        <w:t>Predmet návrhu zákona je – nie je upravený v práve Európskej únie</w:t>
      </w:r>
      <w:r w:rsidRPr="004E5111">
        <w:t xml:space="preserve">: </w:t>
      </w:r>
    </w:p>
    <w:p w:rsidR="00161CBD" w:rsidRPr="004E5111" w:rsidRDefault="00161CBD" w:rsidP="00161CBD">
      <w:pPr>
        <w:pStyle w:val="Default"/>
        <w:ind w:firstLine="426"/>
      </w:pPr>
    </w:p>
    <w:p w:rsidR="00161CBD" w:rsidRPr="004E5111" w:rsidRDefault="00161CBD" w:rsidP="00161CBD">
      <w:pPr>
        <w:pStyle w:val="Default"/>
        <w:ind w:firstLine="426"/>
      </w:pPr>
      <w:r w:rsidRPr="004E5111">
        <w:t>V práve Európskej únie nie je problematika návrhu zákona upravená.</w:t>
      </w:r>
    </w:p>
    <w:p w:rsidR="00161CBD" w:rsidRPr="004E5111" w:rsidRDefault="00161CBD" w:rsidP="00161CBD">
      <w:pPr>
        <w:pStyle w:val="Default"/>
        <w:ind w:left="567" w:firstLine="426"/>
        <w:jc w:val="both"/>
      </w:pPr>
    </w:p>
    <w:p w:rsidR="00161CBD" w:rsidRPr="004E5111" w:rsidRDefault="00161CBD" w:rsidP="00161CBD">
      <w:pPr>
        <w:pStyle w:val="Default"/>
        <w:ind w:firstLine="426"/>
      </w:pPr>
      <w:r w:rsidRPr="004E5111">
        <w:t xml:space="preserve">4. </w:t>
      </w:r>
      <w:r w:rsidRPr="004E5111">
        <w:rPr>
          <w:b/>
          <w:bCs/>
        </w:rPr>
        <w:t>Záväzky Slovenskej republiky vo vzťahu k Európskej únii</w:t>
      </w:r>
      <w:r w:rsidRPr="004E5111">
        <w:t xml:space="preserve">: </w:t>
      </w:r>
    </w:p>
    <w:p w:rsidR="00161CBD" w:rsidRPr="004E5111" w:rsidRDefault="00161CBD" w:rsidP="00161CBD">
      <w:pPr>
        <w:pStyle w:val="Default"/>
        <w:ind w:firstLine="426"/>
      </w:pPr>
    </w:p>
    <w:p w:rsidR="00161CBD" w:rsidRPr="004E5111" w:rsidRDefault="00161CBD" w:rsidP="00161CBD">
      <w:pPr>
        <w:pStyle w:val="Default"/>
        <w:ind w:firstLine="426"/>
      </w:pPr>
      <w:r w:rsidRPr="004E5111">
        <w:t xml:space="preserve"> Nie sú predkladaným návrhom dotknuté.</w:t>
      </w:r>
    </w:p>
    <w:p w:rsidR="00161CBD" w:rsidRPr="004E5111" w:rsidRDefault="00161CBD" w:rsidP="00161CBD">
      <w:pPr>
        <w:pStyle w:val="Default"/>
        <w:ind w:left="567" w:firstLine="426"/>
        <w:jc w:val="both"/>
      </w:pPr>
    </w:p>
    <w:p w:rsidR="00161CBD" w:rsidRPr="004E5111" w:rsidRDefault="00161CBD" w:rsidP="00161CBD">
      <w:pPr>
        <w:pStyle w:val="Default"/>
        <w:ind w:firstLine="426"/>
      </w:pPr>
      <w:r w:rsidRPr="004E5111">
        <w:t xml:space="preserve">5. </w:t>
      </w:r>
      <w:r w:rsidRPr="004E5111">
        <w:rPr>
          <w:b/>
          <w:bCs/>
        </w:rPr>
        <w:t>Návrh zákona je zlučiteľný s právom Európskej únie</w:t>
      </w:r>
      <w:r w:rsidRPr="004E5111">
        <w:t>:</w:t>
      </w:r>
    </w:p>
    <w:p w:rsidR="00161CBD" w:rsidRPr="004E5111" w:rsidRDefault="00161CBD" w:rsidP="00161CBD">
      <w:pPr>
        <w:pStyle w:val="Default"/>
        <w:ind w:firstLine="426"/>
        <w:rPr>
          <w:b/>
          <w:bCs/>
        </w:rPr>
      </w:pPr>
    </w:p>
    <w:p w:rsidR="00161CBD" w:rsidRPr="004E5111" w:rsidRDefault="00161CBD" w:rsidP="00161CBD">
      <w:pPr>
        <w:pStyle w:val="Default"/>
        <w:ind w:firstLine="426"/>
      </w:pPr>
      <w:r w:rsidRPr="004E5111">
        <w:t xml:space="preserve"> Stupeň zlučiteľnosti – úplný</w:t>
      </w:r>
    </w:p>
    <w:p w:rsidR="00161CBD" w:rsidRDefault="00161CBD" w:rsidP="00161CBD">
      <w:pPr>
        <w:keepNext/>
        <w:keepLines/>
        <w:spacing w:after="0" w:line="240" w:lineRule="auto"/>
        <w:jc w:val="both"/>
        <w:rPr>
          <w:sz w:val="24"/>
          <w:szCs w:val="24"/>
        </w:rPr>
      </w:pPr>
    </w:p>
    <w:p w:rsidR="00161CBD" w:rsidRDefault="00161CBD" w:rsidP="00161CBD">
      <w:pPr>
        <w:jc w:val="both"/>
        <w:rPr>
          <w:rFonts w:cs="Arial"/>
          <w:sz w:val="24"/>
          <w:szCs w:val="24"/>
        </w:rPr>
      </w:pPr>
    </w:p>
    <w:p w:rsidR="00161CBD" w:rsidRDefault="00161CBD" w:rsidP="00161CBD">
      <w:pPr>
        <w:ind w:left="284"/>
        <w:jc w:val="both"/>
        <w:rPr>
          <w:rFonts w:cs="Arial"/>
          <w:sz w:val="24"/>
          <w:szCs w:val="24"/>
        </w:rPr>
      </w:pPr>
    </w:p>
    <w:p w:rsidR="00161CBD" w:rsidRDefault="00161CBD" w:rsidP="00161CBD">
      <w:pPr>
        <w:rPr>
          <w:sz w:val="16"/>
          <w:szCs w:val="20"/>
        </w:rPr>
      </w:pPr>
    </w:p>
    <w:p w:rsidR="00161CBD" w:rsidRPr="003A2BAE" w:rsidRDefault="00161CBD" w:rsidP="00161CB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61CBD" w:rsidRPr="003A2BAE" w:rsidRDefault="00161CBD" w:rsidP="00161CBD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3A2BAE">
        <w:rPr>
          <w:rFonts w:ascii="Calibri" w:hAnsi="Calibri"/>
        </w:rPr>
        <w:br w:type="page"/>
      </w:r>
    </w:p>
    <w:p w:rsidR="00161CBD" w:rsidRPr="002E11F9" w:rsidRDefault="00161CBD" w:rsidP="00161CBD">
      <w:pPr>
        <w:pStyle w:val="Vchodzie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2E11F9"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  <w:lastRenderedPageBreak/>
        <w:t>Doložka</w:t>
      </w:r>
    </w:p>
    <w:p w:rsidR="00161CBD" w:rsidRPr="002E11F9" w:rsidRDefault="00161CBD" w:rsidP="00161CBD">
      <w:pPr>
        <w:pStyle w:val="Vchodzie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2E11F9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vybraných vplyvov</w:t>
      </w:r>
    </w:p>
    <w:p w:rsidR="00161CBD" w:rsidRPr="002E11F9" w:rsidRDefault="00161CBD" w:rsidP="00161CBD">
      <w:pPr>
        <w:pStyle w:val="Vchodzie"/>
        <w:spacing w:after="0" w:line="200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:rsidR="00161CBD" w:rsidRPr="002E11F9" w:rsidRDefault="00161CBD" w:rsidP="00161CBD">
      <w:pPr>
        <w:jc w:val="both"/>
        <w:rPr>
          <w:rFonts w:ascii="Times New Roman" w:hAnsi="Times New Roman"/>
          <w:sz w:val="24"/>
          <w:szCs w:val="24"/>
        </w:rPr>
      </w:pPr>
      <w:r w:rsidRPr="002E11F9">
        <w:rPr>
          <w:rFonts w:ascii="Times New Roman" w:hAnsi="Times New Roman"/>
          <w:b/>
          <w:color w:val="000000"/>
          <w:sz w:val="24"/>
          <w:szCs w:val="24"/>
        </w:rPr>
        <w:t xml:space="preserve">A.1. Názov materiálu: </w:t>
      </w:r>
      <w:r w:rsidRPr="002E11F9">
        <w:rPr>
          <w:rFonts w:ascii="Times New Roman" w:hAnsi="Times New Roman"/>
          <w:color w:val="000000"/>
          <w:sz w:val="24"/>
          <w:szCs w:val="24"/>
        </w:rPr>
        <w:t>Návrh zákona, ktorým sa mení a dopĺňa zákon č. 213/1997 Z. z. o neziskových organizáciách poskytujúcich všeobecne prospešné služby v znení neskorších predpisov.</w:t>
      </w:r>
    </w:p>
    <w:p w:rsidR="00161CBD" w:rsidRPr="002E11F9" w:rsidRDefault="00161CBD" w:rsidP="00161CBD">
      <w:pPr>
        <w:jc w:val="both"/>
        <w:rPr>
          <w:rFonts w:ascii="Times New Roman" w:hAnsi="Times New Roman"/>
          <w:sz w:val="24"/>
          <w:szCs w:val="24"/>
        </w:rPr>
      </w:pPr>
    </w:p>
    <w:p w:rsidR="00161CBD" w:rsidRPr="002E11F9" w:rsidRDefault="00161CBD" w:rsidP="00161CBD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2E11F9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:rsidR="00161CBD" w:rsidRPr="002E11F9" w:rsidRDefault="00161CBD" w:rsidP="00161CBD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W w:w="909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4"/>
        <w:gridCol w:w="1191"/>
        <w:gridCol w:w="1180"/>
        <w:gridCol w:w="1195"/>
      </w:tblGrid>
      <w:tr w:rsidR="00161CBD" w:rsidRPr="002E11F9" w:rsidTr="00E22A5A">
        <w:tc>
          <w:tcPr>
            <w:tcW w:w="5526" w:type="dxa"/>
            <w:vAlign w:val="center"/>
          </w:tcPr>
          <w:p w:rsidR="00161CBD" w:rsidRPr="002E11F9" w:rsidRDefault="00161CBD" w:rsidP="00E22A5A">
            <w:pPr>
              <w:pStyle w:val="Vchodzie"/>
              <w:spacing w:after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2" w:type="dxa"/>
            <w:vAlign w:val="center"/>
            <w:hideMark/>
          </w:tcPr>
          <w:p w:rsidR="00161CBD" w:rsidRPr="002E11F9" w:rsidRDefault="00161CBD" w:rsidP="00E22A5A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E11F9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Pozitívne</w:t>
            </w:r>
          </w:p>
        </w:tc>
        <w:tc>
          <w:tcPr>
            <w:tcW w:w="1181" w:type="dxa"/>
            <w:vAlign w:val="center"/>
            <w:hideMark/>
          </w:tcPr>
          <w:p w:rsidR="00161CBD" w:rsidRPr="002E11F9" w:rsidRDefault="00161CBD" w:rsidP="00E22A5A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E11F9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Žiadne</w:t>
            </w:r>
          </w:p>
        </w:tc>
        <w:tc>
          <w:tcPr>
            <w:tcW w:w="1196" w:type="dxa"/>
            <w:vAlign w:val="center"/>
            <w:hideMark/>
          </w:tcPr>
          <w:p w:rsidR="00161CBD" w:rsidRPr="002E11F9" w:rsidRDefault="00161CBD" w:rsidP="00E22A5A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E11F9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Negatívne</w:t>
            </w:r>
          </w:p>
        </w:tc>
      </w:tr>
      <w:tr w:rsidR="00161CBD" w:rsidRPr="002E11F9" w:rsidTr="00E22A5A">
        <w:tc>
          <w:tcPr>
            <w:tcW w:w="5526" w:type="dxa"/>
            <w:vAlign w:val="center"/>
            <w:hideMark/>
          </w:tcPr>
          <w:p w:rsidR="00161CBD" w:rsidRPr="002E11F9" w:rsidRDefault="00161CBD" w:rsidP="00E22A5A">
            <w:pPr>
              <w:pStyle w:val="Vchodzie"/>
              <w:spacing w:after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E11F9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192" w:type="dxa"/>
            <w:vAlign w:val="center"/>
          </w:tcPr>
          <w:p w:rsidR="00161CBD" w:rsidRPr="002E11F9" w:rsidRDefault="00161CBD" w:rsidP="00E22A5A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  <w:hideMark/>
          </w:tcPr>
          <w:p w:rsidR="00161CBD" w:rsidRPr="002E11F9" w:rsidRDefault="00161CBD" w:rsidP="00E22A5A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E11F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161CBD" w:rsidRPr="002E11F9" w:rsidRDefault="00161CBD" w:rsidP="00E22A5A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161CBD" w:rsidRPr="002E11F9" w:rsidTr="00E22A5A">
        <w:tc>
          <w:tcPr>
            <w:tcW w:w="5526" w:type="dxa"/>
            <w:vAlign w:val="center"/>
            <w:hideMark/>
          </w:tcPr>
          <w:p w:rsidR="00161CBD" w:rsidRPr="002E11F9" w:rsidRDefault="00161CBD" w:rsidP="00E22A5A">
            <w:pPr>
              <w:pStyle w:val="Vchodzie"/>
              <w:spacing w:after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E11F9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vAlign w:val="center"/>
          </w:tcPr>
          <w:p w:rsidR="00161CBD" w:rsidRPr="002E11F9" w:rsidRDefault="00161CBD" w:rsidP="00E22A5A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  <w:hideMark/>
          </w:tcPr>
          <w:p w:rsidR="00161CBD" w:rsidRPr="002E11F9" w:rsidRDefault="00161CBD" w:rsidP="00E22A5A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E11F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161CBD" w:rsidRPr="002E11F9" w:rsidRDefault="00161CBD" w:rsidP="00E22A5A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161CBD" w:rsidRPr="002E11F9" w:rsidTr="00E22A5A">
        <w:tc>
          <w:tcPr>
            <w:tcW w:w="5526" w:type="dxa"/>
            <w:vAlign w:val="center"/>
            <w:hideMark/>
          </w:tcPr>
          <w:p w:rsidR="00161CBD" w:rsidRPr="002E11F9" w:rsidRDefault="00161CBD" w:rsidP="00E22A5A">
            <w:pPr>
              <w:pStyle w:val="Vchodzie"/>
              <w:spacing w:after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E11F9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192" w:type="dxa"/>
            <w:vAlign w:val="center"/>
          </w:tcPr>
          <w:p w:rsidR="00161CBD" w:rsidRPr="002E11F9" w:rsidRDefault="00161CBD" w:rsidP="00E22A5A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  <w:hideMark/>
          </w:tcPr>
          <w:p w:rsidR="00161CBD" w:rsidRPr="002E11F9" w:rsidRDefault="00161CBD" w:rsidP="00E22A5A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E11F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161CBD" w:rsidRPr="002E11F9" w:rsidRDefault="00161CBD" w:rsidP="00E22A5A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161CBD" w:rsidRPr="002E11F9" w:rsidTr="00E22A5A">
        <w:tc>
          <w:tcPr>
            <w:tcW w:w="5526" w:type="dxa"/>
            <w:vAlign w:val="center"/>
            <w:hideMark/>
          </w:tcPr>
          <w:p w:rsidR="00161CBD" w:rsidRPr="002E11F9" w:rsidRDefault="00161CBD" w:rsidP="00E22A5A">
            <w:pPr>
              <w:pStyle w:val="Vchodzie"/>
              <w:spacing w:after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E11F9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1192" w:type="dxa"/>
            <w:vAlign w:val="center"/>
          </w:tcPr>
          <w:p w:rsidR="00161CBD" w:rsidRPr="002E11F9" w:rsidRDefault="00161CBD" w:rsidP="00E22A5A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  <w:hideMark/>
          </w:tcPr>
          <w:p w:rsidR="00161CBD" w:rsidRPr="002E11F9" w:rsidRDefault="00161CBD" w:rsidP="00E22A5A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E11F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161CBD" w:rsidRPr="002E11F9" w:rsidRDefault="00161CBD" w:rsidP="00E22A5A">
            <w:pPr>
              <w:pStyle w:val="Vchodzie"/>
              <w:spacing w:after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161CBD" w:rsidRPr="002E11F9" w:rsidTr="00E22A5A">
        <w:tc>
          <w:tcPr>
            <w:tcW w:w="5526" w:type="dxa"/>
            <w:vAlign w:val="center"/>
            <w:hideMark/>
          </w:tcPr>
          <w:p w:rsidR="00161CBD" w:rsidRPr="002E11F9" w:rsidRDefault="00161CBD" w:rsidP="00E22A5A">
            <w:pPr>
              <w:pStyle w:val="Vchodzie"/>
              <w:spacing w:after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E11F9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192" w:type="dxa"/>
            <w:vAlign w:val="center"/>
          </w:tcPr>
          <w:p w:rsidR="00161CBD" w:rsidRPr="002E11F9" w:rsidRDefault="00161CBD" w:rsidP="00E22A5A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  <w:hideMark/>
          </w:tcPr>
          <w:p w:rsidR="00161CBD" w:rsidRPr="002E11F9" w:rsidRDefault="00161CBD" w:rsidP="00E22A5A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E11F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161CBD" w:rsidRPr="002E11F9" w:rsidRDefault="00161CBD" w:rsidP="00E22A5A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161CBD" w:rsidRPr="002E11F9" w:rsidTr="00E22A5A">
        <w:tc>
          <w:tcPr>
            <w:tcW w:w="5526" w:type="dxa"/>
            <w:vAlign w:val="center"/>
            <w:hideMark/>
          </w:tcPr>
          <w:p w:rsidR="00161CBD" w:rsidRPr="002E11F9" w:rsidRDefault="00161CBD" w:rsidP="00E22A5A">
            <w:pPr>
              <w:pStyle w:val="Vchodzie"/>
              <w:spacing w:after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E11F9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192" w:type="dxa"/>
            <w:vAlign w:val="center"/>
          </w:tcPr>
          <w:p w:rsidR="00161CBD" w:rsidRPr="002E11F9" w:rsidRDefault="00161CBD" w:rsidP="00E22A5A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  <w:hideMark/>
          </w:tcPr>
          <w:p w:rsidR="00161CBD" w:rsidRPr="002E11F9" w:rsidRDefault="00161CBD" w:rsidP="00E22A5A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E11F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161CBD" w:rsidRPr="002E11F9" w:rsidRDefault="00161CBD" w:rsidP="00E22A5A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161CBD" w:rsidRPr="002E11F9" w:rsidTr="00E22A5A">
        <w:tc>
          <w:tcPr>
            <w:tcW w:w="5526" w:type="dxa"/>
            <w:vAlign w:val="center"/>
            <w:hideMark/>
          </w:tcPr>
          <w:p w:rsidR="00161CBD" w:rsidRPr="002E11F9" w:rsidRDefault="00161CBD" w:rsidP="00E22A5A">
            <w:pPr>
              <w:pStyle w:val="Vchodzie"/>
              <w:spacing w:after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E11F9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192" w:type="dxa"/>
            <w:vAlign w:val="center"/>
          </w:tcPr>
          <w:p w:rsidR="00161CBD" w:rsidRPr="002E11F9" w:rsidRDefault="00161CBD" w:rsidP="00E22A5A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  <w:hideMark/>
          </w:tcPr>
          <w:p w:rsidR="00161CBD" w:rsidRPr="002E11F9" w:rsidRDefault="00161CBD" w:rsidP="00E22A5A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E11F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161CBD" w:rsidRPr="002E11F9" w:rsidRDefault="00161CBD" w:rsidP="00E22A5A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161CBD" w:rsidRPr="002E11F9" w:rsidTr="00E22A5A">
        <w:tc>
          <w:tcPr>
            <w:tcW w:w="5526" w:type="dxa"/>
            <w:vAlign w:val="center"/>
            <w:hideMark/>
          </w:tcPr>
          <w:p w:rsidR="00161CBD" w:rsidRPr="002E11F9" w:rsidRDefault="00161CBD" w:rsidP="00E22A5A">
            <w:pPr>
              <w:pStyle w:val="Vchodzie"/>
              <w:spacing w:after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E11F9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192" w:type="dxa"/>
            <w:vAlign w:val="center"/>
          </w:tcPr>
          <w:p w:rsidR="00161CBD" w:rsidRPr="002E11F9" w:rsidRDefault="00161CBD" w:rsidP="00E22A5A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  <w:hideMark/>
          </w:tcPr>
          <w:p w:rsidR="00161CBD" w:rsidRPr="002E11F9" w:rsidRDefault="00161CBD" w:rsidP="00E22A5A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E11F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161CBD" w:rsidRPr="002E11F9" w:rsidRDefault="00161CBD" w:rsidP="00E22A5A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</w:tbl>
    <w:p w:rsidR="00161CBD" w:rsidRPr="002E11F9" w:rsidRDefault="00161CBD" w:rsidP="00161CBD">
      <w:pPr>
        <w:pStyle w:val="Vchodzie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61CBD" w:rsidRPr="002E11F9" w:rsidRDefault="00161CBD" w:rsidP="00161CBD">
      <w:pPr>
        <w:pStyle w:val="Vchodzie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2E11F9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A.3. Poznámky</w:t>
      </w:r>
    </w:p>
    <w:p w:rsidR="00161CBD" w:rsidRPr="002E11F9" w:rsidRDefault="00161CBD" w:rsidP="00161CBD">
      <w:pPr>
        <w:pStyle w:val="Vchodzie"/>
        <w:spacing w:after="0"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2E11F9">
        <w:rPr>
          <w:rFonts w:ascii="Times New Roman" w:hAnsi="Times New Roman" w:cs="Times New Roman"/>
          <w:color w:val="000000"/>
          <w:sz w:val="24"/>
          <w:szCs w:val="24"/>
          <w:lang w:val="sk-SK"/>
        </w:rPr>
        <w:t>Predkladaný návrh novely zákona bude mať dopad len na proces menovania a odvolávania niektorých členov orgánov neziskových organizácií, preto nemožno predpokladať jeho vplyv na rozpočet verejnej správy, podnikateľské prostredie, životné prostredie, informatizáciu a rovnako tak ani jeho sociálny vplyv.</w:t>
      </w:r>
    </w:p>
    <w:p w:rsidR="00161CBD" w:rsidRPr="002E11F9" w:rsidRDefault="00161CBD" w:rsidP="00161CBD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p w:rsidR="00161CBD" w:rsidRPr="002E11F9" w:rsidRDefault="00161CBD" w:rsidP="00161CBD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2E11F9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A.4. Alternatívne riešenia</w:t>
      </w:r>
    </w:p>
    <w:p w:rsidR="00161CBD" w:rsidRPr="002E11F9" w:rsidRDefault="00161CBD" w:rsidP="00161CBD">
      <w:pPr>
        <w:pStyle w:val="Vchodzie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61CBD" w:rsidRPr="002E11F9" w:rsidRDefault="00161CBD" w:rsidP="00161CBD">
      <w:pPr>
        <w:pStyle w:val="Vchodzie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2E11F9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Bezpredmetné  </w:t>
      </w:r>
    </w:p>
    <w:p w:rsidR="00161CBD" w:rsidRPr="002E11F9" w:rsidRDefault="00161CBD" w:rsidP="00161CBD">
      <w:pPr>
        <w:pStyle w:val="Normlnywebov"/>
        <w:spacing w:before="100" w:beforeAutospacing="1" w:after="100" w:afterAutospacing="1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E11F9">
        <w:rPr>
          <w:rFonts w:ascii="Times New Roman" w:hAnsi="Times New Roman" w:cs="Times New Roman"/>
          <w:b/>
          <w:sz w:val="24"/>
          <w:szCs w:val="24"/>
        </w:rPr>
        <w:t xml:space="preserve">A.5. </w:t>
      </w:r>
      <w:r w:rsidRPr="002E11F9">
        <w:rPr>
          <w:rFonts w:ascii="Times New Roman" w:hAnsi="Times New Roman" w:cs="Times New Roman"/>
          <w:b/>
          <w:sz w:val="24"/>
          <w:szCs w:val="24"/>
        </w:rPr>
        <w:tab/>
        <w:t>Stanovisko gestorov</w:t>
      </w:r>
    </w:p>
    <w:p w:rsidR="00161CBD" w:rsidRPr="002E11F9" w:rsidRDefault="00161CBD" w:rsidP="00161CBD">
      <w:pPr>
        <w:pStyle w:val="Vchodzie"/>
        <w:spacing w:after="0"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2E11F9">
        <w:rPr>
          <w:rFonts w:ascii="Times New Roman" w:hAnsi="Times New Roman" w:cs="Times New Roman"/>
          <w:color w:val="000000"/>
          <w:sz w:val="24"/>
          <w:szCs w:val="24"/>
          <w:lang w:val="sk-SK"/>
        </w:rPr>
        <w:t>Bezpredmetné</w:t>
      </w:r>
    </w:p>
    <w:p w:rsidR="00042CAE" w:rsidRDefault="00042CAE"/>
    <w:sectPr w:rsidR="00042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61CBD"/>
    <w:rsid w:val="00042CAE"/>
    <w:rsid w:val="00161CBD"/>
    <w:rsid w:val="002061FD"/>
    <w:rsid w:val="002E11F9"/>
    <w:rsid w:val="003A2BAE"/>
    <w:rsid w:val="004E5111"/>
    <w:rsid w:val="00A74121"/>
    <w:rsid w:val="00E2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DD6CDAF-7E1E-49AF-ACDE-6BFF5832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61CBD"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61C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aliases w:val="webb"/>
    <w:basedOn w:val="Normlny"/>
    <w:uiPriority w:val="99"/>
    <w:semiHidden/>
    <w:unhideWhenUsed/>
    <w:rsid w:val="00161CBD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sz w:val="20"/>
      <w:szCs w:val="20"/>
      <w:lang w:eastAsia="sk-SK"/>
    </w:rPr>
  </w:style>
  <w:style w:type="paragraph" w:customStyle="1" w:styleId="Vchodzie">
    <w:name w:val="Vchodzie"/>
    <w:uiPriority w:val="99"/>
    <w:rsid w:val="00161CBD"/>
    <w:pPr>
      <w:widowControl w:val="0"/>
      <w:autoSpaceDN w:val="0"/>
      <w:adjustRightInd w:val="0"/>
      <w:spacing w:after="200" w:line="276" w:lineRule="auto"/>
    </w:pPr>
    <w:rPr>
      <w:rFonts w:ascii="Calibri" w:eastAsiaTheme="minorEastAsia" w:hAnsi="Calibri" w:cs="Calibri"/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Matejovič</dc:creator>
  <cp:keywords/>
  <dc:description/>
  <cp:lastModifiedBy>Martin Matejovič</cp:lastModifiedBy>
  <cp:revision>2</cp:revision>
  <dcterms:created xsi:type="dcterms:W3CDTF">2019-01-11T09:24:00Z</dcterms:created>
  <dcterms:modified xsi:type="dcterms:W3CDTF">2019-01-11T09:24:00Z</dcterms:modified>
</cp:coreProperties>
</file>