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Národná rada Slovenskej republiky</w:t>
      </w:r>
      <w:r/>
    </w:p>
    <w:p>
      <w:pPr>
        <w:pStyle w:val="Normal"/>
        <w:widowControl w:val="false"/>
        <w:pBdr>
          <w:bottom w:val="single" w:sz="12" w:space="1" w:color="00000A"/>
        </w:pBdr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VII. volebné obdobie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textAlignment w:val="baseline"/>
        <w:rPr>
          <w:sz w:val="24"/>
          <w:i/>
          <w:sz w:val="24"/>
          <w:i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i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Návrh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Zákon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 ......... 201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9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,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tabs>
          <w:tab w:val="left" w:pos="7215" w:leader="none"/>
          <w:tab w:val="left" w:pos="8902" w:leader="dot"/>
        </w:tabs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 xml:space="preserve">ktorým sa dopĺňa zákon Národnej rady Slovenskej republiky č. 245/2008 Z. z. o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výchove a vzdelávaní (školský zákon)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lang w:val="sk-SK"/>
        </w:rPr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Národná rada Slovenskej republiky sa uzniesla na tomto zákone: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Zákon Národnej rady Slovenskej republiky č. 245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/2008 Z. z.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o výchove a vzdelávaní (školský zákon) 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>v znení zákona Národnej rady Slovenskej republiky č. 462/2008 Z. z., zákona Národnej rady Slovenskej republiky č. 37/2009 Z. z., zákona Národnej rady Slovenskej republiky č. 184/2009 Z. z., zákona Národnej rady Slovenskej republiky č. 37/2011 Z. z., zákona Národnej rady Slovenskej republiky č. 390/2011 Z. z., zákona Národnej rady Slovenskej republiky č. 390/2011 Z. z., zákona Národnej rady Slovenskej republiky č. 324/2012 Z. z., zákona Národnej rady Slovenskej republiky č. 324/2012 Z. z., zákona Národnej rady Slovenskej republiky č. 324/2012 Z. z., zákona Národnej rady Slovenskej republiky č. 125/2013 Z. z., zákona Národnej rady Slovenskej republiky č. 464/2013 Z. z., zákona Národnej rady Slovenskej republiky č. 464/2013 Z. z., zákona Národnej rady Slovenskej republiky č. 464/2013 Z. z., zákona Národnej rady Slovenskej republiky č. 464/2013 Z. z., zákona Národnej rady Slovenskej republiky č. 307/2014 Z. z., zákona Národnej rady Slovenskej republiky č. 377/2014 Z. z., zákona Národnej rady Slovenskej republiky č. 61/2015 Z. z., zákona Národnej rady Slovenskej republiky č. 61/2015 Z. z., zákona Národnej rady Slovenskej republiky č. 188/2015 Z. z.,  zákona Národnej rady Slovenskej republiky č. 188/2015 Z. z.,  zákona Národnej rady Slovenskej republiky č. 188/2015 Z. z.,  zákona Národnej rady Slovenskej republiky č. 188/2015 Z. z.,  zákona Národnej rady Slovenskej republiky č. 125/2016 Z. z., zákona Národnej rady Slovenskej republiky č. 216/2016 Z. z., zákona Národnej rady Slovenskej republiky č. 56/2017 Z. z., zákona Národnej rady Slovenskej republiky č. 178/2017 Z. z., zákona Národnej rady Slovenskej republiky č. 182/2017 Z. z., zákona Národnej rady Slovenskej republiky č. 182/2017 Z. z., zákona Národnej rady Slovenskej republiky č. 182/2017 Z. z., zákona Národnej rady Slovenskej republiky č. 62/2018 Z. z., zákona Národnej rady Slovenskej republiky č. 62/2018 Z. z., zákona Národnej rady Slovenskej republiky č. 209/2018 Z. z., zákona Národnej rady Slovenskej republiky č. 210/2018 Z. z. sa dopĺňa takto: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 w:val="false"/>
          <w:sz w:val="24"/>
          <w:b w:val="false"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1. § 13 vrátane nadpisu znie: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13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Učebnice, učebné texty a pracovné zošity</w:t>
      </w:r>
      <w:r/>
    </w:p>
    <w:p>
      <w:pPr>
        <w:pStyle w:val="ListParagraph"/>
        <w:widowControl/>
        <w:ind w:left="708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(1) Na vzdelávanie na školách podľa tohto zákona sa používajú: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učebnice, učebné texty a pracovné zošity obsahujúce schvaľovaciu doložku pre naplnenie štátneho vzdelávacieho programu,</w:t>
      </w:r>
      <w:r>
        <w:rPr>
          <w:rFonts w:cs="Times New Roman" w:ascii="Times New Roman" w:hAnsi="Times New Roman"/>
          <w:sz w:val="24"/>
          <w:szCs w:val="24"/>
          <w:vertAlign w:val="superscript"/>
          <w:lang w:val="sk-SK" w:eastAsia="sk-SK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 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iné učebnice, učebné texty a pracovné zošity, ktoré sú v súlade s cieľmi a princípmi tohto zákona a svojím obsahom a štruktúrou zodpovedajú pedagogickým a didaktickým zásadám vzdelávania pre naplnenie školského vzdelávacieho programu,  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učebnice, učebné texty a pracovné zošity vydávané v jazyku národnostných menšín a etnických skupín v súlade s § 12 ods. 3 tohto zákona obsahujúce schvaľovaciu doložku pre naplnenie štátneho vzdelávacieho programu, kde geografické názvy,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ktoré sú vžité a zaužívané v jazyku národnostnej menšiny, sa uvádzajú dvojjazyčne, a to najprv v jazyku príslušnej národnostnej menšiny a následne v zátvorke alebo za lomkou v štátnom jazyku, a to spôsobom, ktorý bol používaný v učebniciach schválených v rokoch 2002 až 2006, kartografické diela sa uvádzajú v štátnom jazyku, na konci učebnice sa uvedie súhrnný prehľad geografických názvov vo forme slovníka v jazyku národnostnej menšiny a v štátnom jazyku,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učebnice, učebné texty, pracovné zošity a špeciálne učebné pomôcky v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sk-SK" w:eastAsia="sk-SK" w:bidi="ar-SA"/>
        </w:rPr>
        <w:t xml:space="preserve"> prepise do Braillovho písma, s implementáciou posunkovej reči nepočujúcich alebo v inej vhodnej forme pre žiakov so zdravotným znevýhodnením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obsahujúce schvaľovaciu doložku,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učebnice, učebné texty a pracovné zošity svojím obsahom a štruktúrou zodpovedajúce pedagogickým a didaktickým zásadám vzdelávania na vyučovanie predmetu náboženská výchova schválené štátom uznanou cirkvou alebo náboženskou spoločnosťou.</w:t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72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(2) Učebnice, učebné texty, pracovné zošity podľa písmena a), c), d) a špeciálne učebné  pomôcky podľa písmena d) musia obsahovať schvaľovaciu doložku, ktorou Ministerstvo školstva, vedy, výskumu a športu SR a pre špeciálne zdravotnícke odbory Ministerstvo zdravotníctva SR (ďalej len „ministerstvo“)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potvrdzuje súlad učebnice, učebného textu alebo pracovného zošita  s princípmi a cieľmi výchovy a vzdelávania podľa tohto zákona a so štátnym vzdelávacím programom. Schvaľovacia doložka dáva oprávnenie vydavateľovi (ďalej len „predkladateľ“) uviesť učebnicu na trh. Predkladateľ je zároveň zodpovedný i za distribúciu učebníc, učebných textov a pracovných zošitov.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(3)</w:t>
        <w:tab/>
        <w:t xml:space="preserve">Predkladateľ k žiadosti o schvaľovaciu doložku doloží učebnicu, učebný text alebo pracovný zošit v elektronickej forme s presnou špecifikáciou printového variantu a dva recenzné posudky recenzentov vedených v registri recenzentov, ako aj výsledky overovania učebnice v podobe záverečnej správy overovateľov. 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(4) Všetky náklady spojené s konaním o schvaľovaciu doložku nesie predkladateľ, okrem prípadu, kedy by ministerstvo žiadalo ďalší posudok recenzenta, či iné úkony s tým spojené. Pokiaľ sa po udelení schvaľovacej doložky dodatočne zistí, že učebnica obsahuje vecnú alebo formálnu chybu je predkladateľ povinný na vlastné náklady chybu odstrániť. Rovnako pokiaľ došlo k zmenám geografických názvov, či iným vecným zmenám je predkladateľ povinný tieto bezodkladne v učebnici opraviť. V prípade, že predkladateľ dostatočne a včas neodstráni vecné, či formálne chyby v učebnici, učebnom texte alebo pracovnom zošite, t. j. do 90 dní, keď sa predkladateľ o zmene, či chybe preukázateľne dozvedel, je ministerstvo písomne upozorní predkladateľa na nesplnenie si uvedenej povinnosti. Ak predkladateľ do 90 dní od písomného upozornenia neurobí požadované zmeny, tak ministerstvo schvaľovaciu doložku rozhodnutím zruší.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(5) Schvaľovaciu doložku vydáva ministerstvo do 21 dní od rozhodnutia schvaľovacej komisie na dobu neurčitú; pokiaľ predkladateľ má námietky voči rozhodnutiu ministerstva môže podať rozklad, kde o ňom rozhodne rozkladová komisia.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(6) Schvaľovacia komisia je menovaná ministrom, je zložená z 11 členov, z toho 4 stálych členov - generálny riaditeľ sekcie regionálneho školstva – predseda komisie, zodpovedný referent pre edičnú činnosť – podpredseda komisie a dvoch tajomníkov, zástupcu  Štátneho pedagogického ústavu (ŠPÚ), zástupcu Štátneho inštitútu odborného vzdelávania (ŠIOV) a piatich zástupcov odbornej verejnosti z radov vedeckých a pedagogických pracovníkov z praxe. Z členstva v schvaľovacej komisii sú vylúčení autori a recenzenti predkladaných učebníc, učebných textov a pracovných zošitov, ako aj  autori a recenzenti učebníc, učebných textov a pracovných zošitov pre daný predmet a  ročník školy. Ministerstvo oznámi na svojom portáli vždy najneskôr 14 dní pred zasadnutím komisie termín zasadnutia, jeho program ako aj zloženie schvaľovacej  komisie. Schvaľovacia komisia sa schádza minimálne raz mesačne.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(7) Ministerstvo je povinné viesť na svojom portáli aktualizovaný register akreditovaných recenzentov, ako aj zoznam učebníc, učebných textov a pracovných zošitov, ktorým udelilo schvaľovaciu doložku s kontaktom na predkladateľa.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 xml:space="preserve">(8) Ministerstvo je povinné vždy na začiatku kalendárneho roka, najneskôr do 31. januára, zverejniť normatív na učebnice, učebné texty a pracovné zošity na žiaka, ktoré poskytne všetkým školám zaradeným do siete škôl a školských zariadení so špecifikáciou pre vzdelávacie stupne, prípadne osobitnou špecifikáciou, a finančné prostriedky poukázať školám  najneskôr do 30. apríla daného kalendárneho roka. 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(9) Školy zaradené do siete škôl a školských zariadení sú povinné zriadiť a viesť osobitný finančný účelovo viazaný fond na učebnice, učebné texty a pracovné zošity, prípadne na špecifické učebné pomôcky (ďalej len „učebnicový fond“). Učebnicový fond okrem finančných príspevkov od štátu môže obsahovať finančné prostriedky od donorov, a to fyzických i právnických osôb, poplatky za zničenie alebo stratu zapožičaných učebníc, finančné prostriedky zo zisku z podnikateľskej činnosti. Finančné prostriedky učebnicového fondu môžu byť poskytnuté na úhradu špecifických vzdelávacích pomôcok, učebníc, učebných textov a pracovných zošitov pre detí a žiakov zo sociálne znevýhodneného prostredia alebo so špecifickými potrebami alebo pre naplnenie školského vzdelávacieho programu. Za zriadenie fondu a jeho riadne vedenie zodpovedá riaditeľ školy.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2. § 161gd vrátane nadpisu znie: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161gd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Prechodné ustanovenia k úpravám účinným od 1. januára 2020</w:t>
      </w:r>
      <w:r/>
    </w:p>
    <w:p>
      <w:pPr>
        <w:pStyle w:val="ListParagraph"/>
        <w:widowControl/>
        <w:ind w:left="708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(1) Ministerstvo bude učebnice, učebné texty a pracovné zošity distribuovať do konca kalendárneho roku 2019 obvyklým spôsobom pokiaľ sa jedná o dobiehajúce učebnice, učebné texty a pracovné zošity so schvaľovacími i odporúčacími doložkami, od 1. januára 2020 ich budú distribuovať už samotní predkladatelia. Učebnice, učebné texty a pracovné zošity so schvaľovacími doložkami udelenými od 1. apríla 2019 budú však distribuovať samotní predkladatelia, kontakt na ktorých spolu so zoznamom učebníc, učebných textov a pracovných zošitov je povinné ministerstvo na svojom webovom sídle zverejniť.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(2)  Nové rozpočtové pravidlá podľa §13 ods. 8 nadobúdajú platnosť dňom 1. januára 2020.“.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Normal"/>
        <w:widowControl/>
        <w:ind w:left="1134" w:right="0" w:hanging="425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Zákon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597/2003 Z. z. o financovaní základných škôl, stredných škôl a školských zariadení v znení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523/2004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564/2004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689/2006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245/2008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245/2008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462/2008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179/2009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č.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179/2009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184/2009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>Národnej rady Slovenskej republiky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 č. 38/2011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390/2011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325/2012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325/2012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345/2012 Z. z., 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81/2013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464/2013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307/2014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377/2014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61/2015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188/2015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188/2015 Z. z.,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zákona Národnej rady Slovenskej republiky č. 125/2016 Z. z., zákona Národnej rady Slovenskej republiky č. 182/2017 Z. z., zákona Národnej rady Slovenskej republiky č. 182/2017 Z. z., zákona Národnej rady Slovenskej republiky č. 182/2017 Z. z., zákona Národnej rady Slovenskej republiky č. 209/2018 Z. z., zákona Národnej rady Slovenskej republiky č. 367/2018 Z. z.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>sa mení a dopĺňa takto:</w:t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Calibri Light" w:cs="Liberation Serif"/>
          <w:color w:val="000000"/>
          <w:lang w:val="sk-SK" w:eastAsia="sk-SK" w:bidi="hi-IN"/>
        </w:rPr>
      </w:pPr>
      <w:r>
        <w:rPr>
          <w:rFonts w:eastAsia="Calibri Light" w:cs="Liberation Serif"/>
          <w:color w:val="000000"/>
          <w:sz w:val="24"/>
          <w:szCs w:val="24"/>
          <w:lang w:val="sk-SK" w:eastAsia="sk-SK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1. 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V § 3 ods. 2 písmeno c) znie:</w:t>
      </w:r>
      <w:r/>
    </w:p>
    <w:p>
      <w:pPr>
        <w:pStyle w:val="ListParagraph"/>
        <w:widowControl/>
        <w:bidi w:val="0"/>
        <w:spacing w:lineRule="auto" w:line="276" w:before="0" w:after="200"/>
        <w:ind w:left="397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c) na úhradu učebníc, učebných textov a pracovných zošitov, prípadne špecifických učebných pomôcok so schvaľovacou doložkou,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 podľa plánu zabezpečenia učebníc zostaveného Ministerstvom školstva, vedy, výskumu a športu Slovenskej republiky (ďalej len „ministerstvo“) a na tvorbu a vydávanie metodických pomôcok,“.</w:t>
      </w:r>
      <w:r/>
    </w:p>
    <w:p>
      <w:pPr>
        <w:pStyle w:val="ListParagraph"/>
        <w:widowControl/>
        <w:ind w:left="284" w:right="0" w:hanging="0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ind w:left="0" w:right="0" w:hanging="0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Poznámka pod čiarou k odkazu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  <w:lang w:val="sk-SK" w:eastAsia="sk-SK" w:bidi="ar-SA"/>
        </w:rPr>
        <w:t>20a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 znie: </w:t>
      </w:r>
      <w:r/>
    </w:p>
    <w:p>
      <w:pPr>
        <w:pStyle w:val="ListParagraph"/>
        <w:widowControl/>
        <w:ind w:left="284" w:right="0" w:hanging="0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sz w:val="24"/>
          <w:szCs w:val="24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) § 13 zákona č. 245/2008 Z. z. v znení zákona č. .../2019 Z. z.“.</w:t>
      </w:r>
      <w:r/>
    </w:p>
    <w:p>
      <w:pPr>
        <w:pStyle w:val="ListParagraph"/>
        <w:widowControl/>
        <w:ind w:left="284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Poznámka pod čiarou k odkazu 20b) sa vypúšťa.</w:t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2.  V § 4 ods. 6 sa za poslednou bodkou vkladá nová veta, ktorá znie:</w:t>
      </w:r>
      <w:r/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283" w:right="0" w:hanging="283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„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Osobitnou položkou tohto normatívu je normatív na učebnice, učebné texty a pracovné zošity, ktoré ministerstvo poskytuje školám zaradeným do siete škôl a školských zariadení.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“.</w:t>
      </w:r>
      <w:r/>
    </w:p>
    <w:p>
      <w:pPr>
        <w:pStyle w:val="ListParagraph"/>
        <w:widowControl/>
        <w:bidi w:val="0"/>
        <w:spacing w:lineRule="auto" w:line="276" w:before="0" w:after="0"/>
        <w:ind w:left="340" w:right="0" w:hanging="34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0"/>
        <w:ind w:left="340" w:right="0" w:hanging="34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3.  § 4ad vrátane nadpisu znie: 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4ad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Príspevok na učebnice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Ministerstvo môže v prípadoch osobitného zreteľa na základe odôvodnenej žiadosti zriaďovateľa poskytnúť osobitný finančný príspevok na učebnice, učebné texty a pracovné zošity, prípadne špecifické učebné pomôcky.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“.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Poznámka pod čiarou k odkazu 22da) sa vypúšťa.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Calibri Light" w:cs="Liberation Serif"/>
          <w:color w:val="000000"/>
          <w:lang w:val="sk-SK" w:eastAsia="sk-SK" w:bidi="hi-IN"/>
        </w:rPr>
      </w:pPr>
      <w:r>
        <w:rPr>
          <w:rFonts w:eastAsia="Calibri Light" w:cs="Liberation Serif"/>
          <w:color w:val="000000"/>
          <w:sz w:val="24"/>
          <w:szCs w:val="24"/>
          <w:lang w:val="sk-SK" w:eastAsia="sk-SK" w:bidi="hi-IN"/>
        </w:rPr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mallCaps w:val="false"/>
          <w:caps w:val="false"/>
          <w:sz w:val="20"/>
          <w:spacing w:val="0"/>
          <w:i w:val="false"/>
          <w:b w:val="false"/>
          <w:sz w:val="20"/>
          <w:i w:val="false"/>
          <w:b w:val="false"/>
          <w:szCs w:val="24"/>
          <w:rFonts w:ascii="Arial;Verdana;Tahoma;sans-serif" w:hAnsi="Arial;Verdana;Tahoma;sans-serif" w:eastAsia="Calibri Light" w:cs="Liberation Serif"/>
          <w:color w:val="505050"/>
          <w:lang w:val="sk-SK" w:eastAsia="sk-SK" w:bidi="hi-IN"/>
        </w:rPr>
      </w:pPr>
      <w:r>
        <w:rPr>
          <w:rFonts w:eastAsia="Calibri Light" w:cs="Liberation Serif" w:ascii="Arial;Verdana;Tahoma;sans-serif" w:hAnsi="Arial;Verdana;Tahoma;sans-serif"/>
          <w:b w:val="false"/>
          <w:i w:val="false"/>
          <w:caps w:val="false"/>
          <w:smallCaps w:val="false"/>
          <w:color w:val="505050"/>
          <w:spacing w:val="0"/>
          <w:sz w:val="20"/>
          <w:szCs w:val="24"/>
          <w:lang w:val="sk-SK" w:eastAsia="sk-SK" w:bidi="hi-IN"/>
        </w:rPr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III</w:t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Zákon Národnej rady Slovenskej republiky č. 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596/2003 Z. z. o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štátnej správe v školstve a školskej samospráve</w:t>
      </w:r>
      <w:r>
        <w:rPr>
          <w:rFonts w:eastAsia="Liberation Serif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 xml:space="preserve">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v znení zákona Národnej rady Slovenskej republiky č. </w:t>
      </w:r>
      <w:hyperlink r:id="rId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365/2004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3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564/2004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5/2005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475/2005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279/2006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689/2006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245/2008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462/2008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0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 republiky č. </w:t>
      </w:r>
      <w:hyperlink r:id="rId11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184/2009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3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214/2009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38/2011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 č. </w:t>
      </w:r>
      <w:hyperlink r:id="rId1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325/2012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345/2012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312/2013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0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1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188/2015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 č. </w:t>
      </w:r>
      <w:hyperlink r:id="rId23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422/2015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91/2016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 č. 177</w:t>
      </w:r>
      <w:hyperlink r:id="rId2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, zákona Národnej rady Slovenskej republiky č. 182</w:t>
      </w:r>
      <w:hyperlink r:id="rId2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       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182</w:t>
      </w:r>
      <w:hyperlink r:id="rId2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54</w:t>
      </w:r>
      <w:hyperlink r:id="rId2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209</w:t>
      </w:r>
      <w:hyperlink r:id="rId2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. sa dopĺňa takto: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k-SK" w:eastAsia="hi-IN" w:bidi="ar-SA"/>
        </w:rPr>
        <w:t xml:space="preserve">1.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V § 5 sa ods. 2 sa za písm. h) ruší bodka a nahrádza čiarkou a dopĺňa písmenami i) a j), ktoré znejú: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„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i) zriadenie a riadne vedenie finančného učebnicového fondu,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15a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)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340" w:right="0" w:hanging="227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j) zabezpečenie a riadne hospodárenie s fondom obsahujúcim učebnice, učebné texty a    pracovné zošity.“.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textAlignment w:val="auto"/>
        <w:rPr>
          <w:sz w:val="24"/>
          <w:shd w:fill="FFFFFF" w:val="clear"/>
          <w:sz w:val="24"/>
          <w:szCs w:val="24"/>
          <w:rFonts w:ascii="Times New Roman" w:hAnsi="Times New Roman" w:eastAsia="Times New Roman" w:cs="Times New Roman"/>
          <w:color w:val="000000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</w:r>
      <w:r/>
    </w:p>
    <w:p>
      <w:pPr>
        <w:pStyle w:val="ListParagraph"/>
        <w:widowControl/>
        <w:ind w:left="708" w:right="0" w:hanging="862"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 xml:space="preserve">Poznámka pod čiarou k odkazu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sk-SK" w:eastAsia="sk-SK" w:bidi="ar-SA"/>
        </w:rPr>
        <w:t>15a)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 xml:space="preserve"> znie:</w:t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„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15a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)  § 13 zákona č. 245/2008 Z. z. v znení zákona č. .../2019 Z. z.“.</w:t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V</w:t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shd w:fill="FFFFFF" w:val="clear"/>
          <w:lang w:val="sk-SK" w:eastAsia="hi-IN" w:bidi="ar-SA"/>
        </w:rPr>
        <w:t>Tento zákon nadobúda účinnosť 1. apríla 2019.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Arial">
    <w:altName w:val="Verdana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paragraph" w:styleId="Nadpis1">
    <w:name w:val="Nadpis 1"/>
    <w:basedOn w:val="Normal"/>
    <w:pPr>
      <w:widowControl w:val="false"/>
      <w:spacing w:lineRule="auto" w:line="276" w:before="0" w:after="200"/>
      <w:ind w:left="138" w:right="0" w:hanging="0"/>
      <w:jc w:val="left"/>
      <w:textAlignment w:val="baseline"/>
    </w:pPr>
    <w:rPr>
      <w:rFonts w:ascii="Times New Roman" w:hAnsi="Times New Roman" w:eastAsia="Liberation Serif"/>
      <w:color w:val="000000"/>
      <w:sz w:val="24"/>
      <w:u w:val="single" w:color="000000"/>
      <w:lang w:val="sk-SK" w:eastAsia="hi-IN"/>
    </w:rPr>
  </w:style>
  <w:style w:type="paragraph" w:styleId="Nadpis3">
    <w:name w:val="Nadpis 3"/>
    <w:basedOn w:val="Nadpis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/>
      <w:color w:val="000000"/>
      <w:sz w:val="28"/>
      <w:lang w:val="sk-SK" w:eastAsia="hi-IN"/>
    </w:rPr>
  </w:style>
  <w:style w:type="character" w:styleId="DefaultParagraphFont">
    <w:name w:val="Default Paragraph Font"/>
    <w:rPr/>
  </w:style>
  <w:style w:type="character" w:styleId="Nadpis1Char">
    <w:name w:val="Nadpis 1 Char"/>
    <w:basedOn w:val="DefaultParagraphFont"/>
    <w:rPr>
      <w:rFonts w:ascii="Calibri Light" w:hAnsi="Calibri Light" w:eastAsia="Calibri Light"/>
      <w:b/>
      <w:color w:val="000000"/>
      <w:sz w:val="29"/>
      <w:lang w:eastAsia="hi-IN"/>
    </w:rPr>
  </w:style>
  <w:style w:type="character" w:styleId="Internetovfdodkaz">
    <w:name w:val="Internetovýfd odkaz"/>
    <w:basedOn w:val="DefaultParagraphFont"/>
    <w:rPr>
      <w:rFonts w:eastAsia="Times New Roman"/>
      <w:color w:val="0000FF"/>
      <w:u w:val="single" w:color="000000"/>
      <w:lang w:eastAsia="zxx"/>
    </w:rPr>
  </w:style>
  <w:style w:type="character" w:styleId="Appleconvertedspace">
    <w:name w:val="apple-converted-space"/>
    <w:basedOn w:val="DefaultParagraphFont"/>
    <w:rPr>
      <w:rFonts w:eastAsia="Times New Roman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eastAsia="Times New Roman"/>
    </w:rPr>
  </w:style>
  <w:style w:type="character" w:styleId="5yl5">
    <w:name w:val="_5yl5"/>
    <w:basedOn w:val="DefaultParagraphFont"/>
    <w:rPr>
      <w:rFonts w:eastAsia="Times New Roman"/>
    </w:rPr>
  </w:style>
  <w:style w:type="character" w:styleId="Premennfd">
    <w:name w:val="Premennýfd"/>
    <w:rPr>
      <w:i/>
    </w:rPr>
  </w:style>
  <w:style w:type="character" w:styleId="TextbublinyChar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Internetovodkaz">
    <w:name w:val="Internetový odkaz"/>
    <w:rPr>
      <w:color w:val="000080"/>
      <w:u w:val="single" w:color="000000"/>
      <w:lang w:val="zxx" w:eastAsia="zxx" w:bidi="zxx"/>
    </w:rPr>
  </w:style>
  <w:style w:type="character" w:styleId="Premenn">
    <w:name w:val="Premenný"/>
    <w:rPr>
      <w:i/>
      <w:iCs/>
    </w:rPr>
  </w:style>
  <w:style w:type="paragraph" w:styleId="Nadpis">
    <w:name w:val="Nadpis"/>
    <w:basedOn w:val="Normal"/>
    <w:next w:val="Telotextu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 w:cs="Mangal"/>
      <w:color w:val="000000"/>
      <w:sz w:val="28"/>
      <w:szCs w:val="28"/>
      <w:lang w:val="sk-SK" w:eastAsia="hi-IN"/>
    </w:rPr>
  </w:style>
  <w:style w:type="paragraph" w:styleId="Telotextu">
    <w:name w:val="Telo textu"/>
    <w:basedOn w:val="Normal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Zoznam">
    <w:name w:val="Zoznam"/>
    <w:basedOn w:val="Telotextu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Popis">
    <w:name w:val="Popis"/>
    <w:basedOn w:val="Normal"/>
    <w:pPr>
      <w:widowControl w:val="false"/>
      <w:suppressLineNumbers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Mangal" w:cs="Mangal"/>
      <w:i/>
      <w:iCs/>
      <w:color w:val="000000"/>
      <w:sz w:val="24"/>
      <w:szCs w:val="24"/>
      <w:lang w:val="sk-SK" w:eastAsia="hi-IN"/>
    </w:rPr>
  </w:style>
  <w:style w:type="paragraph" w:styleId="Index">
    <w:name w:val="Index"/>
    <w:basedOn w:val="Normal"/>
    <w:pPr>
      <w:widowControl w:val="false"/>
      <w:suppressLineNumbers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Caption">
    <w:name w:val="caption"/>
    <w:basedOn w:val="Normal"/>
    <w:pPr>
      <w:widowControl w:val="false"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Liberation Serif"/>
      <w:i/>
      <w:color w:val="000000"/>
      <w:sz w:val="24"/>
      <w:lang w:val="sk-SK" w:eastAsia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Liberation Serif"/>
      <w:color w:val="000000"/>
      <w:sz w:val="22"/>
      <w:lang w:val="sk-SK" w:eastAsia="ar-SA"/>
    </w:rPr>
  </w:style>
  <w:style w:type="paragraph" w:styleId="Obsahtabubeky">
    <w:name w:val="Obsah tabuľbe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beky">
    <w:name w:val="Nadpis tabuľbeky"/>
    <w:basedOn w:val="Obsahtabube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BalloonText">
    <w:name w:val="Balloon Text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Segoe UI" w:hAnsi="Segoe UI" w:eastAsia="Liberation Serif"/>
      <w:color w:val="000000"/>
      <w:sz w:val="18"/>
      <w:lang w:val="sk-SK" w:eastAsia="hi-IN"/>
    </w:rPr>
  </w:style>
  <w:style w:type="paragraph" w:styleId="Obsahtabuky">
    <w:name w:val="Obsah tabuľ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ky">
    <w:name w:val="Nadpis tabuľky"/>
    <w:basedOn w:val="Obsahtabu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Default">
    <w:name w:val="Default"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Liberation Serif" w:hAnsi="Liberation Serif" w:eastAsia="Calibri Light" w:cs="Liberation Serif"/>
      <w:color w:val="000000"/>
      <w:sz w:val="24"/>
      <w:szCs w:val="24"/>
      <w:lang w:val="sk-SK" w:eastAsia="sk-SK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onypreludi.sk/zz/2004-365" TargetMode="External"/><Relationship Id="rId3" Type="http://schemas.openxmlformats.org/officeDocument/2006/relationships/hyperlink" Target="http://www.zakonypreludi.sk/zz/2004-564" TargetMode="External"/><Relationship Id="rId4" Type="http://schemas.openxmlformats.org/officeDocument/2006/relationships/hyperlink" Target="http://www.zakonypreludi.sk/zz/2005-5" TargetMode="External"/><Relationship Id="rId5" Type="http://schemas.openxmlformats.org/officeDocument/2006/relationships/hyperlink" Target="http://www.zakonypreludi.sk/zz/2005-475" TargetMode="External"/><Relationship Id="rId6" Type="http://schemas.openxmlformats.org/officeDocument/2006/relationships/hyperlink" Target="http://www.zakonypreludi.sk/zz/2006-279" TargetMode="External"/><Relationship Id="rId7" Type="http://schemas.openxmlformats.org/officeDocument/2006/relationships/hyperlink" Target="http://www.zakonypreludi.sk/zz/2006-689" TargetMode="External"/><Relationship Id="rId8" Type="http://schemas.openxmlformats.org/officeDocument/2006/relationships/hyperlink" Target="http://www.zakonypreludi.sk/zz/2008-245" TargetMode="External"/><Relationship Id="rId9" Type="http://schemas.openxmlformats.org/officeDocument/2006/relationships/hyperlink" Target="http://www.zakonypreludi.sk/zz/2008-462" TargetMode="External"/><Relationship Id="rId10" Type="http://schemas.openxmlformats.org/officeDocument/2006/relationships/hyperlink" Target="http://www.zakonypreludi.sk/zz/2009-179" TargetMode="External"/><Relationship Id="rId11" Type="http://schemas.openxmlformats.org/officeDocument/2006/relationships/hyperlink" Target="http://www.zakonypreludi.sk/zz/2009-179" TargetMode="External"/><Relationship Id="rId12" Type="http://schemas.openxmlformats.org/officeDocument/2006/relationships/hyperlink" Target="http://www.zakonypreludi.sk/zz/2009-184" TargetMode="External"/><Relationship Id="rId13" Type="http://schemas.openxmlformats.org/officeDocument/2006/relationships/hyperlink" Target="http://www.zakonypreludi.sk/zz/2009-214" TargetMode="External"/><Relationship Id="rId14" Type="http://schemas.openxmlformats.org/officeDocument/2006/relationships/hyperlink" Target="http://www.zakonypreludi.sk/zz/2011-38" TargetMode="External"/><Relationship Id="rId15" Type="http://schemas.openxmlformats.org/officeDocument/2006/relationships/hyperlink" Target="http://www.zakonypreludi.sk/zz/2012-325" TargetMode="External"/><Relationship Id="rId16" Type="http://schemas.openxmlformats.org/officeDocument/2006/relationships/hyperlink" Target="http://www.zakonypreludi.sk/zz/2012-345" TargetMode="External"/><Relationship Id="rId17" Type="http://schemas.openxmlformats.org/officeDocument/2006/relationships/hyperlink" Target="http://www.zakonypreludi.sk/zz/2013-312" TargetMode="External"/><Relationship Id="rId18" Type="http://schemas.openxmlformats.org/officeDocument/2006/relationships/hyperlink" Target="http://www.zakonypreludi.sk/zz/2013-464" TargetMode="External"/><Relationship Id="rId19" Type="http://schemas.openxmlformats.org/officeDocument/2006/relationships/hyperlink" Target="http://www.zakonypreludi.sk/zz/2013-464" TargetMode="External"/><Relationship Id="rId20" Type="http://schemas.openxmlformats.org/officeDocument/2006/relationships/hyperlink" Target="http://www.zakonypreludi.sk/zz/2015-61" TargetMode="External"/><Relationship Id="rId21" Type="http://schemas.openxmlformats.org/officeDocument/2006/relationships/hyperlink" Target="http://www.zakonypreludi.sk/zz/2015-61" TargetMode="External"/><Relationship Id="rId22" Type="http://schemas.openxmlformats.org/officeDocument/2006/relationships/hyperlink" Target="http://www.zakonypreludi.sk/zz/2015-188" TargetMode="External"/><Relationship Id="rId23" Type="http://schemas.openxmlformats.org/officeDocument/2006/relationships/hyperlink" Target="http://www.zakonypreludi.sk/zz/2015-422" TargetMode="External"/><Relationship Id="rId24" Type="http://schemas.openxmlformats.org/officeDocument/2006/relationships/hyperlink" Target="http://www.zakonypreludi.sk/zz/2016-91" TargetMode="External"/><Relationship Id="rId25" Type="http://schemas.openxmlformats.org/officeDocument/2006/relationships/hyperlink" Target="http://www.zakonypreludi.sk/zz/2015-422" TargetMode="External"/><Relationship Id="rId26" Type="http://schemas.openxmlformats.org/officeDocument/2006/relationships/hyperlink" Target="http://www.zakonypreludi.sk/zz/2016-91" TargetMode="External"/><Relationship Id="rId27" Type="http://schemas.openxmlformats.org/officeDocument/2006/relationships/hyperlink" Target="http://www.zakonypreludi.sk/zz/2016-91" TargetMode="External"/><Relationship Id="rId28" Type="http://schemas.openxmlformats.org/officeDocument/2006/relationships/hyperlink" Target="http://www.zakonypreludi.sk/zz/2016-91" TargetMode="External"/><Relationship Id="rId29" Type="http://schemas.openxmlformats.org/officeDocument/2006/relationships/hyperlink" Target="http://www.zakonypreludi.sk/zz/2016-91" TargetMode="Externa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2352</TotalTime>
  <Application>LibreOffice/4.3.5.2$Windows_x86 LibreOffice_project/3a87456aaa6a95c63eea1c1b3201acedf0751bd5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2016-10-26T10:10:00Z</dcterms:created>
  <dc:creator>PC</dc:creator>
  <dc:language>sk-SK</dc:language>
  <cp:lastPrinted>2016-10-26T09:24:00Z</cp:lastPrinted>
  <dcterms:modified xsi:type="dcterms:W3CDTF">2019-01-11T09:09:42Z</dcterms:modified>
  <cp:revision>5</cp:revision>
</cp:coreProperties>
</file>