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4478FB" w:rsidRDefault="00BB30C7" w:rsidP="007D2128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4478FB" w:rsidRPr="00395F5B">
        <w:rPr>
          <w:rFonts w:cs="Times New Roman"/>
        </w:rPr>
        <w:t xml:space="preserve">ktorým </w:t>
      </w:r>
      <w:r w:rsidR="004478FB">
        <w:rPr>
          <w:rFonts w:cs="Times New Roman"/>
        </w:rPr>
        <w:t xml:space="preserve">sa mení a dopĺňa </w:t>
      </w:r>
      <w:r w:rsidR="004478FB" w:rsidRPr="00395F5B">
        <w:rPr>
          <w:rFonts w:cs="Times New Roman"/>
        </w:rPr>
        <w:t xml:space="preserve">zákon </w:t>
      </w:r>
      <w:r w:rsidR="004478FB" w:rsidRPr="00BD5E7A">
        <w:rPr>
          <w:rFonts w:cs="Times New Roman"/>
        </w:rPr>
        <w:t>č. 461/2003 Z. z. o s</w:t>
      </w:r>
      <w:r w:rsidR="004478FB">
        <w:rPr>
          <w:rFonts w:cs="Times New Roman"/>
        </w:rPr>
        <w:t>ociálnom poistení v znení neskorších predpisov a ktorým sa mení a dopĺňa zákon č.</w:t>
      </w:r>
      <w:r w:rsidR="004478FB" w:rsidRPr="007E24F6">
        <w:rPr>
          <w:rFonts w:cs="Times New Roman"/>
        </w:rPr>
        <w:t xml:space="preserve"> 328/2002 Z. z. o sociálnom zabezpečení policajtov a vojakov a o zmene a doplnení niektorých zákonov</w:t>
      </w:r>
      <w:r w:rsidR="004478FB">
        <w:rPr>
          <w:rFonts w:cs="Times New Roman"/>
        </w:rPr>
        <w:t xml:space="preserve"> v znení neskorších predpisov</w:t>
      </w:r>
    </w:p>
    <w:p w:rsidR="007D2128" w:rsidRDefault="007D2128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9446B5" w:rsidRPr="00000576" w:rsidRDefault="009446B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X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6859B1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7B17E9" w:rsidRDefault="007B17E9" w:rsidP="00C16709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7B17E9">
        <w:rPr>
          <w:rFonts w:ascii="Times New Roman" w:hAnsi="Times New Roman" w:cs="Times New Roman"/>
          <w:color w:val="000000"/>
          <w:sz w:val="24"/>
          <w:szCs w:val="24"/>
          <w:lang w:val="sk-SK"/>
        </w:rPr>
        <w:t>Predpokladaný negatívny vplyv na rozpočet verejnej správy nie je mo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žné kvantifikovať z </w:t>
      </w:r>
      <w:r w:rsidRPr="007B17E9">
        <w:rPr>
          <w:rFonts w:ascii="Times New Roman" w:hAnsi="Times New Roman" w:cs="Times New Roman"/>
          <w:color w:val="000000"/>
          <w:sz w:val="24"/>
          <w:szCs w:val="24"/>
          <w:lang w:val="sk-SK"/>
        </w:rPr>
        <w:t>dôvod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u, že Ústredie práce, sociálnych vecí a rodiny nezverejňuje počet detí s dlhodobo nepriaznivým zdravotným stavom, na ktoré by oprávnené osoby poberali rodičovský príspevok v období, kedy tieto deti majú od 3 do 6 rokov (viď Výročná správa za rok 2017</w:t>
      </w:r>
      <w:r>
        <w:rPr>
          <w:rStyle w:val="Odkaznapoznmkupodiarou"/>
          <w:rFonts w:ascii="Times New Roman" w:hAnsi="Times New Roman"/>
          <w:color w:val="000000"/>
          <w:sz w:val="24"/>
          <w:szCs w:val="24"/>
          <w:lang w:val="sk-SK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). Tieto informácie sú pritom nevyhnutné pre odhad počtu osôb, ktoré by mohli na takéto deti poberať materské. Nie je teda </w:t>
      </w:r>
      <w:r w:rsidRPr="007B17E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možné vopred určiť, aký počet dotknutých poistencov využije možnosť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ponúkanú po zmene právnej úpravy.</w:t>
      </w:r>
      <w:r w:rsidR="00B614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 súvislosti s tým preto predkladateľ odkazuje na stanovisko Ministerstva financií Slovenskej republiky MF/018504/2018-411 z 9. novembra 2018, kde v podobnej situácii bolo konštatovanie o informačnom deficite vzaté na vedomie. Čo sa týka návrhov na úhradu zvýšených výdavkov, od 1. januára 2019 sa zvyšuje minimálny aj maximálny vymeriavací základ pri platení odvodov Sociálnej poisťovni; predpokladá sa, že negatívny vplyv bude vykrytý práve v nadväznosti na takto zvýšený príjem poistného.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4478FB">
        <w:rPr>
          <w:rFonts w:eastAsia="Times New Roman" w:cs="Times New Roman"/>
          <w:lang w:eastAsia="en-US" w:bidi="ar-SA"/>
        </w:rPr>
        <w:t xml:space="preserve">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7D212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4478FB" w:rsidRPr="00395F5B">
        <w:rPr>
          <w:rFonts w:cs="Times New Roman"/>
        </w:rPr>
        <w:t xml:space="preserve">ktorým </w:t>
      </w:r>
      <w:r w:rsidR="004478FB">
        <w:rPr>
          <w:rFonts w:cs="Times New Roman"/>
        </w:rPr>
        <w:t xml:space="preserve">sa mení a dopĺňa </w:t>
      </w:r>
      <w:r w:rsidR="004478FB" w:rsidRPr="00395F5B">
        <w:rPr>
          <w:rFonts w:cs="Times New Roman"/>
        </w:rPr>
        <w:t xml:space="preserve">zákon </w:t>
      </w:r>
      <w:r w:rsidR="004478FB" w:rsidRPr="00BD5E7A">
        <w:rPr>
          <w:rFonts w:cs="Times New Roman"/>
        </w:rPr>
        <w:t>č. 461/2003 Z. z. o s</w:t>
      </w:r>
      <w:r w:rsidR="004478FB">
        <w:rPr>
          <w:rFonts w:cs="Times New Roman"/>
        </w:rPr>
        <w:t>ociálnom poistení v znení neskorších predpisov a ktorým sa mení a dopĺňa zákon č.</w:t>
      </w:r>
      <w:r w:rsidR="004478FB" w:rsidRPr="007E24F6">
        <w:rPr>
          <w:rFonts w:cs="Times New Roman"/>
        </w:rPr>
        <w:t xml:space="preserve"> 328/2002 Z. z. o sociálnom zabezpečení policajtov a vojakov a o zmene a doplnení niektorých zákonov</w:t>
      </w:r>
      <w:r w:rsidR="004478FB">
        <w:rPr>
          <w:rFonts w:cs="Times New Roman"/>
        </w:rPr>
        <w:t xml:space="preserve"> v 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i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i/>
          <w:color w:val="000000"/>
          <w:kern w:val="0"/>
          <w:lang w:eastAsia="sk-SK" w:bidi="ar-SA"/>
        </w:rPr>
        <w:t>a) je upravená v primárnom práve Európskej únie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 xml:space="preserve">článok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151</w:t>
      </w:r>
      <w:r w:rsidRPr="009C738D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a</w:t>
      </w:r>
      <w:r>
        <w:rPr>
          <w:rFonts w:eastAsia="Times New Roman" w:cs="Times New Roman"/>
          <w:color w:val="000000"/>
          <w:kern w:val="0"/>
          <w:lang w:eastAsia="sk-SK" w:bidi="ar-SA"/>
        </w:rPr>
        <w:t> 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1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článok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53</w:t>
      </w:r>
      <w:r w:rsidRPr="009C738D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Zmluvy</w:t>
      </w:r>
      <w:r w:rsidRPr="009C738D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o fungovaní</w:t>
      </w:r>
      <w:r w:rsidRPr="009C738D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Európskej</w:t>
      </w:r>
      <w:r w:rsidRPr="009C738D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únie</w:t>
      </w:r>
      <w:r w:rsidRPr="009C738D">
        <w:rPr>
          <w:rFonts w:eastAsia="Times New Roman" w:cs="Times New Roman"/>
          <w:color w:val="000000"/>
          <w:spacing w:val="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sz w:val="25"/>
          <w:szCs w:val="25"/>
          <w:lang w:eastAsia="sk-SK" w:bidi="ar-SA"/>
        </w:rPr>
        <w:t>(Ú.</w:t>
      </w:r>
      <w:r w:rsidRPr="009C738D">
        <w:rPr>
          <w:rFonts w:eastAsia="Times New Roman" w:cs="Times New Roman"/>
          <w:color w:val="000000"/>
          <w:spacing w:val="5"/>
          <w:kern w:val="0"/>
          <w:sz w:val="25"/>
          <w:szCs w:val="25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sz w:val="25"/>
          <w:szCs w:val="25"/>
          <w:lang w:eastAsia="sk-SK" w:bidi="ar-SA"/>
        </w:rPr>
        <w:t>v. C 202, 7.6.2016)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,</w:t>
      </w:r>
    </w:p>
    <w:p w:rsid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i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i/>
          <w:color w:val="000000"/>
          <w:kern w:val="0"/>
          <w:lang w:eastAsia="sk-SK" w:bidi="ar-SA"/>
        </w:rPr>
        <w:t>b) je upravená v sekundárnom práve Európskej únie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iCs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- prijaté po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nadobudnutí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platnosti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Lisabonskej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zmluvy,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ktorou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sa</w:t>
      </w:r>
      <w:r w:rsidRPr="009C738D">
        <w:rPr>
          <w:rFonts w:eastAsia="Times New Roman" w:cs="Times New Roman"/>
          <w:iCs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mení a dopĺňa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Zmluva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o Európskom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spoločenstve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a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Zmluva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o Európskej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únii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-</w:t>
      </w:r>
      <w:r w:rsidRPr="009C738D">
        <w:rPr>
          <w:rFonts w:eastAsia="Times New Roman" w:cs="Times New Roman"/>
          <w:iCs/>
          <w:color w:val="000000"/>
          <w:spacing w:val="14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po 30. novembri 2009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color w:val="000000"/>
          <w:kern w:val="0"/>
          <w:lang w:eastAsia="sk-SK" w:bidi="ar-SA"/>
        </w:rPr>
        <w:t>1. legislatívne akty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: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nie je upravená,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2. nelegislatívne akty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: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nie je upravená,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iCs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-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prijaté pred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nadobudnutí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platnosti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Lisabonskej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zmluvy,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ktorou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sa</w:t>
      </w:r>
      <w:r w:rsidRPr="009C738D">
        <w:rPr>
          <w:rFonts w:eastAsia="Times New Roman" w:cs="Times New Roman"/>
          <w:iCs/>
          <w:color w:val="000000"/>
          <w:spacing w:val="1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mení a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dopĺňa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Zmluva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o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Európskom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spoločenstve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a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Zmluva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o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Európskej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únii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-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do</w:t>
      </w:r>
      <w:r w:rsidRPr="009C738D">
        <w:rPr>
          <w:rFonts w:eastAsia="Times New Roman" w:cs="Times New Roman"/>
          <w:iCs/>
          <w:color w:val="000000"/>
          <w:spacing w:val="66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iCs/>
          <w:color w:val="000000"/>
          <w:kern w:val="0"/>
          <w:lang w:eastAsia="sk-SK" w:bidi="ar-SA"/>
        </w:rPr>
        <w:t>30. novembra 2009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color w:val="000000"/>
          <w:kern w:val="0"/>
          <w:lang w:eastAsia="sk-SK" w:bidi="ar-SA"/>
        </w:rPr>
        <w:t>Nariadenie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Európskeho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parlamentu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(ES)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883/2004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z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29.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apríla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2004</w:t>
      </w:r>
      <w:r w:rsidRPr="009C738D">
        <w:rPr>
          <w:rFonts w:eastAsia="Times New Roman" w:cs="Times New Roman"/>
          <w:color w:val="000000"/>
          <w:spacing w:val="53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o koordinácii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systémov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sociálneho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zabezpečenia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(Mimoriadne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vydanie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Ú.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v.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EÚ,</w:t>
      </w:r>
      <w:r w:rsidRPr="009C738D">
        <w:rPr>
          <w:rFonts w:eastAsia="Times New Roman" w:cs="Times New Roman"/>
          <w:color w:val="000000"/>
          <w:spacing w:val="4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kap. 5/zv. 5; Ú. v. ES L 166, 30.4.2004) v platnom znení,</w:t>
      </w:r>
    </w:p>
    <w:p w:rsidR="009C738D" w:rsidRPr="009C738D" w:rsidRDefault="009C738D" w:rsidP="009C738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color w:val="000000"/>
          <w:kern w:val="0"/>
          <w:lang w:eastAsia="sk-SK" w:bidi="ar-SA"/>
        </w:rPr>
        <w:t>Nariadenie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Európskeho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parlamentu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a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Rady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(ES)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987/2009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zo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16.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septembra</w:t>
      </w:r>
      <w:r w:rsidRPr="009C738D">
        <w:rPr>
          <w:rFonts w:eastAsia="Times New Roman" w:cs="Times New Roman"/>
          <w:color w:val="000000"/>
          <w:spacing w:val="21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2009, ktorým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ustanovuje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postup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vykonávania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nariadenia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(ES)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č.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883/2004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o</w:t>
      </w:r>
      <w:r w:rsidRPr="009C738D">
        <w:rPr>
          <w:rFonts w:eastAsia="Times New Roman" w:cs="Times New Roman"/>
          <w:color w:val="000000"/>
          <w:spacing w:val="38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koordinácii systémov sociálneho zabezpečenia (Ú. v. EÚ L 284, 30.10.2009) v platnom znení,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c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)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nie je obsiahnutá v judikatúre Súdneho dvora Európskej únie.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b/>
          <w:bCs/>
          <w:color w:val="000000"/>
          <w:kern w:val="0"/>
          <w:lang w:eastAsia="sk-SK" w:bidi="ar-SA"/>
        </w:rPr>
        <w:t>4.Záväzky Slovenskej republiky vo vzťahu k Európskej únii: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9C738D">
        <w:rPr>
          <w:rFonts w:eastAsia="Times New Roman" w:cs="Times New Roman"/>
          <w:color w:val="000000"/>
          <w:kern w:val="0"/>
          <w:lang w:eastAsia="sk-SK" w:bidi="ar-SA"/>
        </w:rPr>
        <w:t>a)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Lehota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prebratie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smernice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alebo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lehota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na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implementáciu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nariadenia</w:t>
      </w:r>
      <w:r w:rsidRPr="009C738D">
        <w:rPr>
          <w:rFonts w:eastAsia="Times New Roman" w:cs="Times New Roman"/>
          <w:color w:val="000000"/>
          <w:spacing w:val="125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 xml:space="preserve">alebo rozhodnutia 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Bezpredmetné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9C738D">
      <w:pPr>
        <w:widowControl/>
        <w:suppressAutoHyphens w:val="0"/>
        <w:jc w:val="both"/>
      </w:pPr>
      <w:r>
        <w:rPr>
          <w:rFonts w:eastAsia="Times New Roman" w:cs="Times New Roman"/>
          <w:color w:val="000000"/>
          <w:kern w:val="0"/>
          <w:lang w:eastAsia="sk-SK" w:bidi="ar-SA"/>
        </w:rPr>
        <w:t>b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)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 I</w:t>
      </w:r>
      <w:r>
        <w:t xml:space="preserve">nformácia o začatí konania v rámci „EÚ Pilot“ alebo o začatí postupu Európskej komisie, alebo o konaní Súdneho dvora Európskej únie proti Slovenskej republike podľa čl. 258 a 260 </w:t>
      </w:r>
      <w:r>
        <w:lastRenderedPageBreak/>
        <w:t>Zmluvy o fungovaní Európskej únie v jej platnom znení, spolu s uvedením konkrétnych vytýkaných nedostatkov a požiadaviek na zabezpečenie nápravy</w:t>
      </w:r>
    </w:p>
    <w:p w:rsidR="009C738D" w:rsidRDefault="009C738D" w:rsidP="009C738D">
      <w:pPr>
        <w:widowControl/>
        <w:suppressAutoHyphens w:val="0"/>
        <w:jc w:val="both"/>
      </w:pPr>
    </w:p>
    <w:p w:rsidR="009C738D" w:rsidRDefault="009C738D" w:rsidP="009C738D">
      <w:pPr>
        <w:widowControl/>
        <w:suppressAutoHyphens w:val="0"/>
        <w:jc w:val="both"/>
      </w:pPr>
      <w:r>
        <w:t>Proti Slovenskej republike nebolo začaté ani konanie, ani postup.</w:t>
      </w:r>
    </w:p>
    <w:p w:rsidR="009C738D" w:rsidRDefault="009C738D" w:rsidP="009C738D">
      <w:pPr>
        <w:widowControl/>
        <w:suppressAutoHyphens w:val="0"/>
      </w:pPr>
    </w:p>
    <w:p w:rsidR="009C738D" w:rsidRDefault="009C738D" w:rsidP="009C738D">
      <w:pPr>
        <w:widowControl/>
        <w:suppressAutoHyphens w:val="0"/>
        <w:jc w:val="both"/>
      </w:pPr>
      <w:r>
        <w:t>c) Informácia o právnych predpisoch, v ktorých sú uvádzané právne akty Európskej únie už prebrané, spolu s uvedením rozsahu ich prebrania, príp. potreby prijatia ďalších úprav.</w:t>
      </w:r>
    </w:p>
    <w:p w:rsidR="009C738D" w:rsidRDefault="009C738D" w:rsidP="009C738D">
      <w:pPr>
        <w:widowControl/>
        <w:suppressAutoHyphens w:val="0"/>
        <w:jc w:val="both"/>
      </w:pPr>
    </w:p>
    <w:p w:rsidR="009C738D" w:rsidRDefault="009C738D" w:rsidP="009C738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>
        <w:t>Bezpredmetné.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9C738D">
        <w:rPr>
          <w:rFonts w:eastAsia="Times New Roman" w:cs="Times New Roman"/>
          <w:b/>
          <w:bCs/>
          <w:color w:val="000000"/>
          <w:kern w:val="0"/>
          <w:lang w:eastAsia="sk-SK" w:bidi="ar-SA"/>
        </w:rPr>
        <w:t>5.</w:t>
      </w:r>
      <w:r>
        <w:rPr>
          <w:rFonts w:eastAsia="Times New Roman" w:cs="Times New Roman"/>
          <w:b/>
          <w:bCs/>
          <w:color w:val="000000"/>
          <w:kern w:val="0"/>
          <w:lang w:eastAsia="sk-SK" w:bidi="ar-SA"/>
        </w:rPr>
        <w:t xml:space="preserve"> </w:t>
      </w:r>
      <w:r w:rsidRPr="009C738D">
        <w:rPr>
          <w:rFonts w:eastAsia="Times New Roman" w:cs="Times New Roman"/>
          <w:b/>
          <w:bCs/>
          <w:color w:val="000000"/>
          <w:kern w:val="0"/>
          <w:lang w:eastAsia="sk-SK" w:bidi="ar-SA"/>
        </w:rPr>
        <w:t xml:space="preserve">Stupeň zlučiteľnosti návrhu zákona s právom Európskej únie: </w:t>
      </w:r>
      <w:r w:rsidRPr="009C738D">
        <w:rPr>
          <w:rFonts w:eastAsia="Times New Roman" w:cs="Times New Roman"/>
          <w:color w:val="000000"/>
          <w:kern w:val="0"/>
          <w:lang w:eastAsia="sk-SK" w:bidi="ar-SA"/>
        </w:rPr>
        <w:t>úplný</w:t>
      </w:r>
    </w:p>
    <w:p w:rsidR="009C738D" w:rsidRPr="009C738D" w:rsidRDefault="009C738D" w:rsidP="009C738D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9C738D" w:rsidRDefault="009C738D" w:rsidP="00135169">
      <w:pPr>
        <w:jc w:val="both"/>
        <w:rPr>
          <w:rFonts w:cs="Times New Roman"/>
        </w:rPr>
      </w:pPr>
    </w:p>
    <w:p w:rsidR="009446B5" w:rsidRDefault="009446B5" w:rsidP="00135169">
      <w:pPr>
        <w:jc w:val="both"/>
        <w:rPr>
          <w:rFonts w:cs="Times New Roman"/>
        </w:rPr>
      </w:pPr>
    </w:p>
    <w:p w:rsidR="009446B5" w:rsidRPr="00BF6BBA" w:rsidRDefault="009446B5" w:rsidP="009446B5"/>
    <w:p w:rsidR="009446B5" w:rsidRDefault="009446B5" w:rsidP="00135169">
      <w:pPr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A2" w:rsidRDefault="00F101A2" w:rsidP="0090548E">
      <w:r>
        <w:separator/>
      </w:r>
    </w:p>
  </w:endnote>
  <w:endnote w:type="continuationSeparator" w:id="0">
    <w:p w:rsidR="00F101A2" w:rsidRDefault="00F101A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A2" w:rsidRDefault="00F101A2" w:rsidP="0090548E">
      <w:r>
        <w:separator/>
      </w:r>
    </w:p>
  </w:footnote>
  <w:footnote w:type="continuationSeparator" w:id="0">
    <w:p w:rsidR="00F101A2" w:rsidRDefault="00F101A2" w:rsidP="0090548E">
      <w:r>
        <w:continuationSeparator/>
      </w:r>
    </w:p>
  </w:footnote>
  <w:footnote w:id="1">
    <w:p w:rsidR="007B17E9" w:rsidRDefault="007B17E9">
      <w:pPr>
        <w:pStyle w:val="Textpoznmkypodiarou"/>
      </w:pPr>
      <w:r>
        <w:rPr>
          <w:rStyle w:val="Odkaznapoznmkupodiarou"/>
        </w:rPr>
        <w:footnoteRef/>
      </w:r>
      <w:r>
        <w:t xml:space="preserve"> Dostupné na </w:t>
      </w:r>
      <w:r w:rsidRPr="007B17E9">
        <w:t>https://www.upsvr.gov.sk/buxus/docs/KGR/vyrocne_spravy/VS_UPSVAR_2017.pdf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D638D"/>
    <w:multiLevelType w:val="hybridMultilevel"/>
    <w:tmpl w:val="746CBE74"/>
    <w:lvl w:ilvl="0" w:tplc="A7667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4F1B"/>
    <w:multiLevelType w:val="hybridMultilevel"/>
    <w:tmpl w:val="3A1EF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724F39"/>
    <w:multiLevelType w:val="hybridMultilevel"/>
    <w:tmpl w:val="FBEE9F1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5"/>
  </w:num>
  <w:num w:numId="9">
    <w:abstractNumId w:val="7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5997"/>
    <w:rsid w:val="00077A6C"/>
    <w:rsid w:val="00077E59"/>
    <w:rsid w:val="0008356A"/>
    <w:rsid w:val="00083720"/>
    <w:rsid w:val="00084407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1FA2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4CF7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4C2A"/>
    <w:rsid w:val="00367762"/>
    <w:rsid w:val="003743BC"/>
    <w:rsid w:val="003760BA"/>
    <w:rsid w:val="0037704F"/>
    <w:rsid w:val="00380295"/>
    <w:rsid w:val="00380586"/>
    <w:rsid w:val="003826F6"/>
    <w:rsid w:val="00395F5B"/>
    <w:rsid w:val="003968A7"/>
    <w:rsid w:val="00397539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17C6"/>
    <w:rsid w:val="007E3D61"/>
    <w:rsid w:val="007E4594"/>
    <w:rsid w:val="007E71A4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C738D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1460"/>
    <w:rsid w:val="00B62656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52901"/>
    <w:rsid w:val="00D530A3"/>
    <w:rsid w:val="00D553D9"/>
    <w:rsid w:val="00D61A5A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22EC9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01A2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9C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EA27A-F02F-48C8-B483-C0B3A36D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2019-01-10T21:27:00Z</dcterms:created>
  <dcterms:modified xsi:type="dcterms:W3CDTF">2019-01-10T21:27:00Z</dcterms:modified>
</cp:coreProperties>
</file>