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534"/>
          <w:jc w:val="center"/>
        </w:trPr>
        <w:tc>
          <w:tcPr>
            <w:tcW w:w="5000" w:type="pct"/>
            <w:shd w:val="clear" w:color="auto" w:fill="D9D9D9"/>
          </w:tcPr>
          <w:p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Sect="00224847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736"/>
          <w:jc w:val="center"/>
        </w:trPr>
        <w:tc>
          <w:tcPr>
            <w:tcW w:w="5000" w:type="pct"/>
            <w:shd w:val="clear" w:color="auto" w:fill="F2F2F2"/>
          </w:tcPr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EC49B2" w:rsidRDefault="006A2475" w:rsidP="00E5246F">
            <w:pPr>
              <w:spacing w:after="0" w:line="240" w:lineRule="auto"/>
              <w:jc w:val="both"/>
              <w:rPr>
                <w:rStyle w:val="Textzstupnhosymbolu"/>
                <w:color w:val="000000"/>
                <w:sz w:val="20"/>
                <w:szCs w:val="20"/>
              </w:rPr>
            </w:pPr>
            <w:r>
              <w:rPr>
                <w:rStyle w:val="Textzstupnhosymbolu"/>
                <w:color w:val="000000"/>
                <w:sz w:val="20"/>
                <w:szCs w:val="20"/>
              </w:rPr>
              <w:t>Návrh umožňuje zníženie základného úväzku vychovávateľov</w:t>
            </w:r>
            <w:r w:rsidR="0054700B">
              <w:rPr>
                <w:rStyle w:val="Textzstupnhosymbolu"/>
                <w:color w:val="000000"/>
                <w:sz w:val="20"/>
                <w:szCs w:val="20"/>
              </w:rPr>
              <w:t xml:space="preserve"> školských klubov detí a školských internátov</w:t>
            </w:r>
            <w:r>
              <w:rPr>
                <w:rStyle w:val="Textzstupnhosymbolu"/>
                <w:color w:val="000000"/>
                <w:sz w:val="20"/>
                <w:szCs w:val="20"/>
              </w:rPr>
              <w:t>,</w:t>
            </w:r>
            <w:r w:rsidR="0054700B">
              <w:rPr>
                <w:rStyle w:val="Textzstupnhosymbolu"/>
                <w:color w:val="000000"/>
                <w:sz w:val="20"/>
                <w:szCs w:val="20"/>
              </w:rPr>
              <w:t xml:space="preserve"> pedagogických </w:t>
            </w:r>
            <w:r>
              <w:rPr>
                <w:rStyle w:val="Textzstupnhosymbolu"/>
                <w:color w:val="000000"/>
                <w:sz w:val="20"/>
                <w:szCs w:val="20"/>
              </w:rPr>
              <w:t xml:space="preserve"> </w:t>
            </w:r>
            <w:r w:rsidR="0054700B">
              <w:rPr>
                <w:rStyle w:val="Textzstupnhosymbolu"/>
                <w:color w:val="000000"/>
                <w:sz w:val="20"/>
                <w:szCs w:val="20"/>
              </w:rPr>
              <w:t xml:space="preserve">zamestnancov zaradených do kariérovej pozície výchovný poradca, kariérový poradca a riaditeľov niektorých základných a stredných škôl, </w:t>
            </w:r>
            <w:r>
              <w:rPr>
                <w:rStyle w:val="Textzstupnhosymbolu"/>
                <w:color w:val="000000"/>
                <w:sz w:val="20"/>
                <w:szCs w:val="20"/>
              </w:rPr>
              <w:t xml:space="preserve">čo bude mať pozitívny vplyv na hospodárenie rodín dotknutých pedagogických zamestnancov. Odstráni sa stav, v ktorom sú </w:t>
            </w:r>
            <w:r w:rsidR="0054700B">
              <w:rPr>
                <w:rStyle w:val="Textzstupnhosymbolu"/>
                <w:color w:val="000000"/>
                <w:sz w:val="20"/>
                <w:szCs w:val="20"/>
              </w:rPr>
              <w:t>uvedení p</w:t>
            </w:r>
            <w:r>
              <w:rPr>
                <w:rStyle w:val="Textzstupnhosymbolu"/>
                <w:color w:val="000000"/>
                <w:sz w:val="20"/>
                <w:szCs w:val="20"/>
              </w:rPr>
              <w:t xml:space="preserve">edagogickí zamestnanci </w:t>
            </w:r>
            <w:r w:rsidR="00EC49B2">
              <w:rPr>
                <w:rStyle w:val="Textzstupnhosymbolu"/>
                <w:color w:val="000000"/>
                <w:sz w:val="20"/>
                <w:szCs w:val="20"/>
              </w:rPr>
              <w:t>nútení pracovať na znížený pracovný úväzok, čo má doteraz priamy vplyv na znižovanie príjmov ich domácností.</w:t>
            </w:r>
          </w:p>
          <w:p w:rsidR="00224847" w:rsidRDefault="00EC49B2" w:rsidP="00E52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Prijatím návrhu sa </w:t>
            </w:r>
            <w:r w:rsidR="0054700B">
              <w:rPr>
                <w:rFonts w:ascii="Times New Roman" w:hAnsi="Times New Roman"/>
                <w:sz w:val="20"/>
                <w:szCs w:val="20"/>
                <w:lang w:eastAsia="sk-SK"/>
              </w:rPr>
              <w:t>zvýšia</w:t>
            </w:r>
            <w:r w:rsidR="0054700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príjmy domácností </w:t>
            </w:r>
            <w:r w:rsidR="0054700B">
              <w:rPr>
                <w:rFonts w:ascii="Times New Roman" w:hAnsi="Times New Roman"/>
                <w:sz w:val="20"/>
                <w:szCs w:val="20"/>
                <w:lang w:eastAsia="sk-SK"/>
              </w:rPr>
              <w:t>vychovávateľov</w:t>
            </w:r>
            <w:r w:rsidR="0054700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školských klubov detí a školských internátov 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 priemere od 70</w:t>
            </w:r>
            <w:r w:rsidR="00E5246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€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 89 € mesačne v roku 2019, od 77 </w:t>
            </w:r>
            <w:r w:rsidR="00E5246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do 98 € mesačne v roku 2020 a od 84</w:t>
            </w:r>
            <w:r w:rsidR="00E5246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€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 108 €  mesačne v roku 2021, a to v závislosti od dosiahnutého stupňa požadovaného </w:t>
            </w:r>
            <w:r w:rsidR="007B5706">
              <w:rPr>
                <w:rFonts w:ascii="Times New Roman" w:hAnsi="Times New Roman"/>
                <w:sz w:val="20"/>
                <w:szCs w:val="20"/>
                <w:lang w:eastAsia="sk-SK"/>
              </w:rPr>
              <w:t>vzdelania, a v závislosti od pracovnej triedy, do ktorej je dotknutý pedagogický zamestnanec zaradený.</w:t>
            </w:r>
          </w:p>
          <w:p w:rsidR="007B5706" w:rsidRPr="00396C63" w:rsidRDefault="007B5706" w:rsidP="00E52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 umožňuje tiež zriadenie 81 nových pracovných miest kariérových poradcov v školských zariadeniach výchovného poradenstva. Pozitívny vplyv na hospodárenie domácnosti je reálny v prípade, že nové pracovné miesta obsadia noví zamestnanci. Tento predpoklad sa však nemusí naplniť, pretože školské zariadenia výchovného poradenstva zabezpečujú činnosti kariérového poradenstva aj v súčasnosti. Z tohto dôvodu sa predpokladá ako najčastejší prístup zamestnávateľov preradenie iného odborného zamestnanca do kategórie kariérový poradca. Podobne sa nepredpokladá žiadny vplyv na hospodárenie domácnosti v dôsledku zrušenia priamej výchovnovzdelávacej činnosti riaditeľom škôl, ktoré sú právnickými osobami alebo zníženia miery priamej výchovno-vzdelávacej činnosti pedagogických zamestnancov</w:t>
            </w:r>
            <w:r w:rsidR="006D5FA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zaradených do kariérových pozícií výchovný poradca a kariérový poradca. </w:t>
            </w: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224847" w:rsidRPr="00396C63" w:rsidRDefault="007B5706" w:rsidP="005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Vychovávatelia</w:t>
            </w:r>
            <w:r w:rsidR="006D5FA4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="0054700B">
              <w:rPr>
                <w:rFonts w:ascii="Times New Roman" w:hAnsi="Times New Roman"/>
                <w:sz w:val="20"/>
                <w:szCs w:val="20"/>
                <w:lang w:eastAsia="sk-SK"/>
              </w:rPr>
              <w:t>školských klubov detí, školských internátov a</w:t>
            </w:r>
            <w:r w:rsidR="006D5FA4">
              <w:rPr>
                <w:rFonts w:ascii="Times New Roman" w:hAnsi="Times New Roman"/>
                <w:sz w:val="20"/>
                <w:szCs w:val="20"/>
                <w:lang w:eastAsia="sk-SK"/>
              </w:rPr>
              <w:t> ich rodiny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</w:tcPr>
          <w:p w:rsidR="00224847" w:rsidRPr="00E538C0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</w:tcPr>
          <w:p w:rsidR="00224847" w:rsidRPr="0040544D" w:rsidRDefault="006D5FA4" w:rsidP="00E16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Nepredpokladá sa.</w:t>
            </w: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224847" w:rsidRPr="0040544D" w:rsidRDefault="006D5FA4" w:rsidP="00E16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Nie sú identifikované.</w:t>
            </w:r>
          </w:p>
        </w:tc>
      </w:tr>
      <w:tr w:rsidR="00224847" w:rsidRPr="00CD4982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</w:tcPr>
          <w:p w:rsidR="00224847" w:rsidRPr="0040544D" w:rsidRDefault="006D5FA4" w:rsidP="00E52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nie je primárne zameraný na riešenie životnej situácie osôb v riziku chudoby alebo sociálneho vylúčenia. Z uvedeného vyplýva, že pozitívny vplyv návrhu sa prejaví aj na hospodárení rodín dotknutých pedagogických zamestnancov, ktorí sa ocitli v riziku chudoby (neúplné rodiny, matky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samoživiteľky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, osamelé matky s viacerými deťmi) alebo pochádzajú zo sociálne vylúčeného prostredia.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:rsidR="00224847" w:rsidRPr="00CD4982" w:rsidRDefault="006D5FA4" w:rsidP="005470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Ovplyvnená skupina č. </w:t>
            </w:r>
            <w:r w:rsidR="0054700B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: vychovávatelia </w:t>
            </w:r>
            <w:r w:rsidR="0054700B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školských klubov detí,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54700B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školských internátov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a ich rodiny</w:t>
            </w:r>
          </w:p>
        </w:tc>
      </w:tr>
      <w:tr w:rsidR="00224847" w:rsidRPr="00CD4982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224847" w:rsidRPr="00CA6BAF" w:rsidRDefault="006D5FA4" w:rsidP="006D5F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Pozitívny vplyv na hospodárenie rodín dotknutých pedagogických zamestnancov je kvantifikovaný v riadku 1. </w:t>
            </w: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24847" w:rsidRPr="00CA6BAF" w:rsidRDefault="00512E25" w:rsidP="00E165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6D5FA4">
              <w:rPr>
                <w:rFonts w:ascii="Times New Roman" w:hAnsi="Times New Roman"/>
                <w:sz w:val="20"/>
                <w:szCs w:val="20"/>
                <w:lang w:eastAsia="sk-SK"/>
              </w:rPr>
              <w:t>Nepredpokladá sa.</w:t>
            </w: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224847" w:rsidRPr="00CA6BAF" w:rsidRDefault="006D5FA4" w:rsidP="00413A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Opatrenie sa bude týkať </w:t>
            </w:r>
            <w:r w:rsidR="00413A5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7 611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pedagogických zamestnancov a ich rodín.</w:t>
            </w:r>
          </w:p>
        </w:tc>
      </w:tr>
      <w:tr w:rsidR="00224847" w:rsidRPr="00CD4982" w:rsidTr="00E1659F">
        <w:trPr>
          <w:trHeight w:val="670"/>
          <w:jc w:val="center"/>
        </w:trPr>
        <w:tc>
          <w:tcPr>
            <w:tcW w:w="2500" w:type="pct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224847" w:rsidRPr="00CA6BAF" w:rsidRDefault="00E05819" w:rsidP="00E165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nie je primárne zameraný na riešenie životnej situácie osôb v riziku chudoby alebo sociálneho vylúčenia. Z uvedeného vyplýva, že pozitívny vplyv návrhu sa prejaví aj na hospodárení rodín dotknutých pedagogických zamestnancov, ktorí sa ocitli v riziku chudoby (neúplné rodiny, matky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samoživiteľky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, osamelé matky s viacerými deťmi) alebo pochádzajú zo sociálne vylúčeného prostredia.</w:t>
            </w:r>
          </w:p>
        </w:tc>
      </w:tr>
    </w:tbl>
    <w:p w:rsidR="00224847" w:rsidRPr="00A30F1C" w:rsidRDefault="00224847" w:rsidP="00224847">
      <w:pPr>
        <w:rPr>
          <w:rFonts w:ascii="Times New Roman" w:hAnsi="Times New Roman"/>
          <w:sz w:val="20"/>
          <w:szCs w:val="20"/>
        </w:rPr>
      </w:pPr>
    </w:p>
    <w:p w:rsidR="00A30F1C" w:rsidRDefault="00A30F1C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224847" w:rsidRDefault="00224847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E1659F">
        <w:trPr>
          <w:trHeight w:val="339"/>
          <w:jc w:val="center"/>
        </w:trPr>
        <w:tc>
          <w:tcPr>
            <w:tcW w:w="5000" w:type="pct"/>
            <w:shd w:val="clear" w:color="auto" w:fill="D9D9D9"/>
          </w:tcPr>
          <w:p w:rsidR="00A30F1C" w:rsidRPr="00CD4982" w:rsidRDefault="00A30F1C" w:rsidP="00E165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:rsidTr="00E1659F">
        <w:trPr>
          <w:trHeight w:val="290"/>
          <w:jc w:val="center"/>
        </w:trPr>
        <w:tc>
          <w:tcPr>
            <w:tcW w:w="5000" w:type="pct"/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E1659F">
        <w:trPr>
          <w:trHeight w:val="557"/>
          <w:jc w:val="center"/>
        </w:trPr>
        <w:tc>
          <w:tcPr>
            <w:tcW w:w="1993" w:type="pct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</w:tcPr>
          <w:p w:rsidR="00A30F1C" w:rsidRPr="0040544D" w:rsidRDefault="0036652B" w:rsidP="00E52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 nemá vplyv na prístup k zdrojom, právam, tovarom a službám a nemá kvantifikovateľný vplyv na sociálnu inklúziu.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E1659F">
        <w:trPr>
          <w:jc w:val="center"/>
        </w:trPr>
        <w:tc>
          <w:tcPr>
            <w:tcW w:w="5000" w:type="pct"/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E1659F">
        <w:trPr>
          <w:trHeight w:val="677"/>
          <w:jc w:val="center"/>
        </w:trPr>
        <w:tc>
          <w:tcPr>
            <w:tcW w:w="1993" w:type="pct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</w:tcPr>
          <w:p w:rsidR="00A30F1C" w:rsidRPr="0040544D" w:rsidRDefault="0036652B" w:rsidP="00E52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Návrh môže mať pozitívny vplyv na hospodárenie rodín pedagogických zamestnancov,  ktoré patria do rizikových skupín.</w:t>
            </w:r>
          </w:p>
        </w:tc>
      </w:tr>
    </w:tbl>
    <w:p w:rsidR="00A87D5B" w:rsidRDefault="00A87D5B"/>
    <w:p w:rsidR="00C63956" w:rsidRDefault="00C63956" w:rsidP="00DA4453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C63956" w:rsidSect="0040544D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DA4453">
        <w:trPr>
          <w:jc w:val="center"/>
        </w:trPr>
        <w:tc>
          <w:tcPr>
            <w:tcW w:w="5000" w:type="pct"/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Default="00CA6BAF" w:rsidP="00DA4453">
      <w:pPr>
        <w:spacing w:after="0" w:line="240" w:lineRule="auto"/>
        <w:rPr>
          <w:rFonts w:ascii="Times New Roman" w:hAnsi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CD4982" w:rsidRPr="0040544D" w:rsidRDefault="00CD4982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RDefault="000A4EED" w:rsidP="00E524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 xml:space="preserve">Návrh dodržuje povinnosť rovnakého zaobchádzania. Nepredpokladá sa nepriama diskriminácia niektorých skupín obyvateľstva. 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trHeight w:val="345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:rsidTr="007B003C">
        <w:trPr>
          <w:trHeight w:val="1235"/>
          <w:jc w:val="center"/>
        </w:trPr>
        <w:tc>
          <w:tcPr>
            <w:tcW w:w="1993" w:type="pct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</w:tcPr>
          <w:p w:rsid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535CC2" w:rsidRPr="0040544D" w:rsidRDefault="00535CC2" w:rsidP="00E52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Nepredpokladá sa odlišný vplyv</w:t>
            </w:r>
            <w:r w:rsidR="00406B33">
              <w:rPr>
                <w:rFonts w:ascii="Times New Roman" w:hAnsi="Times New Roman"/>
                <w:sz w:val="20"/>
                <w:lang w:eastAsia="sk-SK"/>
              </w:rPr>
              <w:t xml:space="preserve"> návrhu </w:t>
            </w:r>
            <w:r>
              <w:rPr>
                <w:rFonts w:ascii="Times New Roman" w:hAnsi="Times New Roman"/>
                <w:sz w:val="20"/>
                <w:lang w:eastAsia="sk-SK"/>
              </w:rPr>
              <w:t>na ženy a</w:t>
            </w:r>
            <w:r w:rsidR="00406B33">
              <w:rPr>
                <w:rFonts w:ascii="Times New Roman" w:hAnsi="Times New Roman"/>
                <w:sz w:val="20"/>
                <w:lang w:eastAsia="sk-SK"/>
              </w:rPr>
              <w:t> </w:t>
            </w:r>
            <w:r>
              <w:rPr>
                <w:rFonts w:ascii="Times New Roman" w:hAnsi="Times New Roman"/>
                <w:sz w:val="20"/>
                <w:lang w:eastAsia="sk-SK"/>
              </w:rPr>
              <w:t>mužov</w:t>
            </w:r>
            <w:r w:rsidR="00406B33">
              <w:rPr>
                <w:rFonts w:ascii="Times New Roman" w:hAnsi="Times New Roman"/>
                <w:sz w:val="20"/>
                <w:lang w:eastAsia="sk-SK"/>
              </w:rPr>
              <w:t xml:space="preserve"> a ani zväčšovanie rodových nerovností.</w:t>
            </w:r>
          </w:p>
          <w:p w:rsid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="00994C53"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 w:rsidR="00994C53" w:rsidRPr="00994C53" w:rsidTr="000D226A">
        <w:trPr>
          <w:trHeight w:val="567"/>
          <w:jc w:val="center"/>
        </w:trPr>
        <w:tc>
          <w:tcPr>
            <w:tcW w:w="1993" w:type="pct"/>
            <w:tcBorders>
              <w:top w:val="nil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</w:tcBorders>
            <w:shd w:val="clear" w:color="auto" w:fill="FFFFFF"/>
          </w:tcPr>
          <w:p w:rsidR="00994C53" w:rsidRPr="00A30F1C" w:rsidRDefault="0036652B" w:rsidP="00413A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Návrh môže viesť k vzniku prepočítaných </w:t>
            </w:r>
            <w:r w:rsidR="00413A5C">
              <w:rPr>
                <w:rFonts w:ascii="Times New Roman" w:hAnsi="Times New Roman"/>
                <w:sz w:val="20"/>
                <w:szCs w:val="18"/>
              </w:rPr>
              <w:t>836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pracovných miest pedagogických zamestnancov a odborných zamestnancov.</w:t>
            </w:r>
          </w:p>
        </w:tc>
      </w:tr>
      <w:tr w:rsidR="00994C53" w:rsidRPr="00994C53" w:rsidTr="000D226A">
        <w:trPr>
          <w:trHeight w:val="270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994C53" w:rsidTr="000D226A">
        <w:trPr>
          <w:trHeight w:val="454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shd w:val="clear" w:color="auto" w:fill="FFFFFF"/>
          </w:tcPr>
          <w:p w:rsidR="00994C53" w:rsidRPr="00A30F1C" w:rsidRDefault="0036652B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Návrh nevedie k zániku pracovných miest. </w:t>
            </w:r>
          </w:p>
        </w:tc>
      </w:tr>
      <w:tr w:rsidR="00994C53" w:rsidRPr="00994C53" w:rsidTr="000D226A">
        <w:trPr>
          <w:trHeight w:val="24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994C53" w:rsidTr="000D226A">
        <w:trPr>
          <w:trHeight w:val="209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shd w:val="clear" w:color="auto" w:fill="FFFFFF"/>
          </w:tcPr>
          <w:p w:rsidR="00994C53" w:rsidRPr="00A30F1C" w:rsidRDefault="0036652B" w:rsidP="00E52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Návrh má priamy vplyv na zvýšenie </w:t>
            </w:r>
            <w:r w:rsidR="00AC6CD1">
              <w:rPr>
                <w:rFonts w:ascii="Times New Roman" w:hAnsi="Times New Roman"/>
                <w:sz w:val="20"/>
                <w:szCs w:val="18"/>
              </w:rPr>
              <w:t xml:space="preserve">dopytu po práci z dôvodu voľných pracovných miest. </w:t>
            </w:r>
          </w:p>
        </w:tc>
      </w:tr>
      <w:tr w:rsidR="00994C53" w:rsidRPr="00994C53" w:rsidTr="000D226A">
        <w:trPr>
          <w:trHeight w:val="20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994C53" w:rsidTr="000D226A">
        <w:trPr>
          <w:trHeight w:val="794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shd w:val="clear" w:color="auto" w:fill="FFFFFF"/>
          </w:tcPr>
          <w:p w:rsidR="00994C53" w:rsidRPr="00A30F1C" w:rsidRDefault="00406B33" w:rsidP="00E52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Zlepšenie prístupu k vzdelaniu </w:t>
            </w:r>
            <w:r w:rsidR="003E137B">
              <w:rPr>
                <w:rFonts w:ascii="Times New Roman" w:hAnsi="Times New Roman"/>
                <w:sz w:val="20"/>
                <w:szCs w:val="18"/>
              </w:rPr>
              <w:t>môže mať nepriamy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pozitívny vplyv na zvýšenie participácie na trhu práce.</w:t>
            </w:r>
          </w:p>
        </w:tc>
      </w:tr>
      <w:tr w:rsidR="00994C53" w:rsidRPr="00994C53" w:rsidTr="000D226A">
        <w:trPr>
          <w:trHeight w:val="324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994C53" w:rsidTr="000D226A">
        <w:trPr>
          <w:trHeight w:val="216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shd w:val="clear" w:color="auto" w:fill="FFFFFF"/>
          </w:tcPr>
          <w:p w:rsidR="00994C53" w:rsidRPr="00A30F1C" w:rsidRDefault="00AC6CD1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 w:rsidR="00994C53" w:rsidRPr="00994C53" w:rsidTr="000D226A">
        <w:trPr>
          <w:trHeight w:val="219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994C53" w:rsidTr="000D226A">
        <w:trPr>
          <w:trHeight w:val="497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shd w:val="clear" w:color="auto" w:fill="FFFFFF"/>
          </w:tcPr>
          <w:p w:rsidR="00994C53" w:rsidRPr="00A30F1C" w:rsidRDefault="00AC6CD1" w:rsidP="00E52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Návrh sa nezameriava na riešenie problémov špecifických vekových skupín. </w:t>
            </w:r>
          </w:p>
        </w:tc>
      </w:tr>
    </w:tbl>
    <w:p w:rsidR="00CB3623" w:rsidRDefault="00CB3623" w:rsidP="000E5710">
      <w:pPr>
        <w:spacing w:after="0" w:line="240" w:lineRule="auto"/>
        <w:outlineLvl w:val="0"/>
      </w:pPr>
    </w:p>
    <w:sectPr w:rsidR="00CB3623" w:rsidSect="000E5710">
      <w:footnotePr>
        <w:numFmt w:val="chicago"/>
      </w:footnotePr>
      <w:type w:val="continuous"/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DD" w:rsidRDefault="00D97ADD" w:rsidP="001D6749">
      <w:pPr>
        <w:spacing w:after="0" w:line="240" w:lineRule="auto"/>
      </w:pPr>
      <w:r>
        <w:separator/>
      </w:r>
    </w:p>
  </w:endnote>
  <w:endnote w:type="continuationSeparator" w:id="0">
    <w:p w:rsidR="00D97ADD" w:rsidRDefault="00D97ADD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47" w:rsidRPr="001D6749" w:rsidRDefault="00224847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DA19EE">
      <w:rPr>
        <w:rFonts w:ascii="Times New Roman" w:hAnsi="Times New Roman"/>
        <w:noProof/>
      </w:rPr>
      <w:t>3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1D6749" w:rsidRDefault="001D6749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DA19EE">
      <w:rPr>
        <w:rFonts w:ascii="Times New Roman" w:hAnsi="Times New Roman"/>
        <w:noProof/>
      </w:rPr>
      <w:t>5</w:t>
    </w:r>
    <w:r w:rsidRPr="001D674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DD" w:rsidRDefault="00D97ADD" w:rsidP="001D6749">
      <w:pPr>
        <w:spacing w:after="0" w:line="240" w:lineRule="auto"/>
      </w:pPr>
      <w:r>
        <w:separator/>
      </w:r>
    </w:p>
  </w:footnote>
  <w:footnote w:type="continuationSeparator" w:id="0">
    <w:p w:rsidR="00D97ADD" w:rsidRDefault="00D97ADD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47" w:rsidRPr="00CD4982" w:rsidRDefault="00224847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04EE9"/>
    <w:rsid w:val="000274D0"/>
    <w:rsid w:val="00052AB2"/>
    <w:rsid w:val="00072B62"/>
    <w:rsid w:val="000A4EED"/>
    <w:rsid w:val="000C7DC0"/>
    <w:rsid w:val="000D226A"/>
    <w:rsid w:val="000E5710"/>
    <w:rsid w:val="000E73F5"/>
    <w:rsid w:val="000F635E"/>
    <w:rsid w:val="001028D9"/>
    <w:rsid w:val="00104254"/>
    <w:rsid w:val="001079E8"/>
    <w:rsid w:val="001377C4"/>
    <w:rsid w:val="00147E59"/>
    <w:rsid w:val="00165321"/>
    <w:rsid w:val="00167F3C"/>
    <w:rsid w:val="001D6749"/>
    <w:rsid w:val="001F7932"/>
    <w:rsid w:val="00200CC9"/>
    <w:rsid w:val="00204D10"/>
    <w:rsid w:val="00224847"/>
    <w:rsid w:val="00227A26"/>
    <w:rsid w:val="002329D9"/>
    <w:rsid w:val="00234C99"/>
    <w:rsid w:val="0024564B"/>
    <w:rsid w:val="0026257E"/>
    <w:rsid w:val="00275F99"/>
    <w:rsid w:val="00292FE5"/>
    <w:rsid w:val="002B25FE"/>
    <w:rsid w:val="002B7C49"/>
    <w:rsid w:val="002C7CDD"/>
    <w:rsid w:val="00335689"/>
    <w:rsid w:val="00337B5D"/>
    <w:rsid w:val="0034192D"/>
    <w:rsid w:val="003541E9"/>
    <w:rsid w:val="00357E2A"/>
    <w:rsid w:val="00360E91"/>
    <w:rsid w:val="00362CBF"/>
    <w:rsid w:val="0036652B"/>
    <w:rsid w:val="003849C7"/>
    <w:rsid w:val="00396C63"/>
    <w:rsid w:val="003A380F"/>
    <w:rsid w:val="003A66A1"/>
    <w:rsid w:val="003E137B"/>
    <w:rsid w:val="003F7284"/>
    <w:rsid w:val="0040544D"/>
    <w:rsid w:val="00406B33"/>
    <w:rsid w:val="00413A5C"/>
    <w:rsid w:val="00466488"/>
    <w:rsid w:val="0048274C"/>
    <w:rsid w:val="004B79D3"/>
    <w:rsid w:val="004C5168"/>
    <w:rsid w:val="004F2664"/>
    <w:rsid w:val="004F7D0F"/>
    <w:rsid w:val="00512E25"/>
    <w:rsid w:val="0051643C"/>
    <w:rsid w:val="00520808"/>
    <w:rsid w:val="00535CC2"/>
    <w:rsid w:val="0054700B"/>
    <w:rsid w:val="00585AD3"/>
    <w:rsid w:val="005A57C8"/>
    <w:rsid w:val="005D2E55"/>
    <w:rsid w:val="00645601"/>
    <w:rsid w:val="00671045"/>
    <w:rsid w:val="006A2475"/>
    <w:rsid w:val="006B34DA"/>
    <w:rsid w:val="006D5FA4"/>
    <w:rsid w:val="007343C8"/>
    <w:rsid w:val="00774557"/>
    <w:rsid w:val="0079095D"/>
    <w:rsid w:val="007B003C"/>
    <w:rsid w:val="007B5706"/>
    <w:rsid w:val="00801515"/>
    <w:rsid w:val="008675D6"/>
    <w:rsid w:val="00881728"/>
    <w:rsid w:val="0088535A"/>
    <w:rsid w:val="0089790D"/>
    <w:rsid w:val="008A4F7C"/>
    <w:rsid w:val="009121D5"/>
    <w:rsid w:val="00913E05"/>
    <w:rsid w:val="00921D53"/>
    <w:rsid w:val="0092475B"/>
    <w:rsid w:val="00943698"/>
    <w:rsid w:val="009446E4"/>
    <w:rsid w:val="00972E46"/>
    <w:rsid w:val="00994C53"/>
    <w:rsid w:val="00997B26"/>
    <w:rsid w:val="009B2D5B"/>
    <w:rsid w:val="009B7010"/>
    <w:rsid w:val="009B755F"/>
    <w:rsid w:val="009F385D"/>
    <w:rsid w:val="00A17371"/>
    <w:rsid w:val="00A30F1C"/>
    <w:rsid w:val="00A36007"/>
    <w:rsid w:val="00A53AFA"/>
    <w:rsid w:val="00A605B0"/>
    <w:rsid w:val="00A87D5B"/>
    <w:rsid w:val="00AC6CD1"/>
    <w:rsid w:val="00AF2EB9"/>
    <w:rsid w:val="00AF39B8"/>
    <w:rsid w:val="00B316B0"/>
    <w:rsid w:val="00B4080A"/>
    <w:rsid w:val="00B437B3"/>
    <w:rsid w:val="00B55CDA"/>
    <w:rsid w:val="00B825E5"/>
    <w:rsid w:val="00B90A2F"/>
    <w:rsid w:val="00BC22E3"/>
    <w:rsid w:val="00BF7F0D"/>
    <w:rsid w:val="00C07B6D"/>
    <w:rsid w:val="00C15E8B"/>
    <w:rsid w:val="00C63956"/>
    <w:rsid w:val="00C66AC3"/>
    <w:rsid w:val="00C77AA2"/>
    <w:rsid w:val="00CA023C"/>
    <w:rsid w:val="00CA3E12"/>
    <w:rsid w:val="00CA6BAF"/>
    <w:rsid w:val="00CB3623"/>
    <w:rsid w:val="00CD4982"/>
    <w:rsid w:val="00D829FE"/>
    <w:rsid w:val="00D921AE"/>
    <w:rsid w:val="00D97ADD"/>
    <w:rsid w:val="00DA19EE"/>
    <w:rsid w:val="00DA4453"/>
    <w:rsid w:val="00DB07E0"/>
    <w:rsid w:val="00DD5F76"/>
    <w:rsid w:val="00E055C1"/>
    <w:rsid w:val="00E05819"/>
    <w:rsid w:val="00E1659F"/>
    <w:rsid w:val="00E22685"/>
    <w:rsid w:val="00E230F2"/>
    <w:rsid w:val="00E32827"/>
    <w:rsid w:val="00E40428"/>
    <w:rsid w:val="00E5246F"/>
    <w:rsid w:val="00E538C0"/>
    <w:rsid w:val="00EB33E1"/>
    <w:rsid w:val="00EC49B2"/>
    <w:rsid w:val="00ED2212"/>
    <w:rsid w:val="00EF0C21"/>
    <w:rsid w:val="00F038C9"/>
    <w:rsid w:val="00F2597D"/>
    <w:rsid w:val="00F30B4E"/>
    <w:rsid w:val="00F74B56"/>
    <w:rsid w:val="00F7696B"/>
    <w:rsid w:val="00F77D10"/>
    <w:rsid w:val="00F911C9"/>
    <w:rsid w:val="00F938A1"/>
    <w:rsid w:val="00FA11DD"/>
    <w:rsid w:val="00FB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6749"/>
    <w:rPr>
      <w:rFonts w:cs="Times New Roman"/>
      <w:sz w:val="20"/>
      <w:szCs w:val="20"/>
    </w:rPr>
  </w:style>
  <w:style w:type="character" w:styleId="Odkaznapoznmkupodiarou">
    <w:name w:val="footnote reference"/>
    <w:aliases w:val="Footnote symbol,Footnote reference number"/>
    <w:basedOn w:val="Predvolenpsmoodseku"/>
    <w:uiPriority w:val="99"/>
    <w:semiHidden/>
    <w:unhideWhenUsed/>
    <w:rsid w:val="001D674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67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D674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D4982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D4982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147E59"/>
    <w:rPr>
      <w:rFonts w:ascii="Times New Roman" w:hAnsi="Times New Roman"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6749"/>
    <w:rPr>
      <w:rFonts w:cs="Times New Roman"/>
      <w:sz w:val="20"/>
      <w:szCs w:val="20"/>
    </w:rPr>
  </w:style>
  <w:style w:type="character" w:styleId="Odkaznapoznmkupodiarou">
    <w:name w:val="footnote reference"/>
    <w:aliases w:val="Footnote symbol,Footnote reference number"/>
    <w:basedOn w:val="Predvolenpsmoodseku"/>
    <w:uiPriority w:val="99"/>
    <w:semiHidden/>
    <w:unhideWhenUsed/>
    <w:rsid w:val="001D674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67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D674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D4982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D4982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147E59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A41A-5EBC-42B4-83EF-D857FB7F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Sitarčík Ján</cp:lastModifiedBy>
  <cp:revision>2</cp:revision>
  <cp:lastPrinted>2017-03-13T13:43:00Z</cp:lastPrinted>
  <dcterms:created xsi:type="dcterms:W3CDTF">2018-12-06T14:31:00Z</dcterms:created>
  <dcterms:modified xsi:type="dcterms:W3CDTF">2018-12-06T14:31:00Z</dcterms:modified>
</cp:coreProperties>
</file>