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19"/>
        <w:gridCol w:w="4501"/>
        <w:gridCol w:w="1260"/>
        <w:gridCol w:w="1260"/>
        <w:gridCol w:w="1260"/>
        <w:gridCol w:w="4500"/>
        <w:gridCol w:w="720"/>
        <w:gridCol w:w="1620"/>
      </w:tblGrid>
      <w:tr w:rsidR="008C54C3" w:rsidTr="003536F2">
        <w:tc>
          <w:tcPr>
            <w:tcW w:w="15840" w:type="dxa"/>
            <w:gridSpan w:val="8"/>
            <w:tcBorders>
              <w:top w:val="single" w:sz="12" w:space="0" w:color="auto"/>
              <w:left w:val="single" w:sz="12" w:space="0" w:color="auto"/>
              <w:bottom w:val="single" w:sz="4" w:space="0" w:color="auto"/>
              <w:right w:val="single" w:sz="12" w:space="0" w:color="auto"/>
            </w:tcBorders>
          </w:tcPr>
          <w:p w:rsidR="006D4D8C" w:rsidRPr="006D4D8C" w:rsidRDefault="006D4D8C" w:rsidP="0087072B">
            <w:pPr>
              <w:pStyle w:val="Nadpis1"/>
              <w:rPr>
                <w:sz w:val="20"/>
                <w:szCs w:val="20"/>
              </w:rPr>
            </w:pPr>
            <w:r w:rsidRPr="006D4D8C">
              <w:rPr>
                <w:sz w:val="20"/>
                <w:szCs w:val="20"/>
              </w:rPr>
              <w:t>TABUĽKA  ZHODY</w:t>
            </w:r>
          </w:p>
          <w:p w:rsidR="008C54C3" w:rsidRDefault="006D4D8C" w:rsidP="0087072B">
            <w:pPr>
              <w:pStyle w:val="Nadpis1"/>
              <w:rPr>
                <w:b w:val="0"/>
                <w:bCs w:val="0"/>
                <w:sz w:val="20"/>
                <w:szCs w:val="20"/>
              </w:rPr>
            </w:pPr>
            <w:r w:rsidRPr="006D4D8C">
              <w:rPr>
                <w:sz w:val="20"/>
                <w:szCs w:val="20"/>
              </w:rPr>
              <w:t>s právom Európskej únie</w:t>
            </w:r>
          </w:p>
        </w:tc>
      </w:tr>
      <w:tr w:rsidR="008C54C3" w:rsidTr="003536F2">
        <w:trPr>
          <w:trHeight w:val="567"/>
        </w:trPr>
        <w:tc>
          <w:tcPr>
            <w:tcW w:w="6480" w:type="dxa"/>
            <w:gridSpan w:val="3"/>
            <w:tcBorders>
              <w:top w:val="single" w:sz="4" w:space="0" w:color="auto"/>
              <w:left w:val="single" w:sz="12" w:space="0" w:color="auto"/>
              <w:bottom w:val="single" w:sz="4" w:space="0" w:color="auto"/>
              <w:right w:val="single" w:sz="12" w:space="0" w:color="auto"/>
            </w:tcBorders>
          </w:tcPr>
          <w:p w:rsidR="008C54C3" w:rsidRDefault="006D4D8C" w:rsidP="00804833">
            <w:pPr>
              <w:pStyle w:val="Zkladntext3"/>
              <w:spacing w:line="240" w:lineRule="auto"/>
              <w:rPr>
                <w:sz w:val="20"/>
                <w:szCs w:val="20"/>
              </w:rPr>
            </w:pPr>
            <w:r w:rsidRPr="006D4D8C">
              <w:rPr>
                <w:b/>
                <w:bCs/>
                <w:sz w:val="20"/>
                <w:szCs w:val="20"/>
              </w:rPr>
              <w:t xml:space="preserve">Smernica Európskeho parlamentu a Rady </w:t>
            </w:r>
            <w:r w:rsidR="00804833">
              <w:rPr>
                <w:b/>
                <w:bCs/>
                <w:sz w:val="20"/>
                <w:szCs w:val="20"/>
              </w:rPr>
              <w:t>2006/54/ES</w:t>
            </w:r>
            <w:r w:rsidRPr="006D4D8C">
              <w:rPr>
                <w:b/>
                <w:bCs/>
                <w:sz w:val="20"/>
                <w:szCs w:val="20"/>
              </w:rPr>
              <w:t xml:space="preserve"> z </w:t>
            </w:r>
            <w:r w:rsidR="00804833">
              <w:rPr>
                <w:b/>
                <w:bCs/>
                <w:sz w:val="20"/>
                <w:szCs w:val="20"/>
              </w:rPr>
              <w:t xml:space="preserve">5. júla 2006 o vykonávaní zásady rovnosti príležitosti a rovnakého zaobchádzania s mužmi a ženami vo veciach zamestnanosti a povolania (prepracované znenie) </w:t>
            </w:r>
            <w:r w:rsidRPr="006D4D8C">
              <w:rPr>
                <w:b/>
                <w:bCs/>
                <w:sz w:val="20"/>
                <w:szCs w:val="20"/>
              </w:rPr>
              <w:t xml:space="preserve">(Ú. v. EÚ L </w:t>
            </w:r>
            <w:r w:rsidR="00804833">
              <w:rPr>
                <w:b/>
                <w:bCs/>
                <w:sz w:val="20"/>
                <w:szCs w:val="20"/>
              </w:rPr>
              <w:t>204</w:t>
            </w:r>
            <w:r w:rsidRPr="006D4D8C">
              <w:rPr>
                <w:b/>
                <w:bCs/>
                <w:sz w:val="20"/>
                <w:szCs w:val="20"/>
              </w:rPr>
              <w:t xml:space="preserve">, </w:t>
            </w:r>
            <w:r w:rsidR="00F75435">
              <w:rPr>
                <w:b/>
                <w:bCs/>
                <w:sz w:val="20"/>
                <w:szCs w:val="20"/>
              </w:rPr>
              <w:t xml:space="preserve">26. </w:t>
            </w:r>
            <w:r w:rsidR="00804833">
              <w:rPr>
                <w:b/>
                <w:bCs/>
                <w:sz w:val="20"/>
                <w:szCs w:val="20"/>
              </w:rPr>
              <w:t>7. 2006).</w:t>
            </w:r>
          </w:p>
        </w:tc>
        <w:tc>
          <w:tcPr>
            <w:tcW w:w="9360" w:type="dxa"/>
            <w:gridSpan w:val="5"/>
            <w:tcBorders>
              <w:top w:val="single" w:sz="4" w:space="0" w:color="auto"/>
              <w:left w:val="nil"/>
              <w:bottom w:val="single" w:sz="4" w:space="0" w:color="auto"/>
              <w:right w:val="single" w:sz="12" w:space="0" w:color="auto"/>
            </w:tcBorders>
          </w:tcPr>
          <w:p w:rsidR="008C54C3" w:rsidRDefault="00BE56CD" w:rsidP="0087072B">
            <w:pPr>
              <w:pStyle w:val="Hlavika"/>
              <w:tabs>
                <w:tab w:val="left" w:pos="709"/>
              </w:tabs>
              <w:rPr>
                <w:sz w:val="20"/>
                <w:szCs w:val="20"/>
              </w:rPr>
            </w:pPr>
            <w:r>
              <w:rPr>
                <w:b/>
                <w:bCs/>
                <w:sz w:val="20"/>
                <w:szCs w:val="20"/>
              </w:rPr>
              <w:t xml:space="preserve">1. </w:t>
            </w:r>
            <w:r w:rsidR="006D4D8C" w:rsidRPr="006B7AAB">
              <w:rPr>
                <w:b/>
                <w:bCs/>
                <w:sz w:val="20"/>
                <w:szCs w:val="20"/>
              </w:rPr>
              <w:t>Návrh zákona o pedagogických zamestnancoch a odborných zamestnancoch a o zmene a doplnení niektorých zákonov</w:t>
            </w:r>
            <w:r w:rsidR="006D4D8C">
              <w:rPr>
                <w:sz w:val="20"/>
                <w:szCs w:val="20"/>
              </w:rPr>
              <w:t xml:space="preserve"> </w:t>
            </w:r>
          </w:p>
          <w:p w:rsidR="00E5792C" w:rsidRPr="00E5792C" w:rsidRDefault="00BE56CD" w:rsidP="003F765A">
            <w:pPr>
              <w:pStyle w:val="Hlavika"/>
              <w:tabs>
                <w:tab w:val="left" w:pos="709"/>
              </w:tabs>
              <w:rPr>
                <w:b/>
                <w:sz w:val="20"/>
                <w:szCs w:val="20"/>
              </w:rPr>
            </w:pPr>
            <w:r w:rsidRPr="00BE56CD">
              <w:rPr>
                <w:b/>
                <w:sz w:val="20"/>
                <w:szCs w:val="20"/>
              </w:rPr>
              <w:t>2. Zákon č. 317/2009 Z. z. o pedagogických zamestnancoch a odborných zamestnancoch a o zmene a doplnení niektorých zákonov v znení neskorších predpisov</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jc w:val="center"/>
              <w:rPr>
                <w:sz w:val="20"/>
                <w:szCs w:val="20"/>
              </w:rPr>
            </w:pP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jc w:val="center"/>
              <w:rPr>
                <w:sz w:val="20"/>
                <w:szCs w:val="20"/>
              </w:rPr>
            </w:pPr>
            <w:r>
              <w:rPr>
                <w:sz w:val="20"/>
                <w:szCs w:val="20"/>
              </w:rPr>
              <w:t>3</w:t>
            </w:r>
          </w:p>
        </w:tc>
        <w:tc>
          <w:tcPr>
            <w:tcW w:w="1260" w:type="dxa"/>
            <w:tcBorders>
              <w:top w:val="single" w:sz="4" w:space="0" w:color="auto"/>
              <w:left w:val="nil"/>
              <w:bottom w:val="single" w:sz="4" w:space="0" w:color="auto"/>
              <w:right w:val="single" w:sz="4" w:space="0" w:color="auto"/>
            </w:tcBorders>
          </w:tcPr>
          <w:p w:rsidR="00A9063F" w:rsidRDefault="00A9063F" w:rsidP="0087072B">
            <w:pPr>
              <w:jc w:val="center"/>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5</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6</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7</w:t>
            </w:r>
          </w:p>
        </w:tc>
        <w:tc>
          <w:tcPr>
            <w:tcW w:w="1620" w:type="dxa"/>
            <w:tcBorders>
              <w:top w:val="single" w:sz="4" w:space="0" w:color="auto"/>
              <w:left w:val="single" w:sz="4" w:space="0" w:color="auto"/>
              <w:bottom w:val="single" w:sz="4" w:space="0" w:color="auto"/>
              <w:right w:val="single" w:sz="12" w:space="0" w:color="auto"/>
            </w:tcBorders>
          </w:tcPr>
          <w:p w:rsidR="00A9063F" w:rsidRDefault="005170A9" w:rsidP="0087072B">
            <w:pPr>
              <w:jc w:val="center"/>
              <w:rPr>
                <w:sz w:val="20"/>
                <w:szCs w:val="20"/>
              </w:rPr>
            </w:pPr>
            <w:r>
              <w:rPr>
                <w:sz w:val="20"/>
                <w:szCs w:val="20"/>
              </w:rPr>
              <w:t>8</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pStyle w:val="Normlny0"/>
              <w:jc w:val="center"/>
            </w:pPr>
            <w:r>
              <w:t>Článok</w:t>
            </w:r>
          </w:p>
          <w:p w:rsidR="00A9063F" w:rsidRDefault="00A9063F" w:rsidP="0087072B">
            <w:pPr>
              <w:pStyle w:val="Normlny0"/>
              <w:jc w:val="center"/>
            </w:pPr>
            <w:r>
              <w:t>(Č, O,</w:t>
            </w:r>
          </w:p>
          <w:p w:rsidR="00A9063F" w:rsidRDefault="00A9063F" w:rsidP="0087072B">
            <w:pPr>
              <w:pStyle w:val="Normlny0"/>
              <w:jc w:val="center"/>
            </w:pPr>
            <w:r>
              <w:t>V, P)</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 xml:space="preserve">Spôsob </w:t>
            </w:r>
            <w:proofErr w:type="spellStart"/>
            <w:r>
              <w:t>transp</w:t>
            </w:r>
            <w:proofErr w:type="spellEnd"/>
            <w:r>
              <w:t>.</w:t>
            </w:r>
          </w:p>
          <w:p w:rsidR="00A9063F" w:rsidRDefault="00A9063F" w:rsidP="0087072B">
            <w:pPr>
              <w:pStyle w:val="Normlny0"/>
              <w:jc w:val="center"/>
            </w:pPr>
            <w:r>
              <w:t xml:space="preserve">(N, O, D, </w:t>
            </w:r>
            <w:proofErr w:type="spellStart"/>
            <w:r>
              <w:t>n.a</w:t>
            </w:r>
            <w:proofErr w:type="spellEnd"/>
            <w:r>
              <w:t>.)</w:t>
            </w:r>
          </w:p>
        </w:tc>
        <w:tc>
          <w:tcPr>
            <w:tcW w:w="1260" w:type="dxa"/>
            <w:tcBorders>
              <w:top w:val="single" w:sz="4" w:space="0" w:color="auto"/>
              <w:left w:val="nil"/>
              <w:bottom w:val="single" w:sz="4" w:space="0" w:color="auto"/>
              <w:right w:val="single" w:sz="4" w:space="0" w:color="auto"/>
            </w:tcBorders>
          </w:tcPr>
          <w:p w:rsidR="00A9063F" w:rsidRDefault="00A9063F" w:rsidP="0087072B">
            <w:pPr>
              <w:pStyle w:val="Normlny0"/>
              <w:jc w:val="center"/>
            </w:pPr>
            <w:r>
              <w:t>Číslo</w:t>
            </w:r>
          </w:p>
          <w:p w:rsidR="00A9063F" w:rsidRDefault="00A9063F" w:rsidP="0087072B">
            <w:pPr>
              <w:pStyle w:val="Normlny0"/>
              <w:jc w:val="center"/>
            </w:pPr>
            <w:r>
              <w:t>predpisu</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Zhoda</w:t>
            </w:r>
          </w:p>
        </w:tc>
        <w:tc>
          <w:tcPr>
            <w:tcW w:w="162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Poznámky</w:t>
            </w:r>
          </w:p>
        </w:tc>
      </w:tr>
      <w:tr w:rsidR="006D4D8C" w:rsidTr="003536F2">
        <w:tc>
          <w:tcPr>
            <w:tcW w:w="719" w:type="dxa"/>
            <w:tcBorders>
              <w:top w:val="single" w:sz="4" w:space="0" w:color="auto"/>
              <w:left w:val="single" w:sz="12" w:space="0" w:color="auto"/>
              <w:bottom w:val="single" w:sz="4" w:space="0" w:color="auto"/>
              <w:right w:val="single" w:sz="4" w:space="0" w:color="auto"/>
            </w:tcBorders>
          </w:tcPr>
          <w:p w:rsidR="006D4D8C" w:rsidRDefault="006D4D8C" w:rsidP="003F765A">
            <w:pPr>
              <w:jc w:val="center"/>
              <w:rPr>
                <w:sz w:val="20"/>
                <w:szCs w:val="20"/>
              </w:rPr>
            </w:pPr>
            <w:r w:rsidRPr="006B7AAB">
              <w:rPr>
                <w:sz w:val="20"/>
                <w:szCs w:val="20"/>
              </w:rPr>
              <w:t>Č</w:t>
            </w:r>
            <w:r w:rsidR="003F765A">
              <w:rPr>
                <w:sz w:val="20"/>
                <w:szCs w:val="20"/>
              </w:rPr>
              <w:t>: 18</w:t>
            </w:r>
          </w:p>
        </w:tc>
        <w:tc>
          <w:tcPr>
            <w:tcW w:w="4501" w:type="dxa"/>
            <w:tcBorders>
              <w:top w:val="single" w:sz="4" w:space="0" w:color="auto"/>
              <w:left w:val="single" w:sz="4" w:space="0" w:color="auto"/>
              <w:bottom w:val="single" w:sz="4" w:space="0" w:color="auto"/>
              <w:right w:val="single" w:sz="4" w:space="0" w:color="auto"/>
            </w:tcBorders>
          </w:tcPr>
          <w:p w:rsidR="003F765A" w:rsidRPr="003F765A" w:rsidRDefault="003F765A" w:rsidP="003F765A">
            <w:pPr>
              <w:adjustRightInd w:val="0"/>
              <w:jc w:val="both"/>
              <w:rPr>
                <w:rFonts w:eastAsia="EUAlbertina-Regular-Identity-H"/>
                <w:sz w:val="20"/>
                <w:szCs w:val="20"/>
              </w:rPr>
            </w:pPr>
            <w:r w:rsidRPr="003F765A">
              <w:rPr>
                <w:rFonts w:eastAsia="EUAlbertina-Regular-Identity-H"/>
                <w:sz w:val="20"/>
                <w:szCs w:val="20"/>
              </w:rPr>
              <w:t>Náhrada alebo náprava</w:t>
            </w:r>
          </w:p>
          <w:p w:rsidR="006D4D8C" w:rsidRPr="006B7AAB" w:rsidRDefault="003F765A" w:rsidP="003F765A">
            <w:pPr>
              <w:adjustRightInd w:val="0"/>
              <w:jc w:val="both"/>
              <w:rPr>
                <w:rFonts w:eastAsia="EUAlbertina-Regular-Identity-H"/>
                <w:sz w:val="20"/>
                <w:szCs w:val="20"/>
              </w:rPr>
            </w:pPr>
            <w:r w:rsidRPr="003F765A">
              <w:rPr>
                <w:rFonts w:eastAsia="EUAlbertina-Regular-Identity-H"/>
                <w:sz w:val="20"/>
                <w:szCs w:val="20"/>
              </w:rPr>
              <w:t>Členské štáty zavedú do svojich vnútroštátnych právnych systémov také opatrenia, ktoré sú potrebné na zabezpečenie skutočnej a účinnej náhrady alebo nápravy, ak tak členské štáty rozhodnú v otázke straty a škody, ktorú utrpela poškodená osoba v dôsledku diskriminácie z dôvodu pohlavia, a to takým spôsobom, ktorý je odrádzajúci a primeraný utrpenej škode. Takáto náhrada alebo náprava sa nesmie obmedziť stanovením hornej hraničnej hodnoty vopred, okrem prípadov, v ktorých môže zamestnávateľ dokázať, že jediná škoda, ktorú žiadateľ utrpel v dôsledku diskriminácie v zmysle tejto smernice je odmietnutie vziať do úvahy jeho žiadosť o zamestnanie.</w:t>
            </w:r>
          </w:p>
        </w:tc>
        <w:tc>
          <w:tcPr>
            <w:tcW w:w="1260" w:type="dxa"/>
            <w:tcBorders>
              <w:top w:val="single" w:sz="4" w:space="0" w:color="auto"/>
              <w:left w:val="single" w:sz="4" w:space="0" w:color="auto"/>
              <w:bottom w:val="single" w:sz="4" w:space="0" w:color="auto"/>
              <w:right w:val="single" w:sz="12" w:space="0" w:color="auto"/>
            </w:tcBorders>
          </w:tcPr>
          <w:p w:rsidR="006D4D8C" w:rsidRDefault="006D4D8C" w:rsidP="0087072B">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D4D8C" w:rsidRDefault="006D4D8C" w:rsidP="0087072B">
            <w:pPr>
              <w:pStyle w:val="Normlny0"/>
              <w:jc w:val="center"/>
            </w:pPr>
            <w:r>
              <w:t>Návrh</w:t>
            </w:r>
          </w:p>
          <w:p w:rsidR="003F765A" w:rsidRDefault="003F765A"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B1126D" w:rsidRDefault="00B1126D" w:rsidP="0087072B">
            <w:pPr>
              <w:pStyle w:val="Normlny0"/>
              <w:jc w:val="center"/>
            </w:pPr>
          </w:p>
          <w:p w:rsidR="00B1126D" w:rsidRDefault="00B1126D" w:rsidP="0087072B">
            <w:pPr>
              <w:pStyle w:val="Normlny0"/>
              <w:jc w:val="center"/>
            </w:pPr>
          </w:p>
          <w:p w:rsidR="00B1126D" w:rsidRDefault="00B1126D" w:rsidP="0087072B">
            <w:pPr>
              <w:pStyle w:val="Normlny0"/>
              <w:jc w:val="center"/>
            </w:pPr>
          </w:p>
          <w:p w:rsidR="00F41655" w:rsidRDefault="00F41655" w:rsidP="0087072B">
            <w:pPr>
              <w:pStyle w:val="Normlny0"/>
              <w:jc w:val="center"/>
            </w:pPr>
          </w:p>
          <w:p w:rsidR="003F765A" w:rsidRDefault="003F765A" w:rsidP="0087072B">
            <w:pPr>
              <w:pStyle w:val="Normlny0"/>
              <w:jc w:val="center"/>
            </w:pPr>
            <w:r>
              <w:t xml:space="preserve">Zákon č. 317/2009 Z. z. </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1B092B">
            <w:pPr>
              <w:pStyle w:val="Normlny0"/>
            </w:pPr>
          </w:p>
          <w:p w:rsidR="006D4D8C" w:rsidRDefault="006D4D8C" w:rsidP="0087072B">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6D4D8C" w:rsidRDefault="001B092B" w:rsidP="0087072B">
            <w:pPr>
              <w:pStyle w:val="Normlny0"/>
              <w:jc w:val="center"/>
            </w:pPr>
            <w:r>
              <w:lastRenderedPageBreak/>
              <w:t>§ 3</w:t>
            </w:r>
          </w:p>
          <w:p w:rsidR="001B092B" w:rsidRDefault="001B092B" w:rsidP="0087072B">
            <w:pPr>
              <w:pStyle w:val="Normlny0"/>
              <w:jc w:val="center"/>
            </w:pPr>
            <w:r>
              <w:t>O: 1</w:t>
            </w:r>
          </w:p>
          <w:p w:rsidR="001B092B" w:rsidRDefault="001B092B" w:rsidP="0087072B">
            <w:pPr>
              <w:pStyle w:val="Normlny0"/>
              <w:jc w:val="center"/>
            </w:pPr>
            <w:r>
              <w:t>P: a) až c)</w:t>
            </w:r>
          </w:p>
          <w:p w:rsidR="00BE56CD" w:rsidRDefault="00BE56CD"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B1126D" w:rsidRDefault="00B1126D" w:rsidP="0087072B">
            <w:pPr>
              <w:pStyle w:val="Normlny0"/>
              <w:jc w:val="center"/>
            </w:pPr>
          </w:p>
          <w:p w:rsidR="00B1126D" w:rsidRDefault="00B1126D" w:rsidP="0087072B">
            <w:pPr>
              <w:pStyle w:val="Normlny0"/>
              <w:jc w:val="center"/>
            </w:pPr>
          </w:p>
          <w:p w:rsidR="00B1126D" w:rsidRDefault="00B1126D" w:rsidP="0087072B">
            <w:pPr>
              <w:pStyle w:val="Normlny0"/>
              <w:jc w:val="center"/>
            </w:pPr>
          </w:p>
          <w:p w:rsidR="00BE56CD" w:rsidRDefault="002853CC" w:rsidP="0087072B">
            <w:pPr>
              <w:pStyle w:val="Normlny0"/>
              <w:jc w:val="center"/>
            </w:pPr>
            <w:r>
              <w:t>§ 5</w:t>
            </w:r>
          </w:p>
          <w:p w:rsidR="002853CC" w:rsidRDefault="002853CC" w:rsidP="0087072B">
            <w:pPr>
              <w:pStyle w:val="Normlny0"/>
              <w:jc w:val="center"/>
            </w:pPr>
            <w:r>
              <w:t>O: 4 a 5</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C9657B" w:rsidRDefault="00C9657B" w:rsidP="001B092B">
            <w:pPr>
              <w:pStyle w:val="Normlny0"/>
            </w:pPr>
          </w:p>
        </w:tc>
        <w:tc>
          <w:tcPr>
            <w:tcW w:w="4500" w:type="dxa"/>
            <w:tcBorders>
              <w:top w:val="single" w:sz="4" w:space="0" w:color="auto"/>
              <w:left w:val="single" w:sz="4" w:space="0" w:color="auto"/>
              <w:bottom w:val="single" w:sz="4" w:space="0" w:color="auto"/>
              <w:right w:val="single" w:sz="4" w:space="0" w:color="auto"/>
            </w:tcBorders>
          </w:tcPr>
          <w:p w:rsidR="00B1126D" w:rsidRDefault="001B092B" w:rsidP="00B1126D">
            <w:pPr>
              <w:pStyle w:val="Normlny0"/>
              <w:jc w:val="both"/>
            </w:pPr>
            <w:r>
              <w:t>(</w:t>
            </w:r>
            <w:r w:rsidR="00B1126D">
              <w:t xml:space="preserve">1) Pedagogický zamestnanec a odborný zamestnanec má pri výkone pracovnej činnosti právo na </w:t>
            </w:r>
          </w:p>
          <w:p w:rsidR="00B1126D" w:rsidRDefault="00B1126D" w:rsidP="00B1126D">
            <w:pPr>
              <w:pStyle w:val="Normlny0"/>
              <w:jc w:val="both"/>
            </w:pPr>
            <w:r>
              <w:t>a) zabezpečenie podmienok potrebných na výkon pracovnej činnosti, najmä na ochranu pred prejavmi násilia zo strany detí, žiakov, poslucháčov, zákonných zástupcov alebo iných osôb, ktoré majú dieťa zverené do starostlivosti na základe rozhodnutia súdu a</w:t>
            </w:r>
            <w:r w:rsidR="0083210E">
              <w:t> zo strany</w:t>
            </w:r>
            <w:r>
              <w:t xml:space="preserve"> ďalších fyzických osôb alebo právnických osôb, </w:t>
            </w:r>
          </w:p>
          <w:p w:rsidR="00B1126D" w:rsidRDefault="00B1126D" w:rsidP="00B1126D">
            <w:pPr>
              <w:pStyle w:val="Normlny0"/>
              <w:jc w:val="both"/>
            </w:pPr>
            <w:r>
              <w:t>b) ochranu pred sociálno-patologickými prejavmi v správaní vedúcich pedagogických zamestnancov, vedúcich odborných zamestnancov, ďalších zamestnancov, zriaďovateľa,</w:t>
            </w:r>
            <w:r>
              <w:rPr>
                <w:vertAlign w:val="superscript"/>
              </w:rPr>
              <w:t>6</w:t>
            </w:r>
            <w:r>
              <w:t xml:space="preserve">  zákonných zástupcov, iných fyzických osôb alebo právnických osôb, </w:t>
            </w:r>
          </w:p>
          <w:p w:rsidR="00B1126D" w:rsidRDefault="00B1126D" w:rsidP="00B1126D">
            <w:pPr>
              <w:pStyle w:val="Normlny0"/>
              <w:jc w:val="both"/>
            </w:pPr>
            <w:r>
              <w:t xml:space="preserve">c) ochranu pred neodborným zasahovaním do výkonu pracovnej činnosti, </w:t>
            </w:r>
            <w:bookmarkStart w:id="0" w:name="_GoBack"/>
            <w:bookmarkEnd w:id="0"/>
          </w:p>
          <w:p w:rsidR="00B1126D" w:rsidRDefault="00B1126D" w:rsidP="00B1126D">
            <w:pPr>
              <w:pStyle w:val="Normlny0"/>
              <w:jc w:val="both"/>
            </w:pPr>
          </w:p>
          <w:p w:rsidR="00B1126D" w:rsidRDefault="00B1126D" w:rsidP="00B1126D">
            <w:pPr>
              <w:pStyle w:val="Normlny0"/>
              <w:jc w:val="both"/>
            </w:pPr>
            <w:r w:rsidRPr="00DC5E4F">
              <w:rPr>
                <w:vertAlign w:val="superscript"/>
              </w:rPr>
              <w:t>6</w:t>
            </w:r>
            <w:r>
              <w:t>) § 19 ods. 2 zákona č. 596/2003 Z. z. o štátnej správe v školstve a školskej samospráve a o zmene a doplnení niektorých zákonov v znení neskorších predpisov.</w:t>
            </w:r>
          </w:p>
          <w:p w:rsidR="00F41655" w:rsidRDefault="00F41655" w:rsidP="0087072B">
            <w:pPr>
              <w:pStyle w:val="Normlny0"/>
              <w:jc w:val="both"/>
            </w:pPr>
          </w:p>
          <w:p w:rsidR="002853CC" w:rsidRDefault="002853CC" w:rsidP="002853CC">
            <w:pPr>
              <w:pStyle w:val="Normlny0"/>
              <w:jc w:val="both"/>
            </w:pPr>
            <w:r>
              <w:t>4) Nikto nesmie povinnosti a práva zneužívať na škodu druhého pedagogického zamestnanca alebo odborného zamestnanca. Pedagogický zamestnanec a odborný zamestnanec nesmie byť v súvislosti s výkonom svojich práv prenasledovaný ani inak postihovaný za to, že podá na iného pedagogického zamestnanca, odborného zamestnanca alebo iného zamestnanca školy alebo školského zariadenia sťažnosť, žalobu alebo podnet na začatie trestného stíhania.</w:t>
            </w:r>
          </w:p>
          <w:p w:rsidR="002853CC" w:rsidRDefault="002853CC" w:rsidP="002853CC">
            <w:pPr>
              <w:pStyle w:val="Normlny0"/>
              <w:jc w:val="both"/>
            </w:pPr>
          </w:p>
          <w:p w:rsidR="002853CC" w:rsidRDefault="002853CC" w:rsidP="002853CC">
            <w:pPr>
              <w:pStyle w:val="Normlny0"/>
              <w:jc w:val="both"/>
            </w:pPr>
            <w:r>
              <w:t>(5) Zamestnávateľ nesmie pedagogického zamestnanca alebo odborného zamestnanca postihovať alebo znevýhodňovať, len preto, že uplatňuje svoje práva podľa tohto zákona.</w:t>
            </w:r>
          </w:p>
        </w:tc>
        <w:tc>
          <w:tcPr>
            <w:tcW w:w="720" w:type="dxa"/>
            <w:tcBorders>
              <w:top w:val="single" w:sz="4" w:space="0" w:color="auto"/>
              <w:left w:val="single" w:sz="4" w:space="0" w:color="auto"/>
              <w:bottom w:val="single" w:sz="4" w:space="0" w:color="auto"/>
              <w:right w:val="single" w:sz="4" w:space="0" w:color="auto"/>
            </w:tcBorders>
          </w:tcPr>
          <w:p w:rsidR="006D4D8C" w:rsidRDefault="006D4D8C" w:rsidP="0087072B">
            <w:pPr>
              <w:jc w:val="center"/>
              <w:rPr>
                <w:sz w:val="20"/>
                <w:szCs w:val="20"/>
              </w:rPr>
            </w:pPr>
            <w:r>
              <w:rPr>
                <w:sz w:val="20"/>
                <w:szCs w:val="20"/>
              </w:rPr>
              <w:t>U</w:t>
            </w:r>
          </w:p>
        </w:tc>
        <w:tc>
          <w:tcPr>
            <w:tcW w:w="1620" w:type="dxa"/>
            <w:tcBorders>
              <w:top w:val="single" w:sz="4" w:space="0" w:color="auto"/>
              <w:left w:val="single" w:sz="4" w:space="0" w:color="auto"/>
              <w:bottom w:val="single" w:sz="4" w:space="0" w:color="auto"/>
              <w:right w:val="single" w:sz="12" w:space="0" w:color="auto"/>
            </w:tcBorders>
          </w:tcPr>
          <w:p w:rsidR="006D4D8C" w:rsidRDefault="0059575A" w:rsidP="0059575A">
            <w:pPr>
              <w:pStyle w:val="Nadpis1"/>
              <w:rPr>
                <w:b w:val="0"/>
                <w:bCs w:val="0"/>
                <w:sz w:val="20"/>
                <w:szCs w:val="20"/>
              </w:rPr>
            </w:pPr>
            <w:r>
              <w:rPr>
                <w:b w:val="0"/>
                <w:bCs w:val="0"/>
                <w:sz w:val="20"/>
                <w:szCs w:val="20"/>
              </w:rPr>
              <w:t>O</w:t>
            </w:r>
            <w:r w:rsidRPr="0059575A">
              <w:rPr>
                <w:b w:val="0"/>
                <w:bCs w:val="0"/>
                <w:sz w:val="20"/>
                <w:szCs w:val="20"/>
              </w:rPr>
              <w:t xml:space="preserve">chranu a </w:t>
            </w:r>
            <w:r>
              <w:rPr>
                <w:b w:val="0"/>
                <w:bCs w:val="0"/>
                <w:sz w:val="20"/>
                <w:szCs w:val="20"/>
              </w:rPr>
              <w:t>k</w:t>
            </w:r>
            <w:r w:rsidRPr="0059575A">
              <w:rPr>
                <w:b w:val="0"/>
                <w:bCs w:val="0"/>
                <w:sz w:val="20"/>
                <w:szCs w:val="20"/>
              </w:rPr>
              <w:t>onanie vo veciach súvisiacich s porušením zásady rovnakého zaobchádzania vo všeobecnej rovine, aj  náhradu alebo nápravu, pri škode</w:t>
            </w:r>
            <w:r>
              <w:rPr>
                <w:b w:val="0"/>
                <w:bCs w:val="0"/>
                <w:sz w:val="20"/>
                <w:szCs w:val="20"/>
              </w:rPr>
              <w:t xml:space="preserve"> upravuje § 9 zákona č. </w:t>
            </w:r>
            <w:r w:rsidRPr="0059575A">
              <w:rPr>
                <w:b w:val="0"/>
                <w:bCs w:val="0"/>
                <w:sz w:val="20"/>
                <w:szCs w:val="20"/>
              </w:rPr>
              <w:t xml:space="preserve">365/2004 </w:t>
            </w:r>
            <w:r>
              <w:rPr>
                <w:b w:val="0"/>
                <w:bCs w:val="0"/>
                <w:sz w:val="20"/>
                <w:szCs w:val="20"/>
              </w:rPr>
              <w:t xml:space="preserve">Z. z. </w:t>
            </w:r>
            <w:r w:rsidRPr="0059575A">
              <w:rPr>
                <w:b w:val="0"/>
                <w:bCs w:val="0"/>
                <w:sz w:val="20"/>
                <w:szCs w:val="20"/>
              </w:rPr>
              <w:t>o rovnakom zaobchádzaní v niektorých oblastiach a o ochrane pred diskrimináciou a o zmene a doplnení niektorých zákonov (antidiskriminačný zákon)</w:t>
            </w:r>
            <w:r>
              <w:rPr>
                <w:b w:val="0"/>
                <w:bCs w:val="0"/>
                <w:sz w:val="20"/>
                <w:szCs w:val="20"/>
              </w:rPr>
              <w:t>.</w:t>
            </w:r>
          </w:p>
        </w:tc>
      </w:tr>
    </w:tbl>
    <w:p w:rsidR="004A6AE9" w:rsidRDefault="004A6AE9" w:rsidP="00F41655">
      <w:pPr>
        <w:autoSpaceDE/>
        <w:autoSpaceDN/>
        <w:rPr>
          <w:sz w:val="20"/>
          <w:szCs w:val="20"/>
        </w:rPr>
      </w:pPr>
    </w:p>
    <w:p w:rsidR="004A6AE9" w:rsidRDefault="004A6AE9" w:rsidP="0087072B">
      <w:pPr>
        <w:autoSpaceDE/>
        <w:autoSpaceDN/>
        <w:ind w:hanging="540"/>
        <w:rPr>
          <w:sz w:val="20"/>
          <w:szCs w:val="20"/>
        </w:rPr>
      </w:pPr>
    </w:p>
    <w:p w:rsidR="008C54C3" w:rsidRDefault="008C54C3" w:rsidP="0087072B">
      <w:pPr>
        <w:autoSpaceDE/>
        <w:autoSpaceDN/>
        <w:ind w:hanging="540"/>
        <w:rPr>
          <w:sz w:val="20"/>
          <w:szCs w:val="20"/>
        </w:rPr>
      </w:pPr>
      <w:r>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Tr="00873DF3">
        <w:tc>
          <w:tcPr>
            <w:tcW w:w="252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(1):</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 xml:space="preserve">P – </w:t>
            </w:r>
            <w:r w:rsidR="00DA0F6C">
              <w:rPr>
                <w:sz w:val="20"/>
                <w:szCs w:val="20"/>
              </w:rPr>
              <w:t>číslo</w:t>
            </w:r>
            <w:r>
              <w:rPr>
                <w:sz w:val="20"/>
                <w:szCs w:val="20"/>
              </w:rPr>
              <w:t xml:space="preserve"> (</w:t>
            </w:r>
            <w:r w:rsidR="00DA0F6C">
              <w:rPr>
                <w:sz w:val="20"/>
                <w:szCs w:val="20"/>
              </w:rPr>
              <w:t>písmeno</w:t>
            </w:r>
            <w:r>
              <w:rPr>
                <w:sz w:val="20"/>
                <w:szCs w:val="20"/>
              </w:rPr>
              <w:t>)</w:t>
            </w:r>
          </w:p>
          <w:p w:rsidR="008C54C3" w:rsidRDefault="008C54C3" w:rsidP="0087072B">
            <w:pPr>
              <w:autoSpaceDE/>
              <w:autoSpaceDN/>
              <w:rPr>
                <w:sz w:val="20"/>
                <w:szCs w:val="20"/>
              </w:rPr>
            </w:pPr>
          </w:p>
        </w:tc>
        <w:tc>
          <w:tcPr>
            <w:tcW w:w="41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(3):</w:t>
            </w:r>
          </w:p>
          <w:p w:rsidR="008C54C3" w:rsidRDefault="008C54C3" w:rsidP="0087072B">
            <w:pPr>
              <w:autoSpaceDE/>
              <w:autoSpaceDN/>
              <w:rPr>
                <w:sz w:val="20"/>
                <w:szCs w:val="20"/>
              </w:rPr>
            </w:pPr>
            <w:r>
              <w:rPr>
                <w:sz w:val="20"/>
                <w:szCs w:val="20"/>
              </w:rPr>
              <w:t>N – bežná transpozícia</w:t>
            </w:r>
          </w:p>
          <w:p w:rsidR="008C54C3" w:rsidRDefault="008C54C3" w:rsidP="0087072B">
            <w:pPr>
              <w:autoSpaceDE/>
              <w:autoSpaceDN/>
              <w:rPr>
                <w:sz w:val="20"/>
                <w:szCs w:val="20"/>
              </w:rPr>
            </w:pPr>
            <w:r>
              <w:rPr>
                <w:sz w:val="20"/>
                <w:szCs w:val="20"/>
              </w:rPr>
              <w:t>O – transpozícia s možnosťou voľby</w:t>
            </w:r>
          </w:p>
          <w:p w:rsidR="008C54C3" w:rsidRDefault="008C54C3" w:rsidP="0087072B">
            <w:pPr>
              <w:autoSpaceDE/>
              <w:autoSpaceDN/>
              <w:rPr>
                <w:sz w:val="20"/>
                <w:szCs w:val="20"/>
              </w:rPr>
            </w:pPr>
            <w:r>
              <w:rPr>
                <w:sz w:val="20"/>
                <w:szCs w:val="20"/>
              </w:rPr>
              <w:t>D – transpozícia podľa úvahy (dobrovoľná)</w:t>
            </w:r>
          </w:p>
          <w:p w:rsidR="008C54C3" w:rsidRDefault="008C54C3" w:rsidP="0087072B">
            <w:pPr>
              <w:autoSpaceDE/>
              <w:autoSpaceDN/>
              <w:rPr>
                <w:sz w:val="20"/>
                <w:szCs w:val="20"/>
              </w:rPr>
            </w:pPr>
            <w:proofErr w:type="spellStart"/>
            <w:r>
              <w:rPr>
                <w:sz w:val="20"/>
                <w:szCs w:val="20"/>
              </w:rPr>
              <w:t>n.a</w:t>
            </w:r>
            <w:proofErr w:type="spellEnd"/>
            <w:r>
              <w:rPr>
                <w:sz w:val="20"/>
                <w:szCs w:val="20"/>
              </w:rPr>
              <w:t>. – transpozícia sa neuskutočňuje</w:t>
            </w:r>
          </w:p>
        </w:tc>
        <w:tc>
          <w:tcPr>
            <w:tcW w:w="23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(5):</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 – paragraf</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P – písmeno (číslo)</w:t>
            </w:r>
          </w:p>
        </w:tc>
        <w:tc>
          <w:tcPr>
            <w:tcW w:w="720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(7):</w:t>
            </w:r>
          </w:p>
          <w:p w:rsidR="008C54C3" w:rsidRDefault="008C54C3" w:rsidP="0087072B">
            <w:pPr>
              <w:autoSpaceDE/>
              <w:autoSpaceDN/>
              <w:ind w:left="290" w:hanging="290"/>
              <w:rPr>
                <w:sz w:val="20"/>
                <w:szCs w:val="20"/>
              </w:rPr>
            </w:pPr>
            <w:r>
              <w:rPr>
                <w:sz w:val="20"/>
                <w:szCs w:val="20"/>
              </w:rPr>
              <w:t>Ú – úplná zhoda (ak bolo ustanovenie smernice prebraté v celom rozsahu, správne, v príslušnej form</w:t>
            </w:r>
            <w:r w:rsidR="00391DC5">
              <w:rPr>
                <w:sz w:val="20"/>
                <w:szCs w:val="20"/>
              </w:rPr>
              <w:t>e</w:t>
            </w:r>
            <w:r>
              <w:rPr>
                <w:sz w:val="20"/>
                <w:szCs w:val="20"/>
              </w:rPr>
              <w:t xml:space="preserve">, so zabezpečenou inštitucionálnou </w:t>
            </w:r>
            <w:r w:rsidR="00873DF3">
              <w:rPr>
                <w:sz w:val="20"/>
                <w:szCs w:val="20"/>
              </w:rPr>
              <w:t>i</w:t>
            </w:r>
            <w:r>
              <w:rPr>
                <w:sz w:val="20"/>
                <w:szCs w:val="20"/>
              </w:rPr>
              <w:t>nfraštruktúrou, s príslušnými sankciami a vo vzájomnej súvislosti)</w:t>
            </w:r>
          </w:p>
          <w:p w:rsidR="008C54C3" w:rsidRDefault="008C54C3" w:rsidP="0087072B">
            <w:pPr>
              <w:autoSpaceDE/>
              <w:autoSpaceDN/>
              <w:rPr>
                <w:sz w:val="20"/>
                <w:szCs w:val="20"/>
              </w:rPr>
            </w:pPr>
            <w:r>
              <w:rPr>
                <w:sz w:val="20"/>
                <w:szCs w:val="20"/>
              </w:rPr>
              <w:t>Č – čiastočná zhoda (ak minimálne jedna z podmienok úplnej zhody nie je splnená)</w:t>
            </w:r>
          </w:p>
          <w:p w:rsidR="008C54C3" w:rsidRDefault="008C54C3" w:rsidP="0087072B">
            <w:pPr>
              <w:pStyle w:val="Zarkazkladnhotextu2"/>
            </w:pPr>
            <w:r>
              <w:t>Ž – žiadna zhoda (ak nebola dosiahnutá ani úplná ani čiast</w:t>
            </w:r>
            <w:r w:rsidR="00873DF3">
              <w:t>očná</w:t>
            </w:r>
            <w:r>
              <w:t xml:space="preserve"> zhoda alebo k prebratiu dôjde v budúcnosti)</w:t>
            </w:r>
          </w:p>
          <w:p w:rsidR="008C54C3" w:rsidRDefault="008C54C3" w:rsidP="0087072B">
            <w:pPr>
              <w:autoSpaceDE/>
              <w:autoSpaceDN/>
              <w:ind w:left="290" w:hanging="290"/>
              <w:rPr>
                <w:sz w:val="20"/>
                <w:szCs w:val="20"/>
              </w:rPr>
            </w:pPr>
            <w:proofErr w:type="spellStart"/>
            <w:r>
              <w:rPr>
                <w:sz w:val="20"/>
                <w:szCs w:val="20"/>
              </w:rPr>
              <w:t>n.a</w:t>
            </w:r>
            <w:proofErr w:type="spellEnd"/>
            <w:r>
              <w:rPr>
                <w:sz w:val="20"/>
                <w:szCs w:val="20"/>
              </w:rPr>
              <w:t>. – neaplikovateľnosť (ak sa ustanovenie smernice netýka SR alebo nie je potrebné ho prebrať)</w:t>
            </w:r>
          </w:p>
        </w:tc>
      </w:tr>
    </w:tbl>
    <w:p w:rsidR="008C54C3" w:rsidRDefault="008C54C3" w:rsidP="0087072B">
      <w:pPr>
        <w:pStyle w:val="Hlavika"/>
        <w:tabs>
          <w:tab w:val="clear" w:pos="4536"/>
          <w:tab w:val="clear" w:pos="9072"/>
        </w:tabs>
        <w:autoSpaceDE/>
        <w:autoSpaceDN/>
      </w:pPr>
    </w:p>
    <w:sectPr w:rsidR="008C54C3" w:rsidSect="004A6AE9">
      <w:footerReference w:type="default" r:id="rId8"/>
      <w:pgSz w:w="16838" w:h="11906" w:orient="landscape" w:code="9"/>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159" w:rsidRDefault="00527159">
      <w:r>
        <w:separator/>
      </w:r>
    </w:p>
  </w:endnote>
  <w:endnote w:type="continuationSeparator" w:id="0">
    <w:p w:rsidR="00527159" w:rsidRDefault="0052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3210E">
      <w:rPr>
        <w:rStyle w:val="slostrany"/>
        <w:noProof/>
      </w:rPr>
      <w:t>2</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159" w:rsidRDefault="00527159">
      <w:r>
        <w:separator/>
      </w:r>
    </w:p>
  </w:footnote>
  <w:footnote w:type="continuationSeparator" w:id="0">
    <w:p w:rsidR="00527159" w:rsidRDefault="00527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4"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5"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7"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5241"/>
    <w:rsid w:val="00077201"/>
    <w:rsid w:val="000C5DC0"/>
    <w:rsid w:val="000D5503"/>
    <w:rsid w:val="000F012D"/>
    <w:rsid w:val="001B092B"/>
    <w:rsid w:val="002853CC"/>
    <w:rsid w:val="003536F2"/>
    <w:rsid w:val="00373A98"/>
    <w:rsid w:val="0038351B"/>
    <w:rsid w:val="00391DC5"/>
    <w:rsid w:val="003F765A"/>
    <w:rsid w:val="004A6AE9"/>
    <w:rsid w:val="005170A9"/>
    <w:rsid w:val="00527159"/>
    <w:rsid w:val="005464C2"/>
    <w:rsid w:val="00555D02"/>
    <w:rsid w:val="0059575A"/>
    <w:rsid w:val="005B600E"/>
    <w:rsid w:val="006000BD"/>
    <w:rsid w:val="006055A5"/>
    <w:rsid w:val="006B0DC3"/>
    <w:rsid w:val="006B7AAB"/>
    <w:rsid w:val="006D4D8C"/>
    <w:rsid w:val="007E3EB0"/>
    <w:rsid w:val="00804833"/>
    <w:rsid w:val="0083210E"/>
    <w:rsid w:val="0087072B"/>
    <w:rsid w:val="0087317F"/>
    <w:rsid w:val="00873DF3"/>
    <w:rsid w:val="008C54C3"/>
    <w:rsid w:val="00A045C3"/>
    <w:rsid w:val="00A20B8B"/>
    <w:rsid w:val="00A47013"/>
    <w:rsid w:val="00A9063F"/>
    <w:rsid w:val="00B1126D"/>
    <w:rsid w:val="00B71293"/>
    <w:rsid w:val="00BE56CD"/>
    <w:rsid w:val="00C777AA"/>
    <w:rsid w:val="00C9657B"/>
    <w:rsid w:val="00CB0B65"/>
    <w:rsid w:val="00DA0F6C"/>
    <w:rsid w:val="00DF5ED7"/>
    <w:rsid w:val="00E5792C"/>
    <w:rsid w:val="00F41655"/>
    <w:rsid w:val="00F510D8"/>
    <w:rsid w:val="00F754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A7334"/>
  <w14:defaultImageDpi w14:val="0"/>
  <w15:docId w15:val="{0C8DB42D-D7D7-4C49-ACFC-E410CE73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6">
    <w:name w:val="heading 6"/>
    <w:basedOn w:val="Normlny"/>
    <w:next w:val="Normlny"/>
    <w:link w:val="Nadpis6Char"/>
    <w:uiPriority w:val="9"/>
    <w:semiHidden/>
    <w:unhideWhenUsed/>
    <w:qFormat/>
    <w:rsid w:val="003F765A"/>
    <w:pPr>
      <w:spacing w:before="240" w:after="60"/>
      <w:outlineLvl w:val="5"/>
    </w:pPr>
    <w:rPr>
      <w:rFonts w:asciiTheme="minorHAnsi" w:eastAsiaTheme="minorEastAsia" w:hAnsiTheme="minorHAns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6Char">
    <w:name w:val="Nadpis 6 Char"/>
    <w:basedOn w:val="Predvolenpsmoodseku"/>
    <w:link w:val="Nadpis6"/>
    <w:uiPriority w:val="9"/>
    <w:semiHidden/>
    <w:locked/>
    <w:rsid w:val="003F765A"/>
    <w:rPr>
      <w:rFonts w:asciiTheme="minorHAnsi" w:eastAsiaTheme="minorEastAsia" w:hAnsiTheme="minorHAnsi" w:cs="Times New Roman"/>
      <w:b/>
      <w:bCs/>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Bezriadkovania">
    <w:name w:val="No Spacing"/>
    <w:uiPriority w:val="1"/>
    <w:qFormat/>
    <w:rsid w:val="006D4D8C"/>
    <w:pPr>
      <w:spacing w:after="0" w:line="240" w:lineRule="auto"/>
    </w:pPr>
    <w:rPr>
      <w:rFonts w:ascii="Calibri" w:hAnsi="Calibri"/>
      <w:lang w:eastAsia="en-US"/>
    </w:rPr>
  </w:style>
  <w:style w:type="paragraph" w:styleId="Zkladntext">
    <w:name w:val="Body Text"/>
    <w:basedOn w:val="Normlny"/>
    <w:link w:val="ZkladntextChar"/>
    <w:uiPriority w:val="99"/>
    <w:rsid w:val="002853CC"/>
    <w:pPr>
      <w:spacing w:after="120"/>
    </w:pPr>
  </w:style>
  <w:style w:type="character" w:customStyle="1" w:styleId="ZkladntextChar">
    <w:name w:val="Základný text Char"/>
    <w:basedOn w:val="Predvolenpsmoodseku"/>
    <w:link w:val="Zkladntext"/>
    <w:uiPriority w:val="99"/>
    <w:locked/>
    <w:rsid w:val="002853C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C07AA-0220-465D-A084-62A4D4F9A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3483</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Kasenčák René</cp:lastModifiedBy>
  <cp:revision>4</cp:revision>
  <cp:lastPrinted>2018-12-17T14:55:00Z</cp:lastPrinted>
  <dcterms:created xsi:type="dcterms:W3CDTF">2018-09-05T11:30:00Z</dcterms:created>
  <dcterms:modified xsi:type="dcterms:W3CDTF">2018-12-17T14:55:00Z</dcterms:modified>
</cp:coreProperties>
</file>