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01A1" w:rsidRPr="00A179AE" w:rsidRDefault="003501A1" w:rsidP="003501A1">
      <w:pPr>
        <w:jc w:val="center"/>
        <w:rPr>
          <w:b/>
          <w:bCs/>
          <w:sz w:val="28"/>
          <w:szCs w:val="28"/>
        </w:rPr>
      </w:pPr>
      <w:bookmarkStart w:id="0" w:name="_GoBack"/>
      <w:bookmarkEnd w:id="0"/>
      <w:r>
        <w:rPr>
          <w:b/>
          <w:bCs/>
          <w:sz w:val="28"/>
          <w:szCs w:val="28"/>
        </w:rPr>
        <w:t>Doložka vybraných vplyvov</w:t>
      </w:r>
    </w:p>
    <w:p w:rsidR="003501A1" w:rsidRPr="00BF3078" w:rsidRDefault="003501A1" w:rsidP="003501A1">
      <w:pPr>
        <w:pStyle w:val="Odsekzoznamu"/>
        <w:ind w:left="426"/>
        <w:rPr>
          <w:b/>
        </w:rPr>
      </w:pPr>
    </w:p>
    <w:tbl>
      <w:tblPr>
        <w:tblStyle w:val="Mriekatabuky"/>
        <w:tblW w:w="9180" w:type="dxa"/>
        <w:tblLayout w:type="fixed"/>
        <w:tblLook w:val="00A0" w:firstRow="1" w:lastRow="0" w:firstColumn="1" w:lastColumn="0" w:noHBand="0" w:noVBand="0"/>
      </w:tblPr>
      <w:tblGrid>
        <w:gridCol w:w="3812"/>
        <w:gridCol w:w="400"/>
        <w:gridCol w:w="291"/>
        <w:gridCol w:w="414"/>
        <w:gridCol w:w="717"/>
        <w:gridCol w:w="569"/>
        <w:gridCol w:w="1133"/>
        <w:gridCol w:w="284"/>
        <w:gridCol w:w="263"/>
        <w:gridCol w:w="1297"/>
      </w:tblGrid>
      <w:tr w:rsidR="003501A1" w:rsidRPr="007674EB" w:rsidTr="003501A1">
        <w:tc>
          <w:tcPr>
            <w:tcW w:w="9180" w:type="dxa"/>
            <w:gridSpan w:val="10"/>
            <w:tcBorders>
              <w:bottom w:val="single" w:sz="4" w:space="0" w:color="FFFFFF"/>
            </w:tcBorders>
            <w:shd w:val="clear" w:color="auto" w:fill="E2E2E2"/>
          </w:tcPr>
          <w:p w:rsidR="003501A1" w:rsidRPr="007674EB" w:rsidRDefault="003501A1" w:rsidP="003501A1">
            <w:pPr>
              <w:pStyle w:val="Odsekzoznamu"/>
              <w:numPr>
                <w:ilvl w:val="0"/>
                <w:numId w:val="1"/>
              </w:numPr>
              <w:spacing w:after="0" w:line="240" w:lineRule="auto"/>
              <w:ind w:left="426"/>
              <w:rPr>
                <w:rFonts w:ascii="Times New Roman" w:hAnsi="Times New Roman"/>
                <w:b/>
              </w:rPr>
            </w:pPr>
            <w:r w:rsidRPr="007674EB">
              <w:rPr>
                <w:rFonts w:ascii="Times New Roman" w:hAnsi="Times New Roman"/>
                <w:b/>
              </w:rPr>
              <w:t>Základné údaje</w:t>
            </w:r>
          </w:p>
        </w:tc>
      </w:tr>
      <w:tr w:rsidR="003501A1" w:rsidRPr="007674EB" w:rsidTr="003501A1">
        <w:tc>
          <w:tcPr>
            <w:tcW w:w="9180" w:type="dxa"/>
            <w:gridSpan w:val="10"/>
            <w:tcBorders>
              <w:bottom w:val="single" w:sz="4" w:space="0" w:color="FFFFFF"/>
            </w:tcBorders>
            <w:shd w:val="clear" w:color="auto" w:fill="E2E2E2"/>
          </w:tcPr>
          <w:p w:rsidR="003501A1" w:rsidRPr="007674EB" w:rsidRDefault="003501A1" w:rsidP="008D26FA">
            <w:pPr>
              <w:pStyle w:val="Odsekzoznamu"/>
              <w:ind w:left="142"/>
              <w:rPr>
                <w:rFonts w:ascii="Times New Roman" w:hAnsi="Times New Roman"/>
                <w:b/>
              </w:rPr>
            </w:pPr>
            <w:r w:rsidRPr="007674EB">
              <w:rPr>
                <w:rFonts w:ascii="Times New Roman" w:hAnsi="Times New Roman"/>
                <w:b/>
              </w:rPr>
              <w:t>Názov materiálu</w:t>
            </w:r>
          </w:p>
        </w:tc>
      </w:tr>
      <w:tr w:rsidR="003501A1" w:rsidRPr="007674EB" w:rsidTr="003501A1">
        <w:tc>
          <w:tcPr>
            <w:tcW w:w="9180" w:type="dxa"/>
            <w:gridSpan w:val="10"/>
            <w:tcBorders>
              <w:top w:val="single" w:sz="4" w:space="0" w:color="FFFFFF"/>
            </w:tcBorders>
          </w:tcPr>
          <w:p w:rsidR="006C5845" w:rsidRDefault="006C5845" w:rsidP="006C5845">
            <w:pPr>
              <w:ind w:left="360" w:hanging="360"/>
              <w:rPr>
                <w:rStyle w:val="Zstupntext"/>
                <w:color w:val="000000"/>
                <w:sz w:val="24"/>
                <w:szCs w:val="24"/>
              </w:rPr>
            </w:pPr>
            <w:r w:rsidRPr="006C5845">
              <w:rPr>
                <w:rStyle w:val="Zstupntext"/>
                <w:color w:val="000000"/>
                <w:sz w:val="24"/>
                <w:szCs w:val="24"/>
              </w:rPr>
              <w:t>Návrh zákona, ktorý sa mení a dopĺňa zákon č. 89/2016 Z.</w:t>
            </w:r>
            <w:r w:rsidR="0011108E">
              <w:rPr>
                <w:rStyle w:val="Zstupntext"/>
                <w:color w:val="000000"/>
                <w:sz w:val="24"/>
                <w:szCs w:val="24"/>
              </w:rPr>
              <w:t xml:space="preserve"> </w:t>
            </w:r>
            <w:r w:rsidRPr="006C5845">
              <w:rPr>
                <w:rStyle w:val="Zstupntext"/>
                <w:color w:val="000000"/>
                <w:sz w:val="24"/>
                <w:szCs w:val="24"/>
              </w:rPr>
              <w:t>z. o výrobe, označovaní a</w:t>
            </w:r>
            <w:r>
              <w:rPr>
                <w:rStyle w:val="Zstupntext"/>
                <w:color w:val="000000"/>
                <w:sz w:val="24"/>
                <w:szCs w:val="24"/>
              </w:rPr>
              <w:t> </w:t>
            </w:r>
            <w:r w:rsidRPr="006C5845">
              <w:rPr>
                <w:rStyle w:val="Zstupntext"/>
                <w:color w:val="000000"/>
                <w:sz w:val="24"/>
                <w:szCs w:val="24"/>
              </w:rPr>
              <w:t>predaji</w:t>
            </w:r>
          </w:p>
          <w:p w:rsidR="006C5845" w:rsidRPr="006C5845" w:rsidRDefault="006C5845" w:rsidP="008105B8">
            <w:pPr>
              <w:rPr>
                <w:rStyle w:val="Zstupntext"/>
                <w:color w:val="000000"/>
                <w:sz w:val="24"/>
                <w:szCs w:val="24"/>
              </w:rPr>
            </w:pPr>
            <w:r w:rsidRPr="006C5845">
              <w:rPr>
                <w:rStyle w:val="Zstupntext"/>
                <w:color w:val="000000"/>
                <w:sz w:val="24"/>
                <w:szCs w:val="24"/>
              </w:rPr>
              <w:t xml:space="preserve">tabakových </w:t>
            </w:r>
            <w:r w:rsidRPr="006C5845">
              <w:rPr>
                <w:color w:val="000000"/>
                <w:sz w:val="24"/>
                <w:szCs w:val="24"/>
              </w:rPr>
              <w:t>výrobkov</w:t>
            </w:r>
            <w:r w:rsidRPr="006C5845">
              <w:rPr>
                <w:rStyle w:val="Zstupntext"/>
                <w:color w:val="000000"/>
                <w:sz w:val="24"/>
                <w:szCs w:val="24"/>
              </w:rPr>
              <w:t xml:space="preserve"> a  súvisiacich výrobkov</w:t>
            </w:r>
            <w:r w:rsidR="008105B8">
              <w:rPr>
                <w:rStyle w:val="Zstupntext"/>
                <w:color w:val="000000"/>
                <w:sz w:val="24"/>
                <w:szCs w:val="24"/>
              </w:rPr>
              <w:t xml:space="preserve"> </w:t>
            </w:r>
          </w:p>
          <w:p w:rsidR="003C2F22" w:rsidRPr="003416FC" w:rsidRDefault="003C2F22" w:rsidP="00A257A1">
            <w:pPr>
              <w:jc w:val="both"/>
              <w:rPr>
                <w:sz w:val="24"/>
                <w:szCs w:val="24"/>
                <w:lang w:eastAsia="sk-SK"/>
              </w:rPr>
            </w:pPr>
          </w:p>
        </w:tc>
      </w:tr>
      <w:tr w:rsidR="003501A1" w:rsidRPr="007674EB" w:rsidTr="003501A1">
        <w:tc>
          <w:tcPr>
            <w:tcW w:w="9180" w:type="dxa"/>
            <w:gridSpan w:val="10"/>
            <w:tcBorders>
              <w:bottom w:val="single" w:sz="4" w:space="0" w:color="FFFFFF"/>
            </w:tcBorders>
            <w:shd w:val="clear" w:color="auto" w:fill="E2E2E2"/>
          </w:tcPr>
          <w:p w:rsidR="003501A1" w:rsidRPr="007674EB" w:rsidRDefault="003501A1" w:rsidP="008D26FA">
            <w:pPr>
              <w:pStyle w:val="Odsekzoznamu"/>
              <w:ind w:left="142"/>
              <w:rPr>
                <w:rFonts w:ascii="Times New Roman" w:hAnsi="Times New Roman"/>
                <w:b/>
              </w:rPr>
            </w:pPr>
            <w:r w:rsidRPr="007674EB">
              <w:rPr>
                <w:rFonts w:ascii="Times New Roman" w:hAnsi="Times New Roman"/>
                <w:b/>
              </w:rPr>
              <w:t>Predkladateľ (a spolupredkladateľ)</w:t>
            </w:r>
          </w:p>
        </w:tc>
      </w:tr>
      <w:tr w:rsidR="003501A1" w:rsidRPr="007674EB" w:rsidTr="003501A1">
        <w:tc>
          <w:tcPr>
            <w:tcW w:w="9180" w:type="dxa"/>
            <w:gridSpan w:val="10"/>
            <w:tcBorders>
              <w:top w:val="single" w:sz="4" w:space="0" w:color="FFFFFF"/>
            </w:tcBorders>
            <w:shd w:val="clear" w:color="auto" w:fill="FFFFFF"/>
          </w:tcPr>
          <w:p w:rsidR="00874D9B" w:rsidRPr="00FE5A0F" w:rsidRDefault="00F972A5" w:rsidP="003416FC">
            <w:pPr>
              <w:rPr>
                <w:sz w:val="24"/>
                <w:szCs w:val="24"/>
                <w:lang w:eastAsia="sk-SK"/>
              </w:rPr>
            </w:pPr>
            <w:r w:rsidRPr="00FE5A0F">
              <w:rPr>
                <w:sz w:val="24"/>
                <w:szCs w:val="24"/>
                <w:lang w:eastAsia="sk-SK"/>
              </w:rPr>
              <w:t>M</w:t>
            </w:r>
            <w:r w:rsidR="00F700A7" w:rsidRPr="00FE5A0F">
              <w:rPr>
                <w:sz w:val="24"/>
                <w:szCs w:val="24"/>
                <w:lang w:eastAsia="sk-SK"/>
              </w:rPr>
              <w:t>inisterstvo zdravotníctva</w:t>
            </w:r>
            <w:r w:rsidRPr="00FE5A0F">
              <w:rPr>
                <w:sz w:val="24"/>
                <w:szCs w:val="24"/>
                <w:lang w:eastAsia="sk-SK"/>
              </w:rPr>
              <w:t xml:space="preserve"> S</w:t>
            </w:r>
            <w:r w:rsidR="003416FC" w:rsidRPr="00FE5A0F">
              <w:rPr>
                <w:sz w:val="24"/>
                <w:szCs w:val="24"/>
                <w:lang w:eastAsia="sk-SK"/>
              </w:rPr>
              <w:t>lovenskej republiky</w:t>
            </w:r>
          </w:p>
          <w:p w:rsidR="003416FC" w:rsidRPr="00FE5A0F" w:rsidRDefault="003416FC" w:rsidP="003416FC">
            <w:pPr>
              <w:rPr>
                <w:sz w:val="24"/>
                <w:szCs w:val="24"/>
                <w:lang w:eastAsia="sk-SK"/>
              </w:rPr>
            </w:pPr>
            <w:r w:rsidRPr="00FE5A0F">
              <w:rPr>
                <w:sz w:val="24"/>
                <w:szCs w:val="24"/>
                <w:lang w:eastAsia="sk-SK"/>
              </w:rPr>
              <w:t xml:space="preserve"> </w:t>
            </w:r>
          </w:p>
        </w:tc>
      </w:tr>
      <w:tr w:rsidR="003501A1" w:rsidRPr="007674EB" w:rsidTr="004F6F1F">
        <w:tc>
          <w:tcPr>
            <w:tcW w:w="4212" w:type="dxa"/>
            <w:gridSpan w:val="2"/>
            <w:vMerge w:val="restart"/>
            <w:tcBorders>
              <w:bottom w:val="single" w:sz="4" w:space="0" w:color="FFFFFF"/>
            </w:tcBorders>
            <w:shd w:val="clear" w:color="auto" w:fill="E2E2E2"/>
            <w:vAlign w:val="center"/>
          </w:tcPr>
          <w:p w:rsidR="003501A1" w:rsidRPr="007674EB" w:rsidRDefault="003501A1" w:rsidP="008D26FA">
            <w:pPr>
              <w:pStyle w:val="Odsekzoznamu"/>
              <w:ind w:left="142"/>
              <w:rPr>
                <w:rFonts w:ascii="Times New Roman" w:hAnsi="Times New Roman"/>
                <w:b/>
              </w:rPr>
            </w:pPr>
            <w:r w:rsidRPr="007674EB">
              <w:rPr>
                <w:rFonts w:ascii="Times New Roman" w:hAnsi="Times New Roman"/>
                <w:b/>
              </w:rPr>
              <w:t>Charakter predkladaného materiálu</w:t>
            </w:r>
          </w:p>
        </w:tc>
        <w:tc>
          <w:tcPr>
            <w:tcW w:w="705" w:type="dxa"/>
            <w:gridSpan w:val="2"/>
            <w:tcBorders>
              <w:right w:val="nil"/>
            </w:tcBorders>
            <w:shd w:val="clear" w:color="auto" w:fill="FFFFFF"/>
          </w:tcPr>
          <w:p w:rsidR="003501A1" w:rsidRPr="007674EB" w:rsidRDefault="003501A1" w:rsidP="008D26FA">
            <w:pPr>
              <w:jc w:val="center"/>
              <w:rPr>
                <w:sz w:val="22"/>
                <w:szCs w:val="22"/>
                <w:lang w:eastAsia="sk-SK"/>
              </w:rPr>
            </w:pPr>
            <w:r w:rsidRPr="007674EB">
              <w:rPr>
                <w:rFonts w:ascii="Segoe UI Symbol" w:eastAsia="MS Mincho" w:hAnsi="Segoe UI Symbol" w:cs="Segoe UI Symbol"/>
                <w:sz w:val="22"/>
                <w:szCs w:val="22"/>
                <w:lang w:eastAsia="sk-SK"/>
              </w:rPr>
              <w:t>☐</w:t>
            </w:r>
          </w:p>
        </w:tc>
        <w:tc>
          <w:tcPr>
            <w:tcW w:w="4263" w:type="dxa"/>
            <w:gridSpan w:val="6"/>
            <w:tcBorders>
              <w:left w:val="nil"/>
            </w:tcBorders>
            <w:shd w:val="clear" w:color="auto" w:fill="FFFFFF"/>
          </w:tcPr>
          <w:p w:rsidR="003501A1" w:rsidRPr="007674EB" w:rsidRDefault="003501A1" w:rsidP="008D26FA">
            <w:pPr>
              <w:rPr>
                <w:sz w:val="22"/>
                <w:szCs w:val="22"/>
                <w:lang w:eastAsia="sk-SK"/>
              </w:rPr>
            </w:pPr>
            <w:r w:rsidRPr="007674EB">
              <w:rPr>
                <w:sz w:val="22"/>
                <w:szCs w:val="22"/>
                <w:lang w:eastAsia="sk-SK"/>
              </w:rPr>
              <w:t>Materiál nelegislatívnej povahy</w:t>
            </w:r>
          </w:p>
        </w:tc>
      </w:tr>
      <w:tr w:rsidR="003501A1" w:rsidRPr="007674EB" w:rsidTr="004F6F1F">
        <w:tc>
          <w:tcPr>
            <w:tcW w:w="4212" w:type="dxa"/>
            <w:gridSpan w:val="2"/>
            <w:vMerge/>
            <w:tcBorders>
              <w:top w:val="nil"/>
              <w:bottom w:val="single" w:sz="4" w:space="0" w:color="FFFFFF"/>
            </w:tcBorders>
            <w:shd w:val="clear" w:color="auto" w:fill="E2E2E2"/>
          </w:tcPr>
          <w:p w:rsidR="003501A1" w:rsidRPr="007674EB" w:rsidRDefault="003501A1" w:rsidP="008D26FA">
            <w:pPr>
              <w:rPr>
                <w:sz w:val="22"/>
                <w:szCs w:val="22"/>
                <w:lang w:eastAsia="sk-SK"/>
              </w:rPr>
            </w:pPr>
          </w:p>
        </w:tc>
        <w:tc>
          <w:tcPr>
            <w:tcW w:w="705" w:type="dxa"/>
            <w:gridSpan w:val="2"/>
            <w:tcBorders>
              <w:right w:val="nil"/>
            </w:tcBorders>
            <w:shd w:val="clear" w:color="auto" w:fill="FFFFFF"/>
          </w:tcPr>
          <w:p w:rsidR="003501A1" w:rsidRPr="007674EB" w:rsidRDefault="00F972A5" w:rsidP="008D26FA">
            <w:pPr>
              <w:jc w:val="center"/>
              <w:rPr>
                <w:sz w:val="22"/>
                <w:szCs w:val="22"/>
                <w:lang w:eastAsia="sk-SK"/>
              </w:rPr>
            </w:pPr>
            <w:r w:rsidRPr="007674EB">
              <w:rPr>
                <w:rFonts w:ascii="MS Gothic" w:eastAsia="MS Gothic" w:hint="eastAsia"/>
                <w:sz w:val="22"/>
                <w:szCs w:val="22"/>
                <w:lang w:eastAsia="sk-SK"/>
              </w:rPr>
              <w:t>☒</w:t>
            </w:r>
          </w:p>
        </w:tc>
        <w:tc>
          <w:tcPr>
            <w:tcW w:w="4263" w:type="dxa"/>
            <w:gridSpan w:val="6"/>
            <w:tcBorders>
              <w:left w:val="nil"/>
            </w:tcBorders>
            <w:shd w:val="clear" w:color="auto" w:fill="FFFFFF"/>
          </w:tcPr>
          <w:p w:rsidR="003501A1" w:rsidRPr="007674EB" w:rsidRDefault="003501A1" w:rsidP="008D26FA">
            <w:pPr>
              <w:ind w:left="175" w:hanging="175"/>
              <w:rPr>
                <w:sz w:val="22"/>
                <w:szCs w:val="22"/>
                <w:lang w:eastAsia="sk-SK"/>
              </w:rPr>
            </w:pPr>
            <w:r w:rsidRPr="007674EB">
              <w:rPr>
                <w:sz w:val="22"/>
                <w:szCs w:val="22"/>
                <w:lang w:eastAsia="sk-SK"/>
              </w:rPr>
              <w:t>Materiál legislatívnej povahy</w:t>
            </w:r>
          </w:p>
        </w:tc>
      </w:tr>
      <w:tr w:rsidR="003501A1" w:rsidRPr="007674EB" w:rsidTr="003416FC">
        <w:tc>
          <w:tcPr>
            <w:tcW w:w="4212" w:type="dxa"/>
            <w:gridSpan w:val="2"/>
            <w:vMerge/>
            <w:tcBorders>
              <w:top w:val="nil"/>
            </w:tcBorders>
            <w:shd w:val="clear" w:color="auto" w:fill="E2E2E2"/>
          </w:tcPr>
          <w:p w:rsidR="003501A1" w:rsidRPr="007674EB" w:rsidRDefault="003501A1" w:rsidP="008D26FA">
            <w:pPr>
              <w:rPr>
                <w:sz w:val="22"/>
                <w:szCs w:val="22"/>
                <w:lang w:eastAsia="sk-SK"/>
              </w:rPr>
            </w:pPr>
          </w:p>
        </w:tc>
        <w:tc>
          <w:tcPr>
            <w:tcW w:w="705" w:type="dxa"/>
            <w:gridSpan w:val="2"/>
            <w:tcBorders>
              <w:right w:val="nil"/>
            </w:tcBorders>
            <w:shd w:val="clear" w:color="auto" w:fill="FFFFFF"/>
          </w:tcPr>
          <w:p w:rsidR="003501A1" w:rsidRPr="007674EB" w:rsidRDefault="008518DE" w:rsidP="008518DE">
            <w:pPr>
              <w:jc w:val="center"/>
              <w:rPr>
                <w:sz w:val="22"/>
                <w:szCs w:val="22"/>
                <w:lang w:eastAsia="sk-SK"/>
              </w:rPr>
            </w:pPr>
            <w:r w:rsidRPr="008518DE">
              <w:rPr>
                <w:rFonts w:ascii="MS Gothic" w:eastAsia="MS Gothic" w:hint="eastAsia"/>
                <w:sz w:val="22"/>
                <w:szCs w:val="22"/>
                <w:lang w:eastAsia="sk-SK"/>
              </w:rPr>
              <w:t>☒</w:t>
            </w:r>
          </w:p>
        </w:tc>
        <w:tc>
          <w:tcPr>
            <w:tcW w:w="4263" w:type="dxa"/>
            <w:gridSpan w:val="6"/>
            <w:tcBorders>
              <w:left w:val="nil"/>
            </w:tcBorders>
          </w:tcPr>
          <w:p w:rsidR="003501A1" w:rsidRPr="007674EB" w:rsidRDefault="003501A1" w:rsidP="008D26FA">
            <w:pPr>
              <w:rPr>
                <w:sz w:val="22"/>
                <w:szCs w:val="22"/>
                <w:lang w:eastAsia="sk-SK"/>
              </w:rPr>
            </w:pPr>
            <w:r w:rsidRPr="003416FC">
              <w:rPr>
                <w:sz w:val="22"/>
                <w:szCs w:val="22"/>
                <w:lang w:eastAsia="sk-SK"/>
              </w:rPr>
              <w:t>Transpozícia práva EÚ</w:t>
            </w:r>
          </w:p>
        </w:tc>
      </w:tr>
      <w:tr w:rsidR="003501A1" w:rsidRPr="007674EB" w:rsidTr="003501A1">
        <w:tc>
          <w:tcPr>
            <w:tcW w:w="9180" w:type="dxa"/>
            <w:gridSpan w:val="10"/>
            <w:tcBorders>
              <w:bottom w:val="single" w:sz="4" w:space="0" w:color="FFFFFF"/>
            </w:tcBorders>
            <w:shd w:val="clear" w:color="auto" w:fill="FFFFFF"/>
          </w:tcPr>
          <w:p w:rsidR="003501A1" w:rsidRPr="00C05391" w:rsidRDefault="003501A1" w:rsidP="008D26FA">
            <w:pPr>
              <w:rPr>
                <w:i/>
                <w:sz w:val="24"/>
                <w:szCs w:val="24"/>
                <w:lang w:eastAsia="sk-SK"/>
              </w:rPr>
            </w:pPr>
            <w:r w:rsidRPr="00C05391">
              <w:rPr>
                <w:i/>
                <w:sz w:val="24"/>
                <w:szCs w:val="24"/>
                <w:lang w:eastAsia="sk-SK"/>
              </w:rPr>
              <w:t>V prípade transpozície uveďte zoznam transponovaných predpisov:</w:t>
            </w:r>
          </w:p>
          <w:p w:rsidR="006C5845" w:rsidRPr="00C05391" w:rsidRDefault="0011108E" w:rsidP="0011108E">
            <w:pPr>
              <w:ind w:left="66"/>
              <w:jc w:val="both"/>
              <w:rPr>
                <w:sz w:val="24"/>
                <w:szCs w:val="24"/>
              </w:rPr>
            </w:pPr>
            <w:r>
              <w:rPr>
                <w:rStyle w:val="Zstupntext"/>
                <w:color w:val="auto"/>
                <w:sz w:val="24"/>
                <w:szCs w:val="24"/>
              </w:rPr>
              <w:t>S</w:t>
            </w:r>
            <w:r w:rsidRPr="0011108E">
              <w:rPr>
                <w:rStyle w:val="Zstupntext"/>
                <w:color w:val="auto"/>
                <w:sz w:val="24"/>
                <w:szCs w:val="24"/>
              </w:rPr>
              <w:t>mernic</w:t>
            </w:r>
            <w:r>
              <w:rPr>
                <w:rStyle w:val="Zstupntext"/>
                <w:color w:val="auto"/>
                <w:sz w:val="24"/>
                <w:szCs w:val="24"/>
              </w:rPr>
              <w:t>a</w:t>
            </w:r>
            <w:r w:rsidRPr="0011108E">
              <w:rPr>
                <w:rStyle w:val="Zstupntext"/>
                <w:color w:val="auto"/>
                <w:sz w:val="24"/>
                <w:szCs w:val="24"/>
              </w:rPr>
              <w:t xml:space="preserve"> Európskeho parlamentu a Rady 2014/40/EÚ z 3. apríla 2014 o aproximácii zákonov, iných právnych predpisov a správnych opatrení členských štátov týkajúcich sa výroby, prezentácie a predaja tabakových a súvisiacich výrobkov a o zrušení smernice 2001/37/ES (Ú. v. EÚ L 127, 29.4.2014) v platnom znení</w:t>
            </w:r>
          </w:p>
        </w:tc>
      </w:tr>
      <w:tr w:rsidR="003501A1" w:rsidRPr="007674EB" w:rsidTr="003416FC">
        <w:tc>
          <w:tcPr>
            <w:tcW w:w="5634" w:type="dxa"/>
            <w:gridSpan w:val="5"/>
            <w:tcBorders>
              <w:top w:val="single" w:sz="4" w:space="0" w:color="000000"/>
              <w:bottom w:val="single" w:sz="4" w:space="0" w:color="FFFFFF"/>
            </w:tcBorders>
            <w:shd w:val="clear" w:color="auto" w:fill="E2E2E2"/>
            <w:vAlign w:val="center"/>
          </w:tcPr>
          <w:p w:rsidR="003501A1" w:rsidRPr="00EA26B2" w:rsidRDefault="003501A1" w:rsidP="003416FC">
            <w:pPr>
              <w:pStyle w:val="Odsekzoznamu"/>
              <w:ind w:left="142"/>
              <w:rPr>
                <w:rFonts w:ascii="Times New Roman" w:hAnsi="Times New Roman"/>
                <w:b/>
              </w:rPr>
            </w:pPr>
            <w:r w:rsidRPr="00EA26B2">
              <w:rPr>
                <w:rFonts w:ascii="Times New Roman" w:hAnsi="Times New Roman"/>
                <w:b/>
              </w:rPr>
              <w:t>Termín začiatku a ukončenia PPK</w:t>
            </w:r>
          </w:p>
        </w:tc>
        <w:tc>
          <w:tcPr>
            <w:tcW w:w="3546" w:type="dxa"/>
            <w:gridSpan w:val="5"/>
            <w:tcBorders>
              <w:top w:val="single" w:sz="4" w:space="0" w:color="000000"/>
            </w:tcBorders>
            <w:vAlign w:val="center"/>
          </w:tcPr>
          <w:p w:rsidR="003501A1" w:rsidRPr="00EA26B2" w:rsidRDefault="003501A1" w:rsidP="003416FC">
            <w:pPr>
              <w:jc w:val="center"/>
              <w:rPr>
                <w:sz w:val="22"/>
                <w:szCs w:val="22"/>
                <w:lang w:eastAsia="sk-SK"/>
              </w:rPr>
            </w:pPr>
          </w:p>
        </w:tc>
      </w:tr>
      <w:tr w:rsidR="003501A1" w:rsidRPr="007674EB" w:rsidTr="003416FC">
        <w:tc>
          <w:tcPr>
            <w:tcW w:w="5634" w:type="dxa"/>
            <w:gridSpan w:val="5"/>
            <w:tcBorders>
              <w:bottom w:val="single" w:sz="4" w:space="0" w:color="FFFFFF"/>
            </w:tcBorders>
            <w:shd w:val="clear" w:color="auto" w:fill="E2E2E2"/>
            <w:vAlign w:val="center"/>
          </w:tcPr>
          <w:p w:rsidR="003501A1" w:rsidRPr="00EA26B2" w:rsidRDefault="003501A1" w:rsidP="003416FC">
            <w:pPr>
              <w:pStyle w:val="Odsekzoznamu"/>
              <w:ind w:left="142"/>
              <w:rPr>
                <w:rFonts w:ascii="Times New Roman" w:hAnsi="Times New Roman"/>
                <w:b/>
              </w:rPr>
            </w:pPr>
            <w:r w:rsidRPr="00EA26B2">
              <w:rPr>
                <w:rFonts w:ascii="Times New Roman" w:hAnsi="Times New Roman"/>
                <w:b/>
              </w:rPr>
              <w:t>Predpokladaný termín predloženia na MPK</w:t>
            </w:r>
            <w:r w:rsidR="00F62771" w:rsidRPr="00EA26B2">
              <w:rPr>
                <w:rFonts w:ascii="Times New Roman" w:hAnsi="Times New Roman"/>
                <w:b/>
              </w:rPr>
              <w:t>*</w:t>
            </w:r>
          </w:p>
        </w:tc>
        <w:tc>
          <w:tcPr>
            <w:tcW w:w="3546" w:type="dxa"/>
            <w:gridSpan w:val="5"/>
            <w:vAlign w:val="center"/>
          </w:tcPr>
          <w:p w:rsidR="003501A1" w:rsidRPr="00EA26B2" w:rsidRDefault="006C5845" w:rsidP="003416FC">
            <w:pPr>
              <w:jc w:val="center"/>
              <w:rPr>
                <w:sz w:val="22"/>
                <w:szCs w:val="22"/>
                <w:lang w:eastAsia="sk-SK"/>
              </w:rPr>
            </w:pPr>
            <w:r>
              <w:rPr>
                <w:sz w:val="22"/>
                <w:szCs w:val="22"/>
                <w:lang w:eastAsia="sk-SK"/>
              </w:rPr>
              <w:t>Júl 2018</w:t>
            </w:r>
          </w:p>
        </w:tc>
      </w:tr>
      <w:tr w:rsidR="003501A1" w:rsidRPr="007674EB" w:rsidTr="003501A1">
        <w:tc>
          <w:tcPr>
            <w:tcW w:w="9180" w:type="dxa"/>
            <w:gridSpan w:val="10"/>
            <w:tcBorders>
              <w:left w:val="nil"/>
              <w:right w:val="nil"/>
            </w:tcBorders>
            <w:shd w:val="clear" w:color="auto" w:fill="FFFFFF"/>
          </w:tcPr>
          <w:p w:rsidR="003501A1" w:rsidRPr="00EA26B2" w:rsidRDefault="003501A1" w:rsidP="008D26FA">
            <w:pPr>
              <w:rPr>
                <w:sz w:val="22"/>
                <w:szCs w:val="22"/>
                <w:lang w:eastAsia="sk-SK"/>
              </w:rPr>
            </w:pPr>
          </w:p>
          <w:p w:rsidR="00567878" w:rsidRPr="00EA26B2" w:rsidRDefault="00567878" w:rsidP="008D26FA">
            <w:pPr>
              <w:rPr>
                <w:sz w:val="22"/>
                <w:szCs w:val="22"/>
                <w:lang w:eastAsia="sk-SK"/>
              </w:rPr>
            </w:pPr>
          </w:p>
        </w:tc>
      </w:tr>
      <w:tr w:rsidR="003501A1" w:rsidRPr="007674EB" w:rsidTr="003501A1">
        <w:tc>
          <w:tcPr>
            <w:tcW w:w="9180" w:type="dxa"/>
            <w:gridSpan w:val="10"/>
            <w:tcBorders>
              <w:bottom w:val="single" w:sz="4" w:space="0" w:color="FFFFFF"/>
            </w:tcBorders>
            <w:shd w:val="clear" w:color="auto" w:fill="E2E2E2"/>
          </w:tcPr>
          <w:p w:rsidR="003501A1" w:rsidRPr="00DF3095" w:rsidRDefault="003501A1" w:rsidP="004D1B26">
            <w:pPr>
              <w:pStyle w:val="Odsekzoznamu"/>
              <w:numPr>
                <w:ilvl w:val="0"/>
                <w:numId w:val="12"/>
              </w:numPr>
              <w:spacing w:after="0" w:line="240" w:lineRule="auto"/>
              <w:ind w:left="426"/>
              <w:rPr>
                <w:rFonts w:ascii="Times New Roman" w:hAnsi="Times New Roman"/>
                <w:b/>
                <w:sz w:val="24"/>
                <w:szCs w:val="24"/>
              </w:rPr>
            </w:pPr>
            <w:r w:rsidRPr="00DF3095">
              <w:rPr>
                <w:rFonts w:ascii="Times New Roman" w:hAnsi="Times New Roman"/>
                <w:b/>
                <w:sz w:val="24"/>
                <w:szCs w:val="24"/>
              </w:rPr>
              <w:t>Definícia problému</w:t>
            </w:r>
          </w:p>
        </w:tc>
      </w:tr>
      <w:tr w:rsidR="003501A1" w:rsidRPr="0093657E" w:rsidTr="00D13B6F">
        <w:trPr>
          <w:trHeight w:val="718"/>
        </w:trPr>
        <w:tc>
          <w:tcPr>
            <w:tcW w:w="9180" w:type="dxa"/>
            <w:gridSpan w:val="10"/>
            <w:tcBorders>
              <w:top w:val="single" w:sz="4" w:space="0" w:color="FFFFFF"/>
            </w:tcBorders>
            <w:shd w:val="clear" w:color="auto" w:fill="FFFFFF"/>
          </w:tcPr>
          <w:p w:rsidR="00C05391" w:rsidRPr="00C05391" w:rsidRDefault="00C05391" w:rsidP="00C05391">
            <w:pPr>
              <w:ind w:firstLine="720"/>
              <w:jc w:val="both"/>
              <w:rPr>
                <w:rStyle w:val="Zstupntext"/>
                <w:color w:val="000000"/>
                <w:sz w:val="24"/>
              </w:rPr>
            </w:pPr>
            <w:r w:rsidRPr="00C05391">
              <w:rPr>
                <w:rStyle w:val="Zstupntext"/>
                <w:color w:val="000000"/>
                <w:sz w:val="24"/>
              </w:rPr>
              <w:t xml:space="preserve">Veľkosť vnútorného trhu s tabakovými a súvisiacimi výrobkami a narastajúca tendencia výrobcov tabakových výrobkov sústreďovať výrobu celej Únie iba do malého počtu výrobných závodov v Únii a z toho vyplývajúci významný cezhraničný obchod s tabakovými a súvisiacimi výrobkami si vyžaduje prijatie prísnejšieho legislatívneho opatrenia skôr na úrovni Únie než na vnútroštátnej úrovni s cieľom dosiahnuť hladké fungovanie vnútorného trhu. Regulácia vnútorného trhu v oblasti </w:t>
            </w:r>
            <w:proofErr w:type="spellStart"/>
            <w:r w:rsidRPr="00C05391">
              <w:rPr>
                <w:rStyle w:val="Zstupntext"/>
                <w:color w:val="000000"/>
                <w:sz w:val="24"/>
              </w:rPr>
              <w:t>vysledovateľnosti</w:t>
            </w:r>
            <w:proofErr w:type="spellEnd"/>
            <w:r w:rsidRPr="00C05391">
              <w:rPr>
                <w:rStyle w:val="Zstupntext"/>
                <w:color w:val="000000"/>
                <w:sz w:val="24"/>
              </w:rPr>
              <w:t xml:space="preserve"> tabakových výrobkov a uvádzania bezpečnostného prvku je dôvodom prijatia tohto návrhu zákona</w:t>
            </w:r>
            <w:r w:rsidR="00853E89">
              <w:rPr>
                <w:rStyle w:val="Zstupntext"/>
                <w:color w:val="000000"/>
                <w:sz w:val="24"/>
              </w:rPr>
              <w:t xml:space="preserve"> a</w:t>
            </w:r>
            <w:r w:rsidRPr="00C05391">
              <w:rPr>
                <w:rStyle w:val="Zstupntext"/>
                <w:color w:val="000000"/>
                <w:sz w:val="24"/>
              </w:rPr>
              <w:t xml:space="preserve"> v zmysle prijatej sekundárnej legislatívy Európskej komisie po účinnosti vyššie uvedenej smernice.</w:t>
            </w:r>
          </w:p>
          <w:p w:rsidR="00567878" w:rsidRPr="00FE5A0F" w:rsidRDefault="00567878" w:rsidP="00C57F0C">
            <w:pPr>
              <w:jc w:val="both"/>
              <w:rPr>
                <w:sz w:val="24"/>
                <w:szCs w:val="24"/>
              </w:rPr>
            </w:pPr>
          </w:p>
        </w:tc>
      </w:tr>
      <w:tr w:rsidR="003501A1" w:rsidRPr="007674EB" w:rsidTr="003501A1">
        <w:tc>
          <w:tcPr>
            <w:tcW w:w="9180" w:type="dxa"/>
            <w:gridSpan w:val="10"/>
            <w:tcBorders>
              <w:bottom w:val="nil"/>
            </w:tcBorders>
            <w:shd w:val="clear" w:color="auto" w:fill="E2E2E2"/>
          </w:tcPr>
          <w:p w:rsidR="003501A1" w:rsidRPr="00DF3095" w:rsidRDefault="003501A1" w:rsidP="004D1B26">
            <w:pPr>
              <w:pStyle w:val="Odsekzoznamu"/>
              <w:numPr>
                <w:ilvl w:val="0"/>
                <w:numId w:val="12"/>
              </w:numPr>
              <w:spacing w:after="0" w:line="240" w:lineRule="auto"/>
              <w:ind w:left="426"/>
              <w:rPr>
                <w:rFonts w:ascii="Times New Roman" w:hAnsi="Times New Roman"/>
                <w:b/>
                <w:sz w:val="24"/>
                <w:szCs w:val="24"/>
              </w:rPr>
            </w:pPr>
            <w:r w:rsidRPr="00DF3095">
              <w:rPr>
                <w:rFonts w:ascii="Times New Roman" w:hAnsi="Times New Roman"/>
                <w:b/>
                <w:sz w:val="24"/>
                <w:szCs w:val="24"/>
              </w:rPr>
              <w:t>Ciele a výsledný stav</w:t>
            </w:r>
          </w:p>
        </w:tc>
      </w:tr>
      <w:tr w:rsidR="003501A1" w:rsidRPr="007674EB" w:rsidTr="00D13B6F">
        <w:trPr>
          <w:trHeight w:val="741"/>
        </w:trPr>
        <w:tc>
          <w:tcPr>
            <w:tcW w:w="9180" w:type="dxa"/>
            <w:gridSpan w:val="10"/>
            <w:tcBorders>
              <w:top w:val="nil"/>
            </w:tcBorders>
            <w:shd w:val="clear" w:color="auto" w:fill="FFFFFF"/>
          </w:tcPr>
          <w:p w:rsidR="00567878" w:rsidRPr="00784760" w:rsidRDefault="005E282F" w:rsidP="008105B8">
            <w:pPr>
              <w:ind w:firstLine="708"/>
              <w:jc w:val="both"/>
              <w:rPr>
                <w:sz w:val="24"/>
                <w:szCs w:val="24"/>
                <w:lang w:eastAsia="sk-SK"/>
              </w:rPr>
            </w:pPr>
            <w:r w:rsidRPr="005E282F">
              <w:rPr>
                <w:rStyle w:val="Zstupntext"/>
                <w:color w:val="auto"/>
                <w:sz w:val="24"/>
                <w:szCs w:val="24"/>
              </w:rPr>
              <w:t xml:space="preserve">Návrh zákona, ktorým sa mení a dopĺňa zákon č. 89/2016 </w:t>
            </w:r>
            <w:proofErr w:type="spellStart"/>
            <w:r w:rsidRPr="005E282F">
              <w:rPr>
                <w:rStyle w:val="Zstupntext"/>
                <w:color w:val="auto"/>
                <w:sz w:val="24"/>
                <w:szCs w:val="24"/>
              </w:rPr>
              <w:t>Z.z</w:t>
            </w:r>
            <w:proofErr w:type="spellEnd"/>
            <w:r w:rsidRPr="005E282F">
              <w:rPr>
                <w:rStyle w:val="Zstupntext"/>
                <w:color w:val="auto"/>
                <w:sz w:val="24"/>
                <w:szCs w:val="24"/>
              </w:rPr>
              <w:t xml:space="preserve">. o výrobe, označovaní a predaji tabakových </w:t>
            </w:r>
            <w:r w:rsidRPr="005E282F">
              <w:rPr>
                <w:sz w:val="24"/>
                <w:szCs w:val="24"/>
              </w:rPr>
              <w:t>výrobkov</w:t>
            </w:r>
            <w:r w:rsidRPr="005E282F">
              <w:rPr>
                <w:rStyle w:val="Zstupntext"/>
                <w:color w:val="auto"/>
                <w:sz w:val="24"/>
                <w:szCs w:val="24"/>
              </w:rPr>
              <w:t xml:space="preserve"> a  súvisiacich výrobkov </w:t>
            </w:r>
            <w:r w:rsidR="008105B8" w:rsidRPr="008105B8">
              <w:rPr>
                <w:rStyle w:val="Zstupntext"/>
                <w:color w:val="auto"/>
                <w:sz w:val="24"/>
                <w:szCs w:val="24"/>
              </w:rPr>
              <w:t xml:space="preserve">a ktorým sa dopĺňa </w:t>
            </w:r>
            <w:r w:rsidR="008105B8">
              <w:rPr>
                <w:rStyle w:val="Zstupntext"/>
                <w:color w:val="auto"/>
                <w:sz w:val="24"/>
                <w:szCs w:val="24"/>
              </w:rPr>
              <w:br/>
            </w:r>
            <w:r w:rsidR="008105B8" w:rsidRPr="008105B8">
              <w:rPr>
                <w:rStyle w:val="Zstupntext"/>
                <w:color w:val="auto"/>
                <w:sz w:val="24"/>
                <w:szCs w:val="24"/>
              </w:rPr>
              <w:t xml:space="preserve">zákon č. 335/2011 Z. z. o tabakových výrobkoch </w:t>
            </w:r>
            <w:r w:rsidRPr="005E282F">
              <w:rPr>
                <w:rStyle w:val="Zstupntext"/>
                <w:color w:val="auto"/>
                <w:sz w:val="24"/>
                <w:szCs w:val="24"/>
              </w:rPr>
              <w:t xml:space="preserve">sa predkladá ako iniciatívny materiál s cieľom aproximácie Smernice Európskeho parlamentu a Rady 2014/40/EÚ z 3. apríla 2014 o aproximácii zákonov, iných právnych predpisov a správnych opatrení členských štátov týkajúcich sa výroby, prezentácie a predaja tabakových a súvisiacich výrobkov a </w:t>
            </w:r>
            <w:r>
              <w:rPr>
                <w:rStyle w:val="Zstupntext"/>
                <w:color w:val="auto"/>
                <w:sz w:val="24"/>
                <w:szCs w:val="24"/>
              </w:rPr>
              <w:t>o zrušení smernice 2001/37/ES,</w:t>
            </w:r>
            <w:r w:rsidRPr="005E282F">
              <w:rPr>
                <w:rStyle w:val="Zstupntext"/>
                <w:color w:val="auto"/>
                <w:sz w:val="24"/>
                <w:szCs w:val="24"/>
              </w:rPr>
              <w:t xml:space="preserve"> článkov 15 a</w:t>
            </w:r>
            <w:r>
              <w:rPr>
                <w:rStyle w:val="Zstupntext"/>
                <w:color w:val="auto"/>
                <w:sz w:val="24"/>
                <w:szCs w:val="24"/>
              </w:rPr>
              <w:t> </w:t>
            </w:r>
            <w:r w:rsidRPr="005E282F">
              <w:rPr>
                <w:rStyle w:val="Zstupntext"/>
                <w:color w:val="auto"/>
                <w:sz w:val="24"/>
                <w:szCs w:val="24"/>
              </w:rPr>
              <w:t>16</w:t>
            </w:r>
            <w:r>
              <w:rPr>
                <w:rStyle w:val="Zstupntext"/>
                <w:color w:val="auto"/>
                <w:sz w:val="24"/>
                <w:szCs w:val="24"/>
              </w:rPr>
              <w:t>, ktoré sú zamerané na oblasť</w:t>
            </w:r>
            <w:r w:rsidRPr="005E282F">
              <w:rPr>
                <w:rStyle w:val="Zstupntext"/>
                <w:color w:val="auto"/>
                <w:sz w:val="24"/>
                <w:szCs w:val="24"/>
              </w:rPr>
              <w:t xml:space="preserve"> </w:t>
            </w:r>
            <w:proofErr w:type="spellStart"/>
            <w:r w:rsidRPr="005E282F">
              <w:rPr>
                <w:rStyle w:val="Zstupntext"/>
                <w:color w:val="auto"/>
                <w:sz w:val="24"/>
                <w:szCs w:val="24"/>
              </w:rPr>
              <w:t>vysledovateľnosti</w:t>
            </w:r>
            <w:proofErr w:type="spellEnd"/>
            <w:r w:rsidRPr="005E282F">
              <w:rPr>
                <w:rStyle w:val="Zstupntext"/>
                <w:color w:val="auto"/>
                <w:sz w:val="24"/>
                <w:szCs w:val="24"/>
              </w:rPr>
              <w:t xml:space="preserve"> tabakových výrobkov a stanove</w:t>
            </w:r>
            <w:r>
              <w:rPr>
                <w:rStyle w:val="Zstupntext"/>
                <w:color w:val="auto"/>
                <w:sz w:val="24"/>
                <w:szCs w:val="24"/>
              </w:rPr>
              <w:t>nia jedinečného identifikátora.</w:t>
            </w:r>
          </w:p>
        </w:tc>
      </w:tr>
      <w:tr w:rsidR="003501A1" w:rsidRPr="007674EB" w:rsidTr="003501A1">
        <w:tc>
          <w:tcPr>
            <w:tcW w:w="9180" w:type="dxa"/>
            <w:gridSpan w:val="10"/>
            <w:tcBorders>
              <w:bottom w:val="nil"/>
            </w:tcBorders>
            <w:shd w:val="clear" w:color="auto" w:fill="E2E2E2"/>
          </w:tcPr>
          <w:p w:rsidR="003501A1" w:rsidRPr="00E62AAB" w:rsidRDefault="003501A1" w:rsidP="004D1B26">
            <w:pPr>
              <w:pStyle w:val="Odsekzoznamu"/>
              <w:numPr>
                <w:ilvl w:val="0"/>
                <w:numId w:val="12"/>
              </w:numPr>
              <w:spacing w:after="0" w:line="240" w:lineRule="auto"/>
              <w:ind w:left="426"/>
              <w:rPr>
                <w:rFonts w:ascii="Times New Roman" w:hAnsi="Times New Roman"/>
                <w:b/>
                <w:sz w:val="24"/>
                <w:szCs w:val="24"/>
              </w:rPr>
            </w:pPr>
            <w:r w:rsidRPr="00E62AAB">
              <w:rPr>
                <w:rFonts w:ascii="Times New Roman" w:hAnsi="Times New Roman"/>
                <w:b/>
                <w:sz w:val="24"/>
                <w:szCs w:val="24"/>
              </w:rPr>
              <w:t>Dotknuté subjekty</w:t>
            </w:r>
          </w:p>
        </w:tc>
      </w:tr>
      <w:tr w:rsidR="003501A1" w:rsidRPr="007674EB" w:rsidTr="003501A1">
        <w:tc>
          <w:tcPr>
            <w:tcW w:w="9180" w:type="dxa"/>
            <w:gridSpan w:val="10"/>
            <w:tcBorders>
              <w:top w:val="nil"/>
            </w:tcBorders>
            <w:shd w:val="clear" w:color="auto" w:fill="FFFFFF"/>
          </w:tcPr>
          <w:p w:rsidR="006D038E" w:rsidRDefault="00E62AAB" w:rsidP="005E282F">
            <w:pPr>
              <w:jc w:val="both"/>
              <w:rPr>
                <w:sz w:val="24"/>
                <w:szCs w:val="24"/>
              </w:rPr>
            </w:pPr>
            <w:r w:rsidRPr="00E62AAB">
              <w:rPr>
                <w:sz w:val="24"/>
                <w:szCs w:val="24"/>
              </w:rPr>
              <w:t xml:space="preserve">Zmeny v návrhu zákona </w:t>
            </w:r>
            <w:r w:rsidR="00784760">
              <w:rPr>
                <w:sz w:val="24"/>
                <w:szCs w:val="24"/>
              </w:rPr>
              <w:t xml:space="preserve"> </w:t>
            </w:r>
            <w:r w:rsidRPr="00E62AAB">
              <w:rPr>
                <w:sz w:val="24"/>
                <w:szCs w:val="24"/>
              </w:rPr>
              <w:t xml:space="preserve">sa dotknú </w:t>
            </w:r>
            <w:r w:rsidR="005E282F">
              <w:rPr>
                <w:sz w:val="24"/>
                <w:szCs w:val="24"/>
              </w:rPr>
              <w:t xml:space="preserve">podnikateľského prostredia. Legislatívne úpravy v návrhu novely zákona sa priamo dotýkajú </w:t>
            </w:r>
            <w:r w:rsidR="00B03634" w:rsidRPr="00B03634">
              <w:rPr>
                <w:sz w:val="24"/>
                <w:szCs w:val="24"/>
              </w:rPr>
              <w:t>kompetencií Ministerstva financií SR, Finančného riaditeľstva SR a colných úradov</w:t>
            </w:r>
            <w:r w:rsidR="00B03634">
              <w:rPr>
                <w:sz w:val="24"/>
                <w:szCs w:val="24"/>
              </w:rPr>
              <w:t>.</w:t>
            </w:r>
          </w:p>
          <w:p w:rsidR="0034529D" w:rsidRDefault="0034529D" w:rsidP="005E282F">
            <w:pPr>
              <w:jc w:val="both"/>
              <w:rPr>
                <w:sz w:val="24"/>
                <w:szCs w:val="24"/>
              </w:rPr>
            </w:pPr>
          </w:p>
          <w:p w:rsidR="0034529D" w:rsidRPr="00E62AAB" w:rsidRDefault="0034529D" w:rsidP="005E282F">
            <w:pPr>
              <w:jc w:val="both"/>
              <w:rPr>
                <w:sz w:val="24"/>
                <w:szCs w:val="24"/>
                <w:lang w:eastAsia="sk-SK"/>
              </w:rPr>
            </w:pPr>
          </w:p>
        </w:tc>
      </w:tr>
      <w:tr w:rsidR="003501A1" w:rsidRPr="007674EB" w:rsidTr="003501A1">
        <w:tc>
          <w:tcPr>
            <w:tcW w:w="9180" w:type="dxa"/>
            <w:gridSpan w:val="10"/>
            <w:tcBorders>
              <w:bottom w:val="nil"/>
            </w:tcBorders>
            <w:shd w:val="clear" w:color="auto" w:fill="E2E2E2"/>
          </w:tcPr>
          <w:p w:rsidR="003501A1" w:rsidRPr="00784760" w:rsidRDefault="003501A1" w:rsidP="004D1B26">
            <w:pPr>
              <w:pStyle w:val="Odsekzoznamu"/>
              <w:numPr>
                <w:ilvl w:val="0"/>
                <w:numId w:val="12"/>
              </w:numPr>
              <w:spacing w:after="0" w:line="240" w:lineRule="auto"/>
              <w:ind w:left="426"/>
              <w:rPr>
                <w:rFonts w:ascii="Times New Roman" w:hAnsi="Times New Roman"/>
                <w:b/>
                <w:sz w:val="24"/>
                <w:szCs w:val="24"/>
              </w:rPr>
            </w:pPr>
            <w:r w:rsidRPr="00784760">
              <w:rPr>
                <w:rFonts w:ascii="Times New Roman" w:hAnsi="Times New Roman"/>
                <w:b/>
                <w:sz w:val="24"/>
                <w:szCs w:val="24"/>
              </w:rPr>
              <w:lastRenderedPageBreak/>
              <w:t>Alternatívne riešenia</w:t>
            </w:r>
          </w:p>
        </w:tc>
      </w:tr>
      <w:tr w:rsidR="003501A1" w:rsidRPr="007674EB" w:rsidTr="00D13B6F">
        <w:trPr>
          <w:trHeight w:val="709"/>
        </w:trPr>
        <w:tc>
          <w:tcPr>
            <w:tcW w:w="9180" w:type="dxa"/>
            <w:gridSpan w:val="10"/>
            <w:tcBorders>
              <w:top w:val="nil"/>
            </w:tcBorders>
            <w:shd w:val="clear" w:color="auto" w:fill="FFFFFF"/>
          </w:tcPr>
          <w:p w:rsidR="003501A1" w:rsidRPr="00E62AAB" w:rsidRDefault="006C5845" w:rsidP="006C5845">
            <w:pPr>
              <w:jc w:val="both"/>
              <w:rPr>
                <w:sz w:val="24"/>
                <w:szCs w:val="24"/>
                <w:lang w:eastAsia="sk-SK"/>
              </w:rPr>
            </w:pPr>
            <w:r>
              <w:rPr>
                <w:sz w:val="24"/>
                <w:szCs w:val="24"/>
                <w:lang w:eastAsia="sk-SK"/>
              </w:rPr>
              <w:t>Neexistujú alternatívne riešenia.</w:t>
            </w:r>
          </w:p>
        </w:tc>
      </w:tr>
      <w:tr w:rsidR="003501A1" w:rsidRPr="007674EB" w:rsidTr="003501A1">
        <w:tc>
          <w:tcPr>
            <w:tcW w:w="9180" w:type="dxa"/>
            <w:gridSpan w:val="10"/>
            <w:tcBorders>
              <w:bottom w:val="single" w:sz="4" w:space="0" w:color="FFFFFF"/>
            </w:tcBorders>
            <w:shd w:val="clear" w:color="auto" w:fill="E2E2E2"/>
          </w:tcPr>
          <w:p w:rsidR="003501A1" w:rsidRPr="00784760" w:rsidRDefault="003501A1" w:rsidP="004D1B26">
            <w:pPr>
              <w:pStyle w:val="Odsekzoznamu"/>
              <w:numPr>
                <w:ilvl w:val="0"/>
                <w:numId w:val="12"/>
              </w:numPr>
              <w:spacing w:after="0" w:line="240" w:lineRule="auto"/>
              <w:ind w:left="426"/>
              <w:rPr>
                <w:rFonts w:ascii="Times New Roman" w:hAnsi="Times New Roman"/>
                <w:b/>
                <w:sz w:val="24"/>
                <w:szCs w:val="24"/>
              </w:rPr>
            </w:pPr>
            <w:r w:rsidRPr="00784760">
              <w:rPr>
                <w:rFonts w:ascii="Times New Roman" w:hAnsi="Times New Roman"/>
                <w:b/>
                <w:sz w:val="24"/>
                <w:szCs w:val="24"/>
              </w:rPr>
              <w:t>Vykonávacie predpisy</w:t>
            </w:r>
          </w:p>
        </w:tc>
      </w:tr>
      <w:tr w:rsidR="003501A1" w:rsidRPr="007674EB" w:rsidTr="004F6F1F">
        <w:tc>
          <w:tcPr>
            <w:tcW w:w="6203" w:type="dxa"/>
            <w:gridSpan w:val="6"/>
            <w:tcBorders>
              <w:top w:val="single" w:sz="4" w:space="0" w:color="FFFFFF"/>
              <w:bottom w:val="nil"/>
              <w:right w:val="nil"/>
            </w:tcBorders>
            <w:shd w:val="clear" w:color="auto" w:fill="FFFFFF"/>
          </w:tcPr>
          <w:p w:rsidR="003501A1" w:rsidRPr="007544F1" w:rsidRDefault="003501A1" w:rsidP="008D26FA">
            <w:pPr>
              <w:rPr>
                <w:i/>
                <w:sz w:val="22"/>
                <w:szCs w:val="22"/>
                <w:lang w:eastAsia="sk-SK"/>
              </w:rPr>
            </w:pPr>
            <w:r w:rsidRPr="007544F1">
              <w:rPr>
                <w:i/>
                <w:sz w:val="22"/>
                <w:szCs w:val="22"/>
                <w:lang w:eastAsia="sk-SK"/>
              </w:rPr>
              <w:t>Predpokladá sa prijatie/zmena  vykonávacích predpisov?</w:t>
            </w:r>
          </w:p>
        </w:tc>
        <w:tc>
          <w:tcPr>
            <w:tcW w:w="1417" w:type="dxa"/>
            <w:gridSpan w:val="2"/>
            <w:tcBorders>
              <w:top w:val="single" w:sz="4" w:space="0" w:color="FFFFFF"/>
              <w:left w:val="nil"/>
              <w:bottom w:val="nil"/>
              <w:right w:val="nil"/>
            </w:tcBorders>
            <w:shd w:val="clear" w:color="auto" w:fill="FFFFFF"/>
          </w:tcPr>
          <w:p w:rsidR="003501A1" w:rsidRPr="007544F1" w:rsidRDefault="00B96F96" w:rsidP="008D26FA">
            <w:pPr>
              <w:jc w:val="center"/>
              <w:rPr>
                <w:sz w:val="22"/>
                <w:szCs w:val="22"/>
                <w:lang w:eastAsia="sk-SK"/>
              </w:rPr>
            </w:pPr>
            <w:r>
              <w:rPr>
                <w:rFonts w:ascii="MS Gothic" w:eastAsia="MS Gothic" w:hAnsi="MS Gothic"/>
                <w:sz w:val="22"/>
                <w:szCs w:val="22"/>
                <w:lang w:eastAsia="sk-SK"/>
              </w:rPr>
              <w:t>x</w:t>
            </w:r>
            <w:r w:rsidR="002F5A61" w:rsidRPr="007544F1">
              <w:rPr>
                <w:sz w:val="22"/>
                <w:szCs w:val="22"/>
                <w:lang w:eastAsia="sk-SK"/>
              </w:rPr>
              <w:t xml:space="preserve"> </w:t>
            </w:r>
            <w:r w:rsidR="003501A1" w:rsidRPr="007544F1">
              <w:rPr>
                <w:sz w:val="22"/>
                <w:szCs w:val="22"/>
                <w:lang w:eastAsia="sk-SK"/>
              </w:rPr>
              <w:t xml:space="preserve"> Áno</w:t>
            </w:r>
          </w:p>
        </w:tc>
        <w:tc>
          <w:tcPr>
            <w:tcW w:w="1560" w:type="dxa"/>
            <w:gridSpan w:val="2"/>
            <w:tcBorders>
              <w:top w:val="single" w:sz="4" w:space="0" w:color="FFFFFF"/>
              <w:left w:val="nil"/>
              <w:bottom w:val="nil"/>
            </w:tcBorders>
            <w:shd w:val="clear" w:color="auto" w:fill="FFFFFF"/>
          </w:tcPr>
          <w:p w:rsidR="003501A1" w:rsidRPr="007544F1" w:rsidRDefault="003501A1" w:rsidP="008D26FA">
            <w:pPr>
              <w:jc w:val="center"/>
              <w:rPr>
                <w:sz w:val="22"/>
                <w:szCs w:val="22"/>
                <w:lang w:eastAsia="sk-SK"/>
              </w:rPr>
            </w:pPr>
          </w:p>
        </w:tc>
      </w:tr>
      <w:tr w:rsidR="003501A1" w:rsidRPr="007674EB" w:rsidTr="003501A1">
        <w:tc>
          <w:tcPr>
            <w:tcW w:w="9180" w:type="dxa"/>
            <w:gridSpan w:val="10"/>
            <w:tcBorders>
              <w:top w:val="nil"/>
            </w:tcBorders>
            <w:shd w:val="clear" w:color="auto" w:fill="FFFFFF"/>
          </w:tcPr>
          <w:p w:rsidR="00567878" w:rsidRPr="00B96F96" w:rsidRDefault="00B96F96" w:rsidP="00B96F96">
            <w:pPr>
              <w:jc w:val="both"/>
              <w:rPr>
                <w:sz w:val="24"/>
                <w:szCs w:val="24"/>
                <w:lang w:eastAsia="sk-SK"/>
              </w:rPr>
            </w:pPr>
            <w:r w:rsidRPr="00B96F96">
              <w:rPr>
                <w:sz w:val="24"/>
                <w:szCs w:val="24"/>
              </w:rPr>
              <w:t>Na základe splnomocňovacieho ustanovenia uvedeného v návrhu zákona Ministerstvo financií SR vydá všeobecne záväzný právny predpis, ktorým ustanoví náležitosti jedinečného identifikátora, spôsob vyhotovenia jedinečného identifikátora a cenu jedinečného identifikátora.</w:t>
            </w:r>
          </w:p>
        </w:tc>
      </w:tr>
      <w:tr w:rsidR="003501A1" w:rsidRPr="007674EB" w:rsidTr="003501A1">
        <w:tc>
          <w:tcPr>
            <w:tcW w:w="9180" w:type="dxa"/>
            <w:gridSpan w:val="10"/>
            <w:tcBorders>
              <w:bottom w:val="single" w:sz="4" w:space="0" w:color="FFFFFF"/>
            </w:tcBorders>
            <w:shd w:val="clear" w:color="auto" w:fill="E2E2E2"/>
          </w:tcPr>
          <w:p w:rsidR="003501A1" w:rsidRPr="007674EB" w:rsidRDefault="003501A1" w:rsidP="004D1B26">
            <w:pPr>
              <w:pStyle w:val="Odsekzoznamu"/>
              <w:numPr>
                <w:ilvl w:val="0"/>
                <w:numId w:val="12"/>
              </w:numPr>
              <w:spacing w:after="0" w:line="240" w:lineRule="auto"/>
              <w:ind w:left="426"/>
              <w:rPr>
                <w:rFonts w:ascii="Times New Roman" w:hAnsi="Times New Roman"/>
                <w:b/>
              </w:rPr>
            </w:pPr>
            <w:r w:rsidRPr="007674EB">
              <w:rPr>
                <w:rFonts w:ascii="Times New Roman" w:hAnsi="Times New Roman"/>
                <w:b/>
              </w:rPr>
              <w:t xml:space="preserve">Transpozícia práva EÚ </w:t>
            </w:r>
          </w:p>
        </w:tc>
      </w:tr>
      <w:tr w:rsidR="003501A1" w:rsidRPr="00A179AE" w:rsidTr="003501A1">
        <w:trPr>
          <w:trHeight w:val="157"/>
        </w:trPr>
        <w:tc>
          <w:tcPr>
            <w:tcW w:w="9180" w:type="dxa"/>
            <w:gridSpan w:val="10"/>
            <w:tcBorders>
              <w:top w:val="nil"/>
              <w:left w:val="single" w:sz="4" w:space="0" w:color="000000"/>
              <w:bottom w:val="nil"/>
            </w:tcBorders>
            <w:shd w:val="clear" w:color="auto" w:fill="FFFFFF"/>
          </w:tcPr>
          <w:p w:rsidR="00DA5B56" w:rsidRPr="00E62AAB" w:rsidRDefault="00E62AAB" w:rsidP="008105B8">
            <w:pPr>
              <w:jc w:val="both"/>
              <w:rPr>
                <w:i/>
                <w:sz w:val="24"/>
                <w:szCs w:val="24"/>
                <w:lang w:eastAsia="sk-SK"/>
              </w:rPr>
            </w:pPr>
            <w:r w:rsidRPr="00E62AAB">
              <w:rPr>
                <w:sz w:val="24"/>
                <w:szCs w:val="24"/>
              </w:rPr>
              <w:t xml:space="preserve">Predkladaným návrhom zákona sa preberá smernica </w:t>
            </w:r>
            <w:r w:rsidR="005E282F" w:rsidRPr="005E282F">
              <w:rPr>
                <w:rStyle w:val="Zstupntext"/>
                <w:color w:val="auto"/>
                <w:sz w:val="24"/>
                <w:szCs w:val="24"/>
              </w:rPr>
              <w:t xml:space="preserve">Európskeho parlamentu a Rady 2014/40/EÚ z 3. apríla 2014 o aproximácii zákonov, iných právnych predpisov a správnych opatrení členských štátov týkajúcich sa výroby, prezentácie a predaja tabakových a súvisiacich výrobkov a </w:t>
            </w:r>
            <w:r w:rsidR="005E282F">
              <w:rPr>
                <w:rStyle w:val="Zstupntext"/>
                <w:color w:val="auto"/>
                <w:sz w:val="24"/>
                <w:szCs w:val="24"/>
              </w:rPr>
              <w:t>o zrušení smernice 2001/37/ES</w:t>
            </w:r>
          </w:p>
        </w:tc>
      </w:tr>
      <w:tr w:rsidR="003501A1" w:rsidRPr="00A179AE" w:rsidTr="00D13B6F">
        <w:trPr>
          <w:trHeight w:val="248"/>
        </w:trPr>
        <w:tc>
          <w:tcPr>
            <w:tcW w:w="9180" w:type="dxa"/>
            <w:gridSpan w:val="10"/>
            <w:tcBorders>
              <w:top w:val="nil"/>
              <w:left w:val="single" w:sz="4" w:space="0" w:color="000000"/>
              <w:bottom w:val="single" w:sz="4" w:space="0" w:color="000000"/>
              <w:right w:val="single" w:sz="4" w:space="0" w:color="000000"/>
            </w:tcBorders>
            <w:shd w:val="clear" w:color="auto" w:fill="FFFFFF"/>
          </w:tcPr>
          <w:p w:rsidR="003501A1" w:rsidRPr="007544F1" w:rsidRDefault="003501A1" w:rsidP="008D26FA">
            <w:pPr>
              <w:jc w:val="center"/>
              <w:rPr>
                <w:lang w:eastAsia="sk-SK"/>
              </w:rPr>
            </w:pPr>
          </w:p>
        </w:tc>
      </w:tr>
      <w:tr w:rsidR="003501A1" w:rsidRPr="00A179AE" w:rsidTr="003501A1">
        <w:tc>
          <w:tcPr>
            <w:tcW w:w="9180" w:type="dxa"/>
            <w:gridSpan w:val="10"/>
            <w:tcBorders>
              <w:bottom w:val="single" w:sz="4" w:space="0" w:color="FFFFFF"/>
            </w:tcBorders>
            <w:shd w:val="clear" w:color="auto" w:fill="E2E2E2"/>
          </w:tcPr>
          <w:p w:rsidR="003501A1" w:rsidRPr="00A179AE" w:rsidRDefault="003501A1" w:rsidP="004D1B26">
            <w:pPr>
              <w:pStyle w:val="Odsekzoznamu"/>
              <w:numPr>
                <w:ilvl w:val="0"/>
                <w:numId w:val="12"/>
              </w:numPr>
              <w:spacing w:after="0" w:line="240" w:lineRule="auto"/>
              <w:ind w:left="426"/>
              <w:rPr>
                <w:rFonts w:ascii="Times New Roman" w:hAnsi="Times New Roman"/>
                <w:b/>
              </w:rPr>
            </w:pPr>
            <w:r w:rsidRPr="00A179AE">
              <w:rPr>
                <w:rFonts w:ascii="Times New Roman" w:hAnsi="Times New Roman"/>
                <w:b/>
              </w:rPr>
              <w:t>Preskúmanie účelnosti</w:t>
            </w:r>
            <w:r w:rsidR="00F62771">
              <w:rPr>
                <w:rFonts w:ascii="Times New Roman" w:hAnsi="Times New Roman"/>
                <w:b/>
              </w:rPr>
              <w:t>**</w:t>
            </w:r>
          </w:p>
        </w:tc>
      </w:tr>
      <w:tr w:rsidR="003501A1" w:rsidRPr="00A179AE" w:rsidTr="003501A1">
        <w:tc>
          <w:tcPr>
            <w:tcW w:w="9180" w:type="dxa"/>
            <w:gridSpan w:val="10"/>
            <w:tcBorders>
              <w:top w:val="single" w:sz="4" w:space="0" w:color="FFFFFF"/>
            </w:tcBorders>
            <w:shd w:val="clear" w:color="auto" w:fill="FFFFFF"/>
          </w:tcPr>
          <w:p w:rsidR="00D3336B" w:rsidRPr="00A179AE" w:rsidRDefault="00D3336B" w:rsidP="00567878">
            <w:pPr>
              <w:rPr>
                <w:i/>
                <w:lang w:eastAsia="sk-SK"/>
              </w:rPr>
            </w:pPr>
          </w:p>
        </w:tc>
      </w:tr>
      <w:tr w:rsidR="003501A1" w:rsidRPr="00A179AE" w:rsidTr="004F6F1F">
        <w:tc>
          <w:tcPr>
            <w:tcW w:w="9180" w:type="dxa"/>
            <w:gridSpan w:val="10"/>
            <w:tcBorders>
              <w:top w:val="nil"/>
              <w:left w:val="nil"/>
              <w:right w:val="nil"/>
            </w:tcBorders>
            <w:shd w:val="clear" w:color="auto" w:fill="FFFFFF"/>
          </w:tcPr>
          <w:p w:rsidR="003501A1" w:rsidRPr="00A179AE" w:rsidRDefault="003501A1" w:rsidP="003501A1">
            <w:pPr>
              <w:rPr>
                <w:b/>
                <w:lang w:eastAsia="sk-SK"/>
              </w:rPr>
            </w:pPr>
          </w:p>
        </w:tc>
      </w:tr>
      <w:tr w:rsidR="003501A1" w:rsidRPr="007544F1" w:rsidTr="004F6F1F">
        <w:trPr>
          <w:trHeight w:val="577"/>
        </w:trPr>
        <w:tc>
          <w:tcPr>
            <w:tcW w:w="9180" w:type="dxa"/>
            <w:gridSpan w:val="10"/>
            <w:tcBorders>
              <w:bottom w:val="single" w:sz="4" w:space="0" w:color="FFFFFF"/>
            </w:tcBorders>
            <w:shd w:val="clear" w:color="auto" w:fill="E2E2E2"/>
            <w:vAlign w:val="center"/>
          </w:tcPr>
          <w:p w:rsidR="003501A1" w:rsidRPr="007544F1" w:rsidRDefault="003501A1" w:rsidP="004D1B26">
            <w:pPr>
              <w:pStyle w:val="Odsekzoznamu"/>
              <w:numPr>
                <w:ilvl w:val="0"/>
                <w:numId w:val="12"/>
              </w:numPr>
              <w:spacing w:after="0" w:line="240" w:lineRule="auto"/>
              <w:ind w:left="426"/>
              <w:rPr>
                <w:rFonts w:ascii="Times New Roman" w:hAnsi="Times New Roman"/>
                <w:b/>
              </w:rPr>
            </w:pPr>
            <w:r w:rsidRPr="007544F1">
              <w:rPr>
                <w:rFonts w:ascii="Times New Roman" w:hAnsi="Times New Roman"/>
                <w:b/>
              </w:rPr>
              <w:t>Vplyvy navrhovaného materiálu</w:t>
            </w:r>
          </w:p>
        </w:tc>
      </w:tr>
      <w:tr w:rsidR="003501A1" w:rsidRPr="007544F1" w:rsidTr="006C5845">
        <w:tc>
          <w:tcPr>
            <w:tcW w:w="3812" w:type="dxa"/>
            <w:tcBorders>
              <w:bottom w:val="nil"/>
            </w:tcBorders>
            <w:shd w:val="clear" w:color="auto" w:fill="E2E2E2"/>
          </w:tcPr>
          <w:p w:rsidR="003501A1" w:rsidRPr="007544F1" w:rsidRDefault="003501A1" w:rsidP="008D26FA">
            <w:pPr>
              <w:rPr>
                <w:b/>
                <w:lang w:eastAsia="sk-SK"/>
              </w:rPr>
            </w:pPr>
            <w:r w:rsidRPr="007544F1">
              <w:rPr>
                <w:b/>
                <w:lang w:eastAsia="sk-SK"/>
              </w:rPr>
              <w:t>Vplyvy na rozpočet verejnej správy</w:t>
            </w:r>
          </w:p>
        </w:tc>
        <w:tc>
          <w:tcPr>
            <w:tcW w:w="691" w:type="dxa"/>
            <w:gridSpan w:val="2"/>
            <w:tcBorders>
              <w:right w:val="nil"/>
            </w:tcBorders>
          </w:tcPr>
          <w:p w:rsidR="003501A1" w:rsidRPr="007544F1" w:rsidRDefault="007C521E" w:rsidP="00177837">
            <w:pPr>
              <w:jc w:val="center"/>
              <w:rPr>
                <w:b/>
                <w:lang w:eastAsia="sk-SK"/>
              </w:rPr>
            </w:pPr>
            <w:r w:rsidRPr="007544F1">
              <w:rPr>
                <w:rFonts w:ascii="MS Gothic" w:eastAsia="MS Gothic" w:hAnsi="MS Gothic" w:hint="eastAsia"/>
                <w:b/>
                <w:lang w:eastAsia="sk-SK"/>
              </w:rPr>
              <w:t>☐</w:t>
            </w:r>
          </w:p>
        </w:tc>
        <w:tc>
          <w:tcPr>
            <w:tcW w:w="1131" w:type="dxa"/>
            <w:gridSpan w:val="2"/>
            <w:tcBorders>
              <w:left w:val="nil"/>
              <w:right w:val="nil"/>
            </w:tcBorders>
          </w:tcPr>
          <w:p w:rsidR="003501A1" w:rsidRPr="007544F1" w:rsidRDefault="003501A1" w:rsidP="008D26FA">
            <w:pPr>
              <w:rPr>
                <w:b/>
                <w:lang w:eastAsia="sk-SK"/>
              </w:rPr>
            </w:pPr>
            <w:r w:rsidRPr="007544F1">
              <w:rPr>
                <w:b/>
                <w:lang w:eastAsia="sk-SK"/>
              </w:rPr>
              <w:t>Pozitívne</w:t>
            </w:r>
          </w:p>
        </w:tc>
        <w:tc>
          <w:tcPr>
            <w:tcW w:w="569" w:type="dxa"/>
            <w:tcBorders>
              <w:left w:val="nil"/>
              <w:right w:val="nil"/>
            </w:tcBorders>
          </w:tcPr>
          <w:p w:rsidR="003501A1" w:rsidRPr="007544F1" w:rsidRDefault="00784760" w:rsidP="00177837">
            <w:pPr>
              <w:jc w:val="center"/>
              <w:rPr>
                <w:b/>
                <w:lang w:eastAsia="sk-SK"/>
              </w:rPr>
            </w:pPr>
            <w:r w:rsidRPr="00177837">
              <w:rPr>
                <w:rFonts w:ascii="MS Gothic" w:eastAsia="MS Gothic" w:hint="eastAsia"/>
                <w:b/>
                <w:lang w:eastAsia="sk-SK"/>
              </w:rPr>
              <w:t>☒</w:t>
            </w:r>
          </w:p>
        </w:tc>
        <w:tc>
          <w:tcPr>
            <w:tcW w:w="1133" w:type="dxa"/>
            <w:tcBorders>
              <w:left w:val="nil"/>
              <w:right w:val="nil"/>
            </w:tcBorders>
          </w:tcPr>
          <w:p w:rsidR="003501A1" w:rsidRPr="007544F1" w:rsidRDefault="003501A1" w:rsidP="008D26FA">
            <w:pPr>
              <w:rPr>
                <w:b/>
                <w:lang w:eastAsia="sk-SK"/>
              </w:rPr>
            </w:pPr>
            <w:r w:rsidRPr="007544F1">
              <w:rPr>
                <w:b/>
                <w:lang w:eastAsia="sk-SK"/>
              </w:rPr>
              <w:t>Žiadne</w:t>
            </w:r>
          </w:p>
        </w:tc>
        <w:tc>
          <w:tcPr>
            <w:tcW w:w="547" w:type="dxa"/>
            <w:gridSpan w:val="2"/>
            <w:tcBorders>
              <w:left w:val="nil"/>
              <w:right w:val="nil"/>
            </w:tcBorders>
          </w:tcPr>
          <w:p w:rsidR="003501A1" w:rsidRPr="007544F1" w:rsidRDefault="003501A1" w:rsidP="008D26FA">
            <w:pPr>
              <w:ind w:left="-107" w:right="-108"/>
              <w:jc w:val="center"/>
              <w:rPr>
                <w:b/>
                <w:lang w:eastAsia="sk-SK"/>
              </w:rPr>
            </w:pPr>
            <w:r w:rsidRPr="007544F1">
              <w:rPr>
                <w:rFonts w:ascii="Segoe UI Symbol" w:eastAsia="MS Mincho" w:hAnsi="Segoe UI Symbol" w:cs="Segoe UI Symbol"/>
                <w:b/>
                <w:lang w:eastAsia="sk-SK"/>
              </w:rPr>
              <w:t>☐</w:t>
            </w:r>
          </w:p>
        </w:tc>
        <w:tc>
          <w:tcPr>
            <w:tcW w:w="1297" w:type="dxa"/>
            <w:tcBorders>
              <w:left w:val="nil"/>
            </w:tcBorders>
          </w:tcPr>
          <w:p w:rsidR="003501A1" w:rsidRPr="007544F1" w:rsidRDefault="003501A1" w:rsidP="008D26FA">
            <w:pPr>
              <w:ind w:left="34"/>
              <w:rPr>
                <w:b/>
                <w:lang w:eastAsia="sk-SK"/>
              </w:rPr>
            </w:pPr>
            <w:r w:rsidRPr="007544F1">
              <w:rPr>
                <w:b/>
                <w:lang w:eastAsia="sk-SK"/>
              </w:rPr>
              <w:t>Negatívne</w:t>
            </w:r>
          </w:p>
        </w:tc>
      </w:tr>
      <w:tr w:rsidR="003501A1" w:rsidRPr="007544F1" w:rsidTr="006C5845">
        <w:tc>
          <w:tcPr>
            <w:tcW w:w="3812" w:type="dxa"/>
            <w:tcBorders>
              <w:top w:val="nil"/>
              <w:bottom w:val="single" w:sz="4" w:space="0" w:color="000000"/>
            </w:tcBorders>
            <w:shd w:val="clear" w:color="auto" w:fill="E2E2E2"/>
          </w:tcPr>
          <w:p w:rsidR="003501A1" w:rsidRPr="007544F1" w:rsidRDefault="003501A1" w:rsidP="008D26FA">
            <w:pPr>
              <w:rPr>
                <w:lang w:eastAsia="sk-SK"/>
              </w:rPr>
            </w:pPr>
            <w:r w:rsidRPr="007544F1">
              <w:rPr>
                <w:lang w:eastAsia="sk-SK"/>
              </w:rPr>
              <w:t xml:space="preserve">    z toho rozpočtovo zabezpečené vplyvy</w:t>
            </w:r>
          </w:p>
        </w:tc>
        <w:tc>
          <w:tcPr>
            <w:tcW w:w="691" w:type="dxa"/>
            <w:gridSpan w:val="2"/>
            <w:tcBorders>
              <w:right w:val="nil"/>
            </w:tcBorders>
          </w:tcPr>
          <w:p w:rsidR="003501A1" w:rsidRPr="007544F1" w:rsidRDefault="00EB578F" w:rsidP="008D26FA">
            <w:pPr>
              <w:jc w:val="center"/>
              <w:rPr>
                <w:lang w:eastAsia="sk-SK"/>
              </w:rPr>
            </w:pPr>
            <w:r w:rsidRPr="007544F1">
              <w:rPr>
                <w:rFonts w:ascii="MS Gothic" w:eastAsia="MS Gothic" w:hAnsi="MS Gothic" w:hint="eastAsia"/>
                <w:lang w:eastAsia="sk-SK"/>
              </w:rPr>
              <w:t>☐</w:t>
            </w:r>
          </w:p>
        </w:tc>
        <w:tc>
          <w:tcPr>
            <w:tcW w:w="1131" w:type="dxa"/>
            <w:gridSpan w:val="2"/>
            <w:tcBorders>
              <w:left w:val="nil"/>
              <w:right w:val="nil"/>
            </w:tcBorders>
          </w:tcPr>
          <w:p w:rsidR="003501A1" w:rsidRPr="007544F1" w:rsidRDefault="003501A1" w:rsidP="008D26FA">
            <w:pPr>
              <w:rPr>
                <w:lang w:eastAsia="sk-SK"/>
              </w:rPr>
            </w:pPr>
            <w:r w:rsidRPr="007544F1">
              <w:rPr>
                <w:lang w:eastAsia="sk-SK"/>
              </w:rPr>
              <w:t>Áno</w:t>
            </w:r>
          </w:p>
        </w:tc>
        <w:tc>
          <w:tcPr>
            <w:tcW w:w="569" w:type="dxa"/>
            <w:tcBorders>
              <w:left w:val="nil"/>
              <w:right w:val="nil"/>
            </w:tcBorders>
          </w:tcPr>
          <w:p w:rsidR="003501A1" w:rsidRPr="007544F1" w:rsidRDefault="00177837" w:rsidP="00177837">
            <w:pPr>
              <w:jc w:val="center"/>
              <w:rPr>
                <w:lang w:eastAsia="sk-SK"/>
              </w:rPr>
            </w:pPr>
            <w:r w:rsidRPr="00177837">
              <w:rPr>
                <w:rFonts w:ascii="MS Gothic" w:eastAsia="MS Gothic" w:hint="eastAsia"/>
                <w:b/>
                <w:lang w:eastAsia="sk-SK"/>
              </w:rPr>
              <w:t>☒</w:t>
            </w:r>
          </w:p>
        </w:tc>
        <w:tc>
          <w:tcPr>
            <w:tcW w:w="1133" w:type="dxa"/>
            <w:tcBorders>
              <w:left w:val="nil"/>
              <w:right w:val="nil"/>
            </w:tcBorders>
          </w:tcPr>
          <w:p w:rsidR="003501A1" w:rsidRPr="007544F1" w:rsidRDefault="003501A1" w:rsidP="008D26FA">
            <w:pPr>
              <w:rPr>
                <w:lang w:eastAsia="sk-SK"/>
              </w:rPr>
            </w:pPr>
            <w:r w:rsidRPr="007544F1">
              <w:rPr>
                <w:lang w:eastAsia="sk-SK"/>
              </w:rPr>
              <w:t>Nie</w:t>
            </w:r>
          </w:p>
        </w:tc>
        <w:tc>
          <w:tcPr>
            <w:tcW w:w="547" w:type="dxa"/>
            <w:gridSpan w:val="2"/>
            <w:tcBorders>
              <w:left w:val="nil"/>
              <w:right w:val="nil"/>
            </w:tcBorders>
          </w:tcPr>
          <w:p w:rsidR="003501A1" w:rsidRPr="007544F1" w:rsidRDefault="003501A1" w:rsidP="008D26FA">
            <w:pPr>
              <w:ind w:left="-107" w:right="-108"/>
              <w:jc w:val="center"/>
              <w:rPr>
                <w:lang w:eastAsia="sk-SK"/>
              </w:rPr>
            </w:pPr>
            <w:r w:rsidRPr="007544F1">
              <w:rPr>
                <w:rFonts w:ascii="Segoe UI Symbol" w:eastAsia="MS Mincho" w:hAnsi="Segoe UI Symbol" w:cs="Segoe UI Symbol"/>
                <w:lang w:eastAsia="sk-SK"/>
              </w:rPr>
              <w:t>☐</w:t>
            </w:r>
          </w:p>
        </w:tc>
        <w:tc>
          <w:tcPr>
            <w:tcW w:w="1297" w:type="dxa"/>
            <w:tcBorders>
              <w:left w:val="nil"/>
            </w:tcBorders>
          </w:tcPr>
          <w:p w:rsidR="003501A1" w:rsidRPr="007544F1" w:rsidRDefault="003501A1" w:rsidP="008D26FA">
            <w:pPr>
              <w:ind w:left="34"/>
              <w:rPr>
                <w:lang w:eastAsia="sk-SK"/>
              </w:rPr>
            </w:pPr>
            <w:r w:rsidRPr="007544F1">
              <w:rPr>
                <w:lang w:eastAsia="sk-SK"/>
              </w:rPr>
              <w:t>Čiastočne</w:t>
            </w:r>
          </w:p>
        </w:tc>
      </w:tr>
      <w:tr w:rsidR="003501A1" w:rsidRPr="007544F1" w:rsidTr="006C5845">
        <w:tc>
          <w:tcPr>
            <w:tcW w:w="3812" w:type="dxa"/>
            <w:tcBorders>
              <w:top w:val="single" w:sz="4" w:space="0" w:color="000000"/>
              <w:bottom w:val="nil"/>
            </w:tcBorders>
            <w:shd w:val="clear" w:color="auto" w:fill="E2E2E2"/>
          </w:tcPr>
          <w:p w:rsidR="003501A1" w:rsidRPr="007544F1" w:rsidRDefault="003501A1" w:rsidP="004C794A">
            <w:pPr>
              <w:rPr>
                <w:b/>
                <w:lang w:eastAsia="sk-SK"/>
              </w:rPr>
            </w:pPr>
            <w:r w:rsidRPr="007544F1">
              <w:rPr>
                <w:b/>
                <w:lang w:eastAsia="sk-SK"/>
              </w:rPr>
              <w:t>Vplyvy na podnikateľské prostredie</w:t>
            </w:r>
          </w:p>
        </w:tc>
        <w:tc>
          <w:tcPr>
            <w:tcW w:w="691" w:type="dxa"/>
            <w:gridSpan w:val="2"/>
            <w:tcBorders>
              <w:right w:val="nil"/>
            </w:tcBorders>
          </w:tcPr>
          <w:p w:rsidR="003501A1" w:rsidRPr="007544F1" w:rsidRDefault="00D3336B" w:rsidP="008D26FA">
            <w:pPr>
              <w:jc w:val="center"/>
              <w:rPr>
                <w:b/>
                <w:lang w:eastAsia="sk-SK"/>
              </w:rPr>
            </w:pPr>
            <w:r w:rsidRPr="007544F1">
              <w:rPr>
                <w:rFonts w:ascii="MS Gothic" w:eastAsia="MS Gothic" w:hAnsi="MS Gothic" w:hint="eastAsia"/>
                <w:b/>
                <w:lang w:eastAsia="sk-SK"/>
              </w:rPr>
              <w:t>☐</w:t>
            </w:r>
          </w:p>
        </w:tc>
        <w:tc>
          <w:tcPr>
            <w:tcW w:w="1131" w:type="dxa"/>
            <w:gridSpan w:val="2"/>
            <w:tcBorders>
              <w:left w:val="nil"/>
              <w:right w:val="nil"/>
            </w:tcBorders>
          </w:tcPr>
          <w:p w:rsidR="003501A1" w:rsidRPr="007544F1" w:rsidRDefault="003501A1" w:rsidP="008D26FA">
            <w:pPr>
              <w:ind w:right="-108"/>
              <w:rPr>
                <w:b/>
                <w:lang w:eastAsia="sk-SK"/>
              </w:rPr>
            </w:pPr>
            <w:r w:rsidRPr="007544F1">
              <w:rPr>
                <w:b/>
                <w:lang w:eastAsia="sk-SK"/>
              </w:rPr>
              <w:t>Pozitívne</w:t>
            </w:r>
          </w:p>
        </w:tc>
        <w:tc>
          <w:tcPr>
            <w:tcW w:w="569" w:type="dxa"/>
            <w:tcBorders>
              <w:left w:val="nil"/>
              <w:right w:val="nil"/>
            </w:tcBorders>
          </w:tcPr>
          <w:p w:rsidR="003501A1" w:rsidRPr="007544F1" w:rsidRDefault="006C5845" w:rsidP="00177837">
            <w:pPr>
              <w:jc w:val="center"/>
              <w:rPr>
                <w:b/>
                <w:lang w:eastAsia="sk-SK"/>
              </w:rPr>
            </w:pPr>
            <w:r w:rsidRPr="007544F1">
              <w:rPr>
                <w:rFonts w:ascii="MS Gothic" w:eastAsia="MS Gothic" w:hAnsi="MS Gothic" w:hint="eastAsia"/>
                <w:b/>
                <w:lang w:eastAsia="sk-SK"/>
              </w:rPr>
              <w:t>☐</w:t>
            </w:r>
          </w:p>
        </w:tc>
        <w:tc>
          <w:tcPr>
            <w:tcW w:w="1133" w:type="dxa"/>
            <w:tcBorders>
              <w:left w:val="nil"/>
              <w:right w:val="nil"/>
            </w:tcBorders>
          </w:tcPr>
          <w:p w:rsidR="003501A1" w:rsidRPr="007544F1" w:rsidRDefault="003501A1" w:rsidP="008D26FA">
            <w:pPr>
              <w:rPr>
                <w:b/>
                <w:lang w:eastAsia="sk-SK"/>
              </w:rPr>
            </w:pPr>
            <w:r w:rsidRPr="007544F1">
              <w:rPr>
                <w:b/>
                <w:lang w:eastAsia="sk-SK"/>
              </w:rPr>
              <w:t>Žiadne</w:t>
            </w:r>
          </w:p>
        </w:tc>
        <w:tc>
          <w:tcPr>
            <w:tcW w:w="547" w:type="dxa"/>
            <w:gridSpan w:val="2"/>
            <w:tcBorders>
              <w:left w:val="nil"/>
              <w:right w:val="nil"/>
            </w:tcBorders>
          </w:tcPr>
          <w:p w:rsidR="003501A1" w:rsidRPr="007544F1" w:rsidRDefault="006C5845" w:rsidP="00177837">
            <w:pPr>
              <w:jc w:val="center"/>
              <w:rPr>
                <w:b/>
                <w:lang w:eastAsia="sk-SK"/>
              </w:rPr>
            </w:pPr>
            <w:r w:rsidRPr="00177837">
              <w:rPr>
                <w:rFonts w:ascii="MS Gothic" w:eastAsia="MS Gothic" w:hint="eastAsia"/>
                <w:b/>
                <w:lang w:eastAsia="sk-SK"/>
              </w:rPr>
              <w:t>☒</w:t>
            </w:r>
          </w:p>
        </w:tc>
        <w:tc>
          <w:tcPr>
            <w:tcW w:w="1297" w:type="dxa"/>
            <w:tcBorders>
              <w:left w:val="nil"/>
            </w:tcBorders>
          </w:tcPr>
          <w:p w:rsidR="003501A1" w:rsidRPr="007544F1" w:rsidRDefault="003501A1" w:rsidP="008D26FA">
            <w:pPr>
              <w:ind w:left="54"/>
              <w:rPr>
                <w:b/>
                <w:lang w:eastAsia="sk-SK"/>
              </w:rPr>
            </w:pPr>
            <w:r w:rsidRPr="007544F1">
              <w:rPr>
                <w:b/>
                <w:lang w:eastAsia="sk-SK"/>
              </w:rPr>
              <w:t>Negatívne</w:t>
            </w:r>
          </w:p>
        </w:tc>
      </w:tr>
      <w:tr w:rsidR="003501A1" w:rsidRPr="007544F1" w:rsidTr="006C5845">
        <w:tc>
          <w:tcPr>
            <w:tcW w:w="3812" w:type="dxa"/>
            <w:tcBorders>
              <w:top w:val="nil"/>
              <w:left w:val="single" w:sz="4" w:space="0" w:color="000000"/>
              <w:bottom w:val="single" w:sz="4" w:space="0" w:color="000000"/>
              <w:right w:val="single" w:sz="4" w:space="0" w:color="000000"/>
            </w:tcBorders>
            <w:shd w:val="clear" w:color="auto" w:fill="E2E2E2"/>
          </w:tcPr>
          <w:p w:rsidR="003501A1" w:rsidRPr="007544F1" w:rsidRDefault="003501A1" w:rsidP="008D26FA">
            <w:pPr>
              <w:rPr>
                <w:lang w:eastAsia="sk-SK"/>
              </w:rPr>
            </w:pPr>
            <w:r w:rsidRPr="007544F1">
              <w:rPr>
                <w:lang w:eastAsia="sk-SK"/>
              </w:rPr>
              <w:t xml:space="preserve">    z toho vplyvy na MSP</w:t>
            </w:r>
          </w:p>
        </w:tc>
        <w:tc>
          <w:tcPr>
            <w:tcW w:w="691" w:type="dxa"/>
            <w:gridSpan w:val="2"/>
            <w:tcBorders>
              <w:left w:val="single" w:sz="4" w:space="0" w:color="000000"/>
              <w:right w:val="nil"/>
            </w:tcBorders>
          </w:tcPr>
          <w:p w:rsidR="003501A1" w:rsidRPr="007544F1" w:rsidRDefault="00D3336B" w:rsidP="008D26FA">
            <w:pPr>
              <w:jc w:val="center"/>
              <w:rPr>
                <w:lang w:eastAsia="sk-SK"/>
              </w:rPr>
            </w:pPr>
            <w:r w:rsidRPr="007544F1">
              <w:rPr>
                <w:rFonts w:ascii="MS Gothic" w:eastAsia="MS Gothic" w:hAnsi="MS Gothic" w:hint="eastAsia"/>
                <w:lang w:eastAsia="sk-SK"/>
              </w:rPr>
              <w:t>☐</w:t>
            </w:r>
          </w:p>
        </w:tc>
        <w:tc>
          <w:tcPr>
            <w:tcW w:w="1131" w:type="dxa"/>
            <w:gridSpan w:val="2"/>
            <w:tcBorders>
              <w:left w:val="nil"/>
              <w:right w:val="nil"/>
            </w:tcBorders>
          </w:tcPr>
          <w:p w:rsidR="003501A1" w:rsidRPr="007544F1" w:rsidRDefault="003501A1" w:rsidP="008D26FA">
            <w:pPr>
              <w:ind w:right="-108"/>
              <w:rPr>
                <w:lang w:eastAsia="sk-SK"/>
              </w:rPr>
            </w:pPr>
            <w:r w:rsidRPr="007544F1">
              <w:rPr>
                <w:lang w:eastAsia="sk-SK"/>
              </w:rPr>
              <w:t>Pozitívne</w:t>
            </w:r>
          </w:p>
        </w:tc>
        <w:tc>
          <w:tcPr>
            <w:tcW w:w="569" w:type="dxa"/>
            <w:tcBorders>
              <w:left w:val="nil"/>
              <w:right w:val="nil"/>
            </w:tcBorders>
          </w:tcPr>
          <w:p w:rsidR="003501A1" w:rsidRPr="007544F1" w:rsidRDefault="006C5845" w:rsidP="008D26FA">
            <w:pPr>
              <w:jc w:val="center"/>
              <w:rPr>
                <w:lang w:eastAsia="sk-SK"/>
              </w:rPr>
            </w:pPr>
            <w:r w:rsidRPr="007544F1">
              <w:rPr>
                <w:rFonts w:ascii="MS Gothic" w:eastAsia="MS Gothic" w:hAnsi="MS Gothic" w:hint="eastAsia"/>
                <w:lang w:eastAsia="sk-SK"/>
              </w:rPr>
              <w:t>☐</w:t>
            </w:r>
          </w:p>
        </w:tc>
        <w:tc>
          <w:tcPr>
            <w:tcW w:w="1133" w:type="dxa"/>
            <w:tcBorders>
              <w:left w:val="nil"/>
              <w:right w:val="nil"/>
            </w:tcBorders>
          </w:tcPr>
          <w:p w:rsidR="003501A1" w:rsidRPr="007544F1" w:rsidRDefault="003501A1" w:rsidP="008D26FA">
            <w:pPr>
              <w:rPr>
                <w:lang w:eastAsia="sk-SK"/>
              </w:rPr>
            </w:pPr>
            <w:r w:rsidRPr="007544F1">
              <w:rPr>
                <w:lang w:eastAsia="sk-SK"/>
              </w:rPr>
              <w:t>Žiadne</w:t>
            </w:r>
          </w:p>
        </w:tc>
        <w:tc>
          <w:tcPr>
            <w:tcW w:w="547" w:type="dxa"/>
            <w:gridSpan w:val="2"/>
            <w:tcBorders>
              <w:left w:val="nil"/>
              <w:right w:val="nil"/>
            </w:tcBorders>
          </w:tcPr>
          <w:p w:rsidR="003501A1" w:rsidRPr="007544F1" w:rsidRDefault="00C34D70" w:rsidP="00177837">
            <w:pPr>
              <w:jc w:val="center"/>
              <w:rPr>
                <w:lang w:eastAsia="sk-SK"/>
              </w:rPr>
            </w:pPr>
            <w:r w:rsidRPr="00177837">
              <w:rPr>
                <w:rFonts w:ascii="MS Gothic" w:eastAsia="MS Gothic" w:hint="eastAsia"/>
                <w:b/>
                <w:lang w:eastAsia="sk-SK"/>
              </w:rPr>
              <w:t>☒</w:t>
            </w:r>
          </w:p>
        </w:tc>
        <w:tc>
          <w:tcPr>
            <w:tcW w:w="1297" w:type="dxa"/>
            <w:tcBorders>
              <w:left w:val="nil"/>
            </w:tcBorders>
          </w:tcPr>
          <w:p w:rsidR="003501A1" w:rsidRPr="007544F1" w:rsidRDefault="003501A1" w:rsidP="008D26FA">
            <w:pPr>
              <w:ind w:left="54"/>
              <w:rPr>
                <w:lang w:eastAsia="sk-SK"/>
              </w:rPr>
            </w:pPr>
            <w:r w:rsidRPr="007544F1">
              <w:rPr>
                <w:lang w:eastAsia="sk-SK"/>
              </w:rPr>
              <w:t>Negatívne</w:t>
            </w:r>
          </w:p>
        </w:tc>
      </w:tr>
      <w:tr w:rsidR="003501A1" w:rsidRPr="007544F1" w:rsidTr="006C5845">
        <w:tc>
          <w:tcPr>
            <w:tcW w:w="3812" w:type="dxa"/>
            <w:tcBorders>
              <w:top w:val="single" w:sz="4" w:space="0" w:color="000000"/>
            </w:tcBorders>
            <w:shd w:val="clear" w:color="auto" w:fill="E2E2E2"/>
          </w:tcPr>
          <w:p w:rsidR="003501A1" w:rsidRPr="007544F1" w:rsidRDefault="003501A1" w:rsidP="004C794A">
            <w:pPr>
              <w:rPr>
                <w:b/>
                <w:lang w:eastAsia="sk-SK"/>
              </w:rPr>
            </w:pPr>
            <w:r w:rsidRPr="007544F1">
              <w:rPr>
                <w:b/>
                <w:lang w:eastAsia="sk-SK"/>
              </w:rPr>
              <w:t>Sociálne vplyvy</w:t>
            </w:r>
          </w:p>
        </w:tc>
        <w:tc>
          <w:tcPr>
            <w:tcW w:w="691" w:type="dxa"/>
            <w:gridSpan w:val="2"/>
            <w:tcBorders>
              <w:right w:val="nil"/>
            </w:tcBorders>
          </w:tcPr>
          <w:p w:rsidR="003501A1" w:rsidRPr="007544F1" w:rsidRDefault="007C521E" w:rsidP="00177837">
            <w:pPr>
              <w:jc w:val="center"/>
              <w:rPr>
                <w:b/>
                <w:lang w:eastAsia="sk-SK"/>
              </w:rPr>
            </w:pPr>
            <w:r w:rsidRPr="007544F1">
              <w:rPr>
                <w:rFonts w:ascii="MS Gothic" w:eastAsia="MS Gothic" w:hAnsi="MS Gothic" w:hint="eastAsia"/>
                <w:b/>
                <w:lang w:eastAsia="sk-SK"/>
              </w:rPr>
              <w:t>☐</w:t>
            </w:r>
          </w:p>
        </w:tc>
        <w:tc>
          <w:tcPr>
            <w:tcW w:w="1131" w:type="dxa"/>
            <w:gridSpan w:val="2"/>
            <w:tcBorders>
              <w:left w:val="nil"/>
              <w:right w:val="nil"/>
            </w:tcBorders>
          </w:tcPr>
          <w:p w:rsidR="003501A1" w:rsidRPr="007544F1" w:rsidRDefault="003501A1" w:rsidP="008D26FA">
            <w:pPr>
              <w:ind w:right="-108"/>
              <w:rPr>
                <w:b/>
                <w:lang w:eastAsia="sk-SK"/>
              </w:rPr>
            </w:pPr>
            <w:r w:rsidRPr="007544F1">
              <w:rPr>
                <w:b/>
                <w:lang w:eastAsia="sk-SK"/>
              </w:rPr>
              <w:t>Pozitívne</w:t>
            </w:r>
          </w:p>
        </w:tc>
        <w:tc>
          <w:tcPr>
            <w:tcW w:w="569" w:type="dxa"/>
            <w:tcBorders>
              <w:left w:val="nil"/>
              <w:right w:val="nil"/>
            </w:tcBorders>
          </w:tcPr>
          <w:p w:rsidR="003501A1" w:rsidRPr="007544F1" w:rsidRDefault="00784760" w:rsidP="00177837">
            <w:pPr>
              <w:jc w:val="center"/>
              <w:rPr>
                <w:b/>
                <w:lang w:eastAsia="sk-SK"/>
              </w:rPr>
            </w:pPr>
            <w:r w:rsidRPr="00177837">
              <w:rPr>
                <w:rFonts w:ascii="MS Gothic" w:eastAsia="MS Gothic" w:hint="eastAsia"/>
                <w:b/>
                <w:lang w:eastAsia="sk-SK"/>
              </w:rPr>
              <w:t>☒</w:t>
            </w:r>
          </w:p>
        </w:tc>
        <w:tc>
          <w:tcPr>
            <w:tcW w:w="1133" w:type="dxa"/>
            <w:tcBorders>
              <w:left w:val="nil"/>
              <w:right w:val="nil"/>
            </w:tcBorders>
          </w:tcPr>
          <w:p w:rsidR="003501A1" w:rsidRPr="007544F1" w:rsidRDefault="003501A1" w:rsidP="008D26FA">
            <w:pPr>
              <w:rPr>
                <w:b/>
                <w:lang w:eastAsia="sk-SK"/>
              </w:rPr>
            </w:pPr>
            <w:r w:rsidRPr="007544F1">
              <w:rPr>
                <w:b/>
                <w:lang w:eastAsia="sk-SK"/>
              </w:rPr>
              <w:t>Žiadne</w:t>
            </w:r>
          </w:p>
        </w:tc>
        <w:tc>
          <w:tcPr>
            <w:tcW w:w="547" w:type="dxa"/>
            <w:gridSpan w:val="2"/>
            <w:tcBorders>
              <w:left w:val="nil"/>
              <w:right w:val="nil"/>
            </w:tcBorders>
          </w:tcPr>
          <w:p w:rsidR="003501A1" w:rsidRPr="007544F1" w:rsidRDefault="008B11CC" w:rsidP="008D26FA">
            <w:pPr>
              <w:jc w:val="center"/>
              <w:rPr>
                <w:b/>
                <w:lang w:eastAsia="sk-SK"/>
              </w:rPr>
            </w:pPr>
            <w:r w:rsidRPr="007544F1">
              <w:rPr>
                <w:rFonts w:ascii="MS Gothic" w:eastAsia="MS Gothic" w:hAnsi="MS Gothic" w:hint="eastAsia"/>
                <w:b/>
                <w:lang w:eastAsia="sk-SK"/>
              </w:rPr>
              <w:t>☐</w:t>
            </w:r>
          </w:p>
        </w:tc>
        <w:tc>
          <w:tcPr>
            <w:tcW w:w="1297" w:type="dxa"/>
            <w:tcBorders>
              <w:left w:val="nil"/>
            </w:tcBorders>
          </w:tcPr>
          <w:p w:rsidR="003501A1" w:rsidRPr="007544F1" w:rsidRDefault="003501A1" w:rsidP="008D26FA">
            <w:pPr>
              <w:ind w:left="54"/>
              <w:rPr>
                <w:b/>
                <w:lang w:eastAsia="sk-SK"/>
              </w:rPr>
            </w:pPr>
            <w:r w:rsidRPr="007544F1">
              <w:rPr>
                <w:b/>
                <w:lang w:eastAsia="sk-SK"/>
              </w:rPr>
              <w:t>Negatívne</w:t>
            </w:r>
          </w:p>
        </w:tc>
      </w:tr>
      <w:tr w:rsidR="003501A1" w:rsidRPr="007544F1" w:rsidTr="006C5845">
        <w:tc>
          <w:tcPr>
            <w:tcW w:w="3812" w:type="dxa"/>
            <w:shd w:val="clear" w:color="auto" w:fill="E2E2E2"/>
          </w:tcPr>
          <w:p w:rsidR="003501A1" w:rsidRPr="007544F1" w:rsidRDefault="003501A1" w:rsidP="004C794A">
            <w:pPr>
              <w:rPr>
                <w:b/>
                <w:lang w:eastAsia="sk-SK"/>
              </w:rPr>
            </w:pPr>
            <w:r w:rsidRPr="007544F1">
              <w:rPr>
                <w:b/>
                <w:lang w:eastAsia="sk-SK"/>
              </w:rPr>
              <w:t>Vplyvy na životné prostredie</w:t>
            </w:r>
          </w:p>
        </w:tc>
        <w:tc>
          <w:tcPr>
            <w:tcW w:w="691" w:type="dxa"/>
            <w:gridSpan w:val="2"/>
            <w:tcBorders>
              <w:right w:val="nil"/>
            </w:tcBorders>
          </w:tcPr>
          <w:p w:rsidR="003501A1" w:rsidRPr="007544F1" w:rsidRDefault="007C521E" w:rsidP="00177837">
            <w:pPr>
              <w:jc w:val="center"/>
              <w:rPr>
                <w:b/>
                <w:lang w:eastAsia="sk-SK"/>
              </w:rPr>
            </w:pPr>
            <w:r w:rsidRPr="007544F1">
              <w:rPr>
                <w:rFonts w:ascii="MS Gothic" w:eastAsia="MS Gothic" w:hAnsi="MS Gothic" w:hint="eastAsia"/>
                <w:b/>
                <w:lang w:eastAsia="sk-SK"/>
              </w:rPr>
              <w:t>☐</w:t>
            </w:r>
          </w:p>
        </w:tc>
        <w:tc>
          <w:tcPr>
            <w:tcW w:w="1131" w:type="dxa"/>
            <w:gridSpan w:val="2"/>
            <w:tcBorders>
              <w:left w:val="nil"/>
              <w:right w:val="nil"/>
            </w:tcBorders>
          </w:tcPr>
          <w:p w:rsidR="003501A1" w:rsidRPr="007544F1" w:rsidRDefault="003501A1" w:rsidP="008D26FA">
            <w:pPr>
              <w:ind w:right="-108"/>
              <w:rPr>
                <w:b/>
                <w:lang w:eastAsia="sk-SK"/>
              </w:rPr>
            </w:pPr>
            <w:r w:rsidRPr="007544F1">
              <w:rPr>
                <w:b/>
                <w:lang w:eastAsia="sk-SK"/>
              </w:rPr>
              <w:t>Pozitívne</w:t>
            </w:r>
          </w:p>
        </w:tc>
        <w:tc>
          <w:tcPr>
            <w:tcW w:w="569" w:type="dxa"/>
            <w:tcBorders>
              <w:left w:val="nil"/>
              <w:right w:val="nil"/>
            </w:tcBorders>
          </w:tcPr>
          <w:p w:rsidR="003501A1" w:rsidRPr="007544F1" w:rsidRDefault="00784760" w:rsidP="00177837">
            <w:pPr>
              <w:jc w:val="center"/>
              <w:rPr>
                <w:b/>
                <w:lang w:eastAsia="sk-SK"/>
              </w:rPr>
            </w:pPr>
            <w:r w:rsidRPr="00177837">
              <w:rPr>
                <w:rFonts w:ascii="MS Gothic" w:eastAsia="MS Gothic" w:hint="eastAsia"/>
                <w:b/>
                <w:lang w:eastAsia="sk-SK"/>
              </w:rPr>
              <w:t>☒</w:t>
            </w:r>
          </w:p>
        </w:tc>
        <w:tc>
          <w:tcPr>
            <w:tcW w:w="1133" w:type="dxa"/>
            <w:tcBorders>
              <w:left w:val="nil"/>
              <w:right w:val="nil"/>
            </w:tcBorders>
          </w:tcPr>
          <w:p w:rsidR="003501A1" w:rsidRPr="007544F1" w:rsidRDefault="003501A1" w:rsidP="008D26FA">
            <w:pPr>
              <w:rPr>
                <w:b/>
                <w:lang w:eastAsia="sk-SK"/>
              </w:rPr>
            </w:pPr>
            <w:r w:rsidRPr="007544F1">
              <w:rPr>
                <w:b/>
                <w:lang w:eastAsia="sk-SK"/>
              </w:rPr>
              <w:t>Žiadne</w:t>
            </w:r>
          </w:p>
        </w:tc>
        <w:tc>
          <w:tcPr>
            <w:tcW w:w="547" w:type="dxa"/>
            <w:gridSpan w:val="2"/>
            <w:tcBorders>
              <w:left w:val="nil"/>
              <w:right w:val="nil"/>
            </w:tcBorders>
          </w:tcPr>
          <w:p w:rsidR="003501A1" w:rsidRPr="007544F1" w:rsidRDefault="003501A1" w:rsidP="008D26FA">
            <w:pPr>
              <w:jc w:val="center"/>
              <w:rPr>
                <w:b/>
                <w:lang w:eastAsia="sk-SK"/>
              </w:rPr>
            </w:pPr>
            <w:r w:rsidRPr="007544F1">
              <w:rPr>
                <w:rFonts w:ascii="Segoe UI Symbol" w:eastAsia="MS Mincho" w:hAnsi="Segoe UI Symbol" w:cs="Segoe UI Symbol"/>
                <w:b/>
                <w:lang w:eastAsia="sk-SK"/>
              </w:rPr>
              <w:t>☐</w:t>
            </w:r>
          </w:p>
        </w:tc>
        <w:tc>
          <w:tcPr>
            <w:tcW w:w="1297" w:type="dxa"/>
            <w:tcBorders>
              <w:left w:val="nil"/>
            </w:tcBorders>
          </w:tcPr>
          <w:p w:rsidR="003501A1" w:rsidRPr="007544F1" w:rsidRDefault="003501A1" w:rsidP="008D26FA">
            <w:pPr>
              <w:ind w:left="54"/>
              <w:rPr>
                <w:b/>
                <w:lang w:eastAsia="sk-SK"/>
              </w:rPr>
            </w:pPr>
            <w:r w:rsidRPr="007544F1">
              <w:rPr>
                <w:b/>
                <w:lang w:eastAsia="sk-SK"/>
              </w:rPr>
              <w:t>Negatívne</w:t>
            </w:r>
          </w:p>
        </w:tc>
      </w:tr>
      <w:tr w:rsidR="003501A1" w:rsidRPr="007544F1" w:rsidTr="006C5845">
        <w:tc>
          <w:tcPr>
            <w:tcW w:w="3812" w:type="dxa"/>
            <w:shd w:val="clear" w:color="auto" w:fill="E2E2E2"/>
          </w:tcPr>
          <w:p w:rsidR="003501A1" w:rsidRPr="007544F1" w:rsidRDefault="003501A1" w:rsidP="004C794A">
            <w:pPr>
              <w:rPr>
                <w:b/>
                <w:lang w:eastAsia="sk-SK"/>
              </w:rPr>
            </w:pPr>
            <w:r w:rsidRPr="007544F1">
              <w:rPr>
                <w:b/>
                <w:lang w:eastAsia="sk-SK"/>
              </w:rPr>
              <w:t>Vplyvy na informatizáciu</w:t>
            </w:r>
          </w:p>
        </w:tc>
        <w:tc>
          <w:tcPr>
            <w:tcW w:w="691" w:type="dxa"/>
            <w:gridSpan w:val="2"/>
            <w:tcBorders>
              <w:right w:val="nil"/>
            </w:tcBorders>
          </w:tcPr>
          <w:p w:rsidR="003501A1" w:rsidRPr="007544F1" w:rsidRDefault="007C521E" w:rsidP="00177837">
            <w:pPr>
              <w:jc w:val="center"/>
              <w:rPr>
                <w:b/>
                <w:lang w:eastAsia="sk-SK"/>
              </w:rPr>
            </w:pPr>
            <w:r w:rsidRPr="007544F1">
              <w:rPr>
                <w:rFonts w:ascii="MS Gothic" w:eastAsia="MS Gothic" w:hAnsi="MS Gothic" w:hint="eastAsia"/>
                <w:b/>
                <w:lang w:eastAsia="sk-SK"/>
              </w:rPr>
              <w:t>☐</w:t>
            </w:r>
          </w:p>
        </w:tc>
        <w:tc>
          <w:tcPr>
            <w:tcW w:w="1131" w:type="dxa"/>
            <w:gridSpan w:val="2"/>
            <w:tcBorders>
              <w:left w:val="nil"/>
              <w:right w:val="nil"/>
            </w:tcBorders>
          </w:tcPr>
          <w:p w:rsidR="003501A1" w:rsidRPr="007544F1" w:rsidRDefault="003501A1" w:rsidP="008D26FA">
            <w:pPr>
              <w:ind w:right="-108"/>
              <w:rPr>
                <w:b/>
                <w:lang w:eastAsia="sk-SK"/>
              </w:rPr>
            </w:pPr>
            <w:r w:rsidRPr="007544F1">
              <w:rPr>
                <w:b/>
                <w:lang w:eastAsia="sk-SK"/>
              </w:rPr>
              <w:t>Pozitívne</w:t>
            </w:r>
          </w:p>
        </w:tc>
        <w:tc>
          <w:tcPr>
            <w:tcW w:w="569" w:type="dxa"/>
            <w:tcBorders>
              <w:left w:val="nil"/>
              <w:right w:val="nil"/>
            </w:tcBorders>
          </w:tcPr>
          <w:p w:rsidR="003501A1" w:rsidRPr="007544F1" w:rsidRDefault="00784760" w:rsidP="00177837">
            <w:pPr>
              <w:jc w:val="center"/>
              <w:rPr>
                <w:b/>
                <w:lang w:eastAsia="sk-SK"/>
              </w:rPr>
            </w:pPr>
            <w:r w:rsidRPr="00177837">
              <w:rPr>
                <w:rFonts w:ascii="MS Gothic" w:eastAsia="MS Gothic" w:hint="eastAsia"/>
                <w:b/>
                <w:lang w:eastAsia="sk-SK"/>
              </w:rPr>
              <w:t>☒</w:t>
            </w:r>
          </w:p>
        </w:tc>
        <w:tc>
          <w:tcPr>
            <w:tcW w:w="1133" w:type="dxa"/>
            <w:tcBorders>
              <w:left w:val="nil"/>
              <w:right w:val="nil"/>
            </w:tcBorders>
          </w:tcPr>
          <w:p w:rsidR="003501A1" w:rsidRPr="007544F1" w:rsidRDefault="003501A1" w:rsidP="008D26FA">
            <w:pPr>
              <w:rPr>
                <w:b/>
                <w:lang w:eastAsia="sk-SK"/>
              </w:rPr>
            </w:pPr>
            <w:r w:rsidRPr="007544F1">
              <w:rPr>
                <w:b/>
                <w:lang w:eastAsia="sk-SK"/>
              </w:rPr>
              <w:t>Žiadne</w:t>
            </w:r>
          </w:p>
        </w:tc>
        <w:tc>
          <w:tcPr>
            <w:tcW w:w="547" w:type="dxa"/>
            <w:gridSpan w:val="2"/>
            <w:tcBorders>
              <w:left w:val="nil"/>
              <w:right w:val="nil"/>
            </w:tcBorders>
          </w:tcPr>
          <w:p w:rsidR="003501A1" w:rsidRPr="007544F1" w:rsidRDefault="003501A1" w:rsidP="008D26FA">
            <w:pPr>
              <w:jc w:val="center"/>
              <w:rPr>
                <w:b/>
                <w:lang w:eastAsia="sk-SK"/>
              </w:rPr>
            </w:pPr>
            <w:r w:rsidRPr="007544F1">
              <w:rPr>
                <w:rFonts w:ascii="Segoe UI Symbol" w:eastAsia="MS Mincho" w:hAnsi="Segoe UI Symbol" w:cs="Segoe UI Symbol"/>
                <w:b/>
                <w:lang w:eastAsia="sk-SK"/>
              </w:rPr>
              <w:t>☐</w:t>
            </w:r>
          </w:p>
        </w:tc>
        <w:tc>
          <w:tcPr>
            <w:tcW w:w="1297" w:type="dxa"/>
            <w:tcBorders>
              <w:left w:val="nil"/>
            </w:tcBorders>
          </w:tcPr>
          <w:p w:rsidR="003501A1" w:rsidRPr="007544F1" w:rsidRDefault="003501A1" w:rsidP="008D26FA">
            <w:pPr>
              <w:ind w:left="54"/>
              <w:rPr>
                <w:b/>
                <w:lang w:eastAsia="sk-SK"/>
              </w:rPr>
            </w:pPr>
            <w:r w:rsidRPr="007544F1">
              <w:rPr>
                <w:b/>
                <w:lang w:eastAsia="sk-SK"/>
              </w:rPr>
              <w:t>Negatívne</w:t>
            </w:r>
          </w:p>
        </w:tc>
      </w:tr>
    </w:tbl>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12"/>
        <w:gridCol w:w="541"/>
        <w:gridCol w:w="1281"/>
        <w:gridCol w:w="569"/>
        <w:gridCol w:w="1133"/>
        <w:gridCol w:w="547"/>
        <w:gridCol w:w="1297"/>
      </w:tblGrid>
      <w:tr w:rsidR="00173239" w:rsidRPr="00A179AE" w:rsidTr="00405D62">
        <w:tc>
          <w:tcPr>
            <w:tcW w:w="3812" w:type="dxa"/>
            <w:tcBorders>
              <w:bottom w:val="nil"/>
            </w:tcBorders>
            <w:shd w:val="clear" w:color="auto" w:fill="E2E2E2"/>
          </w:tcPr>
          <w:p w:rsidR="00173239" w:rsidRPr="00653ADA" w:rsidRDefault="00173239" w:rsidP="00405D62">
            <w:pPr>
              <w:rPr>
                <w:b/>
              </w:rPr>
            </w:pPr>
            <w:r>
              <w:rPr>
                <w:b/>
                <w:lang w:eastAsia="en-US"/>
              </w:rPr>
              <w:t>V</w:t>
            </w:r>
            <w:r w:rsidRPr="00127DAC">
              <w:rPr>
                <w:b/>
                <w:lang w:eastAsia="en-US"/>
              </w:rPr>
              <w:t>plyv</w:t>
            </w:r>
            <w:r>
              <w:rPr>
                <w:b/>
                <w:lang w:eastAsia="en-US"/>
              </w:rPr>
              <w:t>y</w:t>
            </w:r>
            <w:r w:rsidRPr="00127DAC">
              <w:rPr>
                <w:b/>
                <w:lang w:eastAsia="en-US"/>
              </w:rPr>
              <w:t xml:space="preserve"> na služby verejnej správy pre občana</w:t>
            </w:r>
            <w:r>
              <w:rPr>
                <w:b/>
                <w:lang w:eastAsia="en-US"/>
              </w:rPr>
              <w:t>, z</w:t>
            </w:r>
            <w:r w:rsidR="00784760">
              <w:rPr>
                <w:b/>
                <w:lang w:eastAsia="en-US"/>
              </w:rPr>
              <w:t> </w:t>
            </w:r>
            <w:r>
              <w:rPr>
                <w:b/>
                <w:lang w:eastAsia="en-US"/>
              </w:rPr>
              <w:t>toho</w:t>
            </w:r>
          </w:p>
        </w:tc>
        <w:tc>
          <w:tcPr>
            <w:tcW w:w="541" w:type="dxa"/>
            <w:tcBorders>
              <w:bottom w:val="nil"/>
              <w:right w:val="nil"/>
            </w:tcBorders>
          </w:tcPr>
          <w:p w:rsidR="00173239" w:rsidRPr="00653ADA" w:rsidRDefault="00173239" w:rsidP="00405D62">
            <w:pPr>
              <w:jc w:val="center"/>
              <w:rPr>
                <w:rFonts w:eastAsia="MS Mincho"/>
                <w:b/>
              </w:rPr>
            </w:pPr>
          </w:p>
        </w:tc>
        <w:tc>
          <w:tcPr>
            <w:tcW w:w="1281" w:type="dxa"/>
            <w:tcBorders>
              <w:left w:val="nil"/>
              <w:bottom w:val="nil"/>
              <w:right w:val="nil"/>
            </w:tcBorders>
          </w:tcPr>
          <w:p w:rsidR="00173239" w:rsidRPr="00653ADA" w:rsidRDefault="00173239" w:rsidP="00405D62">
            <w:pPr>
              <w:ind w:right="-108"/>
              <w:rPr>
                <w:b/>
              </w:rPr>
            </w:pPr>
          </w:p>
        </w:tc>
        <w:tc>
          <w:tcPr>
            <w:tcW w:w="569" w:type="dxa"/>
            <w:tcBorders>
              <w:left w:val="nil"/>
              <w:bottom w:val="nil"/>
              <w:right w:val="nil"/>
            </w:tcBorders>
          </w:tcPr>
          <w:p w:rsidR="00173239" w:rsidRPr="00653ADA" w:rsidRDefault="00173239" w:rsidP="00405D62">
            <w:pPr>
              <w:jc w:val="center"/>
              <w:rPr>
                <w:rFonts w:eastAsia="MS Mincho"/>
                <w:b/>
              </w:rPr>
            </w:pPr>
          </w:p>
        </w:tc>
        <w:tc>
          <w:tcPr>
            <w:tcW w:w="1133" w:type="dxa"/>
            <w:tcBorders>
              <w:left w:val="nil"/>
              <w:bottom w:val="nil"/>
              <w:right w:val="nil"/>
            </w:tcBorders>
          </w:tcPr>
          <w:p w:rsidR="00173239" w:rsidRPr="00653ADA" w:rsidRDefault="00173239" w:rsidP="00405D62">
            <w:pPr>
              <w:rPr>
                <w:b/>
              </w:rPr>
            </w:pPr>
          </w:p>
        </w:tc>
        <w:tc>
          <w:tcPr>
            <w:tcW w:w="547" w:type="dxa"/>
            <w:tcBorders>
              <w:left w:val="nil"/>
              <w:bottom w:val="nil"/>
              <w:right w:val="nil"/>
            </w:tcBorders>
          </w:tcPr>
          <w:p w:rsidR="00173239" w:rsidRPr="00653ADA" w:rsidRDefault="00173239" w:rsidP="00405D62">
            <w:pPr>
              <w:jc w:val="center"/>
              <w:rPr>
                <w:rFonts w:eastAsia="MS Mincho"/>
                <w:b/>
              </w:rPr>
            </w:pPr>
          </w:p>
        </w:tc>
        <w:tc>
          <w:tcPr>
            <w:tcW w:w="1297" w:type="dxa"/>
            <w:tcBorders>
              <w:left w:val="nil"/>
              <w:bottom w:val="nil"/>
            </w:tcBorders>
          </w:tcPr>
          <w:p w:rsidR="00173239" w:rsidRPr="00653ADA" w:rsidRDefault="00173239" w:rsidP="00405D62">
            <w:pPr>
              <w:ind w:left="54"/>
              <w:rPr>
                <w:b/>
              </w:rPr>
            </w:pPr>
          </w:p>
        </w:tc>
      </w:tr>
      <w:tr w:rsidR="00173239" w:rsidRPr="009634B3" w:rsidTr="00405D62">
        <w:tc>
          <w:tcPr>
            <w:tcW w:w="3812" w:type="dxa"/>
            <w:tcBorders>
              <w:top w:val="nil"/>
              <w:bottom w:val="nil"/>
            </w:tcBorders>
            <w:shd w:val="clear" w:color="auto" w:fill="E2E2E2"/>
          </w:tcPr>
          <w:p w:rsidR="00173239" w:rsidRPr="009634B3" w:rsidRDefault="00173239" w:rsidP="00405D62">
            <w:pPr>
              <w:ind w:left="196" w:hanging="196"/>
              <w:rPr>
                <w:b/>
                <w:lang w:eastAsia="en-US"/>
              </w:rPr>
            </w:pPr>
            <w:r w:rsidRPr="009634B3">
              <w:rPr>
                <w:b/>
                <w:lang w:eastAsia="en-US"/>
              </w:rPr>
              <w:t xml:space="preserve">    vplyvy služieb verejnej správy na občana</w:t>
            </w:r>
          </w:p>
        </w:tc>
        <w:tc>
          <w:tcPr>
            <w:tcW w:w="541" w:type="dxa"/>
            <w:tcBorders>
              <w:top w:val="nil"/>
              <w:bottom w:val="nil"/>
              <w:right w:val="nil"/>
            </w:tcBorders>
          </w:tcPr>
          <w:p w:rsidR="00173239" w:rsidRPr="00A179AE" w:rsidRDefault="00173239" w:rsidP="00405D62">
            <w:pPr>
              <w:jc w:val="center"/>
              <w:rPr>
                <w:b/>
              </w:rPr>
            </w:pPr>
            <w:r>
              <w:rPr>
                <w:rFonts w:ascii="MS Gothic" w:eastAsia="MS Gothic" w:hAnsi="MS Gothic" w:hint="eastAsia"/>
                <w:b/>
              </w:rPr>
              <w:t>☐</w:t>
            </w:r>
          </w:p>
        </w:tc>
        <w:tc>
          <w:tcPr>
            <w:tcW w:w="1281" w:type="dxa"/>
            <w:tcBorders>
              <w:top w:val="nil"/>
              <w:left w:val="nil"/>
              <w:bottom w:val="nil"/>
              <w:right w:val="nil"/>
            </w:tcBorders>
          </w:tcPr>
          <w:p w:rsidR="00173239" w:rsidRPr="00A179AE" w:rsidRDefault="00173239" w:rsidP="00405D62">
            <w:pPr>
              <w:ind w:right="-108"/>
              <w:rPr>
                <w:b/>
              </w:rPr>
            </w:pPr>
            <w:r w:rsidRPr="00A179AE">
              <w:rPr>
                <w:b/>
              </w:rPr>
              <w:t>Pozitívne</w:t>
            </w:r>
          </w:p>
        </w:tc>
        <w:tc>
          <w:tcPr>
            <w:tcW w:w="569" w:type="dxa"/>
            <w:tcBorders>
              <w:top w:val="nil"/>
              <w:left w:val="nil"/>
              <w:bottom w:val="nil"/>
              <w:right w:val="nil"/>
            </w:tcBorders>
          </w:tcPr>
          <w:p w:rsidR="00173239" w:rsidRPr="00A179AE" w:rsidRDefault="00173239" w:rsidP="00405D62">
            <w:pPr>
              <w:jc w:val="center"/>
              <w:rPr>
                <w:b/>
              </w:rPr>
            </w:pPr>
            <w:r w:rsidRPr="00206857">
              <w:rPr>
                <w:rFonts w:ascii="MS Gothic" w:eastAsia="MS Gothic" w:hint="eastAsia"/>
                <w:b/>
              </w:rPr>
              <w:t>☒</w:t>
            </w:r>
          </w:p>
        </w:tc>
        <w:tc>
          <w:tcPr>
            <w:tcW w:w="1133" w:type="dxa"/>
            <w:tcBorders>
              <w:top w:val="nil"/>
              <w:left w:val="nil"/>
              <w:bottom w:val="nil"/>
              <w:right w:val="nil"/>
            </w:tcBorders>
          </w:tcPr>
          <w:p w:rsidR="00173239" w:rsidRPr="00A179AE" w:rsidRDefault="00173239" w:rsidP="00405D62">
            <w:pPr>
              <w:rPr>
                <w:b/>
              </w:rPr>
            </w:pPr>
            <w:r w:rsidRPr="00A179AE">
              <w:rPr>
                <w:b/>
              </w:rPr>
              <w:t>Žiadne</w:t>
            </w:r>
          </w:p>
        </w:tc>
        <w:tc>
          <w:tcPr>
            <w:tcW w:w="547" w:type="dxa"/>
            <w:tcBorders>
              <w:top w:val="nil"/>
              <w:left w:val="nil"/>
              <w:bottom w:val="nil"/>
              <w:right w:val="nil"/>
            </w:tcBorders>
          </w:tcPr>
          <w:p w:rsidR="00173239" w:rsidRPr="00A179AE" w:rsidRDefault="00173239" w:rsidP="00405D62">
            <w:pPr>
              <w:jc w:val="center"/>
              <w:rPr>
                <w:b/>
              </w:rPr>
            </w:pPr>
            <w:r w:rsidRPr="00A179AE">
              <w:rPr>
                <w:rFonts w:ascii="Segoe UI Symbol" w:eastAsia="MS Mincho" w:hAnsi="Segoe UI Symbol" w:cs="Segoe UI Symbol"/>
                <w:b/>
              </w:rPr>
              <w:t>☐</w:t>
            </w:r>
          </w:p>
        </w:tc>
        <w:tc>
          <w:tcPr>
            <w:tcW w:w="1297" w:type="dxa"/>
            <w:tcBorders>
              <w:top w:val="nil"/>
              <w:left w:val="nil"/>
              <w:bottom w:val="nil"/>
            </w:tcBorders>
          </w:tcPr>
          <w:p w:rsidR="00173239" w:rsidRPr="00A179AE" w:rsidRDefault="00173239" w:rsidP="00405D62">
            <w:pPr>
              <w:ind w:left="54"/>
              <w:rPr>
                <w:b/>
              </w:rPr>
            </w:pPr>
            <w:r w:rsidRPr="00A179AE">
              <w:rPr>
                <w:b/>
              </w:rPr>
              <w:t>Negatívne</w:t>
            </w:r>
          </w:p>
        </w:tc>
      </w:tr>
      <w:tr w:rsidR="00173239" w:rsidRPr="009634B3" w:rsidTr="00405D62">
        <w:tc>
          <w:tcPr>
            <w:tcW w:w="3812" w:type="dxa"/>
            <w:tcBorders>
              <w:top w:val="nil"/>
            </w:tcBorders>
            <w:shd w:val="clear" w:color="auto" w:fill="E2E2E2"/>
          </w:tcPr>
          <w:p w:rsidR="00173239" w:rsidRPr="009634B3" w:rsidRDefault="00173239" w:rsidP="00405D62">
            <w:pPr>
              <w:ind w:left="168" w:hanging="168"/>
              <w:rPr>
                <w:b/>
                <w:lang w:eastAsia="en-US"/>
              </w:rPr>
            </w:pPr>
            <w:r>
              <w:rPr>
                <w:b/>
                <w:lang w:eastAsia="en-US"/>
              </w:rPr>
              <w:t xml:space="preserve">    </w:t>
            </w:r>
            <w:r w:rsidRPr="009634B3">
              <w:rPr>
                <w:b/>
                <w:lang w:eastAsia="en-US"/>
              </w:rPr>
              <w:t>vplyvy na procesy služieb vo verejnej správe</w:t>
            </w:r>
          </w:p>
        </w:tc>
        <w:tc>
          <w:tcPr>
            <w:tcW w:w="541" w:type="dxa"/>
            <w:tcBorders>
              <w:top w:val="nil"/>
              <w:right w:val="nil"/>
            </w:tcBorders>
          </w:tcPr>
          <w:p w:rsidR="00173239" w:rsidRPr="00A179AE" w:rsidRDefault="00173239" w:rsidP="00405D62">
            <w:pPr>
              <w:jc w:val="center"/>
              <w:rPr>
                <w:b/>
              </w:rPr>
            </w:pPr>
            <w:r w:rsidRPr="00A179AE">
              <w:rPr>
                <w:rFonts w:ascii="Segoe UI Symbol" w:eastAsia="MS Mincho" w:hAnsi="Segoe UI Symbol" w:cs="Segoe UI Symbol"/>
                <w:b/>
              </w:rPr>
              <w:t>☐</w:t>
            </w:r>
          </w:p>
        </w:tc>
        <w:tc>
          <w:tcPr>
            <w:tcW w:w="1281" w:type="dxa"/>
            <w:tcBorders>
              <w:top w:val="nil"/>
              <w:left w:val="nil"/>
              <w:right w:val="nil"/>
            </w:tcBorders>
          </w:tcPr>
          <w:p w:rsidR="00173239" w:rsidRPr="00A179AE" w:rsidRDefault="00173239" w:rsidP="00405D62">
            <w:pPr>
              <w:ind w:right="-108"/>
              <w:rPr>
                <w:b/>
              </w:rPr>
            </w:pPr>
            <w:r w:rsidRPr="00A179AE">
              <w:rPr>
                <w:b/>
              </w:rPr>
              <w:t>Pozitívne</w:t>
            </w:r>
          </w:p>
        </w:tc>
        <w:tc>
          <w:tcPr>
            <w:tcW w:w="569" w:type="dxa"/>
            <w:tcBorders>
              <w:top w:val="nil"/>
              <w:left w:val="nil"/>
              <w:right w:val="nil"/>
            </w:tcBorders>
          </w:tcPr>
          <w:p w:rsidR="00173239" w:rsidRPr="00A179AE" w:rsidRDefault="00173239" w:rsidP="00405D62">
            <w:pPr>
              <w:jc w:val="center"/>
              <w:rPr>
                <w:b/>
              </w:rPr>
            </w:pPr>
            <w:r w:rsidRPr="00206857">
              <w:rPr>
                <w:rFonts w:ascii="MS Gothic" w:eastAsia="MS Gothic" w:hint="eastAsia"/>
                <w:b/>
              </w:rPr>
              <w:t>☒</w:t>
            </w:r>
          </w:p>
        </w:tc>
        <w:tc>
          <w:tcPr>
            <w:tcW w:w="1133" w:type="dxa"/>
            <w:tcBorders>
              <w:top w:val="nil"/>
              <w:left w:val="nil"/>
              <w:right w:val="nil"/>
            </w:tcBorders>
          </w:tcPr>
          <w:p w:rsidR="00173239" w:rsidRPr="00A179AE" w:rsidRDefault="00173239" w:rsidP="00405D62">
            <w:pPr>
              <w:rPr>
                <w:b/>
              </w:rPr>
            </w:pPr>
            <w:r w:rsidRPr="00A179AE">
              <w:rPr>
                <w:b/>
              </w:rPr>
              <w:t>Žiadne</w:t>
            </w:r>
          </w:p>
        </w:tc>
        <w:tc>
          <w:tcPr>
            <w:tcW w:w="547" w:type="dxa"/>
            <w:tcBorders>
              <w:top w:val="nil"/>
              <w:left w:val="nil"/>
              <w:right w:val="nil"/>
            </w:tcBorders>
          </w:tcPr>
          <w:p w:rsidR="00173239" w:rsidRPr="00A179AE" w:rsidRDefault="00173239" w:rsidP="00405D62">
            <w:pPr>
              <w:jc w:val="center"/>
              <w:rPr>
                <w:b/>
              </w:rPr>
            </w:pPr>
            <w:r w:rsidRPr="00A179AE">
              <w:rPr>
                <w:rFonts w:ascii="Segoe UI Symbol" w:eastAsia="MS Mincho" w:hAnsi="Segoe UI Symbol" w:cs="Segoe UI Symbol"/>
                <w:b/>
              </w:rPr>
              <w:t>☐</w:t>
            </w:r>
          </w:p>
        </w:tc>
        <w:tc>
          <w:tcPr>
            <w:tcW w:w="1297" w:type="dxa"/>
            <w:tcBorders>
              <w:top w:val="nil"/>
              <w:left w:val="nil"/>
            </w:tcBorders>
          </w:tcPr>
          <w:p w:rsidR="00173239" w:rsidRPr="00A179AE" w:rsidRDefault="00173239" w:rsidP="00405D62">
            <w:pPr>
              <w:ind w:left="54"/>
              <w:rPr>
                <w:b/>
              </w:rPr>
            </w:pPr>
            <w:r w:rsidRPr="00A179AE">
              <w:rPr>
                <w:b/>
              </w:rPr>
              <w:t>Negatívne</w:t>
            </w:r>
          </w:p>
        </w:tc>
      </w:tr>
    </w:tbl>
    <w:tbl>
      <w:tblPr>
        <w:tblStyle w:val="Mriekatabuky"/>
        <w:tblW w:w="9176" w:type="dxa"/>
        <w:tblLayout w:type="fixed"/>
        <w:tblLook w:val="00A0" w:firstRow="1" w:lastRow="0" w:firstColumn="1" w:lastColumn="0" w:noHBand="0" w:noVBand="0"/>
      </w:tblPr>
      <w:tblGrid>
        <w:gridCol w:w="9176"/>
      </w:tblGrid>
      <w:tr w:rsidR="004F6F1F" w:rsidRPr="00A179AE" w:rsidTr="004F6F1F">
        <w:tc>
          <w:tcPr>
            <w:tcW w:w="9176" w:type="dxa"/>
            <w:tcBorders>
              <w:bottom w:val="nil"/>
            </w:tcBorders>
            <w:shd w:val="clear" w:color="auto" w:fill="E2E2E2"/>
          </w:tcPr>
          <w:p w:rsidR="004F6F1F" w:rsidRPr="00A179AE" w:rsidRDefault="004F6F1F" w:rsidP="004D1B26">
            <w:pPr>
              <w:pStyle w:val="Odsekzoznamu"/>
              <w:numPr>
                <w:ilvl w:val="0"/>
                <w:numId w:val="12"/>
              </w:numPr>
              <w:spacing w:after="0" w:line="240" w:lineRule="auto"/>
              <w:ind w:left="426"/>
              <w:rPr>
                <w:rFonts w:ascii="Times New Roman" w:hAnsi="Times New Roman"/>
                <w:b/>
              </w:rPr>
            </w:pPr>
            <w:r w:rsidRPr="00A179AE">
              <w:rPr>
                <w:rFonts w:ascii="Times New Roman" w:hAnsi="Times New Roman"/>
                <w:b/>
              </w:rPr>
              <w:t>Poznámky</w:t>
            </w:r>
          </w:p>
        </w:tc>
      </w:tr>
      <w:tr w:rsidR="004F6F1F" w:rsidRPr="00A179AE" w:rsidTr="004F6F1F">
        <w:trPr>
          <w:trHeight w:val="713"/>
        </w:trPr>
        <w:tc>
          <w:tcPr>
            <w:tcW w:w="9176" w:type="dxa"/>
            <w:tcBorders>
              <w:top w:val="nil"/>
              <w:bottom w:val="single" w:sz="4" w:space="0" w:color="FFFFFF"/>
            </w:tcBorders>
          </w:tcPr>
          <w:p w:rsidR="006C5845" w:rsidRPr="006C5845" w:rsidRDefault="006C5845" w:rsidP="006C5845">
            <w:pPr>
              <w:ind w:firstLine="720"/>
              <w:jc w:val="both"/>
              <w:rPr>
                <w:rStyle w:val="Zstupntext"/>
                <w:color w:val="000000"/>
                <w:sz w:val="24"/>
                <w:szCs w:val="24"/>
              </w:rPr>
            </w:pPr>
            <w:r w:rsidRPr="006C5845">
              <w:rPr>
                <w:rStyle w:val="Zstupntext"/>
                <w:color w:val="000000"/>
                <w:sz w:val="24"/>
                <w:szCs w:val="24"/>
              </w:rPr>
              <w:t>Návrh zákona má vplyv na podnikateľské prostredie, nemá žiadny vplyv na rozpočet verejnej správy, nemá vplyv na životné prostredie, nemá sociálne vplyvy, nemá žiadny vplyv na informatizáciu spoločnosti.</w:t>
            </w:r>
          </w:p>
          <w:p w:rsidR="006C5845" w:rsidRPr="006C5845" w:rsidRDefault="006C5845" w:rsidP="006C5845">
            <w:pPr>
              <w:jc w:val="both"/>
              <w:rPr>
                <w:sz w:val="24"/>
                <w:szCs w:val="24"/>
              </w:rPr>
            </w:pPr>
            <w:r w:rsidRPr="006C5845">
              <w:rPr>
                <w:sz w:val="24"/>
                <w:szCs w:val="24"/>
              </w:rPr>
              <w:t xml:space="preserve">          </w:t>
            </w:r>
            <w:r w:rsidRPr="006C5845">
              <w:rPr>
                <w:sz w:val="24"/>
                <w:szCs w:val="24"/>
              </w:rPr>
              <w:tab/>
              <w:t>Návrh zákona je výsledkom práce medzirezortnej pracovnej skupiny zloženej zo zástupcov Ministerstva zdravotníctva SR, Úradu verejného zdravotníctva SR, Ministerstva financií SR, Ministerstva hospodárstva SR, Colného úradu SR, Finančného riaditeľstva SR keďže sa jedná o problematiku, ktorá je predmetom úprav zo strany viacerých organizácií.</w:t>
            </w:r>
          </w:p>
          <w:p w:rsidR="00206857" w:rsidRPr="00A36ECD" w:rsidRDefault="00206857" w:rsidP="00CF061C">
            <w:pPr>
              <w:jc w:val="both"/>
              <w:rPr>
                <w:b/>
                <w:sz w:val="22"/>
                <w:szCs w:val="22"/>
                <w:lang w:eastAsia="sk-SK"/>
              </w:rPr>
            </w:pPr>
          </w:p>
        </w:tc>
      </w:tr>
      <w:tr w:rsidR="003501A1" w:rsidRPr="00A179AE" w:rsidTr="008D26FA">
        <w:tc>
          <w:tcPr>
            <w:tcW w:w="9176" w:type="dxa"/>
            <w:tcBorders>
              <w:bottom w:val="single" w:sz="4" w:space="0" w:color="FFFFFF"/>
            </w:tcBorders>
            <w:shd w:val="clear" w:color="auto" w:fill="E2E2E2"/>
          </w:tcPr>
          <w:p w:rsidR="003501A1" w:rsidRPr="007544F1" w:rsidRDefault="003501A1" w:rsidP="004D1B26">
            <w:pPr>
              <w:pStyle w:val="Odsekzoznamu"/>
              <w:numPr>
                <w:ilvl w:val="0"/>
                <w:numId w:val="12"/>
              </w:numPr>
              <w:spacing w:after="0" w:line="240" w:lineRule="auto"/>
              <w:ind w:left="426"/>
              <w:rPr>
                <w:rFonts w:ascii="Times New Roman" w:hAnsi="Times New Roman"/>
                <w:b/>
              </w:rPr>
            </w:pPr>
            <w:r w:rsidRPr="007544F1">
              <w:rPr>
                <w:rFonts w:ascii="Times New Roman" w:hAnsi="Times New Roman"/>
                <w:b/>
              </w:rPr>
              <w:t>Kontakt na spracovateľa</w:t>
            </w:r>
          </w:p>
        </w:tc>
      </w:tr>
      <w:tr w:rsidR="003501A1" w:rsidRPr="00A179AE" w:rsidTr="004F6F1F">
        <w:trPr>
          <w:trHeight w:val="586"/>
        </w:trPr>
        <w:tc>
          <w:tcPr>
            <w:tcW w:w="9176" w:type="dxa"/>
            <w:tcBorders>
              <w:top w:val="single" w:sz="4" w:space="0" w:color="FFFFFF"/>
            </w:tcBorders>
            <w:shd w:val="clear" w:color="auto" w:fill="FFFFFF"/>
          </w:tcPr>
          <w:p w:rsidR="006C5845" w:rsidRPr="006C5845" w:rsidRDefault="006C5845" w:rsidP="006C5845">
            <w:pPr>
              <w:pStyle w:val="Normlnywebov"/>
              <w:spacing w:before="0" w:beforeAutospacing="0" w:after="0" w:afterAutospacing="0"/>
            </w:pPr>
            <w:r w:rsidRPr="006C5845">
              <w:t xml:space="preserve">Mgr. PhDr. Róbert </w:t>
            </w:r>
            <w:proofErr w:type="spellStart"/>
            <w:r w:rsidRPr="006C5845">
              <w:t>Ochaba</w:t>
            </w:r>
            <w:proofErr w:type="spellEnd"/>
            <w:r w:rsidRPr="006C5845">
              <w:t>, PhD., MPH</w:t>
            </w:r>
            <w:r w:rsidRPr="006C5845">
              <w:br/>
              <w:t>02/ 49 284 240</w:t>
            </w:r>
          </w:p>
          <w:p w:rsidR="006C5845" w:rsidRPr="006C5845" w:rsidRDefault="00617DB3" w:rsidP="006C5845">
            <w:pPr>
              <w:pStyle w:val="Normlnywebov"/>
              <w:spacing w:before="0" w:beforeAutospacing="0" w:after="0" w:afterAutospacing="0"/>
            </w:pPr>
            <w:hyperlink r:id="rId7" w:history="1">
              <w:r w:rsidR="006C5845" w:rsidRPr="006C5845">
                <w:rPr>
                  <w:rStyle w:val="Hypertextovprepojenie"/>
                </w:rPr>
                <w:t>robert.ochaba@uvzsr.sk</w:t>
              </w:r>
            </w:hyperlink>
          </w:p>
          <w:p w:rsidR="001C1164" w:rsidRPr="007544F1" w:rsidRDefault="001C1164" w:rsidP="003416FC">
            <w:pPr>
              <w:rPr>
                <w:sz w:val="22"/>
                <w:szCs w:val="22"/>
                <w:lang w:eastAsia="sk-SK"/>
              </w:rPr>
            </w:pPr>
          </w:p>
        </w:tc>
      </w:tr>
      <w:tr w:rsidR="003501A1" w:rsidRPr="00A179AE" w:rsidTr="008D26FA">
        <w:tc>
          <w:tcPr>
            <w:tcW w:w="9176" w:type="dxa"/>
            <w:tcBorders>
              <w:bottom w:val="single" w:sz="4" w:space="0" w:color="FFFFFF"/>
            </w:tcBorders>
            <w:shd w:val="clear" w:color="auto" w:fill="E2E2E2"/>
          </w:tcPr>
          <w:p w:rsidR="003501A1" w:rsidRPr="007544F1" w:rsidRDefault="003501A1" w:rsidP="004D1B26">
            <w:pPr>
              <w:pStyle w:val="Odsekzoznamu"/>
              <w:numPr>
                <w:ilvl w:val="0"/>
                <w:numId w:val="12"/>
              </w:numPr>
              <w:spacing w:after="0" w:line="240" w:lineRule="auto"/>
              <w:ind w:left="426"/>
              <w:rPr>
                <w:rFonts w:ascii="Times New Roman" w:hAnsi="Times New Roman"/>
                <w:b/>
              </w:rPr>
            </w:pPr>
            <w:r w:rsidRPr="007544F1">
              <w:rPr>
                <w:rFonts w:ascii="Times New Roman" w:hAnsi="Times New Roman"/>
                <w:b/>
              </w:rPr>
              <w:t>Zdroje</w:t>
            </w:r>
          </w:p>
        </w:tc>
      </w:tr>
      <w:tr w:rsidR="003501A1" w:rsidRPr="00A179AE" w:rsidTr="008D26FA">
        <w:trPr>
          <w:trHeight w:val="401"/>
        </w:trPr>
        <w:tc>
          <w:tcPr>
            <w:tcW w:w="9176" w:type="dxa"/>
            <w:tcBorders>
              <w:top w:val="single" w:sz="4" w:space="0" w:color="FFFFFF"/>
            </w:tcBorders>
            <w:shd w:val="clear" w:color="auto" w:fill="FFFFFF"/>
          </w:tcPr>
          <w:p w:rsidR="003501A1" w:rsidRPr="007544F1" w:rsidRDefault="00A653A8" w:rsidP="008D26FA">
            <w:pPr>
              <w:rPr>
                <w:b/>
                <w:lang w:eastAsia="sk-SK"/>
              </w:rPr>
            </w:pPr>
            <w:r w:rsidRPr="007544F1">
              <w:rPr>
                <w:sz w:val="22"/>
                <w:szCs w:val="22"/>
                <w:lang w:eastAsia="sk-SK"/>
              </w:rPr>
              <w:t xml:space="preserve">   </w:t>
            </w:r>
          </w:p>
        </w:tc>
      </w:tr>
      <w:tr w:rsidR="003501A1" w:rsidRPr="00A179AE" w:rsidTr="008D26FA">
        <w:tc>
          <w:tcPr>
            <w:tcW w:w="9176" w:type="dxa"/>
            <w:tcBorders>
              <w:bottom w:val="single" w:sz="4" w:space="0" w:color="FFFFFF"/>
            </w:tcBorders>
            <w:shd w:val="clear" w:color="auto" w:fill="E2E2E2"/>
          </w:tcPr>
          <w:p w:rsidR="003501A1" w:rsidRPr="00A179AE" w:rsidRDefault="003501A1" w:rsidP="004D1B26">
            <w:pPr>
              <w:pStyle w:val="Odsekzoznamu"/>
              <w:numPr>
                <w:ilvl w:val="0"/>
                <w:numId w:val="12"/>
              </w:numPr>
              <w:spacing w:after="0" w:line="240" w:lineRule="auto"/>
              <w:ind w:left="426"/>
              <w:rPr>
                <w:rFonts w:ascii="Times New Roman" w:hAnsi="Times New Roman"/>
                <w:b/>
              </w:rPr>
            </w:pPr>
            <w:r w:rsidRPr="00A179AE">
              <w:rPr>
                <w:rFonts w:ascii="Times New Roman" w:hAnsi="Times New Roman"/>
                <w:b/>
              </w:rPr>
              <w:t xml:space="preserve">Stanovisko </w:t>
            </w:r>
            <w:r>
              <w:rPr>
                <w:rFonts w:ascii="Times New Roman" w:hAnsi="Times New Roman"/>
                <w:b/>
              </w:rPr>
              <w:t>Komisie pre posudzovanie vybraných vplyvov</w:t>
            </w:r>
            <w:r w:rsidRPr="00A179AE">
              <w:rPr>
                <w:rFonts w:ascii="Times New Roman" w:hAnsi="Times New Roman"/>
                <w:b/>
              </w:rPr>
              <w:t xml:space="preserve"> z</w:t>
            </w:r>
            <w:r w:rsidR="007C521E">
              <w:rPr>
                <w:rFonts w:ascii="Times New Roman" w:hAnsi="Times New Roman"/>
                <w:b/>
              </w:rPr>
              <w:t> </w:t>
            </w:r>
            <w:r w:rsidRPr="00A179AE">
              <w:rPr>
                <w:rFonts w:ascii="Times New Roman" w:hAnsi="Times New Roman"/>
                <w:b/>
              </w:rPr>
              <w:t>PPK</w:t>
            </w:r>
          </w:p>
        </w:tc>
      </w:tr>
      <w:tr w:rsidR="003501A1" w:rsidRPr="003E5014" w:rsidTr="008D26FA">
        <w:tc>
          <w:tcPr>
            <w:tcW w:w="9176" w:type="dxa"/>
            <w:tcBorders>
              <w:top w:val="single" w:sz="4" w:space="0" w:color="FFFFFF"/>
            </w:tcBorders>
            <w:shd w:val="clear" w:color="auto" w:fill="FFFFFF"/>
          </w:tcPr>
          <w:p w:rsidR="003E5014" w:rsidRPr="003E5014" w:rsidRDefault="003E5014" w:rsidP="003E5014">
            <w:pPr>
              <w:tabs>
                <w:tab w:val="center" w:pos="6379"/>
              </w:tabs>
              <w:ind w:right="-2"/>
              <w:jc w:val="both"/>
              <w:rPr>
                <w:bCs/>
              </w:rPr>
            </w:pPr>
            <w:r w:rsidRPr="003E5014">
              <w:rPr>
                <w:b/>
                <w:bCs/>
              </w:rPr>
              <w:t>P</w:t>
            </w:r>
            <w:r w:rsidRPr="003E5014">
              <w:rPr>
                <w:b/>
              </w:rPr>
              <w:t>r</w:t>
            </w:r>
            <w:r w:rsidRPr="003E5014">
              <w:rPr>
                <w:b/>
                <w:bCs/>
              </w:rPr>
              <w:t>ipomienky a návrhy zm</w:t>
            </w:r>
            <w:r w:rsidRPr="003E5014">
              <w:rPr>
                <w:b/>
              </w:rPr>
              <w:t>ie</w:t>
            </w:r>
            <w:r w:rsidRPr="003E5014">
              <w:rPr>
                <w:b/>
                <w:bCs/>
              </w:rPr>
              <w:t xml:space="preserve">n: </w:t>
            </w:r>
            <w:r w:rsidRPr="003E5014">
              <w:rPr>
                <w:bCs/>
              </w:rPr>
              <w:t>Komisia uplatňuje k materiálu nasledovné pripomienky a odporúčania:</w:t>
            </w:r>
          </w:p>
          <w:p w:rsidR="003E5014" w:rsidRPr="003E5014" w:rsidRDefault="003E5014" w:rsidP="003E5014">
            <w:pPr>
              <w:tabs>
                <w:tab w:val="center" w:pos="6379"/>
              </w:tabs>
              <w:ind w:right="-2"/>
              <w:jc w:val="both"/>
              <w:rPr>
                <w:bCs/>
              </w:rPr>
            </w:pPr>
          </w:p>
          <w:p w:rsidR="0045160C" w:rsidRPr="0045160C" w:rsidRDefault="0045160C" w:rsidP="0045160C">
            <w:pPr>
              <w:ind w:right="-2"/>
              <w:jc w:val="both"/>
              <w:rPr>
                <w:b/>
                <w:bCs/>
                <w:sz w:val="24"/>
                <w:szCs w:val="24"/>
              </w:rPr>
            </w:pPr>
            <w:r w:rsidRPr="0045160C">
              <w:rPr>
                <w:b/>
                <w:bCs/>
                <w:sz w:val="24"/>
                <w:szCs w:val="24"/>
              </w:rPr>
              <w:lastRenderedPageBreak/>
              <w:t>K doložke vybraných vplyvov</w:t>
            </w:r>
          </w:p>
          <w:p w:rsidR="0045160C" w:rsidRPr="0045160C" w:rsidRDefault="0045160C" w:rsidP="0045160C">
            <w:pPr>
              <w:tabs>
                <w:tab w:val="center" w:pos="6379"/>
              </w:tabs>
              <w:ind w:right="-2"/>
              <w:jc w:val="both"/>
              <w:rPr>
                <w:bCs/>
                <w:sz w:val="24"/>
                <w:szCs w:val="24"/>
              </w:rPr>
            </w:pPr>
            <w:r w:rsidRPr="0045160C">
              <w:rPr>
                <w:bCs/>
                <w:sz w:val="24"/>
                <w:szCs w:val="24"/>
              </w:rPr>
              <w:t xml:space="preserve">Komisia žiada predkladateľa o súčasné vyznačenie negatívneho vplyvu predloženého materiálu na MSP v doložke vybraných vplyvov, ktorý vzniká aj napriek v analýze vplyvov na podnikateľské prostredie uvedenú výnimku, pričom aj sám predkladateľ v analýze uvádza vplyv na </w:t>
            </w:r>
            <w:r w:rsidRPr="0045160C">
              <w:rPr>
                <w:bCs/>
                <w:i/>
                <w:sz w:val="24"/>
                <w:szCs w:val="24"/>
              </w:rPr>
              <w:t>„všetky kategórie podnikov“</w:t>
            </w:r>
            <w:r w:rsidRPr="0045160C">
              <w:rPr>
                <w:bCs/>
                <w:sz w:val="24"/>
                <w:szCs w:val="24"/>
              </w:rPr>
              <w:t>.</w:t>
            </w:r>
          </w:p>
          <w:p w:rsidR="0045160C" w:rsidRPr="0045160C" w:rsidRDefault="0045160C" w:rsidP="0045160C">
            <w:pPr>
              <w:tabs>
                <w:tab w:val="center" w:pos="6379"/>
              </w:tabs>
              <w:ind w:right="-2"/>
              <w:jc w:val="both"/>
              <w:rPr>
                <w:bCs/>
                <w:sz w:val="24"/>
                <w:szCs w:val="24"/>
              </w:rPr>
            </w:pPr>
          </w:p>
          <w:p w:rsidR="0045160C" w:rsidRPr="0045160C" w:rsidRDefault="0045160C" w:rsidP="0045160C">
            <w:pPr>
              <w:ind w:right="-2"/>
              <w:jc w:val="both"/>
              <w:rPr>
                <w:b/>
                <w:bCs/>
                <w:sz w:val="24"/>
                <w:szCs w:val="24"/>
              </w:rPr>
            </w:pPr>
            <w:r w:rsidRPr="0045160C">
              <w:rPr>
                <w:b/>
                <w:bCs/>
                <w:sz w:val="24"/>
                <w:szCs w:val="24"/>
              </w:rPr>
              <w:t>K analýze vplyvov na podnikateľské prostredie</w:t>
            </w:r>
          </w:p>
          <w:p w:rsidR="0045160C" w:rsidRPr="0045160C" w:rsidRDefault="0045160C" w:rsidP="0045160C">
            <w:pPr>
              <w:tabs>
                <w:tab w:val="center" w:pos="6379"/>
              </w:tabs>
              <w:ind w:right="-2"/>
              <w:jc w:val="both"/>
              <w:rPr>
                <w:bCs/>
                <w:sz w:val="24"/>
                <w:szCs w:val="24"/>
              </w:rPr>
            </w:pPr>
            <w:r w:rsidRPr="0045160C">
              <w:rPr>
                <w:bCs/>
                <w:sz w:val="24"/>
                <w:szCs w:val="24"/>
              </w:rPr>
              <w:t xml:space="preserve">Predkladateľ v časti 3.3.4 Súhrnná tabuľka nákladov regulácie uvádza náklady regulácie na celé podnikateľské prostredie v sume 3 500 000 EUR, zároveň však v príslušnej časti neuvádza počet dotknutých subjektov a následne v časti 3.3.1 Priame finančné náklady postup, ako sa k tomuto číslu dopracoval. Na základe týchto skutočností Komisia žiada predkladateľa o uvedenie postupu výpočtu priamych finančných nákladov, ktoré podnikateľom vzniknú a následne uvedenie množstva dotknutých podnikateľských subjektov do časti 3.1 Dotknuté podnikateľské subjekty. </w:t>
            </w:r>
          </w:p>
          <w:p w:rsidR="0045160C" w:rsidRPr="0045160C" w:rsidRDefault="0045160C" w:rsidP="0045160C">
            <w:pPr>
              <w:tabs>
                <w:tab w:val="center" w:pos="6379"/>
              </w:tabs>
              <w:ind w:right="-2"/>
              <w:jc w:val="both"/>
              <w:rPr>
                <w:bCs/>
                <w:sz w:val="24"/>
                <w:szCs w:val="24"/>
              </w:rPr>
            </w:pPr>
          </w:p>
          <w:p w:rsidR="0045160C" w:rsidRPr="0045160C" w:rsidRDefault="0045160C" w:rsidP="0045160C">
            <w:pPr>
              <w:tabs>
                <w:tab w:val="center" w:pos="6379"/>
              </w:tabs>
              <w:ind w:right="-2"/>
              <w:jc w:val="both"/>
              <w:rPr>
                <w:bCs/>
                <w:sz w:val="24"/>
                <w:szCs w:val="24"/>
              </w:rPr>
            </w:pPr>
            <w:r w:rsidRPr="0045160C">
              <w:rPr>
                <w:bCs/>
                <w:sz w:val="24"/>
                <w:szCs w:val="24"/>
              </w:rPr>
              <w:t xml:space="preserve">V časti 3.3.3 Administratívne náklady predkladateľ uviedol, že návrhom sa zavádza </w:t>
            </w:r>
            <w:r w:rsidRPr="0045160C">
              <w:rPr>
                <w:bCs/>
                <w:i/>
                <w:sz w:val="24"/>
                <w:szCs w:val="24"/>
              </w:rPr>
              <w:t xml:space="preserve">„úplne nová </w:t>
            </w:r>
            <w:proofErr w:type="spellStart"/>
            <w:r w:rsidRPr="0045160C">
              <w:rPr>
                <w:bCs/>
                <w:i/>
                <w:sz w:val="24"/>
                <w:szCs w:val="24"/>
              </w:rPr>
              <w:t>sada</w:t>
            </w:r>
            <w:proofErr w:type="spellEnd"/>
            <w:r w:rsidRPr="0045160C">
              <w:rPr>
                <w:bCs/>
                <w:i/>
                <w:sz w:val="24"/>
                <w:szCs w:val="24"/>
              </w:rPr>
              <w:t xml:space="preserve"> povinností“</w:t>
            </w:r>
            <w:r w:rsidRPr="0045160C">
              <w:rPr>
                <w:bCs/>
                <w:sz w:val="24"/>
                <w:szCs w:val="24"/>
              </w:rPr>
              <w:t>, ale nešpecifikuje o ktoré konkrétne pôjde. V tejto súvislosti Komisia žiada predkladateľa aspoň o stručný popis týchto povinností vzťahujúcich sa na výrobcov, dovozcov a distribútorov tabakových výrobkov.</w:t>
            </w:r>
          </w:p>
          <w:p w:rsidR="0045160C" w:rsidRPr="0045160C" w:rsidRDefault="0045160C" w:rsidP="0045160C">
            <w:pPr>
              <w:ind w:right="-2"/>
              <w:jc w:val="both"/>
              <w:rPr>
                <w:b/>
                <w:bCs/>
                <w:sz w:val="24"/>
                <w:szCs w:val="24"/>
              </w:rPr>
            </w:pPr>
          </w:p>
          <w:p w:rsidR="0045160C" w:rsidRDefault="0045160C" w:rsidP="0045160C">
            <w:pPr>
              <w:ind w:right="-2"/>
              <w:jc w:val="both"/>
              <w:rPr>
                <w:bCs/>
                <w:sz w:val="24"/>
                <w:szCs w:val="24"/>
              </w:rPr>
            </w:pPr>
            <w:r w:rsidRPr="0045160C">
              <w:rPr>
                <w:b/>
                <w:bCs/>
                <w:sz w:val="24"/>
                <w:szCs w:val="24"/>
              </w:rPr>
              <w:t xml:space="preserve">III. Záver: </w:t>
            </w:r>
            <w:r w:rsidRPr="0045160C">
              <w:rPr>
                <w:bCs/>
                <w:sz w:val="24"/>
                <w:szCs w:val="24"/>
              </w:rPr>
              <w:t>Stála pracovná komisia na posudzovanie vybraných vplyvov vyjadruje</w:t>
            </w:r>
            <w:r>
              <w:rPr>
                <w:bCs/>
                <w:sz w:val="24"/>
                <w:szCs w:val="24"/>
              </w:rPr>
              <w:t xml:space="preserve"> </w:t>
            </w:r>
            <w:r w:rsidRPr="0045160C">
              <w:rPr>
                <w:b/>
                <w:bCs/>
                <w:sz w:val="24"/>
                <w:szCs w:val="24"/>
              </w:rPr>
              <w:t>nesúhlasné stanovisko</w:t>
            </w:r>
            <w:r>
              <w:rPr>
                <w:b/>
                <w:bCs/>
                <w:sz w:val="24"/>
                <w:szCs w:val="24"/>
              </w:rPr>
              <w:t xml:space="preserve"> </w:t>
            </w:r>
            <w:r w:rsidRPr="0045160C">
              <w:rPr>
                <w:bCs/>
                <w:sz w:val="24"/>
                <w:szCs w:val="22"/>
              </w:rPr>
              <w:t xml:space="preserve">s materiálom </w:t>
            </w:r>
            <w:r w:rsidRPr="0045160C">
              <w:rPr>
                <w:bCs/>
                <w:sz w:val="24"/>
                <w:szCs w:val="24"/>
              </w:rPr>
              <w:t>predloženým na predbežné pripomienkové konanie s odporúčaním na jeho dopracovanie podľa pripomienok v bode II.</w:t>
            </w:r>
            <w:r w:rsidRPr="0045160C">
              <w:rPr>
                <w:bCs/>
                <w:sz w:val="24"/>
                <w:szCs w:val="22"/>
              </w:rPr>
              <w:t xml:space="preserve"> </w:t>
            </w:r>
            <w:r w:rsidRPr="0045160C">
              <w:rPr>
                <w:bCs/>
                <w:sz w:val="24"/>
                <w:szCs w:val="24"/>
              </w:rPr>
              <w:t xml:space="preserve"> </w:t>
            </w:r>
          </w:p>
          <w:p w:rsidR="0045160C" w:rsidRDefault="0045160C" w:rsidP="0045160C">
            <w:pPr>
              <w:ind w:right="-2"/>
              <w:jc w:val="both"/>
              <w:rPr>
                <w:bCs/>
                <w:sz w:val="24"/>
                <w:szCs w:val="24"/>
              </w:rPr>
            </w:pPr>
          </w:p>
          <w:p w:rsidR="0045160C" w:rsidRPr="0045160C" w:rsidRDefault="0045160C" w:rsidP="0045160C">
            <w:pPr>
              <w:ind w:right="-2"/>
              <w:jc w:val="both"/>
              <w:rPr>
                <w:bCs/>
                <w:sz w:val="24"/>
                <w:szCs w:val="24"/>
              </w:rPr>
            </w:pPr>
            <w:r>
              <w:rPr>
                <w:bCs/>
                <w:sz w:val="24"/>
                <w:szCs w:val="24"/>
              </w:rPr>
              <w:t xml:space="preserve">Pripomienky a návrh Komisie boli </w:t>
            </w:r>
            <w:r w:rsidR="006C2C4E">
              <w:rPr>
                <w:bCs/>
                <w:sz w:val="24"/>
                <w:szCs w:val="24"/>
              </w:rPr>
              <w:t xml:space="preserve">následne </w:t>
            </w:r>
            <w:r>
              <w:rPr>
                <w:bCs/>
                <w:sz w:val="24"/>
                <w:szCs w:val="24"/>
              </w:rPr>
              <w:t>zapracované a zmeny sú súčasťou Doložky vybraných vplyvov.</w:t>
            </w:r>
          </w:p>
          <w:p w:rsidR="003501A1" w:rsidRPr="003E5014" w:rsidRDefault="003501A1" w:rsidP="00567878">
            <w:pPr>
              <w:tabs>
                <w:tab w:val="center" w:pos="6379"/>
              </w:tabs>
              <w:ind w:right="-2"/>
              <w:jc w:val="both"/>
              <w:rPr>
                <w:b/>
                <w:lang w:eastAsia="sk-SK"/>
              </w:rPr>
            </w:pPr>
          </w:p>
        </w:tc>
      </w:tr>
    </w:tbl>
    <w:p w:rsidR="00B6314D" w:rsidRDefault="00B6314D" w:rsidP="00B6314D">
      <w:pPr>
        <w:widowControl w:val="0"/>
        <w:spacing w:line="276" w:lineRule="auto"/>
        <w:rPr>
          <w:rFonts w:ascii="Arial" w:hAnsi="Arial" w:cs="Arial"/>
          <w:color w:val="000000"/>
          <w:sz w:val="22"/>
          <w:szCs w:val="22"/>
        </w:rPr>
      </w:pPr>
    </w:p>
    <w:tbl>
      <w:tblPr>
        <w:tblStyle w:val="tl"/>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2"/>
      </w:tblGrid>
      <w:tr w:rsidR="00B6314D" w:rsidTr="004719D5">
        <w:trPr>
          <w:trHeight w:val="560"/>
        </w:trPr>
        <w:tc>
          <w:tcPr>
            <w:tcW w:w="9062" w:type="dxa"/>
            <w:shd w:val="clear" w:color="auto" w:fill="D9D9D9"/>
          </w:tcPr>
          <w:p w:rsidR="00B6314D" w:rsidRDefault="00B6314D" w:rsidP="004719D5">
            <w:pPr>
              <w:jc w:val="center"/>
              <w:rPr>
                <w:b/>
                <w:sz w:val="24"/>
                <w:szCs w:val="24"/>
              </w:rPr>
            </w:pPr>
            <w:r>
              <w:rPr>
                <w:b/>
                <w:sz w:val="28"/>
                <w:szCs w:val="28"/>
              </w:rPr>
              <w:t xml:space="preserve">Analýza vplyvov na podnikateľské prostredie </w:t>
            </w:r>
          </w:p>
          <w:p w:rsidR="00B6314D" w:rsidRDefault="00B6314D" w:rsidP="004719D5">
            <w:pPr>
              <w:jc w:val="center"/>
              <w:rPr>
                <w:b/>
              </w:rPr>
            </w:pPr>
            <w:r>
              <w:rPr>
                <w:b/>
                <w:sz w:val="24"/>
                <w:szCs w:val="24"/>
              </w:rPr>
              <w:t>(vrátane testu MSP)</w:t>
            </w:r>
          </w:p>
        </w:tc>
      </w:tr>
      <w:tr w:rsidR="00B6314D" w:rsidTr="004719D5">
        <w:trPr>
          <w:trHeight w:val="560"/>
        </w:trPr>
        <w:tc>
          <w:tcPr>
            <w:tcW w:w="9062" w:type="dxa"/>
            <w:shd w:val="clear" w:color="auto" w:fill="D9D9D9"/>
          </w:tcPr>
          <w:p w:rsidR="00B6314D" w:rsidRDefault="00B6314D" w:rsidP="004719D5">
            <w:pPr>
              <w:rPr>
                <w:b/>
                <w:sz w:val="24"/>
                <w:szCs w:val="24"/>
              </w:rPr>
            </w:pPr>
            <w:r>
              <w:rPr>
                <w:b/>
                <w:sz w:val="24"/>
                <w:szCs w:val="24"/>
              </w:rPr>
              <w:t>Materiál bude mať vplyv s ohľadom na veľkostnú kategóriu podnikov:</w:t>
            </w:r>
          </w:p>
        </w:tc>
      </w:tr>
      <w:tr w:rsidR="00B6314D" w:rsidTr="004719D5">
        <w:trPr>
          <w:trHeight w:val="560"/>
        </w:trPr>
        <w:tc>
          <w:tcPr>
            <w:tcW w:w="9062" w:type="dxa"/>
          </w:tcPr>
          <w:p w:rsidR="00B6314D" w:rsidRDefault="00B6314D" w:rsidP="004719D5">
            <w:pPr>
              <w:widowControl w:val="0"/>
              <w:spacing w:line="276" w:lineRule="auto"/>
              <w:rPr>
                <w:b/>
                <w:sz w:val="24"/>
                <w:szCs w:val="24"/>
              </w:rPr>
            </w:pPr>
          </w:p>
          <w:tbl>
            <w:tblPr>
              <w:tblStyle w:val="tl5"/>
              <w:tblW w:w="8846" w:type="dxa"/>
              <w:tblLayout w:type="fixed"/>
              <w:tblLook w:val="0400" w:firstRow="0" w:lastRow="0" w:firstColumn="0" w:lastColumn="0" w:noHBand="0" w:noVBand="1"/>
            </w:tblPr>
            <w:tblGrid>
              <w:gridCol w:w="436"/>
              <w:gridCol w:w="8410"/>
            </w:tblGrid>
            <w:tr w:rsidR="00B6314D" w:rsidTr="004719D5">
              <w:tc>
                <w:tcPr>
                  <w:tcW w:w="436" w:type="dxa"/>
                </w:tcPr>
                <w:p w:rsidR="00B6314D" w:rsidRDefault="00B6314D" w:rsidP="004719D5">
                  <w:pPr>
                    <w:jc w:val="center"/>
                  </w:pPr>
                  <w:r>
                    <w:rPr>
                      <w:rFonts w:ascii="Segoe UI Symbol" w:eastAsia="MS Mincho" w:hAnsi="Segoe UI Symbol" w:cs="Segoe UI Symbol"/>
                    </w:rPr>
                    <w:t>☐</w:t>
                  </w:r>
                </w:p>
              </w:tc>
              <w:tc>
                <w:tcPr>
                  <w:tcW w:w="8410" w:type="dxa"/>
                </w:tcPr>
                <w:p w:rsidR="00B6314D" w:rsidRDefault="00B6314D" w:rsidP="004719D5">
                  <w:pPr>
                    <w:rPr>
                      <w:b/>
                    </w:rPr>
                  </w:pPr>
                  <w:r>
                    <w:rPr>
                      <w:b/>
                    </w:rPr>
                    <w:t xml:space="preserve">iba na MSP (0 - 249 zamestnancov) </w:t>
                  </w:r>
                </w:p>
              </w:tc>
            </w:tr>
            <w:tr w:rsidR="00B6314D" w:rsidTr="004719D5">
              <w:tc>
                <w:tcPr>
                  <w:tcW w:w="436" w:type="dxa"/>
                </w:tcPr>
                <w:p w:rsidR="00B6314D" w:rsidRDefault="00B6314D" w:rsidP="004719D5">
                  <w:pPr>
                    <w:jc w:val="center"/>
                  </w:pPr>
                  <w:r>
                    <w:rPr>
                      <w:rFonts w:ascii="Segoe UI Symbol" w:eastAsia="MS Mincho" w:hAnsi="Segoe UI Symbol" w:cs="Segoe UI Symbol"/>
                    </w:rPr>
                    <w:t>☐</w:t>
                  </w:r>
                </w:p>
              </w:tc>
              <w:tc>
                <w:tcPr>
                  <w:tcW w:w="8410" w:type="dxa"/>
                </w:tcPr>
                <w:p w:rsidR="00B6314D" w:rsidRDefault="00B6314D" w:rsidP="004719D5">
                  <w:pPr>
                    <w:rPr>
                      <w:b/>
                    </w:rPr>
                  </w:pPr>
                  <w:r>
                    <w:rPr>
                      <w:b/>
                    </w:rPr>
                    <w:t>iba na veľké podniky (250 a viac zamestnancov)</w:t>
                  </w:r>
                </w:p>
              </w:tc>
            </w:tr>
            <w:tr w:rsidR="00B6314D" w:rsidTr="004719D5">
              <w:tc>
                <w:tcPr>
                  <w:tcW w:w="436" w:type="dxa"/>
                </w:tcPr>
                <w:p w:rsidR="00B6314D" w:rsidRDefault="00B6314D" w:rsidP="004719D5">
                  <w:pPr>
                    <w:jc w:val="center"/>
                  </w:pPr>
                  <w:r>
                    <w:rPr>
                      <w:rFonts w:ascii="MS Gothic" w:eastAsia="MS Gothic" w:hAnsi="MS Gothic" w:cs="MS Gothic" w:hint="eastAsia"/>
                    </w:rPr>
                    <w:t>☒</w:t>
                  </w:r>
                </w:p>
              </w:tc>
              <w:tc>
                <w:tcPr>
                  <w:tcW w:w="8410" w:type="dxa"/>
                </w:tcPr>
                <w:p w:rsidR="00B6314D" w:rsidRDefault="00B6314D" w:rsidP="004719D5">
                  <w:r>
                    <w:rPr>
                      <w:b/>
                    </w:rPr>
                    <w:t>na všetky kategórie podnikov</w:t>
                  </w:r>
                </w:p>
              </w:tc>
            </w:tr>
          </w:tbl>
          <w:p w:rsidR="00B6314D" w:rsidRDefault="00B6314D" w:rsidP="004719D5">
            <w:pPr>
              <w:rPr>
                <w:b/>
              </w:rPr>
            </w:pPr>
          </w:p>
        </w:tc>
      </w:tr>
      <w:tr w:rsidR="00B6314D" w:rsidTr="004719D5">
        <w:tc>
          <w:tcPr>
            <w:tcW w:w="9062" w:type="dxa"/>
            <w:shd w:val="clear" w:color="auto" w:fill="D9D9D9"/>
          </w:tcPr>
          <w:p w:rsidR="00B6314D" w:rsidRDefault="00B6314D" w:rsidP="004719D5">
            <w:pPr>
              <w:rPr>
                <w:b/>
                <w:sz w:val="24"/>
                <w:szCs w:val="24"/>
              </w:rPr>
            </w:pPr>
            <w:r>
              <w:rPr>
                <w:b/>
                <w:sz w:val="24"/>
                <w:szCs w:val="24"/>
              </w:rPr>
              <w:t>3.1 Dotknuté podnikateľské subjekty</w:t>
            </w:r>
          </w:p>
          <w:p w:rsidR="00B6314D" w:rsidRDefault="00B6314D" w:rsidP="004719D5">
            <w:pPr>
              <w:ind w:left="284"/>
              <w:rPr>
                <w:b/>
              </w:rPr>
            </w:pPr>
            <w:r>
              <w:rPr>
                <w:sz w:val="24"/>
                <w:szCs w:val="24"/>
              </w:rPr>
              <w:t xml:space="preserve"> - </w:t>
            </w:r>
            <w:r>
              <w:rPr>
                <w:b/>
                <w:sz w:val="24"/>
                <w:szCs w:val="24"/>
              </w:rPr>
              <w:t>z toho MSP</w:t>
            </w:r>
          </w:p>
        </w:tc>
      </w:tr>
      <w:tr w:rsidR="00B6314D" w:rsidTr="004719D5">
        <w:tc>
          <w:tcPr>
            <w:tcW w:w="9062" w:type="dxa"/>
          </w:tcPr>
          <w:p w:rsidR="00B6314D" w:rsidRDefault="00B6314D" w:rsidP="004719D5">
            <w:pPr>
              <w:rPr>
                <w:i/>
              </w:rPr>
            </w:pPr>
            <w:r>
              <w:rPr>
                <w:i/>
              </w:rPr>
              <w:t>Uveďte, aké podnikateľské subjekty budú predkladaným návrhom ovplyvnené.</w:t>
            </w:r>
          </w:p>
          <w:p w:rsidR="00B6314D" w:rsidRDefault="00B6314D" w:rsidP="004719D5">
            <w:pPr>
              <w:rPr>
                <w:i/>
              </w:rPr>
            </w:pPr>
            <w:r>
              <w:rPr>
                <w:i/>
              </w:rPr>
              <w:t>Aký je ich počet?</w:t>
            </w:r>
          </w:p>
        </w:tc>
      </w:tr>
      <w:tr w:rsidR="00B6314D" w:rsidTr="004719D5">
        <w:trPr>
          <w:trHeight w:val="1440"/>
        </w:trPr>
        <w:tc>
          <w:tcPr>
            <w:tcW w:w="9062" w:type="dxa"/>
          </w:tcPr>
          <w:p w:rsidR="00B6314D" w:rsidRDefault="00B6314D" w:rsidP="00B35133">
            <w:pPr>
              <w:rPr>
                <w:i/>
              </w:rPr>
            </w:pPr>
            <w:r>
              <w:rPr>
                <w:i/>
              </w:rPr>
              <w:t xml:space="preserve">Novelou zákona budú dotknuté všetky podnikateľské subjekty, ktoré sú súčasťou obchodného reťazca s tabakovými výrobkami, od 20. mája 2019 obchodujúce s cigaretami a tabakom na vlastnoručné zhotovenie cigariet a od 20. mája 2024 aj so všetkými ostatnými tabakovými výrobkami. </w:t>
            </w:r>
            <w:r w:rsidR="00B35133">
              <w:rPr>
                <w:i/>
              </w:rPr>
              <w:t xml:space="preserve">Vplyvom účinnosti novely zákona bude dotknutých </w:t>
            </w:r>
            <w:r w:rsidR="00C439EB">
              <w:rPr>
                <w:i/>
              </w:rPr>
              <w:t>104 podnikateľských subjektov</w:t>
            </w:r>
            <w:r w:rsidR="00B35133">
              <w:rPr>
                <w:i/>
              </w:rPr>
              <w:t>, ktoré majú daňovú povinnosť v na</w:t>
            </w:r>
            <w:r w:rsidR="00C439EB">
              <w:rPr>
                <w:i/>
              </w:rPr>
              <w:t xml:space="preserve">dväznosti na zákon č. 106/2004 </w:t>
            </w:r>
            <w:proofErr w:type="spellStart"/>
            <w:r w:rsidR="00C439EB">
              <w:rPr>
                <w:i/>
              </w:rPr>
              <w:t>Z.z</w:t>
            </w:r>
            <w:proofErr w:type="spellEnd"/>
            <w:r w:rsidR="00C439EB">
              <w:rPr>
                <w:i/>
              </w:rPr>
              <w:t>. o spotrebnej dani z tabakových výrobkov.</w:t>
            </w:r>
            <w:r w:rsidR="00B5493F">
              <w:rPr>
                <w:i/>
              </w:rPr>
              <w:t xml:space="preserve"> </w:t>
            </w:r>
          </w:p>
          <w:p w:rsidR="00B5493F" w:rsidRDefault="00B5493F" w:rsidP="007416F9">
            <w:pPr>
              <w:rPr>
                <w:i/>
              </w:rPr>
            </w:pPr>
            <w:r>
              <w:rPr>
                <w:i/>
              </w:rPr>
              <w:t xml:space="preserve">Ďalší dopad sa očakáva na približne 22 000 subjektov, ktorí budú prichádzať do kontaktu so systémom </w:t>
            </w:r>
            <w:proofErr w:type="spellStart"/>
            <w:r>
              <w:rPr>
                <w:i/>
              </w:rPr>
              <w:t>vysledovateľnosti</w:t>
            </w:r>
            <w:proofErr w:type="spellEnd"/>
            <w:r>
              <w:rPr>
                <w:i/>
              </w:rPr>
              <w:t>. Jedná sa napríklad o predajcov tabakových výrobkov na úrovni maloobchod</w:t>
            </w:r>
            <w:r w:rsidR="007416F9">
              <w:rPr>
                <w:i/>
              </w:rPr>
              <w:t>ných prevádzok</w:t>
            </w:r>
            <w:r>
              <w:rPr>
                <w:i/>
              </w:rPr>
              <w:t>, distribútorov alebo prepravcov, prevádzkovateľov skladovacích priestorov, ktorých presné číslo však nevieme dnes presne stanoviť.</w:t>
            </w:r>
          </w:p>
        </w:tc>
      </w:tr>
      <w:tr w:rsidR="00B6314D" w:rsidTr="004719D5">
        <w:trPr>
          <w:trHeight w:val="320"/>
        </w:trPr>
        <w:tc>
          <w:tcPr>
            <w:tcW w:w="9062" w:type="dxa"/>
            <w:shd w:val="clear" w:color="auto" w:fill="D9D9D9"/>
          </w:tcPr>
          <w:p w:rsidR="00B6314D" w:rsidRDefault="00B6314D" w:rsidP="004719D5">
            <w:pPr>
              <w:rPr>
                <w:b/>
                <w:sz w:val="24"/>
                <w:szCs w:val="24"/>
              </w:rPr>
            </w:pPr>
            <w:r>
              <w:rPr>
                <w:b/>
                <w:sz w:val="24"/>
                <w:szCs w:val="24"/>
              </w:rPr>
              <w:t>3.2 Vyhodnotenie konzultácií</w:t>
            </w:r>
          </w:p>
          <w:p w:rsidR="00B6314D" w:rsidRDefault="00B6314D" w:rsidP="004719D5">
            <w:pPr>
              <w:rPr>
                <w:b/>
              </w:rPr>
            </w:pPr>
            <w:r>
              <w:rPr>
                <w:sz w:val="24"/>
                <w:szCs w:val="24"/>
              </w:rPr>
              <w:t xml:space="preserve">       - </w:t>
            </w:r>
            <w:r>
              <w:rPr>
                <w:b/>
                <w:sz w:val="24"/>
                <w:szCs w:val="24"/>
              </w:rPr>
              <w:t>z toho MSP</w:t>
            </w:r>
          </w:p>
        </w:tc>
      </w:tr>
      <w:tr w:rsidR="00B6314D" w:rsidTr="004719D5">
        <w:trPr>
          <w:trHeight w:val="540"/>
        </w:trPr>
        <w:tc>
          <w:tcPr>
            <w:tcW w:w="9062" w:type="dxa"/>
          </w:tcPr>
          <w:p w:rsidR="00B6314D" w:rsidRDefault="00B6314D" w:rsidP="004719D5">
            <w:pPr>
              <w:rPr>
                <w:i/>
              </w:rPr>
            </w:pPr>
            <w:r>
              <w:rPr>
                <w:i/>
              </w:rPr>
              <w:t>Uveďte, akou formou (verejné alebo cielené konzultácie a prečo) a s kým bol návrh konzultovaný.</w:t>
            </w:r>
          </w:p>
          <w:p w:rsidR="00B6314D" w:rsidRDefault="00B6314D" w:rsidP="004719D5">
            <w:pPr>
              <w:rPr>
                <w:i/>
              </w:rPr>
            </w:pPr>
            <w:r>
              <w:rPr>
                <w:i/>
              </w:rPr>
              <w:t>Ako dlho trvali konzultácie?</w:t>
            </w:r>
          </w:p>
          <w:p w:rsidR="00B6314D" w:rsidRDefault="00B6314D" w:rsidP="004719D5">
            <w:pPr>
              <w:rPr>
                <w:i/>
              </w:rPr>
            </w:pPr>
            <w:r>
              <w:rPr>
                <w:i/>
              </w:rPr>
              <w:lastRenderedPageBreak/>
              <w:t xml:space="preserve">Uveďte hlavné body konzultácií a výsledky konzultácií. </w:t>
            </w:r>
          </w:p>
        </w:tc>
      </w:tr>
      <w:tr w:rsidR="00B6314D" w:rsidTr="0034529D">
        <w:trPr>
          <w:trHeight w:val="716"/>
        </w:trPr>
        <w:tc>
          <w:tcPr>
            <w:tcW w:w="9062" w:type="dxa"/>
          </w:tcPr>
          <w:p w:rsidR="00B6314D" w:rsidRDefault="00B6314D" w:rsidP="004719D5">
            <w:pPr>
              <w:rPr>
                <w:i/>
              </w:rPr>
            </w:pPr>
            <w:r>
              <w:rPr>
                <w:i/>
              </w:rPr>
              <w:lastRenderedPageBreak/>
              <w:t>Návrh bol konzultovaný s podnikateľskou verejnosťou za prítomnosti zástupcu Európskej komisie ako aj na samostatných stretnutiach národných inštitúcii (UVZ SR, FRSR, MFSR, MZSR) s priemyslom.</w:t>
            </w:r>
          </w:p>
        </w:tc>
      </w:tr>
      <w:tr w:rsidR="00B6314D" w:rsidTr="004719D5">
        <w:tc>
          <w:tcPr>
            <w:tcW w:w="9062" w:type="dxa"/>
            <w:shd w:val="clear" w:color="auto" w:fill="D9D9D9"/>
          </w:tcPr>
          <w:p w:rsidR="00B6314D" w:rsidRDefault="00B6314D" w:rsidP="004719D5">
            <w:pPr>
              <w:rPr>
                <w:b/>
                <w:sz w:val="24"/>
                <w:szCs w:val="24"/>
              </w:rPr>
            </w:pPr>
            <w:r>
              <w:rPr>
                <w:b/>
                <w:sz w:val="24"/>
                <w:szCs w:val="24"/>
              </w:rPr>
              <w:t>3.3 Náklady regulácie</w:t>
            </w:r>
          </w:p>
          <w:p w:rsidR="00B6314D" w:rsidRDefault="00B6314D" w:rsidP="004719D5">
            <w:pPr>
              <w:rPr>
                <w:b/>
              </w:rPr>
            </w:pPr>
            <w:r>
              <w:rPr>
                <w:sz w:val="24"/>
                <w:szCs w:val="24"/>
              </w:rPr>
              <w:t xml:space="preserve">      - </w:t>
            </w:r>
            <w:r>
              <w:rPr>
                <w:b/>
                <w:sz w:val="24"/>
                <w:szCs w:val="24"/>
              </w:rPr>
              <w:t>z toho MSP</w:t>
            </w:r>
          </w:p>
        </w:tc>
      </w:tr>
      <w:tr w:rsidR="00B6314D" w:rsidTr="004719D5">
        <w:tc>
          <w:tcPr>
            <w:tcW w:w="9062" w:type="dxa"/>
          </w:tcPr>
          <w:p w:rsidR="00B6314D" w:rsidRDefault="00B6314D" w:rsidP="004719D5">
            <w:pPr>
              <w:rPr>
                <w:b/>
                <w:i/>
              </w:rPr>
            </w:pPr>
            <w:r>
              <w:rPr>
                <w:b/>
                <w:i/>
              </w:rPr>
              <w:t>3.3.1 Priame finančné náklady</w:t>
            </w:r>
          </w:p>
          <w:p w:rsidR="00B6314D" w:rsidRDefault="00B6314D" w:rsidP="004719D5">
            <w:pPr>
              <w:rPr>
                <w:i/>
              </w:rPr>
            </w:pPr>
            <w:r>
              <w:rPr>
                <w:i/>
              </w:rPr>
              <w:t xml:space="preserve">Dochádza k zvýšeniu/zníženiu priamych finančných nákladov (poplatky, odvody, dane clá...)? Ak áno, popíšte a vyčíslite ich. Uveďte tiež spôsob ich výpočtu. </w:t>
            </w:r>
          </w:p>
        </w:tc>
      </w:tr>
      <w:tr w:rsidR="00B6314D" w:rsidTr="004719D5">
        <w:tc>
          <w:tcPr>
            <w:tcW w:w="9062" w:type="dxa"/>
          </w:tcPr>
          <w:p w:rsidR="00B6314D" w:rsidRDefault="00B6314D" w:rsidP="004719D5">
            <w:pPr>
              <w:rPr>
                <w:i/>
              </w:rPr>
            </w:pPr>
            <w:r>
              <w:rPr>
                <w:i/>
              </w:rPr>
              <w:t xml:space="preserve">Na základe analýzy dopadov Európskej komisie, náklady na 1 balenie tabakových výrobkov sa po zavedení systému </w:t>
            </w:r>
            <w:proofErr w:type="spellStart"/>
            <w:r>
              <w:rPr>
                <w:i/>
              </w:rPr>
              <w:t>vysledovateľnosti</w:t>
            </w:r>
            <w:proofErr w:type="spellEnd"/>
            <w:r>
              <w:rPr>
                <w:i/>
              </w:rPr>
              <w:t xml:space="preserve"> zvýšia o 0,01 eur. </w:t>
            </w:r>
          </w:p>
          <w:p w:rsidR="00B6314D" w:rsidRDefault="00B6314D" w:rsidP="004719D5">
            <w:pPr>
              <w:rPr>
                <w:i/>
              </w:rPr>
            </w:pPr>
            <w:r>
              <w:rPr>
                <w:i/>
              </w:rPr>
              <w:t xml:space="preserve">Zdroj: </w:t>
            </w:r>
            <w:hyperlink r:id="rId8">
              <w:r>
                <w:rPr>
                  <w:i/>
                  <w:color w:val="0000FF"/>
                  <w:u w:val="single"/>
                </w:rPr>
                <w:t>https://ec.europa.eu/health/tobacco/tracking_tracing_system_en</w:t>
              </w:r>
            </w:hyperlink>
          </w:p>
          <w:p w:rsidR="00B6314D" w:rsidRDefault="00B6314D" w:rsidP="004719D5">
            <w:pPr>
              <w:rPr>
                <w:i/>
              </w:rPr>
            </w:pPr>
            <w:bookmarkStart w:id="1" w:name="_gjdgxs" w:colFirst="0" w:colLast="0"/>
            <w:bookmarkEnd w:id="1"/>
            <w:r>
              <w:rPr>
                <w:i/>
              </w:rPr>
              <w:t xml:space="preserve">Celkové náklady súvisiace so zavedením systému </w:t>
            </w:r>
            <w:proofErr w:type="spellStart"/>
            <w:r>
              <w:rPr>
                <w:i/>
              </w:rPr>
              <w:t>vysledovateľnosti</w:t>
            </w:r>
            <w:proofErr w:type="spellEnd"/>
            <w:r>
              <w:rPr>
                <w:i/>
              </w:rPr>
              <w:t xml:space="preserve"> sú nižšie ako sociálne benefity, ktoré toto riešenie na boj proti nelegálnemu obchodu s tabakovými výrobkami prinesie. Nelegálny obchod s cigaretami má v EÚ rastúci trend, pričom za rok 2015 mal objem cca 11,3%, čo znamená, že každá desiata cigareta je nelegálna. Pri ročnom objeme obchodovaných cigariet to predstavuje v EÚ 61 miliárd cigariet, čo je pre porovnanie takmer 9-násobok ročného objemu cigariet, ktoré sa predajú na slovenskom trhu. </w:t>
            </w:r>
          </w:p>
          <w:p w:rsidR="00B6314D" w:rsidRDefault="00B6314D" w:rsidP="004719D5">
            <w:pPr>
              <w:rPr>
                <w:i/>
              </w:rPr>
            </w:pPr>
          </w:p>
          <w:p w:rsidR="00C34D70" w:rsidRDefault="00B6314D" w:rsidP="004719D5">
            <w:pPr>
              <w:rPr>
                <w:i/>
              </w:rPr>
            </w:pPr>
            <w:r>
              <w:rPr>
                <w:i/>
              </w:rPr>
              <w:t>Náklady na jeden podnikateľský subjekt sa výrazne líšia podľa veľkosti dotknutého subjektu a jeho umiestnenia v rámci dodávateľsko-odberateľského reťazca. Výrobcovia sú povinní, okrem zabezpečenia všetkých svojich výrobných liniek zariadeniami na označovanie a prenos údajov a na verifikáciu správnosti, zabezpečiť aj vybavenie potrebné na zaznamenávanie kúpy, predaja, uskladnenia a prepravy tabakových výrobkov a prenos zaznamenaných údajov do zariadenia na uchovávanie dát pre všetkých obchodníkov s tabakovými výrobkami, čím sa náklady vo veľkej miere prenášajú zo segmentu obchodu do segmentu výroby</w:t>
            </w:r>
          </w:p>
          <w:p w:rsidR="00B6314D" w:rsidRDefault="00B6314D" w:rsidP="004719D5">
            <w:pPr>
              <w:rPr>
                <w:i/>
              </w:rPr>
            </w:pPr>
          </w:p>
          <w:p w:rsidR="00B6314D" w:rsidRDefault="00B6314D" w:rsidP="004719D5">
            <w:pPr>
              <w:rPr>
                <w:i/>
              </w:rPr>
            </w:pPr>
            <w:r>
              <w:rPr>
                <w:i/>
              </w:rPr>
              <w:t>Malí výrobcovia budú oslobodení od povinnosti mať vo svojej výrobe namontované kontrolné technológie, čo im oproti veľkým výrobcom zníži náklady.</w:t>
            </w:r>
          </w:p>
          <w:p w:rsidR="00C34D70" w:rsidRPr="003820A7" w:rsidRDefault="00C34D70" w:rsidP="004719D5">
            <w:pPr>
              <w:rPr>
                <w:i/>
              </w:rPr>
            </w:pPr>
          </w:p>
        </w:tc>
      </w:tr>
      <w:tr w:rsidR="00B6314D" w:rsidTr="004719D5">
        <w:tc>
          <w:tcPr>
            <w:tcW w:w="9062" w:type="dxa"/>
          </w:tcPr>
          <w:p w:rsidR="00B6314D" w:rsidRDefault="00B6314D" w:rsidP="004719D5">
            <w:pPr>
              <w:rPr>
                <w:b/>
                <w:i/>
              </w:rPr>
            </w:pPr>
            <w:r>
              <w:rPr>
                <w:b/>
                <w:i/>
              </w:rPr>
              <w:t>3.3.2 Nepriame finančné náklady</w:t>
            </w:r>
          </w:p>
          <w:p w:rsidR="00B6314D" w:rsidRDefault="00B6314D" w:rsidP="004719D5">
            <w:pPr>
              <w:rPr>
                <w:i/>
              </w:rPr>
            </w:pPr>
            <w:r>
              <w:rPr>
                <w:i/>
              </w:rPr>
              <w:t>Vyžaduje si predkladaný návrh dodatočné náklady na nákup tovarov alebo služieb? Zvyšuje predkladaný návrh náklady súvisiace so zamestnávaním? Ak áno, popíšte a vyčíslite ich. Uveďte tiež spôsob ich výpočtu.</w:t>
            </w:r>
          </w:p>
        </w:tc>
      </w:tr>
      <w:tr w:rsidR="00B6314D" w:rsidTr="004719D5">
        <w:tc>
          <w:tcPr>
            <w:tcW w:w="9062" w:type="dxa"/>
          </w:tcPr>
          <w:p w:rsidR="00B6314D" w:rsidRDefault="00B6314D" w:rsidP="004719D5">
            <w:pPr>
              <w:rPr>
                <w:i/>
              </w:rPr>
            </w:pPr>
            <w:r>
              <w:rPr>
                <w:i/>
              </w:rPr>
              <w:t xml:space="preserve">Analýza dopadov Európskej komisie sa špecificky nevenuje segmentu zamestnanosti. Celý systém </w:t>
            </w:r>
            <w:proofErr w:type="spellStart"/>
            <w:r>
              <w:rPr>
                <w:i/>
              </w:rPr>
              <w:t>vysledovateľnosti</w:t>
            </w:r>
            <w:proofErr w:type="spellEnd"/>
            <w:r>
              <w:rPr>
                <w:i/>
              </w:rPr>
              <w:t xml:space="preserve"> je však postavený na technológiách, ktoré využívajú strojom čitateľné kódy ako nosiče potrebných údajov, pričom každá udalosť, ktorú je potrebné zaznamenať do systému </w:t>
            </w:r>
            <w:proofErr w:type="spellStart"/>
            <w:r>
              <w:rPr>
                <w:i/>
              </w:rPr>
              <w:t>vysledovateľnosti</w:t>
            </w:r>
            <w:proofErr w:type="spellEnd"/>
            <w:r>
              <w:rPr>
                <w:i/>
              </w:rPr>
              <w:t xml:space="preserve"> sa páruje práve ku strojom čitateľnému kódu, čo umožňuje vysoký stupeň automatizácie procesu. Zariadenia na zaznamenávanie udalostí a na prenos informácii do centrálneho registra zabezpečujú obchodníkom výrobcovia. </w:t>
            </w:r>
          </w:p>
          <w:p w:rsidR="00B6314D" w:rsidRDefault="00B6314D" w:rsidP="004719D5">
            <w:pPr>
              <w:rPr>
                <w:b/>
                <w:i/>
              </w:rPr>
            </w:pPr>
          </w:p>
        </w:tc>
      </w:tr>
      <w:tr w:rsidR="00B6314D" w:rsidTr="004719D5">
        <w:tc>
          <w:tcPr>
            <w:tcW w:w="9062" w:type="dxa"/>
          </w:tcPr>
          <w:p w:rsidR="00B6314D" w:rsidRDefault="00B6314D" w:rsidP="004719D5">
            <w:pPr>
              <w:rPr>
                <w:b/>
                <w:i/>
              </w:rPr>
            </w:pPr>
            <w:r>
              <w:rPr>
                <w:b/>
                <w:i/>
              </w:rPr>
              <w:t>3.3.3 Administratívne náklady</w:t>
            </w:r>
          </w:p>
          <w:p w:rsidR="00B6314D" w:rsidRDefault="00B6314D" w:rsidP="004719D5">
            <w:pPr>
              <w:rPr>
                <w:i/>
              </w:rPr>
            </w:pPr>
            <w:r>
              <w:rPr>
                <w:i/>
              </w:rPr>
              <w:t>Dochádza k zavedeniu nových informačných povinností alebo odstráneniu, príp. úprave existujúcich informačných povinností? (napr. zmena požadovaných dát, zmena frekvencie reportovania, zmena formy predkladania a pod.) Ak áno, popíšte a vyčíslite administratívne náklady. Uveďte tiež spôsob ich výpočtu.</w:t>
            </w:r>
          </w:p>
        </w:tc>
      </w:tr>
      <w:tr w:rsidR="00B6314D" w:rsidTr="004719D5">
        <w:tc>
          <w:tcPr>
            <w:tcW w:w="9062" w:type="dxa"/>
          </w:tcPr>
          <w:p w:rsidR="000C2BA2" w:rsidRPr="000C2BA2" w:rsidRDefault="00B6314D" w:rsidP="000C2BA2">
            <w:pPr>
              <w:rPr>
                <w:i/>
              </w:rPr>
            </w:pPr>
            <w:r>
              <w:rPr>
                <w:i/>
              </w:rPr>
              <w:t xml:space="preserve">Systém </w:t>
            </w:r>
            <w:proofErr w:type="spellStart"/>
            <w:r>
              <w:rPr>
                <w:i/>
              </w:rPr>
              <w:t>vysledovateľnosti</w:t>
            </w:r>
            <w:proofErr w:type="spellEnd"/>
            <w:r>
              <w:rPr>
                <w:i/>
              </w:rPr>
              <w:t xml:space="preserve"> zavádza úplne novú sadu povinností súvisiacich s obchodom tabakovými výrobkami, pričom však celý systém je automatizovaný a postavený na strojom čitateľných kódoch, výmena informácii je automatizovaná na pozadí medzi jednotlivými dátovými úložiskami.</w:t>
            </w:r>
            <w:r w:rsidR="000C2BA2">
              <w:rPr>
                <w:i/>
              </w:rPr>
              <w:t xml:space="preserve"> </w:t>
            </w:r>
            <w:r w:rsidR="000C2BA2" w:rsidRPr="000C2BA2">
              <w:rPr>
                <w:i/>
              </w:rPr>
              <w:t xml:space="preserve">Jedná sa napríklad o registračnú povinnosť, povinnosť označovať každé balenie tabakových výrobkov jedinečným identifikátorom, povinnosť nahrávať do systému </w:t>
            </w:r>
            <w:proofErr w:type="spellStart"/>
            <w:r w:rsidR="000C2BA2" w:rsidRPr="000C2BA2">
              <w:rPr>
                <w:i/>
              </w:rPr>
              <w:t>vysledovateľnosti</w:t>
            </w:r>
            <w:proofErr w:type="spellEnd"/>
            <w:r w:rsidR="000C2BA2" w:rsidRPr="000C2BA2">
              <w:rPr>
                <w:i/>
              </w:rPr>
              <w:t xml:space="preserve"> údaje o všetkých vyrobených a/alebo distribuovaných tabakových výrobkov, povinnosť zaznamenávať prevzatie tabakových výrobkov, zaznamenávať každý pohyb tabakových výrobkov a výstup z držby tabakových výrobkov a označovanie bezpečnostným prvkom. </w:t>
            </w:r>
          </w:p>
          <w:p w:rsidR="00B6314D" w:rsidRDefault="00B6314D" w:rsidP="004719D5">
            <w:pPr>
              <w:rPr>
                <w:i/>
              </w:rPr>
            </w:pPr>
            <w:r>
              <w:rPr>
                <w:i/>
              </w:rPr>
              <w:t>Podľa analýzy dopadu Európskej komisie spoločenské náklady súvisiace s nelegálnym obchodom s tabakovými výrobkami v EÚ presahujú náklady na zavedenie tohto systému.</w:t>
            </w:r>
          </w:p>
          <w:p w:rsidR="00C34D70" w:rsidRDefault="00C34D70" w:rsidP="00C34D70">
            <w:r>
              <w:rPr>
                <w:i/>
              </w:rPr>
              <w:t xml:space="preserve">Náklady vychádzajú z analýzy Európskej komisie </w:t>
            </w:r>
            <w:proofErr w:type="spellStart"/>
            <w:r>
              <w:t>Commission</w:t>
            </w:r>
            <w:proofErr w:type="spellEnd"/>
            <w:r>
              <w:t xml:space="preserve"> </w:t>
            </w:r>
            <w:proofErr w:type="spellStart"/>
            <w:r>
              <w:t>Staff</w:t>
            </w:r>
            <w:proofErr w:type="spellEnd"/>
            <w:r>
              <w:t xml:space="preserve"> </w:t>
            </w:r>
            <w:proofErr w:type="spellStart"/>
            <w:r>
              <w:t>Working</w:t>
            </w:r>
            <w:proofErr w:type="spellEnd"/>
            <w:r>
              <w:t xml:space="preserve"> </w:t>
            </w:r>
            <w:proofErr w:type="spellStart"/>
            <w:r>
              <w:t>Document</w:t>
            </w:r>
            <w:proofErr w:type="spellEnd"/>
            <w:r>
              <w:t xml:space="preserve"> </w:t>
            </w:r>
            <w:proofErr w:type="spellStart"/>
            <w:r>
              <w:t>Impact</w:t>
            </w:r>
            <w:proofErr w:type="spellEnd"/>
            <w:r>
              <w:t xml:space="preserve"> </w:t>
            </w:r>
            <w:proofErr w:type="spellStart"/>
            <w:r>
              <w:t>Assessment</w:t>
            </w:r>
            <w:proofErr w:type="spellEnd"/>
            <w:r>
              <w:t xml:space="preserve">, SWD(2017) 455 </w:t>
            </w:r>
            <w:proofErr w:type="spellStart"/>
            <w:r>
              <w:t>final</w:t>
            </w:r>
            <w:proofErr w:type="spellEnd"/>
            <w:r>
              <w:t xml:space="preserve">, </w:t>
            </w:r>
            <w:proofErr w:type="spellStart"/>
            <w:r>
              <w:t>Brussels</w:t>
            </w:r>
            <w:proofErr w:type="spellEnd"/>
            <w:r>
              <w:t xml:space="preserve"> 15.12.2017. Tabuľka súhrnných nákladov regulácie predstavuje </w:t>
            </w:r>
            <w:proofErr w:type="spellStart"/>
            <w:r>
              <w:t>odhlad</w:t>
            </w:r>
            <w:proofErr w:type="spellEnd"/>
            <w:r>
              <w:t xml:space="preserve"> vzhľadom k veľkosti trhu s tabakovými výrobkami na Slovensku.</w:t>
            </w:r>
          </w:p>
          <w:p w:rsidR="00C34D70" w:rsidRDefault="00C34D70" w:rsidP="004719D5">
            <w:pPr>
              <w:rPr>
                <w:i/>
              </w:rPr>
            </w:pPr>
          </w:p>
          <w:p w:rsidR="00B6314D" w:rsidRDefault="00B6314D" w:rsidP="004719D5">
            <w:pPr>
              <w:rPr>
                <w:b/>
                <w:i/>
              </w:rPr>
            </w:pPr>
          </w:p>
        </w:tc>
      </w:tr>
      <w:tr w:rsidR="00B6314D" w:rsidTr="004719D5">
        <w:trPr>
          <w:trHeight w:val="2300"/>
        </w:trPr>
        <w:tc>
          <w:tcPr>
            <w:tcW w:w="9062" w:type="dxa"/>
          </w:tcPr>
          <w:p w:rsidR="00B6314D" w:rsidRDefault="00B6314D" w:rsidP="004719D5">
            <w:pPr>
              <w:rPr>
                <w:i/>
              </w:rPr>
            </w:pPr>
            <w:r>
              <w:rPr>
                <w:b/>
                <w:i/>
              </w:rPr>
              <w:lastRenderedPageBreak/>
              <w:t>3.3.4 Súhrnná tabuľka nákladov regulácie</w:t>
            </w:r>
          </w:p>
          <w:p w:rsidR="00B6314D" w:rsidRDefault="00B6314D" w:rsidP="004719D5">
            <w:pPr>
              <w:rPr>
                <w:i/>
              </w:rPr>
            </w:pPr>
          </w:p>
          <w:tbl>
            <w:tblPr>
              <w:tblStyle w:val="tl4"/>
              <w:tblW w:w="88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9"/>
              <w:gridCol w:w="2941"/>
              <w:gridCol w:w="2946"/>
            </w:tblGrid>
            <w:tr w:rsidR="00B6314D" w:rsidTr="004719D5">
              <w:tc>
                <w:tcPr>
                  <w:tcW w:w="2949" w:type="dxa"/>
                  <w:tcBorders>
                    <w:top w:val="single" w:sz="4" w:space="0" w:color="000000"/>
                    <w:left w:val="single" w:sz="4" w:space="0" w:color="000000"/>
                    <w:bottom w:val="single" w:sz="4" w:space="0" w:color="000000"/>
                    <w:right w:val="single" w:sz="4" w:space="0" w:color="000000"/>
                  </w:tcBorders>
                </w:tcPr>
                <w:p w:rsidR="00B6314D" w:rsidRDefault="00B6314D" w:rsidP="004719D5">
                  <w:pPr>
                    <w:rPr>
                      <w:i/>
                    </w:rPr>
                  </w:pPr>
                </w:p>
              </w:tc>
              <w:tc>
                <w:tcPr>
                  <w:tcW w:w="2941" w:type="dxa"/>
                  <w:tcBorders>
                    <w:top w:val="single" w:sz="4" w:space="0" w:color="000000"/>
                    <w:left w:val="single" w:sz="4" w:space="0" w:color="000000"/>
                    <w:bottom w:val="single" w:sz="4" w:space="0" w:color="000000"/>
                    <w:right w:val="single" w:sz="4" w:space="0" w:color="000000"/>
                  </w:tcBorders>
                </w:tcPr>
                <w:p w:rsidR="00B6314D" w:rsidRDefault="00B6314D" w:rsidP="004719D5">
                  <w:pPr>
                    <w:jc w:val="center"/>
                    <w:rPr>
                      <w:i/>
                    </w:rPr>
                  </w:pPr>
                  <w:r>
                    <w:rPr>
                      <w:i/>
                    </w:rPr>
                    <w:t>Náklady na 1 podnikateľa</w:t>
                  </w:r>
                </w:p>
              </w:tc>
              <w:tc>
                <w:tcPr>
                  <w:tcW w:w="2946" w:type="dxa"/>
                  <w:tcBorders>
                    <w:top w:val="single" w:sz="4" w:space="0" w:color="000000"/>
                    <w:left w:val="single" w:sz="4" w:space="0" w:color="000000"/>
                    <w:bottom w:val="single" w:sz="4" w:space="0" w:color="000000"/>
                    <w:right w:val="single" w:sz="4" w:space="0" w:color="000000"/>
                  </w:tcBorders>
                </w:tcPr>
                <w:p w:rsidR="00B6314D" w:rsidRDefault="00B6314D" w:rsidP="004719D5">
                  <w:pPr>
                    <w:jc w:val="center"/>
                    <w:rPr>
                      <w:i/>
                    </w:rPr>
                  </w:pPr>
                  <w:r>
                    <w:rPr>
                      <w:i/>
                    </w:rPr>
                    <w:t>Náklady na celé podnikateľské prostredie</w:t>
                  </w:r>
                </w:p>
              </w:tc>
            </w:tr>
            <w:tr w:rsidR="00B6314D" w:rsidTr="004719D5">
              <w:tc>
                <w:tcPr>
                  <w:tcW w:w="2949" w:type="dxa"/>
                  <w:tcBorders>
                    <w:top w:val="single" w:sz="4" w:space="0" w:color="000000"/>
                    <w:left w:val="single" w:sz="4" w:space="0" w:color="000000"/>
                    <w:bottom w:val="single" w:sz="4" w:space="0" w:color="000000"/>
                    <w:right w:val="single" w:sz="4" w:space="0" w:color="000000"/>
                  </w:tcBorders>
                </w:tcPr>
                <w:p w:rsidR="00B6314D" w:rsidRDefault="00B6314D" w:rsidP="004719D5">
                  <w:pPr>
                    <w:rPr>
                      <w:i/>
                    </w:rPr>
                  </w:pPr>
                  <w:r>
                    <w:rPr>
                      <w:i/>
                    </w:rPr>
                    <w:t>Priame finančné náklady</w:t>
                  </w:r>
                </w:p>
              </w:tc>
              <w:tc>
                <w:tcPr>
                  <w:tcW w:w="2941" w:type="dxa"/>
                  <w:tcBorders>
                    <w:top w:val="single" w:sz="4" w:space="0" w:color="000000"/>
                    <w:left w:val="single" w:sz="4" w:space="0" w:color="000000"/>
                    <w:bottom w:val="single" w:sz="4" w:space="0" w:color="000000"/>
                    <w:right w:val="single" w:sz="4" w:space="0" w:color="000000"/>
                  </w:tcBorders>
                </w:tcPr>
                <w:p w:rsidR="00B6314D" w:rsidRDefault="00B6314D" w:rsidP="004719D5">
                  <w:pPr>
                    <w:jc w:val="center"/>
                    <w:rPr>
                      <w:i/>
                    </w:rPr>
                  </w:pPr>
                  <w:r>
                    <w:rPr>
                      <w:i/>
                    </w:rPr>
                    <w:t>0</w:t>
                  </w:r>
                </w:p>
              </w:tc>
              <w:tc>
                <w:tcPr>
                  <w:tcW w:w="2946" w:type="dxa"/>
                  <w:tcBorders>
                    <w:top w:val="single" w:sz="4" w:space="0" w:color="000000"/>
                    <w:left w:val="single" w:sz="4" w:space="0" w:color="000000"/>
                    <w:bottom w:val="single" w:sz="4" w:space="0" w:color="000000"/>
                    <w:right w:val="single" w:sz="4" w:space="0" w:color="000000"/>
                  </w:tcBorders>
                </w:tcPr>
                <w:p w:rsidR="00B6314D" w:rsidRDefault="00B6314D" w:rsidP="004719D5">
                  <w:pPr>
                    <w:jc w:val="center"/>
                    <w:rPr>
                      <w:i/>
                    </w:rPr>
                  </w:pPr>
                  <w:r>
                    <w:rPr>
                      <w:i/>
                    </w:rPr>
                    <w:t>0</w:t>
                  </w:r>
                </w:p>
              </w:tc>
            </w:tr>
            <w:tr w:rsidR="00B6314D" w:rsidTr="004719D5">
              <w:tc>
                <w:tcPr>
                  <w:tcW w:w="2949" w:type="dxa"/>
                  <w:tcBorders>
                    <w:top w:val="single" w:sz="4" w:space="0" w:color="000000"/>
                    <w:left w:val="single" w:sz="4" w:space="0" w:color="000000"/>
                    <w:bottom w:val="single" w:sz="4" w:space="0" w:color="000000"/>
                    <w:right w:val="single" w:sz="4" w:space="0" w:color="000000"/>
                  </w:tcBorders>
                </w:tcPr>
                <w:p w:rsidR="00B6314D" w:rsidRDefault="00B6314D" w:rsidP="004719D5">
                  <w:pPr>
                    <w:rPr>
                      <w:i/>
                    </w:rPr>
                  </w:pPr>
                  <w:r>
                    <w:rPr>
                      <w:i/>
                    </w:rPr>
                    <w:t>Nepriame finančné náklady</w:t>
                  </w:r>
                </w:p>
              </w:tc>
              <w:tc>
                <w:tcPr>
                  <w:tcW w:w="2941" w:type="dxa"/>
                  <w:tcBorders>
                    <w:top w:val="single" w:sz="4" w:space="0" w:color="000000"/>
                    <w:left w:val="single" w:sz="4" w:space="0" w:color="000000"/>
                    <w:bottom w:val="single" w:sz="4" w:space="0" w:color="000000"/>
                    <w:right w:val="single" w:sz="4" w:space="0" w:color="000000"/>
                  </w:tcBorders>
                </w:tcPr>
                <w:p w:rsidR="00B6314D" w:rsidRDefault="00B6314D" w:rsidP="004719D5">
                  <w:pPr>
                    <w:jc w:val="center"/>
                    <w:rPr>
                      <w:i/>
                    </w:rPr>
                  </w:pPr>
                  <w:r>
                    <w:rPr>
                      <w:i/>
                    </w:rPr>
                    <w:t>0</w:t>
                  </w:r>
                </w:p>
              </w:tc>
              <w:tc>
                <w:tcPr>
                  <w:tcW w:w="2946" w:type="dxa"/>
                  <w:tcBorders>
                    <w:top w:val="single" w:sz="4" w:space="0" w:color="000000"/>
                    <w:left w:val="single" w:sz="4" w:space="0" w:color="000000"/>
                    <w:bottom w:val="single" w:sz="4" w:space="0" w:color="000000"/>
                    <w:right w:val="single" w:sz="4" w:space="0" w:color="000000"/>
                  </w:tcBorders>
                </w:tcPr>
                <w:p w:rsidR="00B6314D" w:rsidRDefault="00B6314D" w:rsidP="004719D5">
                  <w:pPr>
                    <w:jc w:val="center"/>
                    <w:rPr>
                      <w:i/>
                    </w:rPr>
                  </w:pPr>
                  <w:r>
                    <w:rPr>
                      <w:i/>
                    </w:rPr>
                    <w:t>0</w:t>
                  </w:r>
                </w:p>
              </w:tc>
            </w:tr>
            <w:tr w:rsidR="00B6314D" w:rsidTr="004719D5">
              <w:tc>
                <w:tcPr>
                  <w:tcW w:w="2949" w:type="dxa"/>
                  <w:tcBorders>
                    <w:top w:val="single" w:sz="4" w:space="0" w:color="000000"/>
                    <w:left w:val="single" w:sz="4" w:space="0" w:color="000000"/>
                    <w:bottom w:val="single" w:sz="4" w:space="0" w:color="000000"/>
                    <w:right w:val="single" w:sz="4" w:space="0" w:color="000000"/>
                  </w:tcBorders>
                </w:tcPr>
                <w:p w:rsidR="00B6314D" w:rsidRDefault="00B6314D" w:rsidP="004719D5">
                  <w:pPr>
                    <w:rPr>
                      <w:i/>
                    </w:rPr>
                  </w:pPr>
                  <w:r>
                    <w:rPr>
                      <w:i/>
                    </w:rPr>
                    <w:t>Administratívne náklady</w:t>
                  </w:r>
                </w:p>
              </w:tc>
              <w:tc>
                <w:tcPr>
                  <w:tcW w:w="2941" w:type="dxa"/>
                  <w:tcBorders>
                    <w:top w:val="single" w:sz="4" w:space="0" w:color="000000"/>
                    <w:left w:val="single" w:sz="4" w:space="0" w:color="000000"/>
                    <w:bottom w:val="single" w:sz="4" w:space="0" w:color="000000"/>
                    <w:right w:val="single" w:sz="4" w:space="0" w:color="000000"/>
                  </w:tcBorders>
                </w:tcPr>
                <w:p w:rsidR="00B6314D" w:rsidRDefault="00B6314D" w:rsidP="004719D5">
                  <w:pPr>
                    <w:jc w:val="center"/>
                    <w:rPr>
                      <w:i/>
                    </w:rPr>
                  </w:pPr>
                  <w:r>
                    <w:rPr>
                      <w:i/>
                    </w:rPr>
                    <w:t>0</w:t>
                  </w:r>
                </w:p>
              </w:tc>
              <w:tc>
                <w:tcPr>
                  <w:tcW w:w="2946" w:type="dxa"/>
                  <w:tcBorders>
                    <w:top w:val="single" w:sz="4" w:space="0" w:color="000000"/>
                    <w:left w:val="single" w:sz="4" w:space="0" w:color="000000"/>
                    <w:bottom w:val="single" w:sz="4" w:space="0" w:color="000000"/>
                    <w:right w:val="single" w:sz="4" w:space="0" w:color="000000"/>
                  </w:tcBorders>
                </w:tcPr>
                <w:p w:rsidR="00B6314D" w:rsidRDefault="00B6314D" w:rsidP="004719D5">
                  <w:pPr>
                    <w:jc w:val="center"/>
                    <w:rPr>
                      <w:i/>
                    </w:rPr>
                  </w:pPr>
                  <w:r>
                    <w:rPr>
                      <w:i/>
                    </w:rPr>
                    <w:t>0</w:t>
                  </w:r>
                </w:p>
              </w:tc>
            </w:tr>
            <w:tr w:rsidR="00B6314D" w:rsidTr="004719D5">
              <w:tc>
                <w:tcPr>
                  <w:tcW w:w="2949" w:type="dxa"/>
                  <w:tcBorders>
                    <w:top w:val="single" w:sz="4" w:space="0" w:color="000000"/>
                    <w:left w:val="single" w:sz="4" w:space="0" w:color="000000"/>
                    <w:bottom w:val="single" w:sz="4" w:space="0" w:color="000000"/>
                    <w:right w:val="single" w:sz="4" w:space="0" w:color="000000"/>
                  </w:tcBorders>
                </w:tcPr>
                <w:p w:rsidR="00B6314D" w:rsidRDefault="00B6314D" w:rsidP="004719D5">
                  <w:pPr>
                    <w:rPr>
                      <w:b/>
                      <w:i/>
                    </w:rPr>
                  </w:pPr>
                  <w:r>
                    <w:rPr>
                      <w:b/>
                      <w:i/>
                    </w:rPr>
                    <w:t>Celkové náklady regulácie</w:t>
                  </w:r>
                </w:p>
              </w:tc>
              <w:tc>
                <w:tcPr>
                  <w:tcW w:w="2941" w:type="dxa"/>
                  <w:tcBorders>
                    <w:top w:val="single" w:sz="4" w:space="0" w:color="000000"/>
                    <w:left w:val="single" w:sz="4" w:space="0" w:color="000000"/>
                    <w:bottom w:val="single" w:sz="4" w:space="0" w:color="000000"/>
                    <w:right w:val="single" w:sz="4" w:space="0" w:color="000000"/>
                  </w:tcBorders>
                </w:tcPr>
                <w:p w:rsidR="00B6314D" w:rsidRDefault="00B6314D" w:rsidP="004719D5">
                  <w:pPr>
                    <w:jc w:val="center"/>
                    <w:rPr>
                      <w:b/>
                      <w:i/>
                    </w:rPr>
                  </w:pPr>
                  <w:r>
                    <w:rPr>
                      <w:b/>
                      <w:i/>
                    </w:rPr>
                    <w:t>0</w:t>
                  </w:r>
                </w:p>
              </w:tc>
              <w:tc>
                <w:tcPr>
                  <w:tcW w:w="2946" w:type="dxa"/>
                  <w:tcBorders>
                    <w:top w:val="single" w:sz="4" w:space="0" w:color="000000"/>
                    <w:left w:val="single" w:sz="4" w:space="0" w:color="000000"/>
                    <w:bottom w:val="single" w:sz="4" w:space="0" w:color="000000"/>
                    <w:right w:val="single" w:sz="4" w:space="0" w:color="000000"/>
                  </w:tcBorders>
                </w:tcPr>
                <w:p w:rsidR="00B6314D" w:rsidRDefault="00B6314D" w:rsidP="004719D5">
                  <w:pPr>
                    <w:jc w:val="center"/>
                    <w:rPr>
                      <w:b/>
                      <w:i/>
                    </w:rPr>
                  </w:pPr>
                  <w:r>
                    <w:rPr>
                      <w:b/>
                      <w:i/>
                    </w:rPr>
                    <w:t>3 500 000</w:t>
                  </w:r>
                </w:p>
              </w:tc>
            </w:tr>
          </w:tbl>
          <w:p w:rsidR="00B6314D" w:rsidRDefault="00B6314D" w:rsidP="004719D5">
            <w:pPr>
              <w:rPr>
                <w:i/>
              </w:rPr>
            </w:pPr>
          </w:p>
        </w:tc>
      </w:tr>
      <w:tr w:rsidR="00B6314D" w:rsidTr="004719D5">
        <w:tc>
          <w:tcPr>
            <w:tcW w:w="9062" w:type="dxa"/>
            <w:shd w:val="clear" w:color="auto" w:fill="D9D9D9"/>
          </w:tcPr>
          <w:p w:rsidR="00B6314D" w:rsidRDefault="00B6314D" w:rsidP="004719D5">
            <w:pPr>
              <w:rPr>
                <w:b/>
                <w:sz w:val="24"/>
                <w:szCs w:val="24"/>
              </w:rPr>
            </w:pPr>
            <w:r>
              <w:rPr>
                <w:b/>
                <w:sz w:val="24"/>
                <w:szCs w:val="24"/>
              </w:rPr>
              <w:t>3.4 Konkurencieschopnosť a správanie sa podnikov na trhu</w:t>
            </w:r>
          </w:p>
          <w:p w:rsidR="00B6314D" w:rsidRDefault="00B6314D" w:rsidP="004719D5">
            <w:r>
              <w:rPr>
                <w:b/>
                <w:sz w:val="24"/>
                <w:szCs w:val="24"/>
              </w:rPr>
              <w:t xml:space="preserve">       </w:t>
            </w:r>
            <w:r>
              <w:rPr>
                <w:sz w:val="24"/>
                <w:szCs w:val="24"/>
              </w:rPr>
              <w:t xml:space="preserve">- </w:t>
            </w:r>
            <w:r>
              <w:rPr>
                <w:b/>
                <w:sz w:val="24"/>
                <w:szCs w:val="24"/>
              </w:rPr>
              <w:t>z toho MSP</w:t>
            </w:r>
          </w:p>
        </w:tc>
      </w:tr>
      <w:tr w:rsidR="00B6314D" w:rsidTr="004719D5">
        <w:tc>
          <w:tcPr>
            <w:tcW w:w="9062" w:type="dxa"/>
          </w:tcPr>
          <w:p w:rsidR="00B6314D" w:rsidRDefault="00B6314D" w:rsidP="004719D5">
            <w:pPr>
              <w:rPr>
                <w:i/>
              </w:rPr>
            </w:pPr>
            <w:r>
              <w:rPr>
                <w:i/>
              </w:rPr>
              <w:t xml:space="preserve">Dochádza k vytvoreniu bariér pre vstup na trh pre nových dodávateľov alebo poskytovateľov služieb? Bude mať navrhovaná zmena za následok prísnejšiu reguláciu správania sa niektorých podnikov? Bude sa s niektorými podnikmi alebo produktmi zaobchádzať v porovnateľnej situácii rôzne (špeciálne režimy pre </w:t>
            </w:r>
            <w:proofErr w:type="spellStart"/>
            <w:r>
              <w:rPr>
                <w:i/>
              </w:rPr>
              <w:t>mikro</w:t>
            </w:r>
            <w:proofErr w:type="spellEnd"/>
            <w:r>
              <w:rPr>
                <w:i/>
              </w:rPr>
              <w:t>, malé a stredné podniky tzv. MSP)? Ak áno, popíšte.</w:t>
            </w:r>
          </w:p>
          <w:p w:rsidR="00B6314D" w:rsidRDefault="00B6314D" w:rsidP="004719D5">
            <w:pPr>
              <w:rPr>
                <w:i/>
              </w:rPr>
            </w:pPr>
            <w:r>
              <w:rPr>
                <w:i/>
              </w:rPr>
              <w:t>Aký vplyv bude mať navrhovaná zmena na obchodné bariéry? Bude mať vplyv na vyvolanie cezhraničných investícií (príliv /odliv zahraničných investícií resp. uplatnenie slovenských podnikov na zahraničných trhoch)? Ak áno, popíšte.</w:t>
            </w:r>
          </w:p>
          <w:p w:rsidR="00B6314D" w:rsidRDefault="00B6314D" w:rsidP="004719D5">
            <w:pPr>
              <w:rPr>
                <w:i/>
              </w:rPr>
            </w:pPr>
            <w:r>
              <w:rPr>
                <w:i/>
              </w:rPr>
              <w:t>Ako ovplyvní cenu alebo dostupnosť základných zdrojov (suroviny, mechanizmy, pracovná sila, energie atď.)?</w:t>
            </w:r>
          </w:p>
          <w:p w:rsidR="00B6314D" w:rsidRDefault="00B6314D" w:rsidP="004719D5">
            <w:pPr>
              <w:rPr>
                <w:i/>
              </w:rPr>
            </w:pPr>
            <w:r>
              <w:rPr>
                <w:i/>
              </w:rPr>
              <w:t>Ovplyvňuje prístup k financiám? Ak áno, ako?</w:t>
            </w:r>
          </w:p>
        </w:tc>
      </w:tr>
      <w:tr w:rsidR="00B6314D" w:rsidTr="004719D5">
        <w:trPr>
          <w:trHeight w:val="1280"/>
        </w:trPr>
        <w:tc>
          <w:tcPr>
            <w:tcW w:w="9062" w:type="dxa"/>
          </w:tcPr>
          <w:p w:rsidR="00B6314D" w:rsidRDefault="00B6314D" w:rsidP="004719D5">
            <w:pPr>
              <w:rPr>
                <w:i/>
              </w:rPr>
            </w:pPr>
            <w:r>
              <w:rPr>
                <w:i/>
              </w:rPr>
              <w:t>Noví obchodníci sa budú musieť rovnako stať súčasťou obchodného reťazca, pričom sa na nich vzťahujú rovnaké pravidlá ako na už existujúcich. Výrobcovia musia aj pre nových obchodníkov zabezpečiť vybavenie potrebné na zaznamenávanie kúpy, predaja, uskladnenia a prepravy tabakových výrobkov a prenos zaznamenaných údajov do zariadenia na uchovávanie dát pre všetkých obchodníkov s tabakovými výrobkami, čím sa náklady vo veľkej miere prenášajú zo segmentu obchodu do segmentu výroby.</w:t>
            </w:r>
          </w:p>
          <w:p w:rsidR="00B6314D" w:rsidRDefault="00B6314D" w:rsidP="004719D5">
            <w:pPr>
              <w:rPr>
                <w:i/>
              </w:rPr>
            </w:pPr>
            <w:r>
              <w:rPr>
                <w:i/>
              </w:rPr>
              <w:t xml:space="preserve">Noví výrobcovia budú musieť rovnako označovať všetky balenia tabakových výrobkov jedinečnými kódmi, a teda budú musieť investovať, rovnako ako tí už existujúci výrobcovia, do vybavenia výrobných liniek potrebnými zariadeniami. </w:t>
            </w:r>
          </w:p>
          <w:p w:rsidR="00B6314D" w:rsidRDefault="00B6314D" w:rsidP="004719D5">
            <w:pPr>
              <w:rPr>
                <w:i/>
              </w:rPr>
            </w:pPr>
            <w:r>
              <w:rPr>
                <w:i/>
              </w:rPr>
              <w:t>Malí výrobcovia a manuálna výroba má výnimku na používanie zariadení na verifikáciu správnej aplikácie jedinečných kódov.</w:t>
            </w:r>
          </w:p>
          <w:p w:rsidR="00B6314D" w:rsidRDefault="00B6314D" w:rsidP="004719D5">
            <w:pPr>
              <w:rPr>
                <w:i/>
              </w:rPr>
            </w:pPr>
          </w:p>
        </w:tc>
      </w:tr>
      <w:tr w:rsidR="00B6314D" w:rsidTr="004719D5">
        <w:tc>
          <w:tcPr>
            <w:tcW w:w="9062" w:type="dxa"/>
            <w:shd w:val="clear" w:color="auto" w:fill="D9D9D9"/>
          </w:tcPr>
          <w:p w:rsidR="00B6314D" w:rsidRDefault="00B6314D" w:rsidP="004719D5">
            <w:pPr>
              <w:rPr>
                <w:b/>
                <w:sz w:val="24"/>
                <w:szCs w:val="24"/>
              </w:rPr>
            </w:pPr>
            <w:r>
              <w:rPr>
                <w:b/>
                <w:sz w:val="24"/>
                <w:szCs w:val="24"/>
              </w:rPr>
              <w:t xml:space="preserve">3.5 Inovácie </w:t>
            </w:r>
          </w:p>
          <w:p w:rsidR="00B6314D" w:rsidRDefault="00B6314D" w:rsidP="004719D5">
            <w:pPr>
              <w:rPr>
                <w:b/>
              </w:rPr>
            </w:pPr>
            <w:r>
              <w:rPr>
                <w:sz w:val="24"/>
                <w:szCs w:val="24"/>
              </w:rPr>
              <w:t xml:space="preserve">       - </w:t>
            </w:r>
            <w:r>
              <w:rPr>
                <w:b/>
                <w:sz w:val="24"/>
                <w:szCs w:val="24"/>
              </w:rPr>
              <w:t>z toho MSP</w:t>
            </w:r>
          </w:p>
        </w:tc>
      </w:tr>
      <w:tr w:rsidR="00B6314D" w:rsidTr="004719D5">
        <w:tc>
          <w:tcPr>
            <w:tcW w:w="9062" w:type="dxa"/>
          </w:tcPr>
          <w:p w:rsidR="00B6314D" w:rsidRDefault="00B6314D" w:rsidP="004719D5">
            <w:pPr>
              <w:rPr>
                <w:i/>
              </w:rPr>
            </w:pPr>
            <w:r>
              <w:rPr>
                <w:i/>
              </w:rPr>
              <w:t>Uveďte, ako podporuje navrhovaná zmena inovácie.</w:t>
            </w:r>
          </w:p>
          <w:p w:rsidR="00B6314D" w:rsidRDefault="00B6314D" w:rsidP="004719D5">
            <w:pPr>
              <w:rPr>
                <w:i/>
              </w:rPr>
            </w:pPr>
            <w:r>
              <w:rPr>
                <w:i/>
              </w:rPr>
              <w:t>Zjednodušuje uvedenie alebo rozšírenie nových výrobných metód, technológií a výrobkov na trh?</w:t>
            </w:r>
          </w:p>
          <w:p w:rsidR="00B6314D" w:rsidRDefault="00B6314D" w:rsidP="004719D5">
            <w:pPr>
              <w:rPr>
                <w:i/>
              </w:rPr>
            </w:pPr>
            <w:r>
              <w:rPr>
                <w:i/>
              </w:rPr>
              <w:t>Uveďte, ako vplýva navrhovaná zmena na jednotlivé práva duševného vlastníctva (napr. patenty, ochranné známky, autorské práva, vlastníctvo know-how).</w:t>
            </w:r>
          </w:p>
          <w:p w:rsidR="00B6314D" w:rsidRDefault="00B6314D" w:rsidP="004719D5">
            <w:pPr>
              <w:rPr>
                <w:i/>
              </w:rPr>
            </w:pPr>
            <w:r>
              <w:rPr>
                <w:i/>
              </w:rPr>
              <w:t>Podporuje vyššiu efektivitu výroby/využívania zdrojov? Ak áno, ako?</w:t>
            </w:r>
          </w:p>
          <w:p w:rsidR="00B6314D" w:rsidRDefault="00B6314D" w:rsidP="004719D5">
            <w:r>
              <w:rPr>
                <w:i/>
              </w:rPr>
              <w:t>Vytvorí zmena nové pracovné miesta pre zamestnancov výskumu a vývoja v SR?</w:t>
            </w:r>
          </w:p>
        </w:tc>
      </w:tr>
      <w:tr w:rsidR="00B6314D" w:rsidTr="004719D5">
        <w:trPr>
          <w:trHeight w:val="1740"/>
        </w:trPr>
        <w:tc>
          <w:tcPr>
            <w:tcW w:w="9062" w:type="dxa"/>
          </w:tcPr>
          <w:p w:rsidR="00B6314D" w:rsidRDefault="00B6314D" w:rsidP="004719D5">
            <w:pPr>
              <w:rPr>
                <w:i/>
              </w:rPr>
            </w:pPr>
            <w:r>
              <w:rPr>
                <w:i/>
              </w:rPr>
              <w:t>Navrhovaná zmena nemá dopad na inovácie.</w:t>
            </w:r>
          </w:p>
        </w:tc>
      </w:tr>
    </w:tbl>
    <w:p w:rsidR="00B6314D" w:rsidRDefault="00B6314D" w:rsidP="00B6314D">
      <w:pPr>
        <w:rPr>
          <w:b/>
          <w:sz w:val="24"/>
          <w:szCs w:val="24"/>
        </w:rPr>
      </w:pPr>
    </w:p>
    <w:p w:rsidR="00C867F9" w:rsidRDefault="00C867F9" w:rsidP="00C57F0C">
      <w:pPr>
        <w:jc w:val="both"/>
        <w:rPr>
          <w:sz w:val="24"/>
          <w:szCs w:val="24"/>
        </w:rPr>
      </w:pPr>
    </w:p>
    <w:sectPr w:rsidR="00C867F9" w:rsidSect="004C60B8">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7DB3" w:rsidRDefault="00617DB3" w:rsidP="003501A1">
      <w:r>
        <w:separator/>
      </w:r>
    </w:p>
  </w:endnote>
  <w:endnote w:type="continuationSeparator" w:id="0">
    <w:p w:rsidR="00617DB3" w:rsidRDefault="00617DB3" w:rsidP="003501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EE"/>
    <w:family w:val="roman"/>
    <w:pitch w:val="variable"/>
    <w:sig w:usb0="E0002EFF" w:usb1="C000785B" w:usb2="00000009" w:usb3="00000000" w:csb0="000001FF" w:csb1="00000000"/>
  </w:font>
  <w:font w:name="Courier New">
    <w:altName w:val="Courier New"/>
    <w:panose1 w:val="02070309020205020404"/>
    <w:charset w:val="EE"/>
    <w:family w:val="modern"/>
    <w:pitch w:val="fixed"/>
    <w:sig w:usb0="E0002E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Symbol">
    <w:altName w:val="Times New Roman"/>
    <w:panose1 w:val="05050102010706020507"/>
    <w:charset w:val="02"/>
    <w:family w:val="roman"/>
    <w:pitch w:val="variable"/>
    <w:sig w:usb0="00000000" w:usb1="10000000" w:usb2="00000000" w:usb3="00000000" w:csb0="80000000" w:csb1="00000000"/>
  </w:font>
  <w:font w:name="Calibri">
    <w:altName w:val="Arial"/>
    <w:panose1 w:val="020F0502020204030204"/>
    <w:charset w:val="EE"/>
    <w:family w:val="swiss"/>
    <w:pitch w:val="variable"/>
    <w:sig w:usb0="E0002AFF" w:usb1="C0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Mincho">
    <w:altName w:val="Yu Gothic UI"/>
    <w:panose1 w:val="02020609040205080304"/>
    <w:charset w:val="80"/>
    <w:family w:val="roman"/>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3926" w:rsidRPr="009536D3" w:rsidRDefault="00273926" w:rsidP="009536D3">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3926" w:rsidRPr="009536D3" w:rsidRDefault="00273926" w:rsidP="009536D3">
    <w:pPr>
      <w:pStyle w:val="Pt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3926" w:rsidRPr="009536D3" w:rsidRDefault="00273926" w:rsidP="009536D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7DB3" w:rsidRDefault="00617DB3" w:rsidP="003501A1">
      <w:r>
        <w:separator/>
      </w:r>
    </w:p>
  </w:footnote>
  <w:footnote w:type="continuationSeparator" w:id="0">
    <w:p w:rsidR="00617DB3" w:rsidRDefault="00617DB3" w:rsidP="003501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3926" w:rsidRPr="009536D3" w:rsidRDefault="00273926" w:rsidP="009536D3">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36D3" w:rsidRDefault="009536D3">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3926" w:rsidRPr="009536D3" w:rsidRDefault="00273926" w:rsidP="009536D3">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275C0"/>
    <w:multiLevelType w:val="hybridMultilevel"/>
    <w:tmpl w:val="1B62CAF6"/>
    <w:lvl w:ilvl="0" w:tplc="EA4A99B2">
      <w:start w:val="1"/>
      <w:numFmt w:val="decimal"/>
      <w:lvlText w:val="(%1)"/>
      <w:lvlJc w:val="left"/>
      <w:pPr>
        <w:ind w:left="1004" w:hanging="360"/>
      </w:pPr>
      <w:rPr>
        <w:rFonts w:cs="Times New Roman" w:hint="default"/>
      </w:rPr>
    </w:lvl>
    <w:lvl w:ilvl="1" w:tplc="041B0019" w:tentative="1">
      <w:start w:val="1"/>
      <w:numFmt w:val="lowerLetter"/>
      <w:lvlText w:val="%2."/>
      <w:lvlJc w:val="left"/>
      <w:pPr>
        <w:ind w:left="1724" w:hanging="360"/>
      </w:pPr>
      <w:rPr>
        <w:rFonts w:cs="Times New Roman"/>
      </w:rPr>
    </w:lvl>
    <w:lvl w:ilvl="2" w:tplc="041B001B" w:tentative="1">
      <w:start w:val="1"/>
      <w:numFmt w:val="lowerRoman"/>
      <w:lvlText w:val="%3."/>
      <w:lvlJc w:val="right"/>
      <w:pPr>
        <w:ind w:left="2444" w:hanging="180"/>
      </w:pPr>
      <w:rPr>
        <w:rFonts w:cs="Times New Roman"/>
      </w:rPr>
    </w:lvl>
    <w:lvl w:ilvl="3" w:tplc="041B000F" w:tentative="1">
      <w:start w:val="1"/>
      <w:numFmt w:val="decimal"/>
      <w:lvlText w:val="%4."/>
      <w:lvlJc w:val="left"/>
      <w:pPr>
        <w:ind w:left="3164" w:hanging="360"/>
      </w:pPr>
      <w:rPr>
        <w:rFonts w:cs="Times New Roman"/>
      </w:rPr>
    </w:lvl>
    <w:lvl w:ilvl="4" w:tplc="041B0019" w:tentative="1">
      <w:start w:val="1"/>
      <w:numFmt w:val="lowerLetter"/>
      <w:lvlText w:val="%5."/>
      <w:lvlJc w:val="left"/>
      <w:pPr>
        <w:ind w:left="3884" w:hanging="360"/>
      </w:pPr>
      <w:rPr>
        <w:rFonts w:cs="Times New Roman"/>
      </w:rPr>
    </w:lvl>
    <w:lvl w:ilvl="5" w:tplc="041B001B" w:tentative="1">
      <w:start w:val="1"/>
      <w:numFmt w:val="lowerRoman"/>
      <w:lvlText w:val="%6."/>
      <w:lvlJc w:val="right"/>
      <w:pPr>
        <w:ind w:left="4604" w:hanging="180"/>
      </w:pPr>
      <w:rPr>
        <w:rFonts w:cs="Times New Roman"/>
      </w:rPr>
    </w:lvl>
    <w:lvl w:ilvl="6" w:tplc="041B000F" w:tentative="1">
      <w:start w:val="1"/>
      <w:numFmt w:val="decimal"/>
      <w:lvlText w:val="%7."/>
      <w:lvlJc w:val="left"/>
      <w:pPr>
        <w:ind w:left="5324" w:hanging="360"/>
      </w:pPr>
      <w:rPr>
        <w:rFonts w:cs="Times New Roman"/>
      </w:rPr>
    </w:lvl>
    <w:lvl w:ilvl="7" w:tplc="041B0019" w:tentative="1">
      <w:start w:val="1"/>
      <w:numFmt w:val="lowerLetter"/>
      <w:lvlText w:val="%8."/>
      <w:lvlJc w:val="left"/>
      <w:pPr>
        <w:ind w:left="6044" w:hanging="360"/>
      </w:pPr>
      <w:rPr>
        <w:rFonts w:cs="Times New Roman"/>
      </w:rPr>
    </w:lvl>
    <w:lvl w:ilvl="8" w:tplc="041B001B" w:tentative="1">
      <w:start w:val="1"/>
      <w:numFmt w:val="lowerRoman"/>
      <w:lvlText w:val="%9."/>
      <w:lvlJc w:val="right"/>
      <w:pPr>
        <w:ind w:left="6764" w:hanging="180"/>
      </w:pPr>
      <w:rPr>
        <w:rFonts w:cs="Times New Roman"/>
      </w:rPr>
    </w:lvl>
  </w:abstractNum>
  <w:abstractNum w:abstractNumId="1" w15:restartNumberingAfterBreak="0">
    <w:nsid w:val="0DCD2AA1"/>
    <w:multiLevelType w:val="hybridMultilevel"/>
    <w:tmpl w:val="4D2CEEFC"/>
    <w:lvl w:ilvl="0" w:tplc="AD2CEA90">
      <w:start w:val="1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15:restartNumberingAfterBreak="0">
    <w:nsid w:val="114B2075"/>
    <w:multiLevelType w:val="hybridMultilevel"/>
    <w:tmpl w:val="B1F80C60"/>
    <w:lvl w:ilvl="0" w:tplc="041B0017">
      <w:start w:val="1"/>
      <w:numFmt w:val="lowerLetter"/>
      <w:lvlText w:val="%1)"/>
      <w:lvlJc w:val="left"/>
      <w:pPr>
        <w:ind w:left="720" w:hanging="360"/>
      </w:pPr>
      <w:rPr>
        <w:rFonts w:cs="Times New Roman" w:hint="default"/>
        <w:b w:val="0"/>
        <w:i w:val="0"/>
        <w:color w:val="auto"/>
        <w:sz w:val="24"/>
        <w:szCs w:val="24"/>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 w15:restartNumberingAfterBreak="0">
    <w:nsid w:val="121276D5"/>
    <w:multiLevelType w:val="hybridMultilevel"/>
    <w:tmpl w:val="8FD08728"/>
    <w:lvl w:ilvl="0" w:tplc="193EE34C">
      <w:numFmt w:val="bullet"/>
      <w:lvlText w:val="-"/>
      <w:lvlJc w:val="left"/>
      <w:pPr>
        <w:tabs>
          <w:tab w:val="num" w:pos="720"/>
        </w:tabs>
        <w:ind w:left="720" w:hanging="360"/>
      </w:pPr>
      <w:rPr>
        <w:rFonts w:ascii="Times New Roman" w:eastAsia="Times New Roman" w:hAnsi="Times New Roman"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AB37F11"/>
    <w:multiLevelType w:val="hybridMultilevel"/>
    <w:tmpl w:val="E99A58A4"/>
    <w:lvl w:ilvl="0" w:tplc="7B422DAA">
      <w:start w:val="1"/>
      <w:numFmt w:val="decimal"/>
      <w:lvlText w:val="%1."/>
      <w:lvlJc w:val="left"/>
      <w:pPr>
        <w:tabs>
          <w:tab w:val="num" w:pos="710"/>
        </w:tabs>
        <w:ind w:left="71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 w15:restartNumberingAfterBreak="0">
    <w:nsid w:val="1E9605CB"/>
    <w:multiLevelType w:val="hybridMultilevel"/>
    <w:tmpl w:val="236C6ED8"/>
    <w:lvl w:ilvl="0" w:tplc="30D6C796">
      <w:numFmt w:val="bullet"/>
      <w:lvlText w:val="–"/>
      <w:lvlJc w:val="left"/>
      <w:pPr>
        <w:tabs>
          <w:tab w:val="num" w:pos="714"/>
        </w:tabs>
        <w:ind w:left="714" w:hanging="357"/>
      </w:pPr>
      <w:rPr>
        <w:rFonts w:ascii="Times New Roman" w:hAnsi="Times New Roman" w:hint="default"/>
      </w:rPr>
    </w:lvl>
    <w:lvl w:ilvl="1" w:tplc="7B422DAA">
      <w:start w:val="1"/>
      <w:numFmt w:val="decimal"/>
      <w:lvlText w:val="%2."/>
      <w:lvlJc w:val="left"/>
      <w:pPr>
        <w:tabs>
          <w:tab w:val="num" w:pos="710"/>
        </w:tabs>
        <w:ind w:left="710"/>
      </w:pPr>
      <w:rPr>
        <w:rFonts w:cs="Times New Roman" w:hint="default"/>
      </w:rPr>
    </w:lvl>
    <w:lvl w:ilvl="2" w:tplc="A54CE54E">
      <w:start w:val="1"/>
      <w:numFmt w:val="decimal"/>
      <w:lvlText w:val="%3."/>
      <w:lvlJc w:val="left"/>
      <w:pPr>
        <w:tabs>
          <w:tab w:val="num" w:pos="2160"/>
        </w:tabs>
        <w:ind w:left="2160" w:hanging="360"/>
      </w:pPr>
      <w:rPr>
        <w:rFonts w:ascii="Times New Roman" w:eastAsia="Times New Roman" w:hAnsi="Times New Roman" w:cs="Times New Roman"/>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77D0DE7"/>
    <w:multiLevelType w:val="hybridMultilevel"/>
    <w:tmpl w:val="35C64144"/>
    <w:lvl w:ilvl="0" w:tplc="BF90727A">
      <w:start w:val="1"/>
      <w:numFmt w:val="bullet"/>
      <w:lvlText w:val=""/>
      <w:lvlJc w:val="left"/>
      <w:pPr>
        <w:ind w:left="360" w:hanging="360"/>
      </w:pPr>
      <w:rPr>
        <w:rFonts w:ascii="Wingdings" w:hAnsi="Wingdings" w:hint="default"/>
      </w:rPr>
    </w:lvl>
    <w:lvl w:ilvl="1" w:tplc="041B0003" w:tentative="1">
      <w:start w:val="1"/>
      <w:numFmt w:val="bullet"/>
      <w:lvlText w:val="o"/>
      <w:lvlJc w:val="left"/>
      <w:pPr>
        <w:ind w:left="1080" w:hanging="360"/>
      </w:pPr>
      <w:rPr>
        <w:rFonts w:ascii="Courier New" w:hAnsi="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7" w15:restartNumberingAfterBreak="0">
    <w:nsid w:val="3A5D3C13"/>
    <w:multiLevelType w:val="hybridMultilevel"/>
    <w:tmpl w:val="B4B047FA"/>
    <w:lvl w:ilvl="0" w:tplc="A9387E30">
      <w:start w:val="1"/>
      <w:numFmt w:val="decimal"/>
      <w:lvlText w:val="%1."/>
      <w:lvlJc w:val="left"/>
      <w:pPr>
        <w:ind w:left="862"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 w15:restartNumberingAfterBreak="0">
    <w:nsid w:val="451F6C06"/>
    <w:multiLevelType w:val="hybridMultilevel"/>
    <w:tmpl w:val="26B4305E"/>
    <w:lvl w:ilvl="0" w:tplc="BF90727A">
      <w:start w:val="1"/>
      <w:numFmt w:val="bullet"/>
      <w:lvlText w:val=""/>
      <w:lvlJc w:val="left"/>
      <w:pPr>
        <w:ind w:left="360" w:hanging="360"/>
      </w:pPr>
      <w:rPr>
        <w:rFonts w:ascii="Wingdings" w:hAnsi="Wingdings" w:hint="default"/>
      </w:rPr>
    </w:lvl>
    <w:lvl w:ilvl="1" w:tplc="041B0003" w:tentative="1">
      <w:start w:val="1"/>
      <w:numFmt w:val="bullet"/>
      <w:lvlText w:val="o"/>
      <w:lvlJc w:val="left"/>
      <w:pPr>
        <w:ind w:left="1080" w:hanging="360"/>
      </w:pPr>
      <w:rPr>
        <w:rFonts w:ascii="Courier New" w:hAnsi="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9" w15:restartNumberingAfterBreak="0">
    <w:nsid w:val="48286E29"/>
    <w:multiLevelType w:val="hybridMultilevel"/>
    <w:tmpl w:val="315CE090"/>
    <w:lvl w:ilvl="0" w:tplc="B922FE22">
      <w:start w:val="1"/>
      <w:numFmt w:val="lowerLetter"/>
      <w:lvlText w:val="%1)"/>
      <w:lvlJc w:val="left"/>
      <w:pPr>
        <w:ind w:left="720" w:hanging="360"/>
      </w:pPr>
      <w:rPr>
        <w:rFonts w:ascii="Times New Roman" w:eastAsia="Times New Roman" w:hAnsi="Times New Roman" w:cs="Times New Roman"/>
        <w:b w:val="0"/>
        <w:i w:val="0"/>
        <w:color w:val="auto"/>
        <w:sz w:val="24"/>
        <w:szCs w:val="24"/>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0" w15:restartNumberingAfterBreak="0">
    <w:nsid w:val="5CF451E0"/>
    <w:multiLevelType w:val="hybridMultilevel"/>
    <w:tmpl w:val="7428C75E"/>
    <w:lvl w:ilvl="0" w:tplc="AB6A704E">
      <w:start w:val="2"/>
      <w:numFmt w:val="decimal"/>
      <w:lvlText w:val="%1."/>
      <w:lvlJc w:val="left"/>
      <w:pPr>
        <w:ind w:left="862"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1" w15:restartNumberingAfterBreak="0">
    <w:nsid w:val="7BDE54EF"/>
    <w:multiLevelType w:val="hybridMultilevel"/>
    <w:tmpl w:val="99B8CFEA"/>
    <w:lvl w:ilvl="0" w:tplc="041B000F">
      <w:start w:val="1"/>
      <w:numFmt w:val="decimal"/>
      <w:lvlText w:val="%1."/>
      <w:lvlJc w:val="left"/>
      <w:pPr>
        <w:ind w:left="862" w:hanging="360"/>
      </w:pPr>
      <w:rPr>
        <w:rFonts w:cs="Times New Roman"/>
      </w:rPr>
    </w:lvl>
    <w:lvl w:ilvl="1" w:tplc="041B0019" w:tentative="1">
      <w:start w:val="1"/>
      <w:numFmt w:val="lowerLetter"/>
      <w:lvlText w:val="%2."/>
      <w:lvlJc w:val="left"/>
      <w:pPr>
        <w:ind w:left="1582" w:hanging="360"/>
      </w:pPr>
      <w:rPr>
        <w:rFonts w:cs="Times New Roman"/>
      </w:rPr>
    </w:lvl>
    <w:lvl w:ilvl="2" w:tplc="041B001B" w:tentative="1">
      <w:start w:val="1"/>
      <w:numFmt w:val="lowerRoman"/>
      <w:lvlText w:val="%3."/>
      <w:lvlJc w:val="right"/>
      <w:pPr>
        <w:ind w:left="2302" w:hanging="180"/>
      </w:pPr>
      <w:rPr>
        <w:rFonts w:cs="Times New Roman"/>
      </w:rPr>
    </w:lvl>
    <w:lvl w:ilvl="3" w:tplc="041B000F" w:tentative="1">
      <w:start w:val="1"/>
      <w:numFmt w:val="decimal"/>
      <w:lvlText w:val="%4."/>
      <w:lvlJc w:val="left"/>
      <w:pPr>
        <w:ind w:left="3022" w:hanging="360"/>
      </w:pPr>
      <w:rPr>
        <w:rFonts w:cs="Times New Roman"/>
      </w:rPr>
    </w:lvl>
    <w:lvl w:ilvl="4" w:tplc="041B0019" w:tentative="1">
      <w:start w:val="1"/>
      <w:numFmt w:val="lowerLetter"/>
      <w:lvlText w:val="%5."/>
      <w:lvlJc w:val="left"/>
      <w:pPr>
        <w:ind w:left="3742" w:hanging="360"/>
      </w:pPr>
      <w:rPr>
        <w:rFonts w:cs="Times New Roman"/>
      </w:rPr>
    </w:lvl>
    <w:lvl w:ilvl="5" w:tplc="041B001B" w:tentative="1">
      <w:start w:val="1"/>
      <w:numFmt w:val="lowerRoman"/>
      <w:lvlText w:val="%6."/>
      <w:lvlJc w:val="right"/>
      <w:pPr>
        <w:ind w:left="4462" w:hanging="180"/>
      </w:pPr>
      <w:rPr>
        <w:rFonts w:cs="Times New Roman"/>
      </w:rPr>
    </w:lvl>
    <w:lvl w:ilvl="6" w:tplc="041B000F" w:tentative="1">
      <w:start w:val="1"/>
      <w:numFmt w:val="decimal"/>
      <w:lvlText w:val="%7."/>
      <w:lvlJc w:val="left"/>
      <w:pPr>
        <w:ind w:left="5182" w:hanging="360"/>
      </w:pPr>
      <w:rPr>
        <w:rFonts w:cs="Times New Roman"/>
      </w:rPr>
    </w:lvl>
    <w:lvl w:ilvl="7" w:tplc="041B0019" w:tentative="1">
      <w:start w:val="1"/>
      <w:numFmt w:val="lowerLetter"/>
      <w:lvlText w:val="%8."/>
      <w:lvlJc w:val="left"/>
      <w:pPr>
        <w:ind w:left="5902" w:hanging="360"/>
      </w:pPr>
      <w:rPr>
        <w:rFonts w:cs="Times New Roman"/>
      </w:rPr>
    </w:lvl>
    <w:lvl w:ilvl="8" w:tplc="041B001B" w:tentative="1">
      <w:start w:val="1"/>
      <w:numFmt w:val="lowerRoman"/>
      <w:lvlText w:val="%9."/>
      <w:lvlJc w:val="right"/>
      <w:pPr>
        <w:ind w:left="6622" w:hanging="180"/>
      </w:pPr>
      <w:rPr>
        <w:rFonts w:cs="Times New Roman"/>
      </w:rPr>
    </w:lvl>
  </w:abstractNum>
  <w:num w:numId="1">
    <w:abstractNumId w:val="11"/>
  </w:num>
  <w:num w:numId="2">
    <w:abstractNumId w:val="8"/>
  </w:num>
  <w:num w:numId="3">
    <w:abstractNumId w:val="6"/>
  </w:num>
  <w:num w:numId="4">
    <w:abstractNumId w:val="3"/>
  </w:num>
  <w:num w:numId="5">
    <w:abstractNumId w:val="1"/>
  </w:num>
  <w:num w:numId="6">
    <w:abstractNumId w:val="0"/>
  </w:num>
  <w:num w:numId="7">
    <w:abstractNumId w:val="9"/>
  </w:num>
  <w:num w:numId="8">
    <w:abstractNumId w:val="2"/>
  </w:num>
  <w:num w:numId="9">
    <w:abstractNumId w:val="5"/>
  </w:num>
  <w:num w:numId="10">
    <w:abstractNumId w:val="4"/>
  </w:num>
  <w:num w:numId="11">
    <w:abstractNumId w:val="7"/>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5A86"/>
    <w:rsid w:val="00003176"/>
    <w:rsid w:val="00007B08"/>
    <w:rsid w:val="00024922"/>
    <w:rsid w:val="00042C66"/>
    <w:rsid w:val="00044145"/>
    <w:rsid w:val="000561E7"/>
    <w:rsid w:val="000652B4"/>
    <w:rsid w:val="00070F13"/>
    <w:rsid w:val="00071C71"/>
    <w:rsid w:val="0008228A"/>
    <w:rsid w:val="00093DB8"/>
    <w:rsid w:val="000A15AE"/>
    <w:rsid w:val="000B4CC7"/>
    <w:rsid w:val="000C2BA2"/>
    <w:rsid w:val="000D2480"/>
    <w:rsid w:val="000D2622"/>
    <w:rsid w:val="000E6B82"/>
    <w:rsid w:val="000F08D1"/>
    <w:rsid w:val="0011108E"/>
    <w:rsid w:val="001116C3"/>
    <w:rsid w:val="001154A0"/>
    <w:rsid w:val="001218DA"/>
    <w:rsid w:val="0012688C"/>
    <w:rsid w:val="00127DAC"/>
    <w:rsid w:val="00131967"/>
    <w:rsid w:val="00154881"/>
    <w:rsid w:val="001568DC"/>
    <w:rsid w:val="0016424B"/>
    <w:rsid w:val="00172A0B"/>
    <w:rsid w:val="00173239"/>
    <w:rsid w:val="00175278"/>
    <w:rsid w:val="00175FD8"/>
    <w:rsid w:val="00177837"/>
    <w:rsid w:val="001805D5"/>
    <w:rsid w:val="001948E8"/>
    <w:rsid w:val="001B0270"/>
    <w:rsid w:val="001B535B"/>
    <w:rsid w:val="001C0501"/>
    <w:rsid w:val="001C1164"/>
    <w:rsid w:val="001C5B3D"/>
    <w:rsid w:val="001C6800"/>
    <w:rsid w:val="001C717C"/>
    <w:rsid w:val="001D193B"/>
    <w:rsid w:val="001E7BC9"/>
    <w:rsid w:val="002006B8"/>
    <w:rsid w:val="0020090F"/>
    <w:rsid w:val="00203251"/>
    <w:rsid w:val="00206857"/>
    <w:rsid w:val="00212894"/>
    <w:rsid w:val="00217A80"/>
    <w:rsid w:val="00232DB2"/>
    <w:rsid w:val="002408A6"/>
    <w:rsid w:val="002459F4"/>
    <w:rsid w:val="00247B0F"/>
    <w:rsid w:val="0026559D"/>
    <w:rsid w:val="00267061"/>
    <w:rsid w:val="00273926"/>
    <w:rsid w:val="0027710C"/>
    <w:rsid w:val="0028051E"/>
    <w:rsid w:val="00280725"/>
    <w:rsid w:val="00284B78"/>
    <w:rsid w:val="00293AF0"/>
    <w:rsid w:val="002B4917"/>
    <w:rsid w:val="002C3C8C"/>
    <w:rsid w:val="002D0E2E"/>
    <w:rsid w:val="002E32C0"/>
    <w:rsid w:val="002E6651"/>
    <w:rsid w:val="002F5A61"/>
    <w:rsid w:val="003057F2"/>
    <w:rsid w:val="00313FAE"/>
    <w:rsid w:val="00325B3B"/>
    <w:rsid w:val="0034062E"/>
    <w:rsid w:val="003416FC"/>
    <w:rsid w:val="00342A7B"/>
    <w:rsid w:val="0034529D"/>
    <w:rsid w:val="003501A1"/>
    <w:rsid w:val="00352436"/>
    <w:rsid w:val="0037414F"/>
    <w:rsid w:val="00380E7C"/>
    <w:rsid w:val="003820A7"/>
    <w:rsid w:val="00382176"/>
    <w:rsid w:val="003830D2"/>
    <w:rsid w:val="00387B58"/>
    <w:rsid w:val="003909D0"/>
    <w:rsid w:val="00391250"/>
    <w:rsid w:val="00391874"/>
    <w:rsid w:val="00395098"/>
    <w:rsid w:val="003A17B2"/>
    <w:rsid w:val="003A2A4C"/>
    <w:rsid w:val="003B23C7"/>
    <w:rsid w:val="003B7DC1"/>
    <w:rsid w:val="003C2F22"/>
    <w:rsid w:val="003C6022"/>
    <w:rsid w:val="003C73AF"/>
    <w:rsid w:val="003E25A3"/>
    <w:rsid w:val="003E3AE2"/>
    <w:rsid w:val="003E5014"/>
    <w:rsid w:val="00405D62"/>
    <w:rsid w:val="00412F8C"/>
    <w:rsid w:val="004228B7"/>
    <w:rsid w:val="00422A64"/>
    <w:rsid w:val="0042399B"/>
    <w:rsid w:val="00426DDB"/>
    <w:rsid w:val="004338FB"/>
    <w:rsid w:val="00436504"/>
    <w:rsid w:val="00441C35"/>
    <w:rsid w:val="0044609A"/>
    <w:rsid w:val="0045160C"/>
    <w:rsid w:val="004719D5"/>
    <w:rsid w:val="00471BAE"/>
    <w:rsid w:val="00493ABA"/>
    <w:rsid w:val="00496422"/>
    <w:rsid w:val="004A6DD5"/>
    <w:rsid w:val="004A7550"/>
    <w:rsid w:val="004B7DAC"/>
    <w:rsid w:val="004C60B8"/>
    <w:rsid w:val="004C794A"/>
    <w:rsid w:val="004D1B26"/>
    <w:rsid w:val="004D514E"/>
    <w:rsid w:val="004F14EE"/>
    <w:rsid w:val="004F1601"/>
    <w:rsid w:val="004F2417"/>
    <w:rsid w:val="004F38C0"/>
    <w:rsid w:val="004F6F1F"/>
    <w:rsid w:val="005226B5"/>
    <w:rsid w:val="00540785"/>
    <w:rsid w:val="00560FAF"/>
    <w:rsid w:val="00564FFB"/>
    <w:rsid w:val="00567878"/>
    <w:rsid w:val="0057589E"/>
    <w:rsid w:val="00581ED1"/>
    <w:rsid w:val="00582BEE"/>
    <w:rsid w:val="005837EF"/>
    <w:rsid w:val="00586944"/>
    <w:rsid w:val="005A3569"/>
    <w:rsid w:val="005B7A8D"/>
    <w:rsid w:val="005C248C"/>
    <w:rsid w:val="005C4B9C"/>
    <w:rsid w:val="005D17CE"/>
    <w:rsid w:val="005D70DB"/>
    <w:rsid w:val="005E282F"/>
    <w:rsid w:val="005E63DB"/>
    <w:rsid w:val="005F777C"/>
    <w:rsid w:val="005F7B3F"/>
    <w:rsid w:val="0060497B"/>
    <w:rsid w:val="00607B9E"/>
    <w:rsid w:val="00612CEF"/>
    <w:rsid w:val="00617DB3"/>
    <w:rsid w:val="00621C84"/>
    <w:rsid w:val="00632908"/>
    <w:rsid w:val="00635E94"/>
    <w:rsid w:val="00643E65"/>
    <w:rsid w:val="00644BD4"/>
    <w:rsid w:val="00646B9C"/>
    <w:rsid w:val="00653ADA"/>
    <w:rsid w:val="00665804"/>
    <w:rsid w:val="00671503"/>
    <w:rsid w:val="006A701A"/>
    <w:rsid w:val="006A7932"/>
    <w:rsid w:val="006B0C29"/>
    <w:rsid w:val="006B1C13"/>
    <w:rsid w:val="006B7728"/>
    <w:rsid w:val="006C2C4E"/>
    <w:rsid w:val="006C3917"/>
    <w:rsid w:val="006C3B7D"/>
    <w:rsid w:val="006C5845"/>
    <w:rsid w:val="006C5A89"/>
    <w:rsid w:val="006D038E"/>
    <w:rsid w:val="006E0486"/>
    <w:rsid w:val="006E0976"/>
    <w:rsid w:val="006F5CBD"/>
    <w:rsid w:val="006F5CBE"/>
    <w:rsid w:val="00705BEF"/>
    <w:rsid w:val="00715E97"/>
    <w:rsid w:val="007301BC"/>
    <w:rsid w:val="00737CC1"/>
    <w:rsid w:val="007416F9"/>
    <w:rsid w:val="00742FBF"/>
    <w:rsid w:val="007438E2"/>
    <w:rsid w:val="007507DD"/>
    <w:rsid w:val="007544F1"/>
    <w:rsid w:val="007625B8"/>
    <w:rsid w:val="007674EB"/>
    <w:rsid w:val="00776BA8"/>
    <w:rsid w:val="00784760"/>
    <w:rsid w:val="00787DAB"/>
    <w:rsid w:val="00790686"/>
    <w:rsid w:val="007927AE"/>
    <w:rsid w:val="00794976"/>
    <w:rsid w:val="007A4926"/>
    <w:rsid w:val="007B3499"/>
    <w:rsid w:val="007B52B4"/>
    <w:rsid w:val="007C2EBF"/>
    <w:rsid w:val="007C389E"/>
    <w:rsid w:val="007C521E"/>
    <w:rsid w:val="007C741B"/>
    <w:rsid w:val="007D45BA"/>
    <w:rsid w:val="007D5748"/>
    <w:rsid w:val="007E070E"/>
    <w:rsid w:val="007E6BF5"/>
    <w:rsid w:val="007F21E8"/>
    <w:rsid w:val="008105B8"/>
    <w:rsid w:val="0081159A"/>
    <w:rsid w:val="0081260B"/>
    <w:rsid w:val="008160E0"/>
    <w:rsid w:val="00830390"/>
    <w:rsid w:val="00832057"/>
    <w:rsid w:val="008331DD"/>
    <w:rsid w:val="00836AEB"/>
    <w:rsid w:val="0083744A"/>
    <w:rsid w:val="008518DE"/>
    <w:rsid w:val="008522E7"/>
    <w:rsid w:val="00853E89"/>
    <w:rsid w:val="00860DC0"/>
    <w:rsid w:val="00861893"/>
    <w:rsid w:val="00863CF2"/>
    <w:rsid w:val="008652D2"/>
    <w:rsid w:val="00874D9B"/>
    <w:rsid w:val="00886A05"/>
    <w:rsid w:val="008908F6"/>
    <w:rsid w:val="008A1252"/>
    <w:rsid w:val="008B11CC"/>
    <w:rsid w:val="008C41CB"/>
    <w:rsid w:val="008D26FA"/>
    <w:rsid w:val="008D339D"/>
    <w:rsid w:val="008D4418"/>
    <w:rsid w:val="008E47AC"/>
    <w:rsid w:val="008F4FAD"/>
    <w:rsid w:val="00906805"/>
    <w:rsid w:val="00914734"/>
    <w:rsid w:val="00914A05"/>
    <w:rsid w:val="009236F1"/>
    <w:rsid w:val="00931A8F"/>
    <w:rsid w:val="009351CD"/>
    <w:rsid w:val="0093657E"/>
    <w:rsid w:val="00950AB4"/>
    <w:rsid w:val="009536D3"/>
    <w:rsid w:val="009634B3"/>
    <w:rsid w:val="0097351B"/>
    <w:rsid w:val="00976555"/>
    <w:rsid w:val="00993ABC"/>
    <w:rsid w:val="009C6FDF"/>
    <w:rsid w:val="009D099F"/>
    <w:rsid w:val="009D1262"/>
    <w:rsid w:val="009D18FA"/>
    <w:rsid w:val="009E2D88"/>
    <w:rsid w:val="00A0533B"/>
    <w:rsid w:val="00A115B5"/>
    <w:rsid w:val="00A179AE"/>
    <w:rsid w:val="00A20276"/>
    <w:rsid w:val="00A20F49"/>
    <w:rsid w:val="00A23FD1"/>
    <w:rsid w:val="00A257A1"/>
    <w:rsid w:val="00A3128F"/>
    <w:rsid w:val="00A31AF1"/>
    <w:rsid w:val="00A35EF2"/>
    <w:rsid w:val="00A35FCE"/>
    <w:rsid w:val="00A36ECD"/>
    <w:rsid w:val="00A4312E"/>
    <w:rsid w:val="00A56CAD"/>
    <w:rsid w:val="00A653A8"/>
    <w:rsid w:val="00A83CE8"/>
    <w:rsid w:val="00A85C27"/>
    <w:rsid w:val="00AA5757"/>
    <w:rsid w:val="00AB4931"/>
    <w:rsid w:val="00AC2776"/>
    <w:rsid w:val="00AC587C"/>
    <w:rsid w:val="00AD6B4B"/>
    <w:rsid w:val="00AF0191"/>
    <w:rsid w:val="00AF2C8B"/>
    <w:rsid w:val="00AF3F01"/>
    <w:rsid w:val="00AF6F7C"/>
    <w:rsid w:val="00B02F85"/>
    <w:rsid w:val="00B03634"/>
    <w:rsid w:val="00B06C60"/>
    <w:rsid w:val="00B13766"/>
    <w:rsid w:val="00B27A38"/>
    <w:rsid w:val="00B31E11"/>
    <w:rsid w:val="00B33E7C"/>
    <w:rsid w:val="00B35133"/>
    <w:rsid w:val="00B369C3"/>
    <w:rsid w:val="00B40E47"/>
    <w:rsid w:val="00B47750"/>
    <w:rsid w:val="00B53CF8"/>
    <w:rsid w:val="00B5493F"/>
    <w:rsid w:val="00B552F4"/>
    <w:rsid w:val="00B6314D"/>
    <w:rsid w:val="00B65A86"/>
    <w:rsid w:val="00B91B1F"/>
    <w:rsid w:val="00B958F4"/>
    <w:rsid w:val="00B962B5"/>
    <w:rsid w:val="00B96F96"/>
    <w:rsid w:val="00BC3F8D"/>
    <w:rsid w:val="00BC4DE9"/>
    <w:rsid w:val="00BC7C08"/>
    <w:rsid w:val="00BE5310"/>
    <w:rsid w:val="00BF3078"/>
    <w:rsid w:val="00C01F81"/>
    <w:rsid w:val="00C05391"/>
    <w:rsid w:val="00C12EC8"/>
    <w:rsid w:val="00C13D98"/>
    <w:rsid w:val="00C14DB7"/>
    <w:rsid w:val="00C202BA"/>
    <w:rsid w:val="00C34A6C"/>
    <w:rsid w:val="00C34D70"/>
    <w:rsid w:val="00C35423"/>
    <w:rsid w:val="00C427C9"/>
    <w:rsid w:val="00C439EB"/>
    <w:rsid w:val="00C57F0C"/>
    <w:rsid w:val="00C61B8B"/>
    <w:rsid w:val="00C6736E"/>
    <w:rsid w:val="00C80835"/>
    <w:rsid w:val="00C85F56"/>
    <w:rsid w:val="00C867F9"/>
    <w:rsid w:val="00CA2484"/>
    <w:rsid w:val="00CA5FE1"/>
    <w:rsid w:val="00CB3623"/>
    <w:rsid w:val="00CD4982"/>
    <w:rsid w:val="00CF061C"/>
    <w:rsid w:val="00CF6F77"/>
    <w:rsid w:val="00CF7BA1"/>
    <w:rsid w:val="00D110A2"/>
    <w:rsid w:val="00D1371F"/>
    <w:rsid w:val="00D13B6F"/>
    <w:rsid w:val="00D30B09"/>
    <w:rsid w:val="00D31A0C"/>
    <w:rsid w:val="00D3336B"/>
    <w:rsid w:val="00D351A1"/>
    <w:rsid w:val="00D40753"/>
    <w:rsid w:val="00D578AA"/>
    <w:rsid w:val="00D663CA"/>
    <w:rsid w:val="00D744BD"/>
    <w:rsid w:val="00D75D35"/>
    <w:rsid w:val="00D818C6"/>
    <w:rsid w:val="00D860CD"/>
    <w:rsid w:val="00D95A47"/>
    <w:rsid w:val="00D97D5B"/>
    <w:rsid w:val="00DA1BB5"/>
    <w:rsid w:val="00DA5B56"/>
    <w:rsid w:val="00DB1750"/>
    <w:rsid w:val="00DB6C1F"/>
    <w:rsid w:val="00DC1940"/>
    <w:rsid w:val="00DD27C9"/>
    <w:rsid w:val="00DE2A12"/>
    <w:rsid w:val="00DF3095"/>
    <w:rsid w:val="00DF6071"/>
    <w:rsid w:val="00DF6683"/>
    <w:rsid w:val="00E0379A"/>
    <w:rsid w:val="00E14CC6"/>
    <w:rsid w:val="00E17D7B"/>
    <w:rsid w:val="00E20632"/>
    <w:rsid w:val="00E26C35"/>
    <w:rsid w:val="00E463A5"/>
    <w:rsid w:val="00E62AAB"/>
    <w:rsid w:val="00E6564F"/>
    <w:rsid w:val="00E71C07"/>
    <w:rsid w:val="00E7434D"/>
    <w:rsid w:val="00E77C26"/>
    <w:rsid w:val="00E77F12"/>
    <w:rsid w:val="00E94DA4"/>
    <w:rsid w:val="00EA26B2"/>
    <w:rsid w:val="00EA4D22"/>
    <w:rsid w:val="00EB3D7F"/>
    <w:rsid w:val="00EB578F"/>
    <w:rsid w:val="00EB59C8"/>
    <w:rsid w:val="00EB59E3"/>
    <w:rsid w:val="00ED65F5"/>
    <w:rsid w:val="00EF400B"/>
    <w:rsid w:val="00F002E7"/>
    <w:rsid w:val="00F04CCD"/>
    <w:rsid w:val="00F066D1"/>
    <w:rsid w:val="00F137B1"/>
    <w:rsid w:val="00F13F54"/>
    <w:rsid w:val="00F17D5F"/>
    <w:rsid w:val="00F22831"/>
    <w:rsid w:val="00F31F59"/>
    <w:rsid w:val="00F322A6"/>
    <w:rsid w:val="00F41EEA"/>
    <w:rsid w:val="00F42D96"/>
    <w:rsid w:val="00F5316D"/>
    <w:rsid w:val="00F57FC1"/>
    <w:rsid w:val="00F62771"/>
    <w:rsid w:val="00F700A7"/>
    <w:rsid w:val="00F709DA"/>
    <w:rsid w:val="00F70ADC"/>
    <w:rsid w:val="00F73224"/>
    <w:rsid w:val="00F73F4D"/>
    <w:rsid w:val="00F75D0E"/>
    <w:rsid w:val="00F86A6E"/>
    <w:rsid w:val="00F934F3"/>
    <w:rsid w:val="00F972A5"/>
    <w:rsid w:val="00FC7E39"/>
    <w:rsid w:val="00FE36A8"/>
    <w:rsid w:val="00FE5A0F"/>
    <w:rsid w:val="00FF3549"/>
    <w:rsid w:val="00FF7AB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sz w:val="22"/>
        <w:szCs w:val="22"/>
        <w:lang w:val="sk-SK" w:eastAsia="sk-SK"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locked="1" w:uiPriority="0"/>
    <w:lsdException w:name="List 4" w:locked="1" w:uiPriority="0"/>
    <w:lsdException w:name="List 5" w:locked="1" w:uiPriority="0"/>
    <w:lsdException w:name="Title" w:locked="1" w:uiPriority="0" w:qFormat="1"/>
    <w:lsdException w:name="Default Paragraph Font" w:locked="1" w:uiPriority="0"/>
    <w:lsdException w:name="Subtitle" w:locked="1" w:uiPriority="0" w:qFormat="1"/>
    <w:lsdException w:name="Salutation" w:locked="1" w:uiPriority="0"/>
    <w:lsdException w:name="Date" w:locked="1" w:uiPriority="0"/>
    <w:lsdException w:name="Body Text First Indent" w:locked="1" w:uiPriority="0"/>
    <w:lsdException w:name="Strong" w:locked="1" w:uiPriority="0"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3501A1"/>
    <w:pPr>
      <w:spacing w:after="0" w:line="240" w:lineRule="auto"/>
    </w:pPr>
    <w:rPr>
      <w:rFonts w:ascii="Times New Roman" w:hAnsi="Times New Roman" w:cs="Times New Roman"/>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99"/>
    <w:rsid w:val="003501A1"/>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ekzoznamu">
    <w:name w:val="List Paragraph"/>
    <w:basedOn w:val="Normlny"/>
    <w:uiPriority w:val="99"/>
    <w:qFormat/>
    <w:rsid w:val="003501A1"/>
    <w:pPr>
      <w:spacing w:after="200" w:line="276" w:lineRule="auto"/>
      <w:ind w:left="720"/>
      <w:contextualSpacing/>
    </w:pPr>
    <w:rPr>
      <w:rFonts w:ascii="Calibri" w:hAnsi="Calibri"/>
      <w:sz w:val="22"/>
      <w:szCs w:val="22"/>
      <w:lang w:eastAsia="en-US"/>
    </w:rPr>
  </w:style>
  <w:style w:type="paragraph" w:styleId="Textbubliny">
    <w:name w:val="Balloon Text"/>
    <w:basedOn w:val="Normlny"/>
    <w:link w:val="TextbublinyChar"/>
    <w:uiPriority w:val="99"/>
    <w:semiHidden/>
    <w:rsid w:val="003501A1"/>
    <w:rPr>
      <w:rFonts w:ascii="Tahoma" w:hAnsi="Tahoma" w:cs="Tahoma"/>
      <w:sz w:val="16"/>
      <w:szCs w:val="16"/>
    </w:rPr>
  </w:style>
  <w:style w:type="character" w:customStyle="1" w:styleId="TextbublinyChar">
    <w:name w:val="Text bubliny Char"/>
    <w:basedOn w:val="Predvolenpsmoodseku"/>
    <w:link w:val="Textbubliny"/>
    <w:uiPriority w:val="99"/>
    <w:semiHidden/>
    <w:locked/>
    <w:rsid w:val="003501A1"/>
    <w:rPr>
      <w:rFonts w:ascii="Tahoma" w:hAnsi="Tahoma" w:cs="Tahoma"/>
      <w:sz w:val="16"/>
      <w:szCs w:val="16"/>
      <w:lang w:val="x-none" w:eastAsia="sk-SK"/>
    </w:rPr>
  </w:style>
  <w:style w:type="paragraph" w:styleId="Hlavika">
    <w:name w:val="header"/>
    <w:basedOn w:val="Normlny"/>
    <w:link w:val="HlavikaChar"/>
    <w:uiPriority w:val="99"/>
    <w:rsid w:val="003501A1"/>
    <w:pPr>
      <w:tabs>
        <w:tab w:val="center" w:pos="4536"/>
        <w:tab w:val="right" w:pos="9072"/>
      </w:tabs>
    </w:pPr>
  </w:style>
  <w:style w:type="character" w:customStyle="1" w:styleId="HlavikaChar">
    <w:name w:val="Hlavička Char"/>
    <w:basedOn w:val="Predvolenpsmoodseku"/>
    <w:link w:val="Hlavika"/>
    <w:uiPriority w:val="99"/>
    <w:locked/>
    <w:rsid w:val="003501A1"/>
    <w:rPr>
      <w:rFonts w:ascii="Times New Roman" w:hAnsi="Times New Roman" w:cs="Times New Roman"/>
      <w:sz w:val="20"/>
      <w:szCs w:val="20"/>
      <w:lang w:val="x-none" w:eastAsia="sk-SK"/>
    </w:rPr>
  </w:style>
  <w:style w:type="paragraph" w:styleId="Pta">
    <w:name w:val="footer"/>
    <w:basedOn w:val="Normlny"/>
    <w:link w:val="PtaChar"/>
    <w:uiPriority w:val="99"/>
    <w:rsid w:val="003501A1"/>
    <w:pPr>
      <w:tabs>
        <w:tab w:val="center" w:pos="4536"/>
        <w:tab w:val="right" w:pos="9072"/>
      </w:tabs>
    </w:pPr>
  </w:style>
  <w:style w:type="character" w:customStyle="1" w:styleId="PtaChar">
    <w:name w:val="Päta Char"/>
    <w:basedOn w:val="Predvolenpsmoodseku"/>
    <w:link w:val="Pta"/>
    <w:uiPriority w:val="99"/>
    <w:locked/>
    <w:rsid w:val="003501A1"/>
    <w:rPr>
      <w:rFonts w:ascii="Times New Roman" w:hAnsi="Times New Roman" w:cs="Times New Roman"/>
      <w:sz w:val="20"/>
      <w:szCs w:val="20"/>
      <w:lang w:val="x-none" w:eastAsia="sk-SK"/>
    </w:rPr>
  </w:style>
  <w:style w:type="paragraph" w:styleId="Textpoznmkypodiarou">
    <w:name w:val="footnote text"/>
    <w:basedOn w:val="Normlny"/>
    <w:link w:val="TextpoznmkypodiarouChar"/>
    <w:uiPriority w:val="99"/>
    <w:semiHidden/>
    <w:rsid w:val="00F22831"/>
  </w:style>
  <w:style w:type="character" w:customStyle="1" w:styleId="TextpoznmkypodiarouChar">
    <w:name w:val="Text poznámky pod čiarou Char"/>
    <w:basedOn w:val="Predvolenpsmoodseku"/>
    <w:link w:val="Textpoznmkypodiarou"/>
    <w:uiPriority w:val="99"/>
    <w:semiHidden/>
    <w:locked/>
    <w:rsid w:val="00F22831"/>
    <w:rPr>
      <w:rFonts w:ascii="Times New Roman" w:hAnsi="Times New Roman" w:cs="Times New Roman"/>
      <w:sz w:val="20"/>
      <w:szCs w:val="20"/>
      <w:lang w:val="x-none" w:eastAsia="sk-SK"/>
    </w:rPr>
  </w:style>
  <w:style w:type="character" w:styleId="Odkaznapoznmkupodiarou">
    <w:name w:val="footnote reference"/>
    <w:basedOn w:val="Predvolenpsmoodseku"/>
    <w:uiPriority w:val="99"/>
    <w:semiHidden/>
    <w:rsid w:val="00F22831"/>
    <w:rPr>
      <w:rFonts w:cs="Times New Roman"/>
      <w:vertAlign w:val="superscript"/>
    </w:rPr>
  </w:style>
  <w:style w:type="character" w:styleId="Odkaznakomentr">
    <w:name w:val="annotation reference"/>
    <w:basedOn w:val="Predvolenpsmoodseku"/>
    <w:uiPriority w:val="99"/>
    <w:semiHidden/>
    <w:rsid w:val="00175FD8"/>
    <w:rPr>
      <w:rFonts w:cs="Times New Roman"/>
      <w:sz w:val="16"/>
      <w:szCs w:val="16"/>
    </w:rPr>
  </w:style>
  <w:style w:type="paragraph" w:styleId="Textkomentra">
    <w:name w:val="annotation text"/>
    <w:basedOn w:val="Normlny"/>
    <w:link w:val="TextkomentraChar"/>
    <w:uiPriority w:val="99"/>
    <w:semiHidden/>
    <w:rsid w:val="00175FD8"/>
  </w:style>
  <w:style w:type="character" w:customStyle="1" w:styleId="TextkomentraChar">
    <w:name w:val="Text komentára Char"/>
    <w:basedOn w:val="Predvolenpsmoodseku"/>
    <w:link w:val="Textkomentra"/>
    <w:uiPriority w:val="99"/>
    <w:semiHidden/>
    <w:locked/>
    <w:rsid w:val="00175FD8"/>
    <w:rPr>
      <w:rFonts w:ascii="Times New Roman" w:hAnsi="Times New Roman" w:cs="Times New Roman"/>
      <w:sz w:val="20"/>
      <w:szCs w:val="20"/>
      <w:lang w:val="x-none" w:eastAsia="sk-SK"/>
    </w:rPr>
  </w:style>
  <w:style w:type="paragraph" w:styleId="Predmetkomentra">
    <w:name w:val="annotation subject"/>
    <w:basedOn w:val="Textkomentra"/>
    <w:next w:val="Textkomentra"/>
    <w:link w:val="PredmetkomentraChar"/>
    <w:uiPriority w:val="99"/>
    <w:semiHidden/>
    <w:rsid w:val="00175FD8"/>
    <w:rPr>
      <w:b/>
      <w:bCs/>
    </w:rPr>
  </w:style>
  <w:style w:type="character" w:customStyle="1" w:styleId="PredmetkomentraChar">
    <w:name w:val="Predmet komentára Char"/>
    <w:basedOn w:val="TextkomentraChar"/>
    <w:link w:val="Predmetkomentra"/>
    <w:uiPriority w:val="99"/>
    <w:semiHidden/>
    <w:locked/>
    <w:rsid w:val="00175FD8"/>
    <w:rPr>
      <w:rFonts w:ascii="Times New Roman" w:hAnsi="Times New Roman" w:cs="Times New Roman"/>
      <w:b/>
      <w:bCs/>
      <w:sz w:val="20"/>
      <w:szCs w:val="20"/>
      <w:lang w:val="x-none" w:eastAsia="sk-SK"/>
    </w:rPr>
  </w:style>
  <w:style w:type="character" w:styleId="Zstupntext">
    <w:name w:val="Placeholder Text"/>
    <w:basedOn w:val="Predvolenpsmoodseku"/>
    <w:uiPriority w:val="99"/>
    <w:semiHidden/>
    <w:rsid w:val="00564FFB"/>
    <w:rPr>
      <w:rFonts w:ascii="Times New Roman" w:hAnsi="Times New Roman" w:cs="Times New Roman"/>
      <w:color w:val="808080"/>
    </w:rPr>
  </w:style>
  <w:style w:type="character" w:styleId="slostrany">
    <w:name w:val="page number"/>
    <w:basedOn w:val="Predvolenpsmoodseku"/>
    <w:uiPriority w:val="99"/>
    <w:rsid w:val="008D26FA"/>
    <w:rPr>
      <w:rFonts w:cs="Times New Roman"/>
    </w:rPr>
  </w:style>
  <w:style w:type="character" w:customStyle="1" w:styleId="spanr">
    <w:name w:val="span_r"/>
    <w:uiPriority w:val="99"/>
    <w:rsid w:val="00D3336B"/>
  </w:style>
  <w:style w:type="character" w:styleId="Hypertextovprepojenie">
    <w:name w:val="Hyperlink"/>
    <w:basedOn w:val="Predvolenpsmoodseku"/>
    <w:uiPriority w:val="99"/>
    <w:rsid w:val="003416FC"/>
    <w:rPr>
      <w:rFonts w:cs="Times New Roman"/>
      <w:color w:val="0000FF"/>
      <w:u w:val="single"/>
    </w:rPr>
  </w:style>
  <w:style w:type="character" w:customStyle="1" w:styleId="PlaceholderText1">
    <w:name w:val="Placeholder Text1"/>
    <w:uiPriority w:val="99"/>
    <w:semiHidden/>
    <w:rsid w:val="000D2480"/>
    <w:rPr>
      <w:rFonts w:ascii="Times New Roman" w:hAnsi="Times New Roman"/>
      <w:color w:val="808080"/>
    </w:rPr>
  </w:style>
  <w:style w:type="paragraph" w:styleId="Normlnywebov">
    <w:name w:val="Normal (Web)"/>
    <w:basedOn w:val="Normlny"/>
    <w:uiPriority w:val="99"/>
    <w:unhideWhenUsed/>
    <w:rsid w:val="006C5845"/>
    <w:pPr>
      <w:spacing w:before="100" w:beforeAutospacing="1" w:after="100" w:afterAutospacing="1"/>
    </w:pPr>
    <w:rPr>
      <w:sz w:val="24"/>
      <w:szCs w:val="24"/>
    </w:rPr>
  </w:style>
  <w:style w:type="table" w:customStyle="1" w:styleId="tl">
    <w:name w:val="Štýl"/>
    <w:basedOn w:val="Normlnatabuka"/>
    <w:rsid w:val="00B6314D"/>
    <w:pPr>
      <w:spacing w:after="0" w:line="240" w:lineRule="auto"/>
    </w:pPr>
    <w:rPr>
      <w:rFonts w:ascii="Times New Roman" w:hAnsi="Times New Roman" w:cs="Times New Roman"/>
      <w:sz w:val="20"/>
      <w:szCs w:val="20"/>
    </w:rPr>
    <w:tblPr>
      <w:tblStyleRowBandSize w:val="1"/>
      <w:tblStyleColBandSize w:val="1"/>
    </w:tblPr>
  </w:style>
  <w:style w:type="table" w:customStyle="1" w:styleId="tl5">
    <w:name w:val="Štýl5"/>
    <w:basedOn w:val="Normlnatabuka"/>
    <w:rsid w:val="00B6314D"/>
    <w:pPr>
      <w:spacing w:after="0" w:line="240" w:lineRule="auto"/>
    </w:pPr>
    <w:rPr>
      <w:rFonts w:ascii="Times New Roman" w:hAnsi="Times New Roman" w:cs="Times New Roman"/>
      <w:sz w:val="20"/>
      <w:szCs w:val="20"/>
    </w:rPr>
    <w:tblPr>
      <w:tblStyleRowBandSize w:val="1"/>
      <w:tblStyleColBandSize w:val="1"/>
    </w:tblPr>
  </w:style>
  <w:style w:type="table" w:customStyle="1" w:styleId="tl4">
    <w:name w:val="Štýl4"/>
    <w:basedOn w:val="Normlnatabuka"/>
    <w:rsid w:val="00B6314D"/>
    <w:pPr>
      <w:spacing w:after="0" w:line="240" w:lineRule="auto"/>
    </w:pPr>
    <w:rPr>
      <w:rFonts w:ascii="Times New Roman" w:hAnsi="Times New Roman" w:cs="Times New Roman"/>
      <w:sz w:val="20"/>
      <w:szCs w:val="20"/>
    </w:r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1442942">
      <w:marLeft w:val="0"/>
      <w:marRight w:val="0"/>
      <w:marTop w:val="0"/>
      <w:marBottom w:val="0"/>
      <w:divBdr>
        <w:top w:val="none" w:sz="0" w:space="0" w:color="auto"/>
        <w:left w:val="none" w:sz="0" w:space="0" w:color="auto"/>
        <w:bottom w:val="none" w:sz="0" w:space="0" w:color="auto"/>
        <w:right w:val="none" w:sz="0" w:space="0" w:color="auto"/>
      </w:divBdr>
    </w:div>
    <w:div w:id="1331442943">
      <w:marLeft w:val="0"/>
      <w:marRight w:val="0"/>
      <w:marTop w:val="0"/>
      <w:marBottom w:val="0"/>
      <w:divBdr>
        <w:top w:val="none" w:sz="0" w:space="0" w:color="auto"/>
        <w:left w:val="none" w:sz="0" w:space="0" w:color="auto"/>
        <w:bottom w:val="none" w:sz="0" w:space="0" w:color="auto"/>
        <w:right w:val="none" w:sz="0" w:space="0" w:color="auto"/>
      </w:divBdr>
    </w:div>
    <w:div w:id="133144294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europa.eu/health/tobacco/tracking_tracing_system_en"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robert.ochaba@uvzsr.sk"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2156</Words>
  <Characters>12290</Characters>
  <Application>Microsoft Office Word</Application>
  <DocSecurity>0</DocSecurity>
  <Lines>102</Lines>
  <Paragraphs>28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14418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2018-11-29T09:37:00Z</dcterms:created>
  <dcterms:modified xsi:type="dcterms:W3CDTF">2018-11-29T12:44:00Z</dcterms:modified>
</cp:coreProperties>
</file>