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RDefault="004E1E66" w:rsidP="004E1E66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RDefault="00CD49BD" w:rsidP="004E1E66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09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4E1E66" w:rsidRPr="004E1E66" w:rsidRDefault="004E1E66" w:rsidP="004E1E66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</w:t>
      </w:r>
      <w:r w:rsidR="004B0ED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ústavného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zákona, ktorým sa mení </w:t>
      </w:r>
      <w:r w:rsidR="000E26F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dopĺňa </w:t>
      </w:r>
      <w:r w:rsidR="004B0ED4" w:rsidRPr="004B0ED4">
        <w:rPr>
          <w:rFonts w:ascii="Book Antiqua" w:hAnsi="Book Antiqua"/>
          <w:color w:val="000000"/>
          <w:kern w:val="0"/>
          <w:sz w:val="22"/>
          <w:szCs w:val="22"/>
          <w:lang w:bidi="ar-SA"/>
        </w:rPr>
        <w:t xml:space="preserve">Ústava Slovenskej republiky </w:t>
      </w:r>
      <w:r w:rsidR="004B0ED4">
        <w:rPr>
          <w:rFonts w:ascii="Book Antiqua" w:hAnsi="Book Antiqua"/>
          <w:color w:val="000000"/>
          <w:kern w:val="0"/>
          <w:sz w:val="22"/>
          <w:szCs w:val="22"/>
          <w:lang w:bidi="ar-SA"/>
        </w:rPr>
        <w:br/>
      </w:r>
      <w:r w:rsidR="004B0ED4" w:rsidRPr="004B0ED4">
        <w:rPr>
          <w:rFonts w:ascii="Book Antiqua" w:hAnsi="Book Antiqua"/>
          <w:color w:val="000000"/>
          <w:kern w:val="0"/>
          <w:sz w:val="22"/>
          <w:szCs w:val="22"/>
          <w:lang w:bidi="ar-SA"/>
        </w:rPr>
        <w:t>č. 460/1992 Zb. v znení neskorších predpisov</w:t>
      </w:r>
      <w:r w:rsidRPr="004B0ED4">
        <w:rPr>
          <w:rFonts w:ascii="Book Antiqua" w:hAnsi="Book Antiqua"/>
          <w:color w:val="000000"/>
          <w:kern w:val="0"/>
          <w:sz w:val="22"/>
          <w:szCs w:val="22"/>
          <w:lang w:bidi="ar-SA"/>
        </w:rPr>
        <w:t xml:space="preserve">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predkladajú do Národnej rady Slovenskej republiky poslanci Národnej rady Slovenskej republiky za politickú stranu </w:t>
      </w:r>
      <w:proofErr w:type="spellStart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– Ľudová strana Naše Slovensko </w:t>
      </w:r>
      <w:proofErr w:type="spellStart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Marian</w:t>
      </w:r>
      <w:proofErr w:type="spellEnd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proofErr w:type="spellStart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4B0ED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Martin </w:t>
      </w:r>
      <w:proofErr w:type="spellStart"/>
      <w:r w:rsidR="004B0ED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Beluský</w:t>
      </w:r>
      <w:proofErr w:type="spellEnd"/>
      <w:r w:rsidR="004B0ED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Milan Uhrík a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Rastislav </w:t>
      </w:r>
      <w:proofErr w:type="spellStart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Schlosár</w:t>
      </w:r>
      <w:proofErr w:type="spellEnd"/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</w:p>
    <w:p w:rsidR="004B0ED4" w:rsidRDefault="004E1E66" w:rsidP="00C63DA0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Cieľom legislatívneho návrhu je </w:t>
      </w:r>
      <w:r w:rsidR="004B0ED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posilnenie nezávislosti prezidenta </w:t>
      </w:r>
      <w:r w:rsidR="004B0ED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br/>
        <w:t xml:space="preserve">Slovenskej republiky od </w:t>
      </w:r>
      <w:r w:rsidR="009A6337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parlamentných </w:t>
      </w:r>
      <w:r w:rsidR="004B0ED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politických strán a</w:t>
      </w:r>
      <w:r w:rsidR="00610CAC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 w:rsidR="004B0ED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tým </w:t>
      </w:r>
      <w:r w:rsidR="00610CAC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dôsledné zabezpečenie toho, aby vykonával svoju funkciu slobodne, nestranne a v záujme všetkých občanov Slovenskej republiky.</w:t>
      </w:r>
    </w:p>
    <w:p w:rsidR="00610CAC" w:rsidRDefault="00610CAC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V</w:t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súčasnosti môžu kandidátov na prezidenta Slovenskej republiky navrhovať nielen o</w:t>
      </w:r>
      <w:proofErr w:type="spellStart"/>
      <w:r w:rsidRPr="00610CAC">
        <w:rPr>
          <w:rFonts w:ascii="Book Antiqua" w:hAnsi="Book Antiqua"/>
          <w:color w:val="000000"/>
          <w:sz w:val="22"/>
          <w:szCs w:val="22"/>
          <w:lang w:eastAsia="en-US" w:bidi="ar-SA"/>
        </w:rPr>
        <w:t>bčania</w:t>
      </w:r>
      <w:proofErr w:type="spellEnd"/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Slovenskej republiky</w:t>
      </w:r>
      <w:r w:rsidRPr="00610CAC">
        <w:rPr>
          <w:rFonts w:ascii="Book Antiqua" w:hAnsi="Book Antiqua"/>
          <w:color w:val="000000"/>
          <w:sz w:val="22"/>
          <w:szCs w:val="22"/>
          <w:lang w:eastAsia="en-US" w:bidi="ar-SA"/>
        </w:rPr>
        <w:t>, ktorí majú právo voliť do Národnej rady Slovenskej republiky, a to na základe petície podpísanej najmenej 15 000 občanmi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>, ale aj poslanci Národnej rady Slovenskej republiky, ak tento návrh podpíše najmenej 15 poslancov</w:t>
      </w:r>
      <w:r w:rsidR="009A6337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NR SR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>.</w:t>
      </w:r>
    </w:p>
    <w:p w:rsidR="005D03CE" w:rsidRDefault="00610CAC" w:rsidP="005D03CE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Tí z kandidátov na prezidenta SR, ktorí kandidujú na návrh poslancov NR SR vzbudzujú právom dôvodné podozrenie, že po svojom zvolení nebudú nezávislí a nestranní</w:t>
      </w:r>
      <w:r w:rsidR="009A6337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tak ako to predpokladá Ústava SR</w:t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, ale naopak, že budú presadzovať úzke stranícke či politické záujmy poslancov, resp. poslaneckých klubov, ktoré ich navrhli za kandidátov.</w:t>
      </w:r>
      <w:r w:rsidR="005D03CE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</w:t>
      </w:r>
      <w:r w:rsidR="009A6337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Táto skutočnosť je v </w:t>
      </w:r>
      <w:r w:rsidR="005D03CE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zjavnom</w:t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rozpore s účelom </w:t>
      </w:r>
      <w:r w:rsidR="00386200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ústavného zákona č. 9/1999 Z. z.</w:t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, </w:t>
      </w:r>
      <w:r w:rsidR="0038620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ktor</w:t>
      </w:r>
      <w:r w:rsidR="00386200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ý</w:t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v roku 1999 zavied</w:t>
      </w:r>
      <w:r w:rsidR="00386200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ol</w:t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priamu voľbu prezidenta SR</w:t>
      </w:r>
      <w:r w:rsidR="009A6337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,</w:t>
      </w:r>
      <w:r w:rsidR="005D03CE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práve v snahe zabezpečiť </w:t>
      </w:r>
      <w:r w:rsidR="009A6337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nezávislosť prezidenta SR od parlamentných politických strán a vrátiť jeho úrad všetkým občanov SR.</w:t>
      </w:r>
    </w:p>
    <w:p w:rsidR="009A6337" w:rsidRDefault="009A6337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Ponechanie možnosti navrhovať kandidátov na prezidenta SR výlučne pre najmenej  15 000 občanov SR je teda nielen logickým vyústením ústavneho poriadku, v ktorom majú právo voliť prezidenta SR taktiež len občania SR, ale je predovšetkým posilnením inštitútu priamej demokracie na Slovensku. Odstraňuje sa tak doterajšie neodôvodnené privilégium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15 poslancov NR SR, ktorých dávala Ústava SR na rovnakú úroveň ako 15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 </w:t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000 občanov SR.</w:t>
      </w:r>
    </w:p>
    <w:p w:rsidR="00610CAC" w:rsidRDefault="005D03CE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Zrušenie možnosti poslancov NR SR navrhovať kandidátov na prezidenta SR zároveň znamená odstránenie posledných pozostatkov starého systému, v ktorom bola voľba a teda aj osoba prezidetnta SR výlučne v rukách</w:t>
      </w:r>
      <w:r w:rsidR="009A6337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zákonodarnej moci, teda</w:t>
      </w:r>
      <w:r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NR SR.</w:t>
      </w:r>
      <w:r w:rsidR="00610CAC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  </w:t>
      </w:r>
    </w:p>
    <w:p w:rsidR="00CB653D" w:rsidRDefault="00CB653D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9F6924" w:rsidRDefault="009F6924" w:rsidP="009F6924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</w:t>
      </w:r>
      <w:bookmarkStart w:id="0" w:name="_GoBack"/>
      <w:bookmarkEnd w:id="0"/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á časť</w:t>
      </w:r>
    </w:p>
    <w:p w:rsidR="009F6924" w:rsidRPr="009F6924" w:rsidRDefault="00CD49BD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5E89" id="Rovná spojovacia šípka 1" o:spid="_x0000_s1026" type="#_x0000_t32" style="position:absolute;margin-left:-.35pt;margin-top:2.75pt;width:4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:rsidR="00656048" w:rsidRDefault="00656048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9F6924" w:rsidRPr="009F6924" w:rsidRDefault="009A6337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Vypúšťa sa právo poslancov NR SR navrhovať kandidátov na prezidenta SR.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656048" w:rsidRDefault="00656048" w:rsidP="00656048">
      <w:pPr>
        <w:autoSpaceDN/>
        <w:ind w:firstLine="708"/>
        <w:jc w:val="both"/>
        <w:textAlignment w:val="auto"/>
        <w:rPr>
          <w:rFonts w:ascii="Book Antiqua" w:hAnsi="Book Antiqua" w:cs="Arial"/>
          <w:color w:val="000000"/>
          <w:kern w:val="1"/>
          <w:sz w:val="22"/>
          <w:szCs w:val="22"/>
        </w:rPr>
      </w:pPr>
      <w:r w:rsidRPr="00656048">
        <w:rPr>
          <w:rFonts w:ascii="Book Antiqua" w:hAnsi="Book Antiqua" w:cs="Arial"/>
          <w:color w:val="000000"/>
          <w:kern w:val="1"/>
          <w:sz w:val="22"/>
          <w:szCs w:val="22"/>
        </w:rPr>
        <w:t>Navrhuje sa účinnosť zákona pätnástym dňom po jeho vyhlásení v Zbierke zákonov.</w:t>
      </w:r>
    </w:p>
    <w:p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CF1C12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sectPr w:rsidR="009F6924" w:rsidRPr="00CF1C12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078" w:rsidRDefault="00AE6078">
      <w:r>
        <w:separator/>
      </w:r>
    </w:p>
  </w:endnote>
  <w:endnote w:type="continuationSeparator" w:id="0">
    <w:p w:rsidR="00AE6078" w:rsidRDefault="00AE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078" w:rsidRDefault="00AE6078">
      <w:r>
        <w:rPr>
          <w:color w:val="000000"/>
        </w:rPr>
        <w:separator/>
      </w:r>
    </w:p>
  </w:footnote>
  <w:footnote w:type="continuationSeparator" w:id="0">
    <w:p w:rsidR="00AE6078" w:rsidRDefault="00AE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D"/>
    <w:rsid w:val="00017B63"/>
    <w:rsid w:val="00075798"/>
    <w:rsid w:val="000E26FA"/>
    <w:rsid w:val="002163D3"/>
    <w:rsid w:val="00285A91"/>
    <w:rsid w:val="00297050"/>
    <w:rsid w:val="002E3CB8"/>
    <w:rsid w:val="00386200"/>
    <w:rsid w:val="003C2C20"/>
    <w:rsid w:val="003F2C29"/>
    <w:rsid w:val="00401CEF"/>
    <w:rsid w:val="00445805"/>
    <w:rsid w:val="00470E08"/>
    <w:rsid w:val="004B0ED4"/>
    <w:rsid w:val="004C7C57"/>
    <w:rsid w:val="004E1E66"/>
    <w:rsid w:val="005469A9"/>
    <w:rsid w:val="005D03CE"/>
    <w:rsid w:val="00610CAC"/>
    <w:rsid w:val="006329D9"/>
    <w:rsid w:val="00656048"/>
    <w:rsid w:val="006C15F7"/>
    <w:rsid w:val="007374A8"/>
    <w:rsid w:val="00784B25"/>
    <w:rsid w:val="007B25B8"/>
    <w:rsid w:val="007E1102"/>
    <w:rsid w:val="007E1A7C"/>
    <w:rsid w:val="00880065"/>
    <w:rsid w:val="008D50B9"/>
    <w:rsid w:val="009A6337"/>
    <w:rsid w:val="009F2433"/>
    <w:rsid w:val="009F6924"/>
    <w:rsid w:val="00AC0B5A"/>
    <w:rsid w:val="00AC4D1E"/>
    <w:rsid w:val="00AE6078"/>
    <w:rsid w:val="00AE6541"/>
    <w:rsid w:val="00B52ABA"/>
    <w:rsid w:val="00B553D2"/>
    <w:rsid w:val="00C07276"/>
    <w:rsid w:val="00C176E4"/>
    <w:rsid w:val="00C63173"/>
    <w:rsid w:val="00C63DA0"/>
    <w:rsid w:val="00CA3BF2"/>
    <w:rsid w:val="00CB653D"/>
    <w:rsid w:val="00CD49BD"/>
    <w:rsid w:val="00CF1C12"/>
    <w:rsid w:val="00CF3A95"/>
    <w:rsid w:val="00D458E1"/>
    <w:rsid w:val="00D46245"/>
    <w:rsid w:val="00DB39CF"/>
    <w:rsid w:val="00E13DF0"/>
    <w:rsid w:val="00ED6347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21C98"/>
  <w14:defaultImageDpi w14:val="0"/>
  <w15:docId w15:val="{51619208-208D-4971-B0C0-46BE1E6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cibula</dc:creator>
  <cp:keywords/>
  <dc:description/>
  <cp:lastModifiedBy>NašeSlovensko</cp:lastModifiedBy>
  <cp:revision>6</cp:revision>
  <cp:lastPrinted>2017-04-03T09:34:00Z</cp:lastPrinted>
  <dcterms:created xsi:type="dcterms:W3CDTF">2018-09-26T09:59:00Z</dcterms:created>
  <dcterms:modified xsi:type="dcterms:W3CDTF">2019-01-02T11:31:00Z</dcterms:modified>
</cp:coreProperties>
</file>