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960B" w14:textId="77777777" w:rsidR="00D92E9B" w:rsidRPr="00F90481" w:rsidRDefault="00D92E9B" w:rsidP="00682A29">
      <w:pPr>
        <w:pStyle w:val="Normlnywebov"/>
        <w:spacing w:before="120" w:after="0"/>
        <w:jc w:val="center"/>
        <w:rPr>
          <w:rFonts w:ascii="Times New Roman" w:hAnsi="Times New Roman" w:cs="Times New Roman"/>
          <w:color w:val="auto"/>
        </w:rPr>
      </w:pPr>
      <w:r w:rsidRPr="00F90481">
        <w:rPr>
          <w:rFonts w:ascii="Times New Roman" w:hAnsi="Times New Roman" w:cs="Times New Roman"/>
          <w:b/>
          <w:bCs/>
          <w:caps/>
          <w:color w:val="auto"/>
          <w:spacing w:val="30"/>
        </w:rPr>
        <w:t xml:space="preserve">Dôvodová </w:t>
      </w:r>
      <w:bookmarkStart w:id="0" w:name="_GoBack"/>
      <w:bookmarkEnd w:id="0"/>
      <w:r w:rsidRPr="00F90481">
        <w:rPr>
          <w:rFonts w:ascii="Times New Roman" w:hAnsi="Times New Roman" w:cs="Times New Roman"/>
          <w:b/>
          <w:bCs/>
          <w:caps/>
          <w:color w:val="auto"/>
          <w:spacing w:val="30"/>
        </w:rPr>
        <w:t>správa</w:t>
      </w:r>
    </w:p>
    <w:p w14:paraId="603FDF30" w14:textId="77777777" w:rsidR="00D92E9B" w:rsidRPr="00F90481" w:rsidRDefault="00D92E9B" w:rsidP="00D92E9B">
      <w:pPr>
        <w:pStyle w:val="Nadpis1"/>
        <w:spacing w:before="12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D622150" w14:textId="77777777" w:rsidR="00D92E9B" w:rsidRPr="00F90481" w:rsidRDefault="00D92E9B" w:rsidP="00D92E9B">
      <w:pPr>
        <w:pStyle w:val="Nadpis1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90481">
        <w:rPr>
          <w:rFonts w:ascii="Times New Roman" w:hAnsi="Times New Roman" w:cs="Times New Roman"/>
          <w:b/>
          <w:bCs/>
          <w:color w:val="auto"/>
          <w:sz w:val="24"/>
          <w:szCs w:val="24"/>
        </w:rPr>
        <w:t>A. Všeobecná časť</w:t>
      </w:r>
    </w:p>
    <w:p w14:paraId="197B2EF7" w14:textId="77777777" w:rsidR="00682A29" w:rsidRPr="00F90481" w:rsidRDefault="00682A29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</w:p>
    <w:p w14:paraId="7EB6D53F" w14:textId="1BDD44EC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lang w:eastAsia="sk-SK"/>
        </w:rPr>
        <w:t>Návrh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zákona,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ktorým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mení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č.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447/2008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Z.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z.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peňažných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príspevkoch</w:t>
      </w:r>
      <w:r w:rsidRPr="00F90481">
        <w:rPr>
          <w:rFonts w:ascii="Times New Roman" w:hAnsi="Times New Roman" w:cs="Times New Roman"/>
          <w:spacing w:val="2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 kompenzáciu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ťažkého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zdravotného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postihnutia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zmene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doplnení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niektorých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zákonov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="00C43A08">
        <w:rPr>
          <w:rFonts w:ascii="Times New Roman" w:hAnsi="Times New Roman" w:cs="Times New Roman"/>
          <w:spacing w:val="31"/>
          <w:lang w:eastAsia="sk-SK"/>
        </w:rPr>
        <w:t xml:space="preserve">               </w:t>
      </w:r>
      <w:r w:rsidRPr="00F90481">
        <w:rPr>
          <w:rFonts w:ascii="Times New Roman" w:hAnsi="Times New Roman" w:cs="Times New Roman"/>
          <w:lang w:eastAsia="sk-SK"/>
        </w:rPr>
        <w:t>v znení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neskorších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predpisov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ktorým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dopĺňa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č.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245/2008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Z.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z.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výchove</w:t>
      </w:r>
      <w:r w:rsidRPr="00F90481">
        <w:rPr>
          <w:rFonts w:ascii="Times New Roman" w:hAnsi="Times New Roman" w:cs="Times New Roman"/>
          <w:spacing w:val="7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 vzdelávaní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(školský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zákon)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zmene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doplnení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niektorých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zákonov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znení</w:t>
      </w:r>
      <w:r w:rsidRPr="00F90481">
        <w:rPr>
          <w:rFonts w:ascii="Times New Roman" w:hAnsi="Times New Roman" w:cs="Times New Roman"/>
          <w:spacing w:val="4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neskorších predpisov</w:t>
      </w:r>
      <w:r w:rsidRPr="00F90481">
        <w:rPr>
          <w:rFonts w:ascii="Times New Roman" w:hAnsi="Times New Roman" w:cs="Times New Roman"/>
          <w:spacing w:val="8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predkladajú na rokovanie Národnej rady Slovenskej republiky poslankyne Národnej</w:t>
      </w:r>
      <w:r w:rsidRPr="00F90481">
        <w:rPr>
          <w:rFonts w:ascii="Times New Roman" w:hAnsi="Times New Roman" w:cs="Times New Roman"/>
          <w:spacing w:val="8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rady</w:t>
      </w:r>
      <w:r w:rsidRPr="00F90481">
        <w:rPr>
          <w:rFonts w:ascii="Times New Roman" w:hAnsi="Times New Roman" w:cs="Times New Roman"/>
          <w:spacing w:val="8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 xml:space="preserve">Slovenskej republiky Lucia Ďuriš </w:t>
      </w:r>
      <w:proofErr w:type="spellStart"/>
      <w:r w:rsidRPr="00F90481">
        <w:rPr>
          <w:rFonts w:ascii="Times New Roman" w:hAnsi="Times New Roman" w:cs="Times New Roman"/>
          <w:lang w:eastAsia="sk-SK"/>
        </w:rPr>
        <w:t>Nicholsonová</w:t>
      </w:r>
      <w:proofErr w:type="spellEnd"/>
      <w:r w:rsidRPr="00F90481">
        <w:rPr>
          <w:rFonts w:ascii="Times New Roman" w:hAnsi="Times New Roman" w:cs="Times New Roman"/>
          <w:lang w:eastAsia="sk-SK"/>
        </w:rPr>
        <w:t xml:space="preserve"> a Zuzana </w:t>
      </w:r>
      <w:proofErr w:type="spellStart"/>
      <w:r w:rsidRPr="00F90481">
        <w:rPr>
          <w:rFonts w:ascii="Times New Roman" w:hAnsi="Times New Roman" w:cs="Times New Roman"/>
          <w:lang w:eastAsia="sk-SK"/>
        </w:rPr>
        <w:t>Zimenová</w:t>
      </w:r>
      <w:proofErr w:type="spellEnd"/>
      <w:r w:rsidRPr="00F90481">
        <w:rPr>
          <w:rFonts w:ascii="Times New Roman" w:hAnsi="Times New Roman" w:cs="Times New Roman"/>
          <w:lang w:eastAsia="sk-SK"/>
        </w:rPr>
        <w:t>.</w:t>
      </w:r>
    </w:p>
    <w:p w14:paraId="471FD490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eastAsia="sk-SK"/>
        </w:rPr>
      </w:pPr>
    </w:p>
    <w:p w14:paraId="2B2A69C3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bCs/>
          <w:lang w:eastAsia="sk-SK"/>
        </w:rPr>
        <w:t>V predkladanom návrhu sa  opätovne vytvárajú</w:t>
      </w:r>
      <w:r w:rsidRPr="00F90481">
        <w:rPr>
          <w:rFonts w:ascii="Times New Roman" w:hAnsi="Times New Roman" w:cs="Times New Roman"/>
          <w:lang w:eastAsia="sk-SK"/>
        </w:rPr>
        <w:t xml:space="preserve"> </w:t>
      </w:r>
      <w:r w:rsidRPr="00F90481">
        <w:rPr>
          <w:rFonts w:ascii="Times New Roman" w:hAnsi="Times New Roman" w:cs="Times New Roman"/>
          <w:bCs/>
          <w:lang w:eastAsia="sk-SK"/>
        </w:rPr>
        <w:t xml:space="preserve"> právne podmienky, ktoré boli zmenené jednou z noviel zákona o peňažných príspevkoch na kompenzáciu ťažkého zdravotného postihnutia, aby aj občania s ťažkým zdravotným postihnutím, ktorí majú cystickú fibrózu so závažným a chronickým poškodením pľúc, gastrointestinálnymi prejavmi, poškodením pankreasu a poškodením ďalších orgánov (napr. porucha potných žliaz, plodnosť, postihnutie kĺbov) alebo onkologické ochorenie v štádiu akútnej liečby alebo pri </w:t>
      </w:r>
      <w:proofErr w:type="spellStart"/>
      <w:r w:rsidRPr="00F90481">
        <w:rPr>
          <w:rFonts w:ascii="Times New Roman" w:hAnsi="Times New Roman" w:cs="Times New Roman"/>
          <w:bCs/>
          <w:lang w:eastAsia="sk-SK"/>
        </w:rPr>
        <w:t>hematoonkologickom</w:t>
      </w:r>
      <w:proofErr w:type="spellEnd"/>
      <w:r w:rsidRPr="00F90481">
        <w:rPr>
          <w:rFonts w:ascii="Times New Roman" w:hAnsi="Times New Roman" w:cs="Times New Roman"/>
          <w:bCs/>
          <w:lang w:eastAsia="sk-SK"/>
        </w:rPr>
        <w:t xml:space="preserve"> ochorení, mohli byť posúdení ako odkázaní na individuálnu prepravu.</w:t>
      </w:r>
    </w:p>
    <w:p w14:paraId="15282254" w14:textId="77777777" w:rsidR="001E1E41" w:rsidRPr="00F90481" w:rsidRDefault="001E1E41" w:rsidP="001E1E41">
      <w:pPr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p w14:paraId="3FB9A4BE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lang w:eastAsia="sk-SK"/>
        </w:rPr>
        <w:t>Cieľom druhej časti návrhu</w:t>
      </w:r>
      <w:r w:rsidRPr="00F90481">
        <w:rPr>
          <w:rFonts w:ascii="Times New Roman" w:hAnsi="Times New Roman" w:cs="Times New Roman"/>
          <w:spacing w:val="3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je  aj rozšíriť</w:t>
      </w:r>
      <w:r w:rsidRPr="00F90481">
        <w:rPr>
          <w:rFonts w:ascii="Times New Roman" w:hAnsi="Times New Roman" w:cs="Times New Roman"/>
          <w:spacing w:val="3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možnosti</w:t>
      </w:r>
      <w:r w:rsidRPr="00F90481">
        <w:rPr>
          <w:rFonts w:ascii="Times New Roman" w:hAnsi="Times New Roman" w:cs="Times New Roman"/>
          <w:spacing w:val="3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individuálnej</w:t>
      </w:r>
      <w:r w:rsidRPr="00F90481">
        <w:rPr>
          <w:rFonts w:ascii="Times New Roman" w:hAnsi="Times New Roman" w:cs="Times New Roman"/>
          <w:spacing w:val="3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pomoci</w:t>
      </w:r>
      <w:r w:rsidRPr="00F90481">
        <w:rPr>
          <w:rFonts w:ascii="Times New Roman" w:hAnsi="Times New Roman" w:cs="Times New Roman"/>
          <w:spacing w:val="3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</w:t>
      </w:r>
      <w:r w:rsidRPr="00F90481">
        <w:rPr>
          <w:rFonts w:ascii="Times New Roman" w:hAnsi="Times New Roman" w:cs="Times New Roman"/>
          <w:spacing w:val="3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žiakov</w:t>
      </w:r>
      <w:r w:rsidRPr="00F90481">
        <w:rPr>
          <w:rFonts w:ascii="Times New Roman" w:hAnsi="Times New Roman" w:cs="Times New Roman"/>
          <w:spacing w:val="3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so</w:t>
      </w:r>
      <w:r w:rsidRPr="00F90481">
        <w:rPr>
          <w:rFonts w:ascii="Times New Roman" w:hAnsi="Times New Roman" w:cs="Times New Roman"/>
          <w:spacing w:val="3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zdravotným znevýhodnením</w:t>
      </w:r>
      <w:r w:rsidRPr="00F90481">
        <w:rPr>
          <w:rFonts w:ascii="Times New Roman" w:hAnsi="Times New Roman" w:cs="Times New Roman"/>
          <w:spacing w:val="1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školách,</w:t>
      </w:r>
      <w:r w:rsidRPr="00F90481">
        <w:rPr>
          <w:rFonts w:ascii="Times New Roman" w:hAnsi="Times New Roman" w:cs="Times New Roman"/>
          <w:spacing w:val="1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ktoré</w:t>
      </w:r>
      <w:r w:rsidRPr="00F90481">
        <w:rPr>
          <w:rFonts w:ascii="Times New Roman" w:hAnsi="Times New Roman" w:cs="Times New Roman"/>
          <w:spacing w:val="1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zabezpečujú</w:t>
      </w:r>
      <w:r w:rsidRPr="00F90481">
        <w:rPr>
          <w:rFonts w:ascii="Times New Roman" w:hAnsi="Times New Roman" w:cs="Times New Roman"/>
          <w:spacing w:val="1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plnenie</w:t>
      </w:r>
      <w:r w:rsidRPr="00F90481">
        <w:rPr>
          <w:rFonts w:ascii="Times New Roman" w:hAnsi="Times New Roman" w:cs="Times New Roman"/>
          <w:spacing w:val="1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povinnej</w:t>
      </w:r>
      <w:r w:rsidRPr="00F90481">
        <w:rPr>
          <w:rFonts w:ascii="Times New Roman" w:hAnsi="Times New Roman" w:cs="Times New Roman"/>
          <w:spacing w:val="1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školskej</w:t>
      </w:r>
      <w:r w:rsidRPr="00F90481">
        <w:rPr>
          <w:rFonts w:ascii="Times New Roman" w:hAnsi="Times New Roman" w:cs="Times New Roman"/>
          <w:spacing w:val="1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dochádzky,  prostredníctvom osobných asistentov.</w:t>
      </w:r>
    </w:p>
    <w:p w14:paraId="4FF1D7A7" w14:textId="77777777" w:rsidR="001E1E41" w:rsidRPr="00F90481" w:rsidRDefault="001E1E41" w:rsidP="001E1E41">
      <w:pPr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p w14:paraId="0BEAF837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lang w:eastAsia="sk-SK"/>
        </w:rPr>
        <w:t>Na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Slovensku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pribúda počet detí,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ktoré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musia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rámci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plnenia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povinnej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školskej</w:t>
      </w:r>
      <w:r w:rsidRPr="00F90481">
        <w:rPr>
          <w:rFonts w:ascii="Times New Roman" w:hAnsi="Times New Roman" w:cs="Times New Roman"/>
          <w:spacing w:val="1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dochádzky prekonávať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rôzne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bariéry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pri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učení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 pri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začleňovaní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kolektívu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spolužiakov.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Týka</w:t>
      </w:r>
      <w:r w:rsidRPr="00F90481">
        <w:rPr>
          <w:rFonts w:ascii="Times New Roman" w:hAnsi="Times New Roman" w:cs="Times New Roman"/>
          <w:spacing w:val="1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 to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najmä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žiakov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so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zdravotným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znevýhodnením.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Mnohí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 nich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potrebujú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to,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aby</w:t>
      </w:r>
      <w:r w:rsidRPr="00F90481">
        <w:rPr>
          <w:rFonts w:ascii="Times New Roman" w:hAnsi="Times New Roman" w:cs="Times New Roman"/>
          <w:spacing w:val="3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mohli v školách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rozvíjať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svoj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potenciál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vo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vzdelávaní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napredovať,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pomoc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nad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rámec</w:t>
      </w:r>
      <w:r w:rsidRPr="00F90481">
        <w:rPr>
          <w:rFonts w:ascii="Times New Roman" w:hAnsi="Times New Roman" w:cs="Times New Roman"/>
          <w:spacing w:val="2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 xml:space="preserve">obvyklého prístupu učiteľov. </w:t>
      </w:r>
    </w:p>
    <w:p w14:paraId="50410197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</w:p>
    <w:p w14:paraId="68E6CCC1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lang w:eastAsia="sk-SK"/>
        </w:rPr>
        <w:t>Väčšina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žiakov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so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zdravotným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postihnutím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učí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špeciálnych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školách,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no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čoraz častejšie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ich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darí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integrovať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aj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bežných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škôl.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oboch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typoch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škôl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im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</w:t>
      </w:r>
      <w:r w:rsidRPr="00F90481">
        <w:rPr>
          <w:rFonts w:ascii="Times New Roman" w:hAnsi="Times New Roman" w:cs="Times New Roman"/>
          <w:spacing w:val="3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vyučovaní môže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pomáhať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asistent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učiteľa.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Mnohí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týchto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žiakov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však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potrebujú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asistenciu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nielen</w:t>
      </w:r>
      <w:r w:rsidRPr="00F90481">
        <w:rPr>
          <w:rFonts w:ascii="Times New Roman" w:hAnsi="Times New Roman" w:cs="Times New Roman"/>
          <w:spacing w:val="31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pri učení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sa,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ale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aj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pri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bežných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samoobslužných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činnostiach.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takýchto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prípadoch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je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proofErr w:type="spellStart"/>
      <w:r w:rsidRPr="00F90481">
        <w:rPr>
          <w:rFonts w:ascii="Times New Roman" w:hAnsi="Times New Roman" w:cs="Times New Roman"/>
          <w:lang w:eastAsia="sk-SK"/>
        </w:rPr>
        <w:t>ne</w:t>
      </w:r>
      <w:proofErr w:type="spellEnd"/>
      <w:r w:rsidRPr="00F90481">
        <w:rPr>
          <w:rFonts w:ascii="Times New Roman" w:hAnsi="Times New Roman" w:cs="Times New Roman"/>
          <w:lang w:eastAsia="sk-SK"/>
        </w:rPr>
        <w:t xml:space="preserve"> pomoc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asistentov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učiteľa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nedostatočná.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Asistenti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učiteľa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nie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sú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podobné</w:t>
      </w:r>
      <w:r w:rsidRPr="00F90481">
        <w:rPr>
          <w:rFonts w:ascii="Times New Roman" w:hAnsi="Times New Roman" w:cs="Times New Roman"/>
          <w:spacing w:val="10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situácie pripravení,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keďže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ide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úkony,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ktoré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nesúvisia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 pedagogickou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činnosťou,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ale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spadajú</w:t>
      </w:r>
      <w:r w:rsidRPr="00F90481">
        <w:rPr>
          <w:rFonts w:ascii="Times New Roman" w:hAnsi="Times New Roman" w:cs="Times New Roman"/>
          <w:spacing w:val="48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 oblasti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osobnej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asistencie.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Výkon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činností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súvisiacich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 osobnou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asistenciou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nie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je</w:t>
      </w:r>
      <w:r w:rsidRPr="00F90481">
        <w:rPr>
          <w:rFonts w:ascii="Times New Roman" w:hAnsi="Times New Roman" w:cs="Times New Roman"/>
          <w:spacing w:val="2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 xml:space="preserve">súčasťou kompetenčného  profilu asistenta učiteľa, ani súčasťou jeho obvyklej náplne práce.  </w:t>
      </w:r>
    </w:p>
    <w:p w14:paraId="7949EC37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</w:p>
    <w:p w14:paraId="23F7ED99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lang w:eastAsia="sk-SK"/>
        </w:rPr>
        <w:t>Vhodnými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osobami,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ktoré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by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dokázali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školách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túto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medzeru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oblasti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pomoci</w:t>
      </w:r>
      <w:r w:rsidRPr="00F90481">
        <w:rPr>
          <w:rFonts w:ascii="Times New Roman" w:hAnsi="Times New Roman" w:cs="Times New Roman"/>
          <w:spacing w:val="3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 žiakov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so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zdravotným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znevýhodnením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vyplniť,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sú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osobní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asistenti.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Tým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však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súčasnosti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 xml:space="preserve">nie je umožnené vykonávať osobnú asistenciu na pôde škôl. </w:t>
      </w:r>
    </w:p>
    <w:p w14:paraId="7962C48B" w14:textId="77777777" w:rsidR="001E1E41" w:rsidRPr="00F90481" w:rsidRDefault="001E1E41" w:rsidP="001E1E41">
      <w:pPr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p w14:paraId="5D1B1104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lang w:eastAsia="sk-SK"/>
        </w:rPr>
        <w:t>Platné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 účinné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znenie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zákona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č.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245/2008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Z.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z.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výchove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vzdelávaní</w:t>
      </w:r>
      <w:r w:rsidRPr="00F90481">
        <w:rPr>
          <w:rFonts w:ascii="Times New Roman" w:hAnsi="Times New Roman" w:cs="Times New Roman"/>
          <w:spacing w:val="4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(školský zákon)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zmene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doplnení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niektorých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zákonov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znení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neskorších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predpisov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pozná</w:t>
      </w:r>
      <w:r w:rsidRPr="00F90481">
        <w:rPr>
          <w:rFonts w:ascii="Times New Roman" w:hAnsi="Times New Roman" w:cs="Times New Roman"/>
          <w:spacing w:val="43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iba asistentov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učiteľa.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Ďalšie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právne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predpisy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osobným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asistentom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vstup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škôl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zakazujú,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to</w:t>
      </w:r>
      <w:r w:rsidRPr="00F90481">
        <w:rPr>
          <w:rFonts w:ascii="Times New Roman" w:hAnsi="Times New Roman" w:cs="Times New Roman"/>
          <w:spacing w:val="5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aj do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špeciálnych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škôl.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Výnimku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majú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len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študenti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so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zdravotným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postihnutím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</w:t>
      </w:r>
      <w:r w:rsidRPr="00F90481">
        <w:rPr>
          <w:rFonts w:ascii="Times New Roman" w:hAnsi="Times New Roman" w:cs="Times New Roman"/>
          <w:spacing w:val="4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 xml:space="preserve">vysokých školách. </w:t>
      </w:r>
    </w:p>
    <w:p w14:paraId="72689E7E" w14:textId="77777777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</w:p>
    <w:p w14:paraId="32953206" w14:textId="35002550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lang w:eastAsia="sk-SK"/>
        </w:rPr>
        <w:lastRenderedPageBreak/>
        <w:t>Cieľom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predloženého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návrhu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zákona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je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tento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nezmyselný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zákaz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zrušiť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umožniť osobným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asistentom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pôsobiť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aj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školskom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prostredí.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Ak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právna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úprava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dnes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ustanovuje,</w:t>
      </w:r>
      <w:r w:rsidRPr="00F90481">
        <w:rPr>
          <w:rFonts w:ascii="Times New Roman" w:hAnsi="Times New Roman" w:cs="Times New Roman"/>
          <w:spacing w:val="20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že do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rozsahu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hodín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osobnej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asistencie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nezapočítavajú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hodiny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osobnej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asistencie,</w:t>
      </w:r>
      <w:r w:rsidRPr="00F90481">
        <w:rPr>
          <w:rFonts w:ascii="Times New Roman" w:hAnsi="Times New Roman" w:cs="Times New Roman"/>
          <w:spacing w:val="67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počas ktorých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fyzická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osoba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ťažkým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zdravotným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postihnutím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navštevuje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školské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zariadenie</w:t>
      </w:r>
      <w:r w:rsidRPr="00F90481">
        <w:rPr>
          <w:rFonts w:ascii="Times New Roman" w:hAnsi="Times New Roman" w:cs="Times New Roman"/>
          <w:spacing w:val="52"/>
          <w:lang w:eastAsia="sk-SK"/>
        </w:rPr>
        <w:t xml:space="preserve"> </w:t>
      </w:r>
      <w:r w:rsidR="00C43A08">
        <w:rPr>
          <w:rFonts w:ascii="Times New Roman" w:hAnsi="Times New Roman" w:cs="Times New Roman"/>
          <w:spacing w:val="52"/>
          <w:lang w:eastAsia="sk-SK"/>
        </w:rPr>
        <w:t xml:space="preserve">               </w:t>
      </w:r>
      <w:r w:rsidRPr="00F90481">
        <w:rPr>
          <w:rFonts w:ascii="Times New Roman" w:hAnsi="Times New Roman" w:cs="Times New Roman"/>
          <w:lang w:eastAsia="sk-SK"/>
        </w:rPr>
        <w:t>s výnimkou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vysokej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školy,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podľa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predloženého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návrhu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zákona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režim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vysokých</w:t>
      </w:r>
      <w:r w:rsidRPr="00F90481">
        <w:rPr>
          <w:rFonts w:ascii="Times New Roman" w:hAnsi="Times New Roman" w:cs="Times New Roman"/>
          <w:spacing w:val="2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školách a režim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oblasti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regionálneho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školstva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zjednotí,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 to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 prospech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osôb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so</w:t>
      </w:r>
      <w:r w:rsidRPr="00F90481">
        <w:rPr>
          <w:rFonts w:ascii="Times New Roman" w:hAnsi="Times New Roman" w:cs="Times New Roman"/>
          <w:spacing w:val="102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zdravotným znevýhodnením.</w:t>
      </w:r>
      <w:r w:rsidRPr="00F90481">
        <w:rPr>
          <w:rFonts w:ascii="Times New Roman" w:hAnsi="Times New Roman" w:cs="Times New Roman"/>
          <w:spacing w:val="77"/>
          <w:lang w:eastAsia="sk-SK"/>
        </w:rPr>
        <w:t xml:space="preserve"> </w:t>
      </w:r>
    </w:p>
    <w:p w14:paraId="2B190CA4" w14:textId="77777777" w:rsidR="00713F44" w:rsidRPr="00F90481" w:rsidRDefault="00713F44" w:rsidP="00424E2D">
      <w:pPr>
        <w:autoSpaceDE/>
        <w:adjustRightInd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kern w:val="0"/>
          <w:lang w:eastAsia="sk-SK"/>
        </w:rPr>
      </w:pPr>
    </w:p>
    <w:p w14:paraId="1EA63025" w14:textId="09A0CD2E" w:rsidR="00424E2D" w:rsidRPr="00F90481" w:rsidRDefault="00424E2D" w:rsidP="00424E2D">
      <w:pPr>
        <w:autoSpaceDE/>
        <w:adjustRightInd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kern w:val="0"/>
          <w:lang w:eastAsia="sk-SK"/>
        </w:rPr>
      </w:pP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Prijatie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navrhovaného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zákona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bude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mať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negatívny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dopad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na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rozpočet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verejnej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správy,</w:t>
      </w:r>
      <w:r w:rsidRPr="00F90481">
        <w:rPr>
          <w:rFonts w:ascii="Times New Roman" w:hAnsi="Times New Roman" w:cs="Times New Roman"/>
          <w:color w:val="auto"/>
          <w:spacing w:val="3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bude</w:t>
      </w:r>
      <w:r w:rsidRPr="00F90481">
        <w:rPr>
          <w:rFonts w:ascii="Times New Roman" w:hAnsi="Times New Roman" w:cs="Times New Roman"/>
          <w:color w:val="auto"/>
          <w:spacing w:val="18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mať</w:t>
      </w:r>
      <w:r w:rsidRPr="00F90481">
        <w:rPr>
          <w:rFonts w:ascii="Times New Roman" w:hAnsi="Times New Roman" w:cs="Times New Roman"/>
          <w:color w:val="auto"/>
          <w:spacing w:val="18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pozitívne</w:t>
      </w:r>
      <w:r w:rsidRPr="00F90481">
        <w:rPr>
          <w:rFonts w:ascii="Times New Roman" w:hAnsi="Times New Roman" w:cs="Times New Roman"/>
          <w:color w:val="auto"/>
          <w:spacing w:val="18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sociálne</w:t>
      </w:r>
      <w:r w:rsidRPr="00F90481">
        <w:rPr>
          <w:rFonts w:ascii="Times New Roman" w:hAnsi="Times New Roman" w:cs="Times New Roman"/>
          <w:color w:val="auto"/>
          <w:spacing w:val="18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vplyvy</w:t>
      </w:r>
      <w:r w:rsidRPr="00F90481">
        <w:rPr>
          <w:rFonts w:ascii="Times New Roman" w:hAnsi="Times New Roman" w:cs="Times New Roman"/>
          <w:color w:val="auto"/>
          <w:spacing w:val="18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a pozitívne vplyvy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na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podnikateľské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prostredie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="006D3E07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     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a nebude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mať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vplyv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na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životné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prostredie,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ani</w:t>
      </w:r>
      <w:r w:rsidRPr="00F90481">
        <w:rPr>
          <w:rFonts w:ascii="Times New Roman" w:hAnsi="Times New Roman" w:cs="Times New Roman"/>
          <w:color w:val="auto"/>
          <w:spacing w:val="110"/>
          <w:kern w:val="0"/>
          <w:lang w:eastAsia="sk-SK"/>
        </w:rPr>
        <w:t xml:space="preserve"> </w:t>
      </w:r>
      <w:r w:rsidRPr="00F90481">
        <w:rPr>
          <w:rFonts w:ascii="Times New Roman" w:hAnsi="Times New Roman" w:cs="Times New Roman"/>
          <w:color w:val="auto"/>
          <w:kern w:val="0"/>
          <w:lang w:eastAsia="sk-SK"/>
        </w:rPr>
        <w:t>na informatizáciu spoločnosti.</w:t>
      </w:r>
    </w:p>
    <w:p w14:paraId="6891BC41" w14:textId="77777777" w:rsidR="00424E2D" w:rsidRPr="00F90481" w:rsidRDefault="00424E2D" w:rsidP="00424E2D">
      <w:pPr>
        <w:jc w:val="both"/>
        <w:rPr>
          <w:rStyle w:val="Textzstupnhosymbolu"/>
          <w:color w:val="auto"/>
        </w:rPr>
      </w:pPr>
    </w:p>
    <w:p w14:paraId="55FDB313" w14:textId="77777777" w:rsidR="009E3AB1" w:rsidRPr="00F90481" w:rsidRDefault="009E3AB1" w:rsidP="00F675A1">
      <w:pPr>
        <w:spacing w:line="240" w:lineRule="auto"/>
        <w:ind w:firstLine="720"/>
        <w:jc w:val="both"/>
        <w:rPr>
          <w:rStyle w:val="Zstupntext"/>
          <w:rFonts w:eastAsiaTheme="majorEastAsia" w:hAnsi="Times New Roman"/>
          <w:color w:val="auto"/>
        </w:rPr>
      </w:pPr>
      <w:r w:rsidRPr="00F90481">
        <w:rPr>
          <w:rStyle w:val="Zstupntext"/>
          <w:rFonts w:eastAsiaTheme="majorEastAsia" w:hAnsi="Times New Roman"/>
          <w:color w:val="auto"/>
        </w:rPr>
        <w:t>Návrh zákona je v súlade s Ústavou Slovenskej republiky, ústavnými zákonmi a ostatnými všeobecne záväznými právnymi predpismi, medzinárodnými zmluvami a inými medzinárodnými dokumentmi, ktorými je Slovenská republika viazaná a s právom Európskej únie.</w:t>
      </w:r>
    </w:p>
    <w:p w14:paraId="00CBC489" w14:textId="77777777" w:rsidR="009E3AB1" w:rsidRPr="00F90481" w:rsidRDefault="009E3AB1" w:rsidP="009E3AB1">
      <w:pPr>
        <w:jc w:val="both"/>
        <w:rPr>
          <w:rStyle w:val="Zstupntext"/>
          <w:rFonts w:eastAsiaTheme="majorEastAsia" w:hAnsi="Times New Roman"/>
          <w:color w:val="auto"/>
        </w:rPr>
      </w:pPr>
      <w:r w:rsidRPr="00F90481">
        <w:rPr>
          <w:rStyle w:val="Zstupntext"/>
          <w:rFonts w:eastAsiaTheme="majorEastAsia" w:hAnsi="Times New Roman"/>
          <w:color w:val="auto"/>
        </w:rPr>
        <w:t> </w:t>
      </w:r>
    </w:p>
    <w:p w14:paraId="40EE656E" w14:textId="43A502EC" w:rsidR="00424E2D" w:rsidRPr="00F90481" w:rsidRDefault="009E3AB1" w:rsidP="00424E2D">
      <w:pPr>
        <w:autoSpaceDE/>
        <w:adjustRightInd/>
        <w:spacing w:after="0" w:line="240" w:lineRule="auto"/>
        <w:rPr>
          <w:rFonts w:ascii="Times New Roman" w:hAnsi="Times New Roman" w:cs="Times New Roman"/>
          <w:strike/>
          <w:color w:val="FF0000"/>
          <w:kern w:val="0"/>
          <w:highlight w:val="yellow"/>
          <w:lang w:eastAsia="sk-SK"/>
        </w:rPr>
      </w:pPr>
      <w:r w:rsidRPr="00F90481">
        <w:rPr>
          <w:rStyle w:val="Textzstupnhosymbolu"/>
          <w:color w:val="auto"/>
        </w:rPr>
        <w:t> </w:t>
      </w:r>
    </w:p>
    <w:p w14:paraId="14B60BD3" w14:textId="77777777" w:rsidR="00424E2D" w:rsidRPr="00F90481" w:rsidRDefault="00424E2D" w:rsidP="00424E2D">
      <w:pPr>
        <w:autoSpaceDE/>
        <w:adjustRightInd/>
        <w:spacing w:after="0" w:line="240" w:lineRule="auto"/>
        <w:rPr>
          <w:rFonts w:ascii="Times New Roman" w:hAnsi="Times New Roman" w:cs="Times New Roman"/>
          <w:strike/>
          <w:color w:val="FF0000"/>
          <w:kern w:val="0"/>
          <w:highlight w:val="yellow"/>
          <w:lang w:eastAsia="sk-SK"/>
        </w:rPr>
      </w:pPr>
    </w:p>
    <w:p w14:paraId="26F04F7B" w14:textId="77777777" w:rsidR="00424E2D" w:rsidRPr="00F90481" w:rsidRDefault="00424E2D" w:rsidP="00424E2D">
      <w:pPr>
        <w:autoSpaceDE/>
        <w:adjustRightInd/>
        <w:spacing w:after="0" w:line="240" w:lineRule="auto"/>
        <w:rPr>
          <w:rFonts w:ascii="Times New Roman" w:hAnsi="Times New Roman" w:cs="Times New Roman"/>
          <w:strike/>
          <w:color w:val="FF0000"/>
          <w:kern w:val="0"/>
          <w:highlight w:val="yellow"/>
          <w:lang w:eastAsia="sk-SK"/>
        </w:rPr>
      </w:pPr>
    </w:p>
    <w:p w14:paraId="7B492DC4" w14:textId="77777777" w:rsidR="009E3AB1" w:rsidRPr="00F90481" w:rsidRDefault="009E3AB1" w:rsidP="009E3AB1">
      <w:p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F90481">
        <w:rPr>
          <w:rFonts w:ascii="Times New Roman" w:hAnsi="Times New Roman" w:cs="Times New Roman"/>
        </w:rPr>
        <w:br w:type="page"/>
      </w:r>
    </w:p>
    <w:p w14:paraId="416DB1AA" w14:textId="77777777" w:rsidR="009E3AB1" w:rsidRPr="00F90481" w:rsidRDefault="009E3AB1" w:rsidP="00F675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90481">
        <w:rPr>
          <w:rFonts w:ascii="Times New Roman" w:hAnsi="Times New Roman" w:cs="Times New Roman"/>
          <w:b/>
          <w:bCs/>
        </w:rPr>
        <w:lastRenderedPageBreak/>
        <w:t>B. Osobitná časť</w:t>
      </w:r>
    </w:p>
    <w:p w14:paraId="28458B2B" w14:textId="77777777" w:rsidR="009E3AB1" w:rsidRPr="00F90481" w:rsidRDefault="009E3AB1" w:rsidP="00F6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5D835" w14:textId="77777777" w:rsidR="001E1E41" w:rsidRPr="00F90481" w:rsidRDefault="001E1E41" w:rsidP="001E1E41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eastAsia="sk-SK"/>
        </w:rPr>
      </w:pPr>
      <w:r w:rsidRPr="00F90481">
        <w:rPr>
          <w:rFonts w:ascii="Times New Roman" w:hAnsi="Times New Roman" w:cs="Times New Roman"/>
          <w:b/>
          <w:bCs/>
          <w:lang w:eastAsia="sk-SK"/>
        </w:rPr>
        <w:t>K Čl. I</w:t>
      </w:r>
    </w:p>
    <w:p w14:paraId="09B40C66" w14:textId="77777777" w:rsidR="001E1E41" w:rsidRPr="00F90481" w:rsidRDefault="001E1E41" w:rsidP="001E1E41">
      <w:pPr>
        <w:spacing w:after="0" w:line="240" w:lineRule="auto"/>
        <w:rPr>
          <w:rFonts w:ascii="Times New Roman" w:hAnsi="Times New Roman" w:cs="Times New Roman"/>
          <w:b/>
          <w:color w:val="FF0000"/>
          <w:lang w:eastAsia="sk-SK"/>
        </w:rPr>
      </w:pPr>
    </w:p>
    <w:p w14:paraId="5B4C5FCC" w14:textId="0CA1A89A" w:rsidR="001E1E41" w:rsidRPr="00F90481" w:rsidRDefault="001E1E41" w:rsidP="001E1E41">
      <w:pPr>
        <w:spacing w:after="0" w:line="240" w:lineRule="auto"/>
        <w:ind w:firstLine="708"/>
        <w:rPr>
          <w:rFonts w:ascii="Times New Roman" w:hAnsi="Times New Roman" w:cs="Times New Roman"/>
          <w:b/>
          <w:lang w:eastAsia="sk-SK"/>
        </w:rPr>
      </w:pPr>
      <w:r w:rsidRPr="00F90481">
        <w:rPr>
          <w:rFonts w:ascii="Times New Roman" w:hAnsi="Times New Roman" w:cs="Times New Roman"/>
          <w:b/>
          <w:lang w:eastAsia="sk-SK"/>
        </w:rPr>
        <w:t>K</w:t>
      </w:r>
      <w:r w:rsidR="008A45EB">
        <w:rPr>
          <w:rFonts w:ascii="Times New Roman" w:hAnsi="Times New Roman" w:cs="Times New Roman"/>
          <w:b/>
          <w:lang w:eastAsia="sk-SK"/>
        </w:rPr>
        <w:t> </w:t>
      </w:r>
      <w:r w:rsidRPr="00F90481">
        <w:rPr>
          <w:rFonts w:ascii="Times New Roman" w:hAnsi="Times New Roman" w:cs="Times New Roman"/>
          <w:b/>
          <w:lang w:eastAsia="sk-SK"/>
        </w:rPr>
        <w:t>bod</w:t>
      </w:r>
      <w:r w:rsidR="008A45EB">
        <w:rPr>
          <w:rFonts w:ascii="Times New Roman" w:hAnsi="Times New Roman" w:cs="Times New Roman"/>
          <w:b/>
          <w:lang w:eastAsia="sk-SK"/>
        </w:rPr>
        <w:t>om 1 a 2</w:t>
      </w:r>
    </w:p>
    <w:p w14:paraId="1C040A0A" w14:textId="77777777" w:rsidR="001E1E41" w:rsidRPr="00F90481" w:rsidRDefault="001E1E41" w:rsidP="001E1E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eastAsia="sk-SK"/>
        </w:rPr>
      </w:pPr>
    </w:p>
    <w:p w14:paraId="6201D33C" w14:textId="59DA8219" w:rsidR="001E1E41" w:rsidRPr="00F90481" w:rsidRDefault="001E1E41" w:rsidP="001E1E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eastAsia="sk-SK"/>
        </w:rPr>
      </w:pPr>
      <w:r w:rsidRPr="00F90481">
        <w:rPr>
          <w:rFonts w:ascii="Times New Roman" w:hAnsi="Times New Roman" w:cs="Times New Roman"/>
          <w:bCs/>
          <w:lang w:eastAsia="sk-SK"/>
        </w:rPr>
        <w:t xml:space="preserve">V dôsledku toho, že v platnej právnej úprave nie sú taxatívne uvedené  druhy ťažkého zdravotného postihnutia akými je cystická fibróza a onkologické ochorenia,  pri posúdení na účely rôznych druhov peňažných príspevkov na kompenzáciu, konkrétne na peňažný príspevok na  kúpu osobného motorového vozidla, na peňažný príspevok na prepravu, </w:t>
      </w:r>
      <w:r w:rsidRPr="00F90481">
        <w:rPr>
          <w:rFonts w:ascii="Times New Roman" w:hAnsi="Times New Roman" w:cs="Times New Roman"/>
          <w:lang w:eastAsia="sk-SK"/>
        </w:rPr>
        <w:t xml:space="preserve"> na  peňažný príspevok na kompenzáciu zvýšených výdavkov súvisiacich so zabezpečením prevádzky osobného motorového vozidla (</w:t>
      </w:r>
      <w:r w:rsidR="00DC4452">
        <w:rPr>
          <w:rFonts w:ascii="Times New Roman" w:hAnsi="Times New Roman" w:cs="Times New Roman"/>
          <w:lang w:eastAsia="sk-SK"/>
        </w:rPr>
        <w:t>známy aj pod neformálnym názvom ako „</w:t>
      </w:r>
      <w:r w:rsidRPr="00F90481">
        <w:rPr>
          <w:rFonts w:ascii="Times New Roman" w:hAnsi="Times New Roman" w:cs="Times New Roman"/>
          <w:lang w:eastAsia="sk-SK"/>
        </w:rPr>
        <w:t>príspevok na benzín</w:t>
      </w:r>
      <w:r w:rsidR="00DC4452">
        <w:rPr>
          <w:rFonts w:ascii="Times New Roman" w:hAnsi="Times New Roman" w:cs="Times New Roman"/>
          <w:lang w:eastAsia="sk-SK"/>
        </w:rPr>
        <w:t>“</w:t>
      </w:r>
      <w:r w:rsidRPr="00F90481">
        <w:rPr>
          <w:rFonts w:ascii="Times New Roman" w:hAnsi="Times New Roman" w:cs="Times New Roman"/>
          <w:lang w:eastAsia="sk-SK"/>
        </w:rPr>
        <w:t xml:space="preserve">) a na  parkovací preukaz, </w:t>
      </w:r>
      <w:r w:rsidRPr="00F90481">
        <w:rPr>
          <w:rFonts w:ascii="Times New Roman" w:hAnsi="Times New Roman" w:cs="Times New Roman"/>
          <w:bCs/>
          <w:lang w:eastAsia="sk-SK"/>
        </w:rPr>
        <w:t>nie sú títo občania posúdení ako odkázaní na individuálnu prepravu a tým im nevznikne nárok ani na jeden z uvedených peňažných príspevkov.</w:t>
      </w:r>
    </w:p>
    <w:p w14:paraId="7B118813" w14:textId="77777777" w:rsidR="001E1E41" w:rsidRPr="00F90481" w:rsidRDefault="001E1E41" w:rsidP="001E1E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</w:p>
    <w:p w14:paraId="6A9E3497" w14:textId="77777777" w:rsidR="001E1E41" w:rsidRPr="00F90481" w:rsidRDefault="001E1E41" w:rsidP="001E1E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F90481">
        <w:rPr>
          <w:rFonts w:ascii="Times New Roman" w:hAnsi="Times New Roman" w:cs="Times New Roman"/>
          <w:lang w:eastAsia="sk-SK"/>
        </w:rPr>
        <w:t>Uvedené ťažké zdravotné postihnutia sú však tak závažného charakteru, že neumožňujú občanom s týmto postihnutím prepravovať sa hromadnými dopravnými prostriedkami</w:t>
      </w:r>
      <w:r w:rsidRPr="00F90481">
        <w:rPr>
          <w:rFonts w:ascii="Times New Roman" w:hAnsi="Times New Roman" w:cs="Times New Roman"/>
          <w:shd w:val="clear" w:color="auto" w:fill="FFFFFF"/>
        </w:rPr>
        <w:t xml:space="preserve"> na rovnakom základe s ostatnými fyzickými osobami a pri rešpektovaní ich prirodzenej dôstojnosti a preto  je nevyhnutné, aby im boli poskytnuté uvedené druhy kompenzácií, ktoré im umožnia vykonávať každodenné aktivity a pritom </w:t>
      </w:r>
      <w:r w:rsidRPr="00F90481">
        <w:rPr>
          <w:rFonts w:ascii="Times New Roman" w:hAnsi="Times New Roman" w:cs="Times New Roman"/>
        </w:rPr>
        <w:t>minimalizovať progresiu tohto závažného  ochorenia.</w:t>
      </w:r>
    </w:p>
    <w:p w14:paraId="52547014" w14:textId="77777777" w:rsidR="001E1E41" w:rsidRPr="00F90481" w:rsidRDefault="001E1E41" w:rsidP="001E1E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</w:p>
    <w:p w14:paraId="0C5C8656" w14:textId="77777777" w:rsidR="001E1E41" w:rsidRPr="00F90481" w:rsidRDefault="001E1E41" w:rsidP="001E1E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eastAsia="sk-SK"/>
        </w:rPr>
      </w:pPr>
      <w:r w:rsidRPr="00F90481">
        <w:rPr>
          <w:rFonts w:ascii="Times New Roman" w:hAnsi="Times New Roman" w:cs="Times New Roman"/>
          <w:shd w:val="clear" w:color="auto" w:fill="FFFFFF"/>
        </w:rPr>
        <w:t xml:space="preserve">Občania  postihnutí </w:t>
      </w:r>
      <w:r w:rsidRPr="00F90481">
        <w:rPr>
          <w:rFonts w:ascii="Times New Roman" w:hAnsi="Times New Roman" w:cs="Times New Roman"/>
          <w:bCs/>
          <w:lang w:eastAsia="sk-SK"/>
        </w:rPr>
        <w:t xml:space="preserve">cystickou fibrózou alebo onkologickým ochorením sú aj tak denne </w:t>
      </w:r>
      <w:r w:rsidRPr="00F90481">
        <w:rPr>
          <w:rFonts w:ascii="Times New Roman" w:hAnsi="Times New Roman" w:cs="Times New Roman"/>
          <w:shd w:val="clear" w:color="auto" w:fill="FFFFFF"/>
        </w:rPr>
        <w:t>vystavovaní v priebehu svojho života  nielen dôsledkom svojho ochorenia, ale aj rôznym psychosociálnym problémom v rodine, v škole v zamestnaní, ale aj v priateľských a partnerských vzťahoch.  Ak ide o deti s uvedenými druhmi ťažkého zdravotného postihnutia, najťažšie bremeno spočíva na rodičoch, ktorí sa často vzdávajú svojej kariéry a plne sa venujú svojmu  dieťaťu a bez podpory formou kompenzácie je to veľmi ťažké a niekedy aj priam nemožné.  Ak umožníme, aby aj občanom s ťažkým zdravotným postihnutím s uvedenými druhmi zdravotného postihnutia, bola poskytnutá adekvátna kompenzácia, zvýšime aj im kvalitu ich života rovnako ako občanom s inými druhmi zdravotného postihnutia a nebudeme ich diskriminovať.</w:t>
      </w:r>
    </w:p>
    <w:p w14:paraId="549A4744" w14:textId="77777777" w:rsidR="001E1E41" w:rsidRPr="00F90481" w:rsidRDefault="001E1E41" w:rsidP="001E1E41">
      <w:pPr>
        <w:spacing w:after="0" w:line="240" w:lineRule="auto"/>
        <w:ind w:firstLine="708"/>
        <w:rPr>
          <w:rFonts w:ascii="Times New Roman" w:hAnsi="Times New Roman" w:cs="Times New Roman"/>
          <w:b/>
          <w:lang w:eastAsia="sk-SK"/>
        </w:rPr>
      </w:pPr>
    </w:p>
    <w:p w14:paraId="3DACD41E" w14:textId="15E16482" w:rsidR="001E1E41" w:rsidRPr="00F90481" w:rsidRDefault="001E1E41" w:rsidP="001E1E41">
      <w:pPr>
        <w:spacing w:after="0" w:line="240" w:lineRule="auto"/>
        <w:ind w:firstLine="708"/>
        <w:rPr>
          <w:rFonts w:ascii="Times New Roman" w:hAnsi="Times New Roman" w:cs="Times New Roman"/>
          <w:b/>
          <w:lang w:eastAsia="sk-SK"/>
        </w:rPr>
      </w:pPr>
      <w:r w:rsidRPr="00F90481">
        <w:rPr>
          <w:rFonts w:ascii="Times New Roman" w:hAnsi="Times New Roman" w:cs="Times New Roman"/>
          <w:b/>
          <w:lang w:eastAsia="sk-SK"/>
        </w:rPr>
        <w:t xml:space="preserve">K bodu </w:t>
      </w:r>
      <w:r w:rsidR="008A45EB">
        <w:rPr>
          <w:rFonts w:ascii="Times New Roman" w:hAnsi="Times New Roman" w:cs="Times New Roman"/>
          <w:b/>
          <w:lang w:eastAsia="sk-SK"/>
        </w:rPr>
        <w:t>3</w:t>
      </w:r>
    </w:p>
    <w:p w14:paraId="2A5269A0" w14:textId="77777777" w:rsidR="001E1E41" w:rsidRPr="00F90481" w:rsidRDefault="001E1E41" w:rsidP="001E1E41">
      <w:pPr>
        <w:spacing w:after="0" w:line="240" w:lineRule="auto"/>
        <w:rPr>
          <w:rFonts w:ascii="Times New Roman" w:hAnsi="Times New Roman" w:cs="Times New Roman"/>
          <w:lang w:eastAsia="sk-SK"/>
        </w:rPr>
      </w:pPr>
    </w:p>
    <w:p w14:paraId="36AAFA17" w14:textId="3C1D41BC" w:rsidR="001E1E41" w:rsidRPr="00F90481" w:rsidRDefault="001E1E41" w:rsidP="001E1E41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lang w:eastAsia="sk-SK"/>
        </w:rPr>
        <w:t>Navrhuje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sa,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aby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boli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do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rozsahu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hodín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osobnej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asistencie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započítané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aj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hodiny</w:t>
      </w:r>
      <w:r w:rsidRPr="00F90481">
        <w:rPr>
          <w:rFonts w:ascii="Times New Roman" w:hAnsi="Times New Roman" w:cs="Times New Roman"/>
          <w:spacing w:val="54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osobnej asistencie,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počas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ktorých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fyzická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osoba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ťažkým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zdravotným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postihnutím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navštevuje</w:t>
      </w:r>
      <w:r w:rsidRPr="00F90481">
        <w:rPr>
          <w:rFonts w:ascii="Times New Roman" w:hAnsi="Times New Roman" w:cs="Times New Roman"/>
          <w:spacing w:val="6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škol</w:t>
      </w:r>
      <w:r w:rsidR="00682A29" w:rsidRPr="00F90481">
        <w:rPr>
          <w:rFonts w:ascii="Times New Roman" w:hAnsi="Times New Roman" w:cs="Times New Roman"/>
          <w:lang w:eastAsia="sk-SK"/>
        </w:rPr>
        <w:t>u</w:t>
      </w:r>
      <w:r w:rsidRPr="00F90481">
        <w:rPr>
          <w:rFonts w:ascii="Times New Roman" w:hAnsi="Times New Roman" w:cs="Times New Roman"/>
          <w:lang w:eastAsia="sk-SK"/>
        </w:rPr>
        <w:t>.</w:t>
      </w:r>
    </w:p>
    <w:p w14:paraId="58490B76" w14:textId="77777777" w:rsidR="001E1E41" w:rsidRPr="00F90481" w:rsidRDefault="001E1E41" w:rsidP="001E1E41">
      <w:pPr>
        <w:spacing w:after="0" w:line="240" w:lineRule="auto"/>
        <w:rPr>
          <w:rFonts w:ascii="Times New Roman" w:hAnsi="Times New Roman" w:cs="Times New Roman"/>
          <w:b/>
          <w:bCs/>
          <w:lang w:eastAsia="sk-SK"/>
        </w:rPr>
      </w:pPr>
    </w:p>
    <w:p w14:paraId="0549962C" w14:textId="77777777" w:rsidR="001E1E41" w:rsidRPr="00F90481" w:rsidRDefault="001E1E41" w:rsidP="001E1E41">
      <w:pPr>
        <w:spacing w:after="0" w:line="240" w:lineRule="auto"/>
        <w:ind w:firstLine="708"/>
        <w:rPr>
          <w:rFonts w:ascii="Times New Roman" w:hAnsi="Times New Roman" w:cs="Times New Roman"/>
          <w:lang w:eastAsia="sk-SK"/>
        </w:rPr>
      </w:pPr>
      <w:r w:rsidRPr="00F90481">
        <w:rPr>
          <w:rFonts w:ascii="Times New Roman" w:hAnsi="Times New Roman" w:cs="Times New Roman"/>
          <w:b/>
          <w:bCs/>
          <w:lang w:eastAsia="sk-SK"/>
        </w:rPr>
        <w:t>K Čl. II</w:t>
      </w:r>
    </w:p>
    <w:p w14:paraId="7312C377" w14:textId="77777777" w:rsidR="001E1E41" w:rsidRPr="00F90481" w:rsidRDefault="001E1E41" w:rsidP="001E1E41">
      <w:pPr>
        <w:spacing w:after="0" w:line="240" w:lineRule="auto"/>
        <w:rPr>
          <w:rFonts w:ascii="Times New Roman" w:hAnsi="Times New Roman" w:cs="Times New Roman"/>
          <w:lang w:eastAsia="sk-SK"/>
        </w:rPr>
      </w:pPr>
    </w:p>
    <w:p w14:paraId="31E18FE3" w14:textId="6DA551FC" w:rsidR="001E1E41" w:rsidRPr="00F90481" w:rsidRDefault="001E1E41" w:rsidP="00682A29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proofErr w:type="spellStart"/>
      <w:r w:rsidRPr="00F90481">
        <w:rPr>
          <w:rFonts w:ascii="Times New Roman" w:hAnsi="Times New Roman" w:cs="Times New Roman"/>
          <w:lang w:eastAsia="sk-SK"/>
        </w:rPr>
        <w:t>Novovloženým</w:t>
      </w:r>
      <w:proofErr w:type="spellEnd"/>
      <w:r w:rsidRPr="00F90481">
        <w:rPr>
          <w:rFonts w:ascii="Times New Roman" w:hAnsi="Times New Roman" w:cs="Times New Roman"/>
          <w:lang w:eastAsia="sk-SK"/>
        </w:rPr>
        <w:t xml:space="preserve"> § 145a </w:t>
      </w:r>
      <w:r w:rsidR="00682A29" w:rsidRPr="00F90481">
        <w:rPr>
          <w:rFonts w:ascii="Times New Roman" w:hAnsi="Times New Roman" w:cs="Times New Roman"/>
          <w:lang w:eastAsia="sk-SK"/>
        </w:rPr>
        <w:t>sa zakotvuje, že š</w:t>
      </w:r>
      <w:r w:rsidRPr="00F90481">
        <w:rPr>
          <w:rFonts w:ascii="Times New Roman" w:hAnsi="Times New Roman" w:cs="Times New Roman"/>
          <w:lang w:eastAsia="sk-SK"/>
        </w:rPr>
        <w:t>koly</w:t>
      </w:r>
      <w:r w:rsidRPr="00F90481">
        <w:rPr>
          <w:rFonts w:ascii="Times New Roman" w:hAnsi="Times New Roman" w:cs="Times New Roman"/>
          <w:spacing w:val="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 školské</w:t>
      </w:r>
      <w:r w:rsidRPr="00F90481">
        <w:rPr>
          <w:rFonts w:ascii="Times New Roman" w:hAnsi="Times New Roman" w:cs="Times New Roman"/>
          <w:spacing w:val="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zariadenia</w:t>
      </w:r>
      <w:r w:rsidRPr="00F90481">
        <w:rPr>
          <w:rFonts w:ascii="Times New Roman" w:hAnsi="Times New Roman" w:cs="Times New Roman"/>
          <w:spacing w:val="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poskytujú</w:t>
      </w:r>
      <w:r w:rsidRPr="00F90481">
        <w:rPr>
          <w:rFonts w:ascii="Times New Roman" w:hAnsi="Times New Roman" w:cs="Times New Roman"/>
          <w:spacing w:val="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súčinnosť</w:t>
      </w:r>
      <w:r w:rsidRPr="00F90481">
        <w:rPr>
          <w:rFonts w:ascii="Times New Roman" w:hAnsi="Times New Roman" w:cs="Times New Roman"/>
          <w:spacing w:val="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osobnému</w:t>
      </w:r>
      <w:r w:rsidRPr="00F90481">
        <w:rPr>
          <w:rFonts w:ascii="Times New Roman" w:hAnsi="Times New Roman" w:cs="Times New Roman"/>
          <w:spacing w:val="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asistentovi</w:t>
      </w:r>
      <w:r w:rsidRPr="00F90481">
        <w:rPr>
          <w:rFonts w:ascii="Times New Roman" w:hAnsi="Times New Roman" w:cs="Times New Roman"/>
          <w:spacing w:val="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>vykonávajúcemu</w:t>
      </w:r>
      <w:r w:rsidRPr="00F90481">
        <w:rPr>
          <w:rFonts w:ascii="Times New Roman" w:hAnsi="Times New Roman" w:cs="Times New Roman"/>
          <w:spacing w:val="9"/>
          <w:lang w:eastAsia="sk-SK"/>
        </w:rPr>
        <w:t xml:space="preserve"> </w:t>
      </w:r>
      <w:r w:rsidRPr="00F90481">
        <w:rPr>
          <w:rFonts w:ascii="Times New Roman" w:hAnsi="Times New Roman" w:cs="Times New Roman"/>
          <w:lang w:eastAsia="sk-SK"/>
        </w:rPr>
        <w:t xml:space="preserve">úlohy podľa </w:t>
      </w:r>
      <w:r w:rsidR="00682A29" w:rsidRPr="00F90481">
        <w:rPr>
          <w:rFonts w:ascii="Times New Roman" w:hAnsi="Times New Roman" w:cs="Times New Roman"/>
          <w:lang w:eastAsia="sk-SK"/>
        </w:rPr>
        <w:t>zákona č. 447/2008 Z. z., čím sa v</w:t>
      </w:r>
      <w:r w:rsidRPr="00F90481">
        <w:rPr>
          <w:rFonts w:ascii="Times New Roman" w:hAnsi="Times New Roman" w:cs="Times New Roman"/>
          <w:lang w:eastAsia="sk-SK"/>
        </w:rPr>
        <w:t>ytvára právny základ pre spolupôsobenie osobných asistentov na školách.</w:t>
      </w:r>
    </w:p>
    <w:p w14:paraId="3559C16C" w14:textId="77777777" w:rsidR="001E1E41" w:rsidRPr="00F90481" w:rsidRDefault="001E1E41" w:rsidP="00682A2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sk-SK"/>
        </w:rPr>
      </w:pPr>
    </w:p>
    <w:p w14:paraId="5100690C" w14:textId="794BB33A" w:rsidR="009E3AB1" w:rsidRPr="00F90481" w:rsidRDefault="009E3AB1" w:rsidP="00F675A1">
      <w:pPr>
        <w:spacing w:after="0" w:line="240" w:lineRule="auto"/>
        <w:ind w:firstLine="708"/>
        <w:jc w:val="both"/>
        <w:rPr>
          <w:rStyle w:val="Zstupntext"/>
          <w:rFonts w:eastAsiaTheme="majorEastAsia" w:hAnsi="Times New Roman"/>
          <w:color w:val="000000"/>
        </w:rPr>
      </w:pPr>
      <w:r w:rsidRPr="00F90481">
        <w:rPr>
          <w:rStyle w:val="Zstupntext"/>
          <w:rFonts w:eastAsiaTheme="majorEastAsia" w:hAnsi="Times New Roman"/>
          <w:b/>
          <w:bCs/>
          <w:color w:val="000000"/>
        </w:rPr>
        <w:t>K čl. I</w:t>
      </w:r>
      <w:r w:rsidR="00CC3B5D" w:rsidRPr="00F90481">
        <w:rPr>
          <w:rStyle w:val="Zstupntext"/>
          <w:rFonts w:eastAsiaTheme="majorEastAsia" w:hAnsi="Times New Roman"/>
          <w:b/>
          <w:bCs/>
          <w:color w:val="000000"/>
        </w:rPr>
        <w:t>I</w:t>
      </w:r>
      <w:r w:rsidR="00F90481" w:rsidRPr="00F90481">
        <w:rPr>
          <w:rStyle w:val="Zstupntext"/>
          <w:rFonts w:eastAsiaTheme="majorEastAsia" w:hAnsi="Times New Roman"/>
          <w:b/>
          <w:bCs/>
          <w:color w:val="000000"/>
        </w:rPr>
        <w:t>I</w:t>
      </w:r>
    </w:p>
    <w:p w14:paraId="17CAD71D" w14:textId="36136EFC" w:rsidR="009E3AB1" w:rsidRPr="00F90481" w:rsidRDefault="009E3AB1" w:rsidP="00F675A1">
      <w:pPr>
        <w:spacing w:after="0" w:line="240" w:lineRule="auto"/>
        <w:jc w:val="both"/>
        <w:rPr>
          <w:rStyle w:val="Zstupntext"/>
          <w:rFonts w:eastAsiaTheme="majorEastAsia" w:hAnsi="Times New Roman"/>
          <w:color w:val="000000"/>
        </w:rPr>
      </w:pPr>
    </w:p>
    <w:p w14:paraId="3E297EFA" w14:textId="2CC14499" w:rsidR="00D92E9B" w:rsidRPr="00F90481" w:rsidRDefault="00CC3B5D" w:rsidP="00F675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F5496" w:themeColor="accent1" w:themeShade="BF"/>
        </w:rPr>
      </w:pPr>
      <w:r w:rsidRPr="00F90481">
        <w:rPr>
          <w:rStyle w:val="Zstupntext"/>
          <w:rFonts w:eastAsiaTheme="majorEastAsia" w:hAnsi="Times New Roman"/>
          <w:color w:val="000000"/>
        </w:rPr>
        <w:t xml:space="preserve">Navrhuje sa nadobudnutie účinnosti od </w:t>
      </w:r>
      <w:r w:rsidR="001E1E41" w:rsidRPr="00F90481">
        <w:rPr>
          <w:rFonts w:ascii="Times New Roman" w:hAnsi="Times New Roman" w:cs="Times New Roman"/>
          <w:lang w:eastAsia="sk-SK"/>
        </w:rPr>
        <w:t>1. mája 2019</w:t>
      </w:r>
      <w:r w:rsidRPr="00F90481">
        <w:rPr>
          <w:rStyle w:val="Zstupntext"/>
          <w:rFonts w:eastAsiaTheme="majorEastAsia" w:hAnsi="Times New Roman"/>
          <w:color w:val="000000"/>
        </w:rPr>
        <w:t xml:space="preserve">. </w:t>
      </w:r>
    </w:p>
    <w:sectPr w:rsidR="00D92E9B" w:rsidRPr="00F90481" w:rsidSect="00D92E9B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B71A0" w14:textId="77777777" w:rsidR="004021E7" w:rsidRDefault="004021E7">
      <w:pPr>
        <w:spacing w:after="0" w:line="240" w:lineRule="auto"/>
      </w:pPr>
      <w:r>
        <w:separator/>
      </w:r>
    </w:p>
  </w:endnote>
  <w:endnote w:type="continuationSeparator" w:id="0">
    <w:p w14:paraId="2E505BBE" w14:textId="77777777" w:rsidR="004021E7" w:rsidRDefault="004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BDC7" w14:textId="77777777" w:rsidR="00091FBF" w:rsidRDefault="000631E3" w:rsidP="006447A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21</w:t>
    </w:r>
    <w:r>
      <w:rPr>
        <w:rStyle w:val="slostrany"/>
      </w:rPr>
      <w:fldChar w:fldCharType="end"/>
    </w:r>
  </w:p>
  <w:p w14:paraId="1C911C30" w14:textId="77777777" w:rsidR="00091FBF" w:rsidRDefault="004021E7" w:rsidP="00403BE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68DEE" w14:textId="77777777" w:rsidR="004021E7" w:rsidRDefault="004021E7">
      <w:pPr>
        <w:spacing w:after="0" w:line="240" w:lineRule="auto"/>
      </w:pPr>
      <w:r>
        <w:separator/>
      </w:r>
    </w:p>
  </w:footnote>
  <w:footnote w:type="continuationSeparator" w:id="0">
    <w:p w14:paraId="341BB1B5" w14:textId="77777777" w:rsidR="004021E7" w:rsidRDefault="004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28D1252"/>
    <w:multiLevelType w:val="hybridMultilevel"/>
    <w:tmpl w:val="FB2ECF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703EA"/>
    <w:multiLevelType w:val="hybridMultilevel"/>
    <w:tmpl w:val="C7A81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156C6"/>
    <w:multiLevelType w:val="hybridMultilevel"/>
    <w:tmpl w:val="941A3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D02"/>
    <w:multiLevelType w:val="hybridMultilevel"/>
    <w:tmpl w:val="13285142"/>
    <w:lvl w:ilvl="0" w:tplc="3AA6868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F35263"/>
    <w:multiLevelType w:val="hybridMultilevel"/>
    <w:tmpl w:val="1392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0720"/>
    <w:multiLevelType w:val="hybridMultilevel"/>
    <w:tmpl w:val="20C44BB8"/>
    <w:lvl w:ilvl="0" w:tplc="0AE8AA94">
      <w:start w:val="1"/>
      <w:numFmt w:val="lowerLetter"/>
      <w:lvlText w:val="%1)"/>
      <w:lvlJc w:val="left"/>
      <w:pPr>
        <w:ind w:left="78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454606F"/>
    <w:multiLevelType w:val="hybridMultilevel"/>
    <w:tmpl w:val="146A68B6"/>
    <w:lvl w:ilvl="0" w:tplc="AA089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17A6C"/>
    <w:multiLevelType w:val="hybridMultilevel"/>
    <w:tmpl w:val="2E3E5ADE"/>
    <w:lvl w:ilvl="0" w:tplc="91FE49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66D1"/>
    <w:multiLevelType w:val="multilevel"/>
    <w:tmpl w:val="70C0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25FA6"/>
    <w:multiLevelType w:val="hybridMultilevel"/>
    <w:tmpl w:val="138423F2"/>
    <w:lvl w:ilvl="0" w:tplc="26F60E0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C23B10"/>
    <w:multiLevelType w:val="hybridMultilevel"/>
    <w:tmpl w:val="EDB4D8D2"/>
    <w:lvl w:ilvl="0" w:tplc="ABAEE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4D30"/>
    <w:multiLevelType w:val="hybridMultilevel"/>
    <w:tmpl w:val="988A5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90729"/>
    <w:multiLevelType w:val="hybridMultilevel"/>
    <w:tmpl w:val="C60AEF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F45A06"/>
    <w:multiLevelType w:val="hybridMultilevel"/>
    <w:tmpl w:val="C68ED99A"/>
    <w:lvl w:ilvl="0" w:tplc="AAF8871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71576"/>
    <w:multiLevelType w:val="hybridMultilevel"/>
    <w:tmpl w:val="D43EF2F4"/>
    <w:lvl w:ilvl="0" w:tplc="4370A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71563"/>
    <w:multiLevelType w:val="hybridMultilevel"/>
    <w:tmpl w:val="F5F0926A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D6525"/>
    <w:multiLevelType w:val="hybridMultilevel"/>
    <w:tmpl w:val="F17CD8EA"/>
    <w:lvl w:ilvl="0" w:tplc="9E4E7D2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E879ED"/>
    <w:multiLevelType w:val="hybridMultilevel"/>
    <w:tmpl w:val="AD2611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F77C9"/>
    <w:multiLevelType w:val="hybridMultilevel"/>
    <w:tmpl w:val="E42059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509F6"/>
    <w:multiLevelType w:val="hybridMultilevel"/>
    <w:tmpl w:val="A0E61B1C"/>
    <w:lvl w:ilvl="0" w:tplc="C0809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53538"/>
    <w:multiLevelType w:val="hybridMultilevel"/>
    <w:tmpl w:val="C02C0FC0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D03649"/>
    <w:multiLevelType w:val="hybridMultilevel"/>
    <w:tmpl w:val="70D2A1A0"/>
    <w:lvl w:ilvl="0" w:tplc="1A80FC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99459A"/>
    <w:multiLevelType w:val="hybridMultilevel"/>
    <w:tmpl w:val="BC72D1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8"/>
  </w:num>
  <w:num w:numId="5">
    <w:abstractNumId w:val="13"/>
  </w:num>
  <w:num w:numId="6">
    <w:abstractNumId w:val="23"/>
  </w:num>
  <w:num w:numId="7">
    <w:abstractNumId w:val="20"/>
  </w:num>
  <w:num w:numId="8">
    <w:abstractNumId w:val="17"/>
  </w:num>
  <w:num w:numId="9">
    <w:abstractNumId w:val="15"/>
  </w:num>
  <w:num w:numId="10">
    <w:abstractNumId w:val="19"/>
  </w:num>
  <w:num w:numId="11">
    <w:abstractNumId w:val="4"/>
  </w:num>
  <w:num w:numId="12">
    <w:abstractNumId w:val="2"/>
  </w:num>
  <w:num w:numId="13">
    <w:abstractNumId w:val="10"/>
  </w:num>
  <w:num w:numId="14">
    <w:abstractNumId w:val="16"/>
  </w:num>
  <w:num w:numId="15">
    <w:abstractNumId w:val="24"/>
  </w:num>
  <w:num w:numId="16">
    <w:abstractNumId w:val="6"/>
  </w:num>
  <w:num w:numId="17">
    <w:abstractNumId w:val="21"/>
  </w:num>
  <w:num w:numId="18">
    <w:abstractNumId w:val="3"/>
  </w:num>
  <w:num w:numId="19">
    <w:abstractNumId w:val="7"/>
  </w:num>
  <w:num w:numId="20">
    <w:abstractNumId w:val="0"/>
  </w:num>
  <w:num w:numId="21">
    <w:abstractNumId w:val="1"/>
  </w:num>
  <w:num w:numId="22">
    <w:abstractNumId w:val="18"/>
  </w:num>
  <w:num w:numId="23">
    <w:abstractNumId w:val="14"/>
  </w:num>
  <w:num w:numId="24">
    <w:abstractNumId w:val="5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F"/>
    <w:rsid w:val="00060E97"/>
    <w:rsid w:val="000631E3"/>
    <w:rsid w:val="00085947"/>
    <w:rsid w:val="000B136C"/>
    <w:rsid w:val="000C0AAA"/>
    <w:rsid w:val="000D208E"/>
    <w:rsid w:val="00112A4D"/>
    <w:rsid w:val="0012537A"/>
    <w:rsid w:val="0012739A"/>
    <w:rsid w:val="001327C8"/>
    <w:rsid w:val="00163BE2"/>
    <w:rsid w:val="00175AA1"/>
    <w:rsid w:val="00187078"/>
    <w:rsid w:val="001E1E41"/>
    <w:rsid w:val="001F31BF"/>
    <w:rsid w:val="002743A2"/>
    <w:rsid w:val="00284440"/>
    <w:rsid w:val="002B40FF"/>
    <w:rsid w:val="0030638D"/>
    <w:rsid w:val="00350429"/>
    <w:rsid w:val="00363F7E"/>
    <w:rsid w:val="003727B3"/>
    <w:rsid w:val="003C10B0"/>
    <w:rsid w:val="003E63AB"/>
    <w:rsid w:val="004021E7"/>
    <w:rsid w:val="004062A3"/>
    <w:rsid w:val="00424E2D"/>
    <w:rsid w:val="00464A4C"/>
    <w:rsid w:val="004A162E"/>
    <w:rsid w:val="004D49E8"/>
    <w:rsid w:val="004D578C"/>
    <w:rsid w:val="004E6586"/>
    <w:rsid w:val="00525B0F"/>
    <w:rsid w:val="005368D1"/>
    <w:rsid w:val="00565F68"/>
    <w:rsid w:val="005A34F2"/>
    <w:rsid w:val="005A53E8"/>
    <w:rsid w:val="005D3DB6"/>
    <w:rsid w:val="005D47CF"/>
    <w:rsid w:val="005E424B"/>
    <w:rsid w:val="005E5FA6"/>
    <w:rsid w:val="00630213"/>
    <w:rsid w:val="00647F1B"/>
    <w:rsid w:val="00650369"/>
    <w:rsid w:val="00660C00"/>
    <w:rsid w:val="00682A29"/>
    <w:rsid w:val="00683506"/>
    <w:rsid w:val="006B23BB"/>
    <w:rsid w:val="006C4CC3"/>
    <w:rsid w:val="006D3E07"/>
    <w:rsid w:val="006D7A94"/>
    <w:rsid w:val="006E5366"/>
    <w:rsid w:val="00713F44"/>
    <w:rsid w:val="007C7A92"/>
    <w:rsid w:val="007D0E10"/>
    <w:rsid w:val="007F5820"/>
    <w:rsid w:val="0081522A"/>
    <w:rsid w:val="008467E1"/>
    <w:rsid w:val="008500A1"/>
    <w:rsid w:val="00850F91"/>
    <w:rsid w:val="00871098"/>
    <w:rsid w:val="008A45EB"/>
    <w:rsid w:val="008D389C"/>
    <w:rsid w:val="008D6A50"/>
    <w:rsid w:val="008E4033"/>
    <w:rsid w:val="00905855"/>
    <w:rsid w:val="00920876"/>
    <w:rsid w:val="0094230C"/>
    <w:rsid w:val="0099308E"/>
    <w:rsid w:val="009A5981"/>
    <w:rsid w:val="009E3AB1"/>
    <w:rsid w:val="00A13C9D"/>
    <w:rsid w:val="00A36DCA"/>
    <w:rsid w:val="00A65DF9"/>
    <w:rsid w:val="00A95AEF"/>
    <w:rsid w:val="00AA7D99"/>
    <w:rsid w:val="00AB794C"/>
    <w:rsid w:val="00AD2F9F"/>
    <w:rsid w:val="00AD6935"/>
    <w:rsid w:val="00AF2C9C"/>
    <w:rsid w:val="00B24A01"/>
    <w:rsid w:val="00B52914"/>
    <w:rsid w:val="00B74A97"/>
    <w:rsid w:val="00BE18EC"/>
    <w:rsid w:val="00BF07CE"/>
    <w:rsid w:val="00C017FE"/>
    <w:rsid w:val="00C02D19"/>
    <w:rsid w:val="00C100DD"/>
    <w:rsid w:val="00C12CD9"/>
    <w:rsid w:val="00C329A3"/>
    <w:rsid w:val="00C42F04"/>
    <w:rsid w:val="00C4306D"/>
    <w:rsid w:val="00C43A08"/>
    <w:rsid w:val="00C45D6F"/>
    <w:rsid w:val="00C5051E"/>
    <w:rsid w:val="00C5223E"/>
    <w:rsid w:val="00C73FBF"/>
    <w:rsid w:val="00CC3B5D"/>
    <w:rsid w:val="00CC66A5"/>
    <w:rsid w:val="00CE46CA"/>
    <w:rsid w:val="00CE5EE7"/>
    <w:rsid w:val="00CF69C7"/>
    <w:rsid w:val="00D14C3F"/>
    <w:rsid w:val="00D34EB0"/>
    <w:rsid w:val="00D47202"/>
    <w:rsid w:val="00D57515"/>
    <w:rsid w:val="00D92E9B"/>
    <w:rsid w:val="00DA6E2E"/>
    <w:rsid w:val="00DC4452"/>
    <w:rsid w:val="00E0044A"/>
    <w:rsid w:val="00E04706"/>
    <w:rsid w:val="00E2639A"/>
    <w:rsid w:val="00E43502"/>
    <w:rsid w:val="00E43E2F"/>
    <w:rsid w:val="00E83D74"/>
    <w:rsid w:val="00ED5E4F"/>
    <w:rsid w:val="00EE499B"/>
    <w:rsid w:val="00F13791"/>
    <w:rsid w:val="00F218C8"/>
    <w:rsid w:val="00F437F2"/>
    <w:rsid w:val="00F675A1"/>
    <w:rsid w:val="00F70664"/>
    <w:rsid w:val="00F90481"/>
    <w:rsid w:val="00FA60BE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327F"/>
  <w15:chartTrackingRefBased/>
  <w15:docId w15:val="{95B0EE31-3DE5-44CA-AB1D-3CE624F8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92E9B"/>
    <w:pPr>
      <w:autoSpaceDE w:val="0"/>
      <w:autoSpaceDN w:val="0"/>
      <w:adjustRightInd w:val="0"/>
      <w:spacing w:after="200" w:line="276" w:lineRule="auto"/>
      <w:contextualSpacing/>
    </w:pPr>
    <w:rPr>
      <w:rFonts w:ascii="Book Antiqua" w:eastAsia="Times New Roman" w:hAnsi="Liberation Serif" w:cs="Book Antiqua"/>
      <w:color w:val="000000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2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C02D1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02D1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E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2914"/>
    <w:pPr>
      <w:ind w:left="720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5A53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D6935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5051E"/>
    <w:rPr>
      <w:color w:val="605E5C"/>
      <w:shd w:val="clear" w:color="auto" w:fill="E1DFDD"/>
    </w:rPr>
  </w:style>
  <w:style w:type="paragraph" w:styleId="Zarkazkladnhotextu">
    <w:name w:val="Body Text Indent"/>
    <w:basedOn w:val="Normlny"/>
    <w:link w:val="ZarkazkladnhotextuChar"/>
    <w:rsid w:val="005D3DB6"/>
    <w:pPr>
      <w:spacing w:after="120" w:line="240" w:lineRule="auto"/>
      <w:ind w:left="283"/>
    </w:pPr>
    <w:rPr>
      <w:rFonts w:ascii="Times New Roman" w:hAnsi="Times New Roman" w:cs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D3D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92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e1kladnfdtextChar">
    <w:name w:val="Zŕe1kladn_fd text Char"/>
    <w:basedOn w:val="Predvolenpsmoodseku"/>
    <w:uiPriority w:val="99"/>
    <w:rsid w:val="00D92E9B"/>
    <w:rPr>
      <w:rFonts w:ascii="Times New Roman" w:cs="Times New Roman"/>
    </w:rPr>
  </w:style>
  <w:style w:type="character" w:styleId="Zstupntext">
    <w:name w:val="Placeholder Text"/>
    <w:basedOn w:val="Predvolenpsmoodseku"/>
    <w:uiPriority w:val="99"/>
    <w:rsid w:val="00D92E9B"/>
    <w:rPr>
      <w:rFonts w:ascii="Times New Roman" w:cs="Times New Roman"/>
      <w:color w:val="808080"/>
    </w:rPr>
  </w:style>
  <w:style w:type="paragraph" w:styleId="Normlnywebov">
    <w:name w:val="Normal (Web)"/>
    <w:aliases w:val="webb"/>
    <w:basedOn w:val="Normlny"/>
    <w:uiPriority w:val="99"/>
    <w:rsid w:val="00D92E9B"/>
    <w:pPr>
      <w:spacing w:before="100" w:after="100"/>
    </w:pPr>
  </w:style>
  <w:style w:type="character" w:customStyle="1" w:styleId="Textzstupnhosymbolu">
    <w:name w:val="Text zástupného symbolu"/>
    <w:basedOn w:val="Predvolenpsmoodseku"/>
    <w:uiPriority w:val="99"/>
    <w:semiHidden/>
    <w:rsid w:val="009E3AB1"/>
    <w:rPr>
      <w:rFonts w:ascii="Times New Roman" w:hAnsi="Times New Roman" w:cs="Times New Roman"/>
      <w:color w:val="808080"/>
    </w:rPr>
  </w:style>
  <w:style w:type="paragraph" w:styleId="Pta">
    <w:name w:val="footer"/>
    <w:basedOn w:val="Normlny"/>
    <w:link w:val="PtaChar"/>
    <w:uiPriority w:val="99"/>
    <w:rsid w:val="009E3AB1"/>
    <w:pPr>
      <w:widowControl w:val="0"/>
      <w:tabs>
        <w:tab w:val="center" w:pos="4536"/>
        <w:tab w:val="right" w:pos="9072"/>
      </w:tabs>
      <w:autoSpaceDE/>
      <w:autoSpaceDN/>
      <w:spacing w:after="0" w:line="240" w:lineRule="auto"/>
      <w:contextualSpacing w:val="0"/>
    </w:pPr>
    <w:rPr>
      <w:rFonts w:ascii="Times New Roman" w:hAnsi="Times New Roman" w:cs="Times New Roman"/>
      <w:color w:val="auto"/>
      <w:kern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9E3AB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9E3AB1"/>
    <w:rPr>
      <w:rFonts w:cs="Times New Roman"/>
    </w:rPr>
  </w:style>
  <w:style w:type="paragraph" w:customStyle="1" w:styleId="CarCharCharCharCharChar1">
    <w:name w:val="Car Char Char Char Char Char1"/>
    <w:basedOn w:val="Normlny"/>
    <w:uiPriority w:val="99"/>
    <w:rsid w:val="009E3AB1"/>
    <w:pPr>
      <w:autoSpaceDE/>
      <w:autoSpaceDN/>
      <w:adjustRightInd/>
      <w:spacing w:after="160" w:line="240" w:lineRule="exact"/>
      <w:contextualSpacing w:val="0"/>
    </w:pPr>
    <w:rPr>
      <w:rFonts w:ascii="Tahoma" w:hAnsi="Tahoma" w:cs="Tahoma"/>
      <w:color w:val="auto"/>
      <w:kern w:val="0"/>
      <w:sz w:val="20"/>
      <w:szCs w:val="20"/>
      <w:lang w:val="en-US"/>
    </w:rPr>
  </w:style>
  <w:style w:type="paragraph" w:customStyle="1" w:styleId="CharChar">
    <w:name w:val="Char Char"/>
    <w:basedOn w:val="Normlny"/>
    <w:uiPriority w:val="99"/>
    <w:rsid w:val="009E3AB1"/>
    <w:pPr>
      <w:widowControl w:val="0"/>
      <w:autoSpaceDE/>
      <w:autoSpaceDN/>
      <w:spacing w:after="160" w:line="240" w:lineRule="exact"/>
      <w:contextualSpacing w:val="0"/>
      <w:jc w:val="both"/>
      <w:textAlignment w:val="baseline"/>
    </w:pPr>
    <w:rPr>
      <w:rFonts w:ascii="Tahoma" w:hAnsi="Tahoma" w:cs="Tahoma"/>
      <w:color w:val="auto"/>
      <w:kern w:val="0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9E3AB1"/>
    <w:pPr>
      <w:widowControl w:val="0"/>
      <w:tabs>
        <w:tab w:val="center" w:pos="4536"/>
        <w:tab w:val="right" w:pos="9072"/>
      </w:tabs>
      <w:autoSpaceDE/>
      <w:autoSpaceDN/>
      <w:spacing w:after="0" w:line="240" w:lineRule="auto"/>
      <w:contextualSpacing w:val="0"/>
    </w:pPr>
    <w:rPr>
      <w:rFonts w:ascii="Times New Roman" w:hAnsi="Times New Roman" w:cs="Times New Roman"/>
      <w:color w:val="auto"/>
      <w:kern w:val="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E3AB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35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6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4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39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33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2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7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55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8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1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4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2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1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8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5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1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4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1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1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8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001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70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67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3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9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1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1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70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3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54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86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2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4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0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2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08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8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4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Veronika Pitoňáková</cp:lastModifiedBy>
  <cp:revision>42</cp:revision>
  <cp:lastPrinted>2018-09-18T13:48:00Z</cp:lastPrinted>
  <dcterms:created xsi:type="dcterms:W3CDTF">2019-01-05T15:47:00Z</dcterms:created>
  <dcterms:modified xsi:type="dcterms:W3CDTF">2019-01-07T14:20:00Z</dcterms:modified>
</cp:coreProperties>
</file>