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56" w:rsidRPr="00D47B8A" w:rsidRDefault="00450E56" w:rsidP="00450E56">
      <w:pPr>
        <w:spacing w:before="24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STRATEGIC PARTNERSHIP AGREEMENT</w:t>
      </w:r>
    </w:p>
    <w:p w:rsidR="00450E56" w:rsidRPr="00D47B8A" w:rsidRDefault="00450E56" w:rsidP="00450E56">
      <w:pPr>
        <w:spacing w:before="24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between the European Union and its Member States, of the one part, and Canada, of the other part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EUROPEAN UNION, hereinafter referred to as ‘the Union’,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and</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KINGDOM OF BELGIUM,</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BULGARIA,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CZECH REPUBLIC,</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KINGDOM OF DENMARK,</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FEDERAL REPUBLIC OF GERMANY,</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ESTONIA,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IRELAND,</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HELLENIC REPUBLIC,</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KINGDOM OF SPAIN,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FRENCH REPUBLIC,</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CROATIA,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ITALIAN REPUBLIC,</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CYPRUS,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LATVIA,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LITHUANIA,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GRAND DUCHY OF LUXEMBOURG,</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HUNGARY,</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MALTA,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KINGDOM OF THE NETHERLANDS,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AUSTRIA,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POLAND,</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PORTUGUESE REPUBLIC,</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ROMANIA,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SLOVENIA,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SLOVAK REPUBLIC,</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REPUBLIC OF FINLAND,</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KINGDOM OF SWEDEN,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UNITED KINGDOM OF GREAT BRITAIN AND NORTHERN IRELAND,</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Contracting Parties to the Treaty on European Union and the Treaty on the Functioning of the European Union, hereinafter referred to as ‘the Member States’,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of the one part, and</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CANADA,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of the other part,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hereinafter jointly referred to as ‘the Parties’,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INSPIRED BY the long-standing friendship forged between the people of Europe and Canada through their extensive historical, cultural, political and economic links,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NOTING the strides taken since the 1976 Framework Agreement for commercial and economic cooperation between the European Communities and Canada, the 1990 Declaration on Transatlantic Relations between the European Community and its Member States and Canada, the 1996 Joint Political Declaration on EU-Canada Relations and Joint EU-Canada Action Plan, the 2004 EU-Canada Partnership Agenda and the 2005 Agreement between the European Union and Canada establishing a framework for the participation of Canada in the European Union crisis management operations,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REAFFIRMING their strong attachment to democratic principles and human rights as laid down in the Universal Declaration of Human Rights,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SHARING the view that the proliferation of weapons of mass destruction poses a major threat to international security,</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BUILDING on their long-standing tradition of cooperation in promoting international principles of peace and security and the rule of law,</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REAFFIRMING their determination to combat terrorism and organised crime through bilateral and multilateral channels,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SHARING a commitment to reducing poverty, stimulating inclusive economic growth and assisting developing countries in their efforts towards political and economic reforms,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RECOGNISING their desire to promote sustainable development in its economic, social and environmental dimensions,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EXPRESSING pride in their extensive people-to-people contacts between their citizens and their commitment to the protection and promotion of the diversity of cultural expressions,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ACKNOWLEDGING the important role that effective multilateral organisations can play in advancing cooperation and achieving positive outcomes on global issues and challenges,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MINDFUL of their dynamic trade and investment relationship, which will be further enhanced through the effective implementation of a comprehensive economic and trade agreement,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RECALLING that the provisions of this Agreement that fall within the scope of Part Three, Title V of the Treaty on the Functioning of the European Union bind the United Kingdom and Ireland as separate Contracting Parties, and not as part of the European Union, unless the European Union together with the UK and/or Ireland have jointly notified Canada that the United Kingdom or Ireland is bound as part of the European Union in accordance with the Protocol No 21 on the position of the United Kingdom and Ireland in respect of the area of freedom, security and justice annexed to the Treaty on European Union and the Treaty on the Functioning of the European Union. If the United Kingdom and/or Ireland ceases to be bound as part of the European Union in accordance with Article 4a of the Protocol No 21, the European Union together with the UK and/or Ireland shall immediately inform Canada of any change in their position, in which case they shall remain bound by the provisions of the </w:t>
      </w:r>
      <w:r w:rsidRPr="00D47B8A">
        <w:rPr>
          <w:rFonts w:eastAsia="Times New Roman"/>
          <w:color w:val="000000"/>
          <w:sz w:val="24"/>
          <w:szCs w:val="24"/>
          <w:lang w:eastAsia="sk-SK"/>
        </w:rPr>
        <w:lastRenderedPageBreak/>
        <w:t>agreement in their own right. The same applies to Denmark in accordance with the Protocol annexed to those Treaties on the position of Denmark,</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RECOGNISING the institutional changes in the European Union since the entry into force of the Treaty of Lisbon,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AFFIRMING their status as strategic partners and their determination to further enhance and elevate their relationship and their international cooperation on the basis of mutual respect and dialogue in order to advance their shared interests and values,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PERSUADED that such cooperation should take shape progressively and pragmatically, as their policies develop,</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HAVE AGREED AS FOLLOWS:</w:t>
      </w:r>
    </w:p>
    <w:p w:rsidR="00450E56" w:rsidRPr="00D47B8A" w:rsidRDefault="00450E56" w:rsidP="00450E56">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TITLE I</w:t>
      </w:r>
    </w:p>
    <w:p w:rsidR="00450E56" w:rsidRPr="00D47B8A" w:rsidRDefault="00450E56" w:rsidP="00450E56">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BASIS FOR COOPERATION </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General principles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express their support for the shared principles set out in the Charter of the United Nations.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Mindful of their strategic relationship, the Parties shall endeavour to enhance coherence in developing their cooperation at the bilateral, regional and multilateral levels.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shall implement this Agreement based on shared values, the principles of dialogue, mutual respect, equal partnership, multilateralism, consensus and respect for international law.</w:t>
      </w:r>
    </w:p>
    <w:p w:rsidR="00450E56" w:rsidRPr="00D47B8A" w:rsidRDefault="00450E56" w:rsidP="00450E56">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TITLE II</w:t>
      </w:r>
    </w:p>
    <w:p w:rsidR="00450E56" w:rsidRPr="00D47B8A" w:rsidRDefault="00450E56" w:rsidP="00450E56">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HUMAN RIGHTS, FUNDAMENTAL FREEDOMS, DEMOCRACY AND THE RULE OF LAW </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Upholding and advancing democratic principles, human rights and fundamental freedoms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Respect for democratic principles, human rights and fundamental freedoms, as laid down in the Universal Declaration of Human Rights and existing international human rights treaties and other legally binding instruments to which the Union or the Member States and Canada are party, underpins the Parties' respective national and international policies and constitutes an essential element of this Agreement.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shall endeavour to cooperate and uphold these rights and principles in their own policies and shall encourage other states to adhere to those international human rights treaties and legally binding instruments and to implement their own human rights obligations.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are committed to advancing democracy, including free and fair electoral processes in line with international standards. Each Party shall inform the other of its respective election observation missions and invite the other to participate as appropriate.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4.   The Parties recognise the importance of the rule of law for the protection of human rights and for the effective functioning of governance institutions in a democratic state. This includes the existence of an independent justice system, equality before the law, the right to a fair trial and individuals' access to effective legal redress.</w:t>
      </w:r>
    </w:p>
    <w:p w:rsidR="00450E56" w:rsidRPr="00D47B8A" w:rsidRDefault="00450E56" w:rsidP="00450E56">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TITLE III</w:t>
      </w:r>
    </w:p>
    <w:p w:rsidR="00450E56" w:rsidRPr="00D47B8A" w:rsidRDefault="00450E56" w:rsidP="00450E56">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INTERNATIONAL PEACE AND SECURITY AND EFFECTIVE MULTILATERALISM </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3</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Weapons of mass destruction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consider that the proliferation of weapons of mass destruction (WMDs) and their means of delivery, both to state and non-state actors, represents one of the most serious threats to international stability and security.</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therefore agree to cooperate and to contribute to preventing the proliferation of WMDs and their means of delivery through full compliance with and implementation of their obligations under international disarmament and non-proliferation agreements and UN Security Council Resolutions. In addition, the Parties shall continue to cooperate, as appropriate, in support of non-proliferation efforts through participation in the export control regimes to which both are party. The Parties agree that this provision constitutes an essential element of this Agreement.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furthermore agree to cooperate and to contribute to preventing the proliferation of WMDs and their means of delivery by:</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as appropriate, taking steps to sign, ratify or accede to all relevant international disarmament and non-proliferation treaties and to fully implement all obligations under the treaties to which they are party and encourage other states to adhere to those treaties;</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maintaining an effective system of national export controls, controlling the export and preventing the illicit brokering and transit of WMD-related goods, including a WMD end-use control on dual-use technologies and containing effective sanctions for breaches of export controls;</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combating the proliferation of chemical, biological and toxin weapons. The Parties agree to collaborate in relevant fora to advance the prospects for universal adherence to international conventions, including the Chemical Weapons Convention (Convention on the Prohibition of the Development, Production, Stockpiling and Use of Chemical Weapons and on their Destruction) and the Biological and Toxin Weapons Convention (Convention on the Prohibition of the Development, Production and Stockpiling of Bacteriological (Biological) and Toxin Weapons and on their Destruction).</w:t>
            </w:r>
          </w:p>
        </w:tc>
      </w:tr>
    </w:tbl>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4.   The Parties agree to establish a regular senior-level EU-Canada meeting to exchange views on ways of furthering cooperation on a range of non-proliferation and disarmament issues.</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4</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Small arms and light weapons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1.   The Parties recognise that the illicit manufacture, transfer and circulation of small arms and light weapons (SALWs), including their ammunition, and their excessive accumulation, poor management, inadequately secured stockpiles and uncontrolled spread continue to pose a serious threat to peace and international security.</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agree to implement their respective commitments to deal with the illicit trade in SALWs, including their ammunition, in the framework of the relevant international instruments, including the UN Programme of Action to Prevent, Combat and Eradicate the Illicit Trade in SALWs in All Its Aspects as well as obligations deriving from UN Security Council Resolutions.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shall endeavour to take measures to deal with the illicit trade in SALWs and to cooperate and seek coordination, complementarity and synergy in their common efforts to assist other states in dealing with the illicit trade in SALWs and ammunition at global, regional and national levels, as appropriate.</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5</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International Criminal Court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affirm that the most serious crimes of concern to the international community must not go unpunished and that their effective prosecution must be ensured through taking measures at the national level and through enhancing international cooperation, including with the International Criminal Court (ICC).</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share a common commitment to promoting the universal ratification of, or accession to, the Rome Statute of the ICC, and to work towards its effective domestic implementation of the Statute amongst States Parties to the ICC.</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6</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Cooperation in combating terrorism</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recognise that the fight against terrorism is a shared priority and emphasise that the fight against terrorism shall be conducted with respect for the rule of law, international law, in particular the Charter of the United Nations and relevant United Nations Security Council Resolutions, human rights, international refugee law, humanitarian law and fundamental freedoms.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shall maintain high-level counter-terrorism consultations and ad hoc contacts with a view to promoting effective joint counter-terrorism operational efforts and collaborative mechanisms where possible. This shall include regular exchanges on terrorist listings, countering violent extremism strategies and approaches to emerging counter-terrorism issues.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share a common commitment to the promotion of a comprehensive international approach to combating terrorism under the leadership of the United Nations. The Parties shall endeavour in particular to cooperate in order to deepen the international consensus in this field to promote the full implementation of the UN Global Counterterrorism Strategy and the relevant UN Security Council resolutions, as appropriate.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4.   The Parties shall continue to cooperate closely in the framework of the Global Counter-Terrorism Forum and its working groups.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5.   The Parties shall be guided by the international recommendations established by the Financial Action Task Force to combat the financing of terrorism.</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6.   The Parties shall continue to work together as appropriate to enhance the counter-terrorism capacity of other states to prevent, detect and respond to terrorist activity.</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7</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Cooperation in promoting international peace and stability</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To advance their common interests in promoting international peace and security and effective multilateral institutions and policies, the Parties shall:</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continue their efforts to further strengthen transatlantic security, taking into account the central role of the existing transatlantic security architecture between Europe and North America;</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strengthen their joint efforts in support of crisis management and capacity-building, and further enhance their cooperation in this regard, including on EU operations and missions. The Parties shall endeavour to facilitate participation in these activities, including through early consultations and the sharing of planning information where it is deemed appropriate by the Parties.</w:t>
            </w:r>
          </w:p>
        </w:tc>
      </w:tr>
    </w:tbl>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8</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Cooperation in multilateral, regional and international fora and organisations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share a commitment to multilateralism and efforts to improve the effectiveness of regional and international fora and organisations such as the United Nations and its specialised organisations and agencies, the Organisation for Economic Co-operation and Development (OECD), the North Atlantic Treaty Organization (NATO), the Organization for Security and Co-operation in Europe (OSCE) and other multilateral fora.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shall maintain effective consultation mechanisms on the margins of multilateral fora. At the UN, in addition to their existing dialogues in the areas of human rights and democracy, the Parties shall establish permanent consultation mechanisms at the Human Rights Council, the General Assembly of the United Nations and the UN Offices in Vienna and others, as appropriate and agreed by the Parties.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shall also endeavour to consult on elections to seek effective representation in multilateral organisations.</w:t>
      </w:r>
    </w:p>
    <w:p w:rsidR="00450E56" w:rsidRPr="00D47B8A" w:rsidRDefault="00450E56" w:rsidP="00450E56">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TITLE IV</w:t>
      </w:r>
    </w:p>
    <w:p w:rsidR="00450E56" w:rsidRPr="00D47B8A" w:rsidRDefault="00450E56" w:rsidP="00450E56">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ECONOMIC AND SUSTAINABLE DEVELOPMENT </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9</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Dialogue and global leadership on economic issues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Recognising that sustainable globalisation and greater prosperity can only be achieved through an open world economy, based on market principles, effective regulations and strong global institutions, the Parties shall endeavour to: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demonstrate leadership in promoting sound economic policies and prudent financial management both domestically and through their regional and international engagement;</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(b)</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hold a regular senior-level policy dialogue on macro-economic issues, including central bank representatives as appropriate, with the aim of cooperating on issues of mutual concern;</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encourage, as appropriate, timely and effective dialogue and cooperation on global economic issues of common interest in multilateral organisations and fora in which the Parties participate, such as the OECD, the G-7, the G-20, the International Monetary Fund (IMF), the World Bank and the World Trade Organisation (WTO).</w:t>
            </w:r>
          </w:p>
        </w:tc>
      </w:tr>
    </w:tbl>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10</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Promoting free trade and enhancing investment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will cooperate in order to promote a sustainable increase and development of trade and investment between them to their mutual advantage, as provided for in a comprehensive economic and trade agreement.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shall endeavour to cooperate in order to further strengthen the WTO as the most effective framework for a strong, inclusive and rules-based global trading system.</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shall continue to engage in customs cooperation.</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11</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Cooperation on taxation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With a view to strengthening and developing their economic cooperation, the Parties adhere to and apply the principles of good governance in the tax area, i.e., transparency, exchange of information and avoidance of harmful tax practices in the frameworks of the OECD Forum on harmful tax practices and the Union Code of Conduct on business taxation, as applicable. The Parties shall endeavour to work together to promote and improve the implementation of these principles internationally.</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12</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Sustainable development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reaffirm their commitment to meet the needs of today without compromising the needs of future generations. They recognise that, to be viable over the longer term, economic growth should respect the principles of sustainable development.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shall continue to promote the responsible and efficient use of resources and raise awareness of the economic and social costs of environmental damage and its associated impact on human well-being.</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shall continue to encourage efforts to promote sustainable development through dialogue, the sharing of best practices, good governance and sound financial management.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4.   The Parties share a common goal of reducing poverty and supporting inclusive economic development around the globe, and shall endeavour to work together whenever possible to achieve this aim.</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 xml:space="preserve">5.   For this purpose, the Parties shall establish a regular policy dialogue on development cooperation in order to improve policy coordination on common issues of interest and to improve the quality and effectiveness of their development cooperation, in line with </w:t>
      </w:r>
      <w:r w:rsidRPr="00D47B8A">
        <w:rPr>
          <w:rFonts w:eastAsia="Times New Roman"/>
          <w:color w:val="000000"/>
          <w:sz w:val="24"/>
          <w:szCs w:val="24"/>
          <w:lang w:eastAsia="sk-SK"/>
        </w:rPr>
        <w:lastRenderedPageBreak/>
        <w:t>internationally accepted principles on aid effectiveness. The Parties shall work together to strengthen accountability and transparency with a focus on improving development results, and shall recognise the importance of engaging a range of actors, including the private sector and civil society, in development cooperation.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6.   The Parties recognise the importance of the energy sector to economic prosperity and international peace and stability. They agree on the need to improve and diversify energy supplies, promote innovation and increase energy efficiency in order to strengthen energy opportunity, energy security, and sustainable and affordable energy. The Parties shall maintain a high-level dialogue on energy and continue to collaborate through bilateral and multilateral means in order to support open and competitive markets, share best practices, promote science-based, transparent regulation, and discuss areas of cooperation on energy issues.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7.   The Parties attach great importance to the protection and conservation of the environment and recognise the need for high standards of environmental protection in order to conserve the environment for future generations.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8.   The Parties recognise the global threat of climate change and the need to take immediate and further action to cut emissions in order to stabilise greenhouse gas concentrations in the atmosphere at a level that would prevent dangerous anthropogenic interference with the climate system. In particular, they share a common ambition to find innovative solutions to mitigate and adapt to the effects of climate change. The Parties recognise the global nature of the challenge and shall continue to support international efforts towards a fair, effective, comprehensive and rules-based regime under the United Nations Framework Convention on Climate Change (UNFCCC) that applies to all Parties to the Convention, including working together on moving the Paris Agreement forward.</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9.   The Parties shall maintain high-level dialogues on the environment and on climate change with a view to sharing best practices and promoting effective and inclusive cooperation on climate change and other issues relating to environmental protection.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10.   The Parties recognise the importance of dialogue and cooperation at bilateral or multilateral levels in the field of employment, social affairs and decent work, particularly in the context of globalisation and demographic changes. The Parties shall endeavour to promote cooperation and exchanges of information and experiences on employment and social matters. The Parties also confirm their attachment to respect, promote and realise internationally recognised labour standards to which they have committed, such as those referred to in the 1998 International Labour Organization (ILO) Declaration on Fundamental Principles and Rights at Work and its follow-up.</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13</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Dialogue on other areas of mutual interest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Recognising their shared commitment to deepen and expand their longstanding engagement as well as acknowledging existing cooperation, the Parties shall endeavour, in appropriate bilateral and multilateral fora, to encourage expert dialogue and exchanges of best practices in policy areas of mutual interest. These include, but are not limited to, the areas of: agriculture, fisheries, international ocean and maritime policy, rural development, international transportation, employment, and circumpolar issues including science and technology. Where appropriate, this could also include exchanges on legislative, regulatory and administrative practices, as well as on decision-making processes.</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lastRenderedPageBreak/>
        <w:t>Article 14</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Citizens' well-being</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Recognising the importance of expanding and deepening their dialogue and cooperation on a wide range of issues that affect the well-being of their citizens and the larger global community, the Parties shall encourage and facilitate dialogue, consultation and, where possible, cooperation on existing and emerging issues of mutual interest affecting citizens' well-being.</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recognise the importance of consumer protection and shall encourage the exchange of information and best practice in this area.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encourage mutual cooperation and information exchange on global health issues and on preparedness and response to global public-health emergencies.</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15</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Cooperation on knowledge, research, innovation and communication technology</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Considering the importance of new knowledge to address global challenges, the Parties shall continue to encourage cooperation in the field of science, technology, research and innovation.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Recognising the importance of information and communication technologies as key elements of modern life and socio-economic development, the Parties shall endeavour to cooperate and exchange views on national, regional and international policies in this field as appropriate.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Recognising that the security and stability of the Internet in full respect of fundamental rights and freedoms is a global challenge, the Parties shall endeavour to cooperate at bilateral and multilateral levels through dialogue and exchange of expertise.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4.   The Parties recognise that the use of space systems is increasingly important to meet their socio-economic, environment and international policy objectives. The Parties shall continue to further their cooperation in the development and use of space assets to support citizens, businesses and government organisations.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5.   The Parties shall endeavour to continue their cooperation in the field of statistics, with a particular focus on actively promoting the sharing of best practices and policies.</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16</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Promoting the diversity of cultural expressions, education and youth, and people-to-people contacts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take pride in the long-standing cultural, linguistic and traditional ties that have built bridges of understanding between them. Transatlantic ties exist at all levels of government and society and the impact of this relationship is significant across Canadian and European societies. The Parties shall endeavour to encourage these ties and to seek new ways to foster relationships through people-to-people contacts. The Parties shall endeavour to use exchanges through non-governmental organisations and think-tanks that bring together youth and other economic and social partners to expand and deepen these relations and enrich the flow of ideas for the solution of common challenges.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2.   Recognising the extensive academic, educational, sport, culture, tourism and youth mobility relationships that have developed between them over the years, the Parties welcome and encourage continued collaboration in expanding these linkages, as appropriate.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shall endeavour to foster the diversity of cultural expressions, including through the promotion, as appropriate, of the principles and objectives of the 2005 UNESCO Convention on the Protection and Promotion of the Diversity of Cultural Expressions.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4.   The Parties shall endeavour to encourage and facilitate exchanges, cooperation and dialogue between their cultural institutions and professionals in this sector as appropriate.</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17</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Disaster resilience and emergency management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To minimise the impact of natural and man-made disasters and increase the resilience of society and infrastructure, the Parties affirm their common commitment to promote prevention, preparedness, response and recovery measures, including through cooperation as appropriate at the bilateral and multilateral level.</w:t>
      </w:r>
    </w:p>
    <w:p w:rsidR="00450E56" w:rsidRPr="00D47B8A" w:rsidRDefault="00450E56" w:rsidP="00450E56">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TITLE V</w:t>
      </w:r>
    </w:p>
    <w:p w:rsidR="00450E56" w:rsidRPr="00D47B8A" w:rsidRDefault="00450E56" w:rsidP="00450E56">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JUSTICE, FREEDOM AND SECURITY </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18</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Judicial cooperation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As regards judicial cooperation in criminal matters, the Parties shall seek to enhance existing cooperation on mutual legal assistance and extradition based on relevant international agreements. The Parties shall also, within their powers and competences, seek to strengthen existing mechanisms and, as appropriate, consider the development of new mechanisms to facilitate international cooperation in this area. This would include, as appropriate, accession to, and implementation of, the relevant international instruments and closer cooperation with Eurojust.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shall develop, as appropriate, judicial cooperation in civil and commercial matters, to the extent of their respective competences, in particular, as regards the negotiation, ratification and implementation of multilateral conventions on civil judicial cooperation, including the Conventions of the Hague Conference on Private International Law in the field of international legal cooperation and litigation as well as the protection of children.</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19</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Cooperation against illicit drugs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Within their respective powers and competences, the Parties shall cooperate to ensure a balanced and integrated approach on drug issues. The Parties shall focus their efforts to:</w:t>
      </w:r>
    </w:p>
    <w:tbl>
      <w:tblPr>
        <w:tblW w:w="5000" w:type="pct"/>
        <w:tblCellSpacing w:w="0" w:type="dxa"/>
        <w:tblCellMar>
          <w:left w:w="0" w:type="dxa"/>
          <w:right w:w="0" w:type="dxa"/>
        </w:tblCellMar>
        <w:tblLook w:val="04A0" w:firstRow="1" w:lastRow="0" w:firstColumn="1" w:lastColumn="0" w:noHBand="0" w:noVBand="1"/>
      </w:tblPr>
      <w:tblGrid>
        <w:gridCol w:w="459"/>
        <w:gridCol w:w="8613"/>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reinforce structures for combating illicit drugs;</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50"/>
        <w:gridCol w:w="872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reduce the supply, trafficking and the demand for illicit drugs;</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22"/>
        <w:gridCol w:w="8750"/>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address the health and social consequences of illicit drug abuse; and</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maximise the effectiveness of structures aimed at reducing the diversion of chemical precursors used for the illicit production of narcotic drugs and psychotropic substances.</w:t>
            </w:r>
          </w:p>
        </w:tc>
      </w:tr>
    </w:tbl>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2.   The Parties shall collaborate to attain these objectives, including, where possible, by coordinating their technical assistance programmes and by encouraging countries that have not already done so to ratify and implement existing international drug control conventions to which the Union or the Member States and Canada are party. The Parties shall base their actions on commonly accepted principles in line with the relevant international drug control conventions and respect the overarching goals of the 2009 UN Political Declaration and Plan of Action on International Cooperation Towards an Integrated and Balanced Strategy to Counter the World Drug Problem.</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20</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Law enforcement cooperation and the fight against organised crime and corruption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share a commitment to cooperating in combating organised, economic and financial crime, corruption, counterfeiting, smuggling and illegal transactions through compliance with their mutual international obligations in this area, including as regards effective cooperation in the recovery of assets or funds derived from acts of corruption.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affirm their commitment to developing law enforcement cooperation, including through continuing cooperation with Europol.</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In addition, the Parties shall endeavour to collaborate in international fora to promote, as appropriate, adherence to and the implementation of the UN Convention Against Transnational Organized Crime and its supplementing Protocols to which they are both party.</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4.   The Parties shall also endeavour to promote, as appropriate, the implementation of the UN Convention against Corruption, including through the operation of a strong review mechanism, taking account of the principles of transparency and participation of civil society.</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21</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Money laundering and the financing of terrorism</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recognise the need to cooperate on preventing the use of their financial systems to launder the proceeds of all criminal activity, including drug trafficking and corruption, and to combat the financing of terrorism. This cooperation extends to the forfeiture of assets or funds derived from criminal activity, within their respective legal frameworks and laws.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shall exchange relevant information, as appropriate within their respective legal frameworks and laws, and implement appropriate measures to combat money laundering and the financing of terrorism, guided by the recommendations of the Financial Action Task Force and standards adopted by other relevant international bodies active in this area.</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22</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Cybercrime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recognise that cybercrime is a global problem requiring global responses. To that end, the Parties shall strengthen cooperation to prevent and combat cybercrime through the exchange of information and practical knowledge, in compliance with their respective legal frameworks and laws. The Parties shall endeavour to work together, where appropriate, to provide assistance and support to other states in the development of effective laws, policies and practices to prevent and combat cybercrime wherever it occurs.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2.   The Parties shall, as appropriate within their respective legal frameworks and laws, exchange information in fields including the education and training of cybercrime investigators, the conduct of cybercrime investigations and digital forensics.</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23</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Migration, asylum and border management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reaffirm their commitment to cooperating and exchanging views within the framework of their respective laws and regulations in the areas of migration (including legal migration, irregular migration, trafficking in human beings, migration and development), asylum, integration, visas and border management.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share the objective of visa-free travel between the Union and Canada for all of their respective citizens. The Parties shall work together and make every effort to achieve, as soon as possible, visa-free travel between their territories for all citizens with a valid passport.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agree to cooperate in order to prevent and control irregular migration. To this end:</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Canada shall readmit any of its citizens illegally present on the territory of a Member State, on request by the latter and, unless otherwise provided by a specific agreement, without further formalities;</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Each Member State shall readmit any of its citizens illegally present on the territory of Canada, upon request by the latter and, unless otherwise provided by a specific agreement, without further formalities;</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The Member States and Canada shall provide their citizens with appropriate travel documents for this purpose;</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(d)</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The Parties shall endeavour to engage in negotiations of a specific agreement to set out obligations on readmission, including the readmission of nationals of third countries and stateless persons.</w:t>
            </w:r>
          </w:p>
        </w:tc>
      </w:tr>
    </w:tbl>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24</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Consular protection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Canada shall allow Union citizens to enjoy in Canada, if the Member State of which they are a citizen does not have an accessible permanent representation in Canada, the protection of the diplomatic and consular authorities of any Member State.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Member States shall allow Canadian citizens to enjoy in the territory of any Member State, if Canada does not have an accessible permanent representation in the territory of that Member State, the protection of the diplomatic and consular authorities of any other state designated by Canada.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Paragraphs 1 and 2 are intended to dispense with any requirements for notification and consent that might otherwise apply for the purposes of allowing Union or Canadian citizens to be represented by any state other than that of which they are nationals.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4.   The Parties shall review on an annual basis the administrative functioning of paragraphs 1 and 2.</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25</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lastRenderedPageBreak/>
        <w:t>Personal data protection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recognise the need to protect personal data and shall endeavour to work together to promote high international standards.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The Parties recognise the importance of protecting fundamental rights and freedoms, including the right to privacy with respect to the protection of personal data. To this end, the Parties shall undertake, within the framework of their respective laws and regulations, to respect the commitments they have made in connection with these rights, including while preventing and combating terrorism and other serious crimes that are transnational in nature, including organised crime.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The Parties shall continue to cooperate within the framework of their respective laws and regulations at bilateral and multilateral levels through dialogue and exchange of expertise, as appropriate, with respect to personal data protection.</w:t>
      </w:r>
    </w:p>
    <w:p w:rsidR="00450E56" w:rsidRPr="00D47B8A" w:rsidRDefault="00450E56" w:rsidP="00450E56">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t>TITLE VI</w:t>
      </w:r>
    </w:p>
    <w:p w:rsidR="00450E56" w:rsidRPr="00D47B8A" w:rsidRDefault="00450E56" w:rsidP="00450E56">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POLITICAL DIALOGUE AND CONSULTATION MECHANISMS </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26</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Political dialogue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Parties shall endeavour to strengthen their dialogue and consultation in an effective and pragmatic fashion to support their evolving relationship, to advance their relations and to promote their common interests and values through their multilateral engagement.</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27</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Consultation mechanisms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shall engage in dialogue through ongoing contacts, exchanges and consultations, which include the following:</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summits at leaders level on an annual basis or as mutually agreed, held alternately in the Union and in Canada;</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707"/>
        <w:gridCol w:w="836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meetings at foreign-minister level;</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57"/>
        <w:gridCol w:w="871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consultations at ministerial level on policy issues of mutual interest;</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(d)</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consultations of officials at the senior and working level on issues of mutual interest or briefings and cooperation on major domestic or international developments;</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(e)</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promotion of exchanges of delegations from the European Parliament and the Parliament of Canada.</w:t>
            </w:r>
          </w:p>
        </w:tc>
      </w:tr>
    </w:tbl>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Joint Ministerial Committee</w:t>
      </w:r>
    </w:p>
    <w:tbl>
      <w:tblPr>
        <w:tblW w:w="5000" w:type="pct"/>
        <w:tblCellSpacing w:w="0" w:type="dxa"/>
        <w:tblCellMar>
          <w:left w:w="0" w:type="dxa"/>
          <w:right w:w="0" w:type="dxa"/>
        </w:tblCellMar>
        <w:tblLook w:val="04A0" w:firstRow="1" w:lastRow="0" w:firstColumn="1" w:lastColumn="0" w:noHBand="0" w:noVBand="1"/>
      </w:tblPr>
      <w:tblGrid>
        <w:gridCol w:w="403"/>
        <w:gridCol w:w="8669"/>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 Joint Ministerial Committee (JMC) is hereby established.</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The JMC:</w:t>
            </w:r>
          </w:p>
          <w:tbl>
            <w:tblPr>
              <w:tblW w:w="5000" w:type="pct"/>
              <w:tblCellSpacing w:w="0" w:type="dxa"/>
              <w:tblCellMar>
                <w:left w:w="0" w:type="dxa"/>
                <w:right w:w="0" w:type="dxa"/>
              </w:tblCellMar>
              <w:tblLook w:val="04A0" w:firstRow="1" w:lastRow="0" w:firstColumn="1" w:lastColumn="0" w:noHBand="0" w:noVBand="1"/>
            </w:tblPr>
            <w:tblGrid>
              <w:gridCol w:w="541"/>
              <w:gridCol w:w="8251"/>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replaces the Transatlantic Dialogue;</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94"/>
              <w:gridCol w:w="8498"/>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is co-chaired by the Minister of Foreign Affairs of Canada and the High Representative of the Union for Foreign Affairs and Security Policy;</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26"/>
              <w:gridCol w:w="8366"/>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(iii)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meets on an annual basis, or as mutually agreed as circumstances require;</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657"/>
              <w:gridCol w:w="813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(iv)</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adopts its own agenda, rules and procedures;</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93"/>
              <w:gridCol w:w="8299"/>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(v)</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takes decisions with the approval of both Parties;</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47"/>
              <w:gridCol w:w="844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receives an annual report by the Joint Cooperation Committee (JCC) on the state of the relationship and makes related recommendations on the work of the JCC including on new areas for future cooperation and the resolution of any disputes arising from the implementation of this Agreement;</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766"/>
              <w:gridCol w:w="8026"/>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is composed of representatives of the Parties.</w:t>
                  </w:r>
                </w:p>
              </w:tc>
            </w:tr>
          </w:tbl>
          <w:p w:rsidR="00450E56" w:rsidRPr="00D47B8A" w:rsidRDefault="00450E56" w:rsidP="00E3606D">
            <w:pPr>
              <w:rPr>
                <w:rFonts w:eastAsia="Times New Roman"/>
                <w:color w:val="000000"/>
                <w:sz w:val="24"/>
                <w:szCs w:val="24"/>
                <w:lang w:eastAsia="sk-SK"/>
              </w:rPr>
            </w:pPr>
          </w:p>
        </w:tc>
      </w:tr>
    </w:tbl>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3.   Joint Cooperation Committee</w:t>
      </w:r>
    </w:p>
    <w:tbl>
      <w:tblPr>
        <w:tblW w:w="5000" w:type="pct"/>
        <w:tblCellSpacing w:w="0" w:type="dxa"/>
        <w:tblCellMar>
          <w:left w:w="0" w:type="dxa"/>
          <w:right w:w="0" w:type="dxa"/>
        </w:tblCellMar>
        <w:tblLook w:val="04A0" w:firstRow="1" w:lastRow="0" w:firstColumn="1" w:lastColumn="0" w:noHBand="0" w:noVBand="1"/>
      </w:tblPr>
      <w:tblGrid>
        <w:gridCol w:w="371"/>
        <w:gridCol w:w="8701"/>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The Parties shall establish a Joint Cooperation Committee (JCC).</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The Parties shall ensure that the JCC:</w:t>
            </w:r>
          </w:p>
          <w:tbl>
            <w:tblPr>
              <w:tblW w:w="5000" w:type="pct"/>
              <w:tblCellSpacing w:w="0" w:type="dxa"/>
              <w:tblCellMar>
                <w:left w:w="0" w:type="dxa"/>
                <w:right w:w="0" w:type="dxa"/>
              </w:tblCellMar>
              <w:tblLook w:val="04A0" w:firstRow="1" w:lastRow="0" w:firstColumn="1" w:lastColumn="0" w:noHBand="0" w:noVBand="1"/>
            </w:tblPr>
            <w:tblGrid>
              <w:gridCol w:w="291"/>
              <w:gridCol w:w="8501"/>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recommends priorities in relation to cooperation between the Parties;</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42"/>
              <w:gridCol w:w="8450"/>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monitors the developments in the strategic relationship between the Parties;</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18"/>
              <w:gridCol w:w="8374"/>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(iii)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exchanges views and makes suggestions on any issues of common interest;</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47"/>
              <w:gridCol w:w="844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(iv)</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makes recommendations for efficiencies, greater effectiveness and synergies between the Parties;</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518"/>
              <w:gridCol w:w="8274"/>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(v)</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ensures that this Agreement operates properly;</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47"/>
              <w:gridCol w:w="844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provides an annual report to the JMC on the state of the relationship that the Parties shall make public, as noted in paragraph 2(b)(vi) of this Article;</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21"/>
              <w:gridCol w:w="8371"/>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deals appropriately with any matter referred to it by the Parties under this Agreement;</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480"/>
              <w:gridCol w:w="831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(viii)</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establishes sub-committees to assist it in the performance of its duties. These sub-committees should, however, not duplicate bodies established under other agreements between the Parties;</w:t>
                  </w:r>
                </w:p>
              </w:tc>
            </w:tr>
          </w:tbl>
          <w:p w:rsidR="00450E56" w:rsidRPr="00D47B8A" w:rsidRDefault="00450E56" w:rsidP="00E3606D">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347"/>
              <w:gridCol w:w="844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(ix)</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considers situations where either Party deems its interests have been or could be adversely affected by decision-making processes in areas of cooperation not governed by a specific agreement.</w:t>
                  </w:r>
                </w:p>
              </w:tc>
            </w:tr>
          </w:tbl>
          <w:p w:rsidR="00450E56" w:rsidRPr="00D47B8A" w:rsidRDefault="00450E56" w:rsidP="00E3606D">
            <w:pPr>
              <w:rPr>
                <w:rFonts w:eastAsia="Times New Roman"/>
                <w:color w:val="000000"/>
                <w:sz w:val="24"/>
                <w:szCs w:val="24"/>
                <w:lang w:eastAsia="sk-SK"/>
              </w:rPr>
            </w:pP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(c)</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The Parties shall ensure: that the JCC meets once a year in the Union and Canada alternately; that special meetings of the JCC are held at the request of either Party; that the JCC is co-chaired by one senior official from Canada and one senior official from the Union; and that it agrees on its own terms of reference, including observer participation.</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(d)</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The JCC shall be composed of the representatives of the Parties, with due attention to promoting efficiency and economy in establishing the levels of participation.</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(e)</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The Parties agree that the JCC may request committees and similar bodies established under existing bilateral agreements between the Parties to provide regular updates to the JCC on their activities as part of an ongoing, comprehensive overview of the relationship between the Parties.</w:t>
            </w:r>
          </w:p>
        </w:tc>
      </w:tr>
    </w:tbl>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28</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Fulfilment of obligations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In the spirit of mutual respect and cooperation embodied by this Agreement, the Parties shall take the general or specific measures required to fulfil their obligations under this Agreement.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2.   Should any questions or differences arise in the implementation or interpretation of this Agreement, the Parties shall strengthen their efforts to consult and cooperate in order to resolve the issues in a timely and amicable manner. At the request of either Party, questions or differences shall be referred to the JCC for further discussion and study. The Parties may also jointly decide to refer these matters to special sub-committees reporting to the JCC. The Parties shall ensure that the JCC or the appointed sub-committee meets within a reasonable amount of time to seek to resolve any differences in the implementation or interpretation of this Agreement through early communication, a thorough examination of the facts, including expert advice and scientific evidence as appropriate, and effective dialogue.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Reaffirming their strong shared commitment to human rights and non-proliferation, the Parties consider that a particularly serious and substantial violation of the obligations described in Articles 2(1) and 3(2) may be addressed as a case of special urgency. The Parties consider that, for a situation to constitute a ‘particularly serious and substantial violation’ of Article 2(1), its gravity and nature would have to be of an exceptional sort such as a coup d'État or grave crimes that threaten the peace, security and well-being of the international community.</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4.   In cases where a situation occurring in a third country could be considered equivalent in gravity and nature to a case of special urgency, the Parties shall endeavour to hold urgent consultations, at the request of either Party, to exchange views on the situation and consider possible responses.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5.   In the unlikely and unexpected event that a case of special urgency occurs in the territory of one of the Parties, either Party may seize the JMC of the matter. The JMC may ask the JCC to hold urgent consultations within 15 days. The Parties shall provide the relevant information and evidence required for a thorough examination and a timely and effective resolution of the situation. Should the JCC be unable to resolve the situation, it may submit the matter to the JMC for urgent consideration.</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6.</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80"/>
              <w:gridCol w:w="861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In a case of special urgency where the JMC is unable to resolve the situation, either Party may decide to suspend the provisions of this Agreement. In the Union, the decision to suspend would entail unanimity. In Canada, the decision to suspend would be taken by the Government of Canada in accordance with its laws and regulations. A Party shall immediately notify the other Party, in writing, of the decision and shall apply the decision for the minimum period of time necessary to resolve the issue in a manner acceptable to the Parties;</w:t>
                  </w:r>
                </w:p>
              </w:tc>
            </w:tr>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The Parties shall keep under constant review the development of the situation which prompted that decision and which could serve as grounds for other appropriate measures taken outside the framework of this Agreement. The Party invoking the suspension or other measures shall withdraw them as soon as warranted.</w:t>
                  </w:r>
                </w:p>
              </w:tc>
            </w:tr>
          </w:tbl>
          <w:p w:rsidR="00450E56" w:rsidRPr="00D47B8A" w:rsidRDefault="00450E56" w:rsidP="00E3606D">
            <w:pPr>
              <w:rPr>
                <w:rFonts w:eastAsia="Times New Roman"/>
                <w:color w:val="000000"/>
                <w:sz w:val="24"/>
                <w:szCs w:val="24"/>
                <w:lang w:eastAsia="sk-SK"/>
              </w:rPr>
            </w:pPr>
          </w:p>
        </w:tc>
      </w:tr>
    </w:tbl>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7.   In addition, the Parties recognise that a particularly serious and substantial violation of human rights or non-proliferation, as defined in paragraph 3, could also serve as grounds for the termination of the EU-Canada Comprehensive Economic and Trade Agreement (CETA) in accordance with Article 30.9 of that Agreement.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8.   This Agreement shall not affect or prejudice the interpretation or application of other agreements between the Parties. In particular, the dispute settlement provisions of this Agreement shall not replace or affect in any way the dispute settlement provisions of other agreements between the Parties.</w:t>
      </w:r>
    </w:p>
    <w:p w:rsidR="00450E56" w:rsidRPr="00D47B8A" w:rsidRDefault="00450E56" w:rsidP="00450E56">
      <w:pPr>
        <w:spacing w:before="480"/>
        <w:jc w:val="center"/>
        <w:rPr>
          <w:rFonts w:eastAsia="Times New Roman"/>
          <w:b/>
          <w:bCs/>
          <w:color w:val="000000"/>
          <w:sz w:val="24"/>
          <w:szCs w:val="24"/>
          <w:lang w:eastAsia="sk-SK"/>
        </w:rPr>
      </w:pPr>
      <w:r w:rsidRPr="00D47B8A">
        <w:rPr>
          <w:rFonts w:eastAsia="Times New Roman"/>
          <w:b/>
          <w:bCs/>
          <w:color w:val="000000"/>
          <w:sz w:val="24"/>
          <w:szCs w:val="24"/>
          <w:lang w:eastAsia="sk-SK"/>
        </w:rPr>
        <w:lastRenderedPageBreak/>
        <w:t>TITLE VII</w:t>
      </w:r>
    </w:p>
    <w:p w:rsidR="00450E56" w:rsidRPr="00D47B8A" w:rsidRDefault="00450E56" w:rsidP="00450E56">
      <w:pPr>
        <w:spacing w:before="75" w:after="120"/>
        <w:jc w:val="center"/>
        <w:rPr>
          <w:rFonts w:eastAsia="Times New Roman"/>
          <w:b/>
          <w:bCs/>
          <w:color w:val="000000"/>
          <w:sz w:val="24"/>
          <w:szCs w:val="24"/>
          <w:lang w:eastAsia="sk-SK"/>
        </w:rPr>
      </w:pPr>
      <w:r w:rsidRPr="00D47B8A">
        <w:rPr>
          <w:rFonts w:eastAsia="Times New Roman"/>
          <w:b/>
          <w:bCs/>
          <w:color w:val="000000"/>
          <w:sz w:val="24"/>
          <w:szCs w:val="24"/>
          <w:lang w:eastAsia="sk-SK"/>
        </w:rPr>
        <w:t xml:space="preserve">FINAL PROVISIONS </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29</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Security and disclosure of information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This Agreement shall not be construed to prejudice Union, Member State or Canadian laws and regulations regarding public access to official documents.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This Agreement shall not be construed to require a Party to provide any information if that Party considers that it is contrary to its essential security interests to disclose that information.</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30</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Entry into force and termination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1.   The Parties shall notify each other once they have completed the internal procedures required for this Agreement to enter into force. This Agreement enters into force on the first day of the month following the date of the last notification.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2.   Notwithstanding paragraph 1, the Union and Canada shall apply parts of this Agreement on a provisional basis, as set out in this paragraph, pending its entry into force and in accordance with their respective internal procedures and legislation, as applicable.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Provisional application begins on the first day of the second month following the date on which the Union and Canada notify each other of the following:</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(a)</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For the Union, the completion of the internal procedures necessary for this purpose, indicating the parts of the Agreement that shall be provisionally applied; and</w:t>
            </w:r>
          </w:p>
        </w:tc>
      </w:tr>
    </w:tbl>
    <w:p w:rsidR="00450E56" w:rsidRPr="00D47B8A" w:rsidRDefault="00450E56" w:rsidP="00450E56">
      <w:pPr>
        <w:rPr>
          <w:rFonts w:eastAsia="Times New Roman"/>
          <w:vanish/>
          <w:color w:val="000000"/>
          <w:sz w:val="24"/>
          <w:szCs w:val="24"/>
          <w:lang w:eastAsia="sk-SK"/>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450E56" w:rsidRPr="00D47B8A" w:rsidTr="00E3606D">
        <w:trPr>
          <w:tblCellSpacing w:w="0" w:type="dxa"/>
        </w:trPr>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(b)</w:t>
            </w:r>
          </w:p>
        </w:tc>
        <w:tc>
          <w:tcPr>
            <w:tcW w:w="0" w:type="auto"/>
            <w:hideMark/>
          </w:tcPr>
          <w:p w:rsidR="00450E56" w:rsidRPr="00D47B8A" w:rsidRDefault="00450E56" w:rsidP="00E3606D">
            <w:pPr>
              <w:spacing w:before="120"/>
              <w:rPr>
                <w:rFonts w:eastAsia="Times New Roman"/>
                <w:color w:val="000000"/>
                <w:sz w:val="24"/>
                <w:szCs w:val="24"/>
                <w:lang w:eastAsia="sk-SK"/>
              </w:rPr>
            </w:pPr>
            <w:r w:rsidRPr="00D47B8A">
              <w:rPr>
                <w:rFonts w:eastAsia="Times New Roman"/>
                <w:color w:val="000000"/>
                <w:sz w:val="24"/>
                <w:szCs w:val="24"/>
                <w:lang w:eastAsia="sk-SK"/>
              </w:rPr>
              <w:t>For Canada, the completion of the internal procedures necessary for this purpose, confirming its agreement to the parts of the Agreement that shall be provisionally applied.</w:t>
            </w:r>
          </w:p>
        </w:tc>
      </w:tr>
    </w:tbl>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3.   Either Party may notify in writing the other Party of its intention to denounce this Agreement. The denunciation takes effect six months after the notification.</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31</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Amendment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Parties may amend this Agreement by agreement in writing. The amendment comes into force on the first day of the month following the date of the last notification by which the Parties notify each other that all necessary internal procedures for entry into force of the amendment are complete.</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32</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Notifications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The Parties shall submit all notifications made in accordance with Articles 30 and 31 to the General Secretariat of the Council of the European Union and Canada's Department of Foreign Affairs, Trade and Development or their respective successors.</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33</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Territorial application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lastRenderedPageBreak/>
        <w:t>This Agreement applies, on the one hand, to the territories in which the Treaties on which the European Union is founded apply and under the conditions laid down in those Treaties, and, on the other hand, to Canada.</w:t>
      </w:r>
    </w:p>
    <w:p w:rsidR="00450E56" w:rsidRPr="00D47B8A" w:rsidRDefault="00450E56" w:rsidP="00450E56">
      <w:pPr>
        <w:spacing w:before="360" w:after="120"/>
        <w:jc w:val="center"/>
        <w:rPr>
          <w:rFonts w:eastAsia="Times New Roman"/>
          <w:i/>
          <w:iCs/>
          <w:color w:val="000000"/>
          <w:sz w:val="24"/>
          <w:szCs w:val="24"/>
          <w:lang w:eastAsia="sk-SK"/>
        </w:rPr>
      </w:pPr>
      <w:r w:rsidRPr="00D47B8A">
        <w:rPr>
          <w:rFonts w:eastAsia="Times New Roman"/>
          <w:i/>
          <w:iCs/>
          <w:color w:val="000000"/>
          <w:sz w:val="24"/>
          <w:szCs w:val="24"/>
          <w:lang w:eastAsia="sk-SK"/>
        </w:rPr>
        <w:t>Article 34</w:t>
      </w:r>
    </w:p>
    <w:p w:rsidR="00450E56" w:rsidRPr="00D47B8A" w:rsidRDefault="00450E56" w:rsidP="00450E56">
      <w:pPr>
        <w:spacing w:before="60" w:after="120"/>
        <w:jc w:val="center"/>
        <w:rPr>
          <w:rFonts w:eastAsia="Times New Roman"/>
          <w:b/>
          <w:bCs/>
          <w:color w:val="000000"/>
          <w:sz w:val="24"/>
          <w:szCs w:val="24"/>
          <w:lang w:eastAsia="sk-SK"/>
        </w:rPr>
      </w:pPr>
      <w:r w:rsidRPr="00D47B8A">
        <w:rPr>
          <w:rFonts w:eastAsia="Times New Roman"/>
          <w:b/>
          <w:bCs/>
          <w:color w:val="000000"/>
          <w:sz w:val="24"/>
          <w:szCs w:val="24"/>
          <w:lang w:eastAsia="sk-SK"/>
        </w:rPr>
        <w:t>Definition of the Parties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For the purposes of this Agreement, the term ‘the Parties’ means the European Union or its Member States, or the European Union and its Member States, in accordance with their respective competences, on the one hand, and Canada, on the other.</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This Agreement shall be drawn up in duplicate in the Bulgarian, Croatian, Czech, Danish, Dutch, English, Estonian, Finnish, French, German, Greek, Hungarian, Italian, Latvian, Lithuanian, Maltese, Polish, Portuguese, Romanian, Slovak, Slovenian, Spanish and Swedish languages, each text being equally authentic.</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IN WITNESS WHEREOF, the undersigned, duly authorised thereto, have signed this Agreement.</w:t>
      </w:r>
    </w:p>
    <w:p w:rsidR="00450E56" w:rsidRPr="00D47B8A" w:rsidRDefault="00450E56" w:rsidP="00450E56">
      <w:pPr>
        <w:rPr>
          <w:rFonts w:eastAsia="Times New Roman"/>
          <w:color w:val="000000"/>
          <w:sz w:val="24"/>
          <w:szCs w:val="24"/>
          <w:lang w:eastAsia="sk-SK"/>
        </w:rPr>
      </w:pPr>
      <w:r w:rsidRPr="00D47B8A">
        <w:rPr>
          <w:rFonts w:eastAsia="Times New Roman"/>
          <w:color w:val="000000"/>
          <w:sz w:val="24"/>
          <w:szCs w:val="24"/>
          <w:lang w:eastAsia="sk-SK"/>
        </w:rPr>
        <w:t>Съставено в Брюксел на тридесети октомври през две хиляди и шестнадесета година.</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Hecho en Bruselas, el treinta de octubre de dos mil dieciséis.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V Bruselu dne třicátého října dva tisíce šestnáct.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Udfærdiget i Bruxelles den tredivte oktober to tusind og seksten.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Geschehen zu Brüssel am dreißigsten Oktober zweitausendsechzehn.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Kahe tuhande kuueteistkümnenda aasta oktoobrikuu kolmekümnendal päeval Brüsselis.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Έγινε στις Βρυξέλλες, στις τριάντα Οκτωβρίου δύο χιλιάδες δεκαέξι.</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Done at Brussels on the thirtieth day of October in the year two thousand and sixteen.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Fait à Bruxelles, le trente octobre deux mille seize.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Sastavljeno u Bruxellesu tridesetog listopada godine dvije tisuće šesnaeste.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Fatto a Bruxelles, addì trenta ottobre duemilasedici.</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Briselē, divi tūkstoši sešpadsmitā gada trīsdesmitajā oktobrī.</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Priimta du tūkstančiai šešioliktų metų spalio trisdešimtą dieną Briuselyje.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Kelt Brüsszelben, a kétezer-tizenhatodik év október havának harmincadik napján.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Magħmul fi Brussell, fit-tletin jum ta' Ottubru fis-sena elfejn u sittax.</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Gedaan te Brussel, dertig oktober tweeduizend zestien.</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Sporządzono w Brukseli dnia trzydziestego października roku dwa tysiące szesnastego.</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Feito em Bruxelas, em trinta de outubro de dois mil e dezasseis.</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Întocmit la Bruxelles la treizeci octombrie două mii șaisprezece.</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V Bruseli tridsiateho októbra dvetisícšestnásť.</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V Bruslju, dne tridesetega oktobra leta dva tisoč šestnajst.</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Tehty Brysselissä kolmantenakymmenentenä päivänä lokakuuta vuonna kaksituhattakuusitoista.</w:t>
      </w:r>
    </w:p>
    <w:p w:rsidR="00450E56" w:rsidRPr="00D47B8A" w:rsidRDefault="00450E56" w:rsidP="00450E56">
      <w:pPr>
        <w:spacing w:before="120"/>
        <w:rPr>
          <w:rFonts w:eastAsia="Times New Roman"/>
          <w:color w:val="000000"/>
          <w:sz w:val="24"/>
          <w:szCs w:val="24"/>
          <w:lang w:eastAsia="sk-SK"/>
        </w:rPr>
      </w:pPr>
      <w:r w:rsidRPr="00D47B8A">
        <w:rPr>
          <w:rFonts w:eastAsia="Times New Roman"/>
          <w:color w:val="000000"/>
          <w:sz w:val="24"/>
          <w:szCs w:val="24"/>
          <w:lang w:eastAsia="sk-SK"/>
        </w:rPr>
        <w:t>Som skedde i Bryssel den trettionde oktober år tjugohundrasexton.</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lastRenderedPageBreak/>
        <w:t>Voor het Koninkrijk België</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Pour le Royaume de Belgique</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Für das Königreich Belgien</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06D05459" wp14:editId="01408A4A">
            <wp:extent cx="1647825" cy="1009650"/>
            <wp:effectExtent l="0" t="0" r="9525" b="0"/>
            <wp:docPr id="34" name="Obrázok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0096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Deze handtekening verbindt eveneens de Vlaamse Gemeenschap, de Franse Gemeenschap, de Duitstalige Gemeenschap, het Vlaamse Gewest, het Waalse Gewest en het Brussels Hoofdstedelijk Gewest.</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Cette signature engage également la Communauté française, la Communauté flamande, la Communauté germanophone, la Région wallonne, la Région flamande et la Région de Bruxelles-Capitale.</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Diese Unterschrift bindet zugleich die Deutschsprachige Gemeinschaft, die Flämische Gemeinschaft, die Französische Gemeinschaft, die Wallonische Region, die Flämische Region und die Region Brüssel-Hauptstadt.</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За Република България</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2405F5F4" wp14:editId="13B9468B">
            <wp:extent cx="1885950" cy="1133475"/>
            <wp:effectExtent l="0" t="0" r="0" b="9525"/>
            <wp:docPr id="35" name="Obrázok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13347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Za Českou republiku</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45D40A9D" wp14:editId="72A80F7F">
            <wp:extent cx="1924050" cy="952500"/>
            <wp:effectExtent l="0" t="0" r="0" b="0"/>
            <wp:docPr id="36" name="Obrázok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For Kongeriget Danmark</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34677738" wp14:editId="00557165">
            <wp:extent cx="1743075" cy="981075"/>
            <wp:effectExtent l="0" t="0" r="9525" b="9525"/>
            <wp:docPr id="37" name="Obrázok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98107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Für die Bundesrepublik Deutschland</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68EBDF32" wp14:editId="3BDE6126">
            <wp:extent cx="2628900" cy="600075"/>
            <wp:effectExtent l="0" t="0" r="0" b="9525"/>
            <wp:docPr id="38" name="Obrázok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60007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Eesti Vabariigi nimel</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5D41CAD1" wp14:editId="400E8FDD">
            <wp:extent cx="2409825" cy="752475"/>
            <wp:effectExtent l="0" t="0" r="9525" b="9525"/>
            <wp:docPr id="39" name="Obrázok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Thar cheann Na hÉireann</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lastRenderedPageBreak/>
        <w:t>For Ireland</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09B1E642" wp14:editId="08DB24B5">
            <wp:extent cx="2905125" cy="628650"/>
            <wp:effectExtent l="0" t="0" r="9525" b="0"/>
            <wp:docPr id="40" name="Obrázok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6286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Για την Ελληνική Δημοκρατία</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5A1BE61B" wp14:editId="7B57760B">
            <wp:extent cx="1933575" cy="666750"/>
            <wp:effectExtent l="0" t="0" r="9525" b="0"/>
            <wp:docPr id="41" name="Obrázok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Por el Reino de España</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655874D6" wp14:editId="0D8724DD">
            <wp:extent cx="1771650" cy="781050"/>
            <wp:effectExtent l="0" t="0" r="0" b="0"/>
            <wp:docPr id="42" name="Obrázok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7810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Pour la République française</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149DF413" wp14:editId="0AA942D0">
            <wp:extent cx="1885950" cy="723900"/>
            <wp:effectExtent l="0" t="0" r="0" b="0"/>
            <wp:docPr id="43" name="Obrázok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72390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Za Republiku Hrvatsku</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1A74EB19" wp14:editId="126BE724">
            <wp:extent cx="2143125" cy="1000125"/>
            <wp:effectExtent l="0" t="0" r="9525" b="9525"/>
            <wp:docPr id="44" name="Obrázok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100012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Per la Repubblica italiana</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508F0760" wp14:editId="1A1AC9AA">
            <wp:extent cx="1905000" cy="1162050"/>
            <wp:effectExtent l="0" t="0" r="0" b="0"/>
            <wp:docPr id="45" name="Obrázok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Για την Κυπριακή Δημοκρατία</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10B745CB" wp14:editId="61FD37B7">
            <wp:extent cx="1885950" cy="523875"/>
            <wp:effectExtent l="0" t="0" r="0" b="9525"/>
            <wp:docPr id="46" name="Obrázok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52387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Latvijas Republikas vārdā –</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4A4F3F72" wp14:editId="5D41DBB1">
            <wp:extent cx="3105150" cy="590550"/>
            <wp:effectExtent l="0" t="0" r="0" b="0"/>
            <wp:docPr id="47" name="Obrázok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5150" cy="5905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Lietuvos Respublikos vardu</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lastRenderedPageBreak/>
        <w:drawing>
          <wp:inline distT="0" distB="0" distL="0" distR="0" wp14:anchorId="429608FD" wp14:editId="10E3BD23">
            <wp:extent cx="2000250" cy="533400"/>
            <wp:effectExtent l="0" t="0" r="0" b="0"/>
            <wp:docPr id="48" name="Obrázok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53340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Pour le Grand-Duché de Luxembourg</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0BDB986C" wp14:editId="02731D43">
            <wp:extent cx="2009775" cy="1285875"/>
            <wp:effectExtent l="0" t="0" r="9525" b="9525"/>
            <wp:docPr id="49" name="Obrázok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128587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Magyarország részéről</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15364565" wp14:editId="5E10F40E">
            <wp:extent cx="2076450" cy="1666875"/>
            <wp:effectExtent l="0" t="0" r="0" b="9525"/>
            <wp:docPr id="50" name="Obrázok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6450" cy="166687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Għar-Repubblika ta' Malta</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4B6FAF0D" wp14:editId="169B6A21">
            <wp:extent cx="2886075" cy="571500"/>
            <wp:effectExtent l="0" t="0" r="9525" b="0"/>
            <wp:docPr id="51" name="Obrázok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Voor het Koninkrijk der Nederlanden</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634336BF" wp14:editId="24983786">
            <wp:extent cx="2200275" cy="476250"/>
            <wp:effectExtent l="0" t="0" r="9525" b="0"/>
            <wp:docPr id="52" name="Obrázok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0275" cy="4762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Für die Republik Österreich</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7E96C600" wp14:editId="7936E249">
            <wp:extent cx="2209800" cy="1790700"/>
            <wp:effectExtent l="0" t="0" r="0" b="0"/>
            <wp:docPr id="53" name="Obrázok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179070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W imieniu Rzeczypospolitej Polskiej</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49940720" wp14:editId="4EE23329">
            <wp:extent cx="1924050" cy="647700"/>
            <wp:effectExtent l="0" t="0" r="0" b="0"/>
            <wp:docPr id="54" name="Obrázok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64770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lastRenderedPageBreak/>
        <w:t>Pela República Portuguesa</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56D1923F" wp14:editId="40E4595F">
            <wp:extent cx="2324100" cy="666750"/>
            <wp:effectExtent l="0" t="0" r="0" b="0"/>
            <wp:docPr id="55" name="Obrázok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4100" cy="6667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Pentru România</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13456D3A" wp14:editId="697C0A22">
            <wp:extent cx="2486025" cy="476250"/>
            <wp:effectExtent l="0" t="0" r="9525" b="0"/>
            <wp:docPr id="56" name="Obrázok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6025" cy="4762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Za Republiko Slovenijo</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569D9FCE" wp14:editId="7808796D">
            <wp:extent cx="1857375" cy="781050"/>
            <wp:effectExtent l="0" t="0" r="9525" b="0"/>
            <wp:docPr id="57" name="Obrázok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Za Slovenskú republiku</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78273165" wp14:editId="129EF7FD">
            <wp:extent cx="2152650" cy="1285875"/>
            <wp:effectExtent l="0" t="0" r="0" b="9525"/>
            <wp:docPr id="58" name="Obrázok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2650" cy="128587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Suomen tasavallan puolesta</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För Republiken Finland</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779C67F8" wp14:editId="464D84BD">
            <wp:extent cx="3133725" cy="676275"/>
            <wp:effectExtent l="0" t="0" r="9525" b="9525"/>
            <wp:docPr id="59" name="Obrázok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3725" cy="67627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För Konungariket Sverige</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26EA1304" wp14:editId="7CE83772">
            <wp:extent cx="2133600" cy="781050"/>
            <wp:effectExtent l="0" t="0" r="0" b="0"/>
            <wp:docPr id="60" name="Obrázok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33600" cy="78105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For the United Kingdom of Great Britain and Northern Ireland</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73A41D0D" wp14:editId="79FB79AD">
            <wp:extent cx="2228850" cy="876300"/>
            <wp:effectExtent l="0" t="0" r="0" b="0"/>
            <wp:docPr id="61" name="Obrázok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28850" cy="876300"/>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За Европейския съюз</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Por la Unión Europea</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Za Evropskou unii</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For Den Europæiske Union</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Für die Europäische Union</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lastRenderedPageBreak/>
        <w:t>Euroopa Liidu nimel</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Για την Ευρωπαϊκή Ένωση</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For the European Union</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Pour l'Union européenne</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Za Europsku uniju</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Per l'Unione europea</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Eiropas Savienības vārdā –</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Europos Sąjungos vardu</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Az Európai Unió részéről</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Għall-Unjoni Ewropea</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Voor de Europese Unie</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W imieniu Unii Europejskiej</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Pela União Europeia</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Pentru Uniunea Europeană</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Za Európsku úniu</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Za Evropsko unijo</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Euroopan unionin puolesta</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För Europeiska unionen</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3F77C8B9" wp14:editId="715C4A2E">
            <wp:extent cx="1914525" cy="1952625"/>
            <wp:effectExtent l="0" t="0" r="9525" b="9525"/>
            <wp:docPr id="62" name="Obrázok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4525" cy="1952625"/>
                    </a:xfrm>
                    <a:prstGeom prst="rect">
                      <a:avLst/>
                    </a:prstGeom>
                    <a:noFill/>
                    <a:ln>
                      <a:noFill/>
                    </a:ln>
                  </pic:spPr>
                </pic:pic>
              </a:graphicData>
            </a:graphic>
          </wp:inline>
        </w:drawing>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For Canada</w:t>
      </w:r>
    </w:p>
    <w:p w:rsidR="00450E56" w:rsidRPr="00D47B8A" w:rsidRDefault="00450E56" w:rsidP="00450E56">
      <w:pPr>
        <w:spacing w:before="60" w:after="60"/>
        <w:jc w:val="center"/>
        <w:rPr>
          <w:rFonts w:eastAsia="Times New Roman"/>
          <w:color w:val="000000"/>
          <w:lang w:eastAsia="sk-SK"/>
        </w:rPr>
      </w:pPr>
      <w:r w:rsidRPr="00D47B8A">
        <w:rPr>
          <w:rFonts w:eastAsia="Times New Roman"/>
          <w:color w:val="000000"/>
          <w:lang w:eastAsia="sk-SK"/>
        </w:rPr>
        <w:t>Pour le Canada</w:t>
      </w:r>
    </w:p>
    <w:p w:rsidR="00450E56" w:rsidRPr="00D47B8A" w:rsidRDefault="00450E56" w:rsidP="00450E56">
      <w:pPr>
        <w:spacing w:before="120" w:after="120"/>
        <w:jc w:val="center"/>
        <w:rPr>
          <w:rFonts w:eastAsia="Times New Roman"/>
          <w:color w:val="000000"/>
          <w:lang w:eastAsia="sk-SK"/>
        </w:rPr>
      </w:pPr>
      <w:r w:rsidRPr="00D47B8A">
        <w:rPr>
          <w:rFonts w:eastAsia="Times New Roman"/>
          <w:noProof/>
          <w:color w:val="000000"/>
          <w:lang w:eastAsia="sk-SK"/>
        </w:rPr>
        <w:drawing>
          <wp:inline distT="0" distB="0" distL="0" distR="0" wp14:anchorId="7C96B2E7" wp14:editId="3C5A5336">
            <wp:extent cx="2066925" cy="685800"/>
            <wp:effectExtent l="0" t="0" r="9525" b="0"/>
            <wp:docPr id="63" name="Obrázok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66925" cy="685800"/>
                    </a:xfrm>
                    <a:prstGeom prst="rect">
                      <a:avLst/>
                    </a:prstGeom>
                    <a:noFill/>
                    <a:ln>
                      <a:noFill/>
                    </a:ln>
                  </pic:spPr>
                </pic:pic>
              </a:graphicData>
            </a:graphic>
          </wp:inline>
        </w:drawing>
      </w:r>
    </w:p>
    <w:p w:rsidR="00450E56" w:rsidRPr="00D47B8A" w:rsidRDefault="00450E56" w:rsidP="00450E56">
      <w:pPr>
        <w:spacing w:before="120" w:after="120"/>
        <w:rPr>
          <w:rFonts w:eastAsia="Times New Roman"/>
          <w:color w:val="000000"/>
          <w:lang w:eastAsia="sk-SK"/>
        </w:rPr>
      </w:pPr>
      <w:r>
        <w:rPr>
          <w:rFonts w:eastAsia="Times New Roman"/>
          <w:color w:val="000000"/>
          <w:lang w:eastAsia="sk-SK"/>
        </w:rPr>
        <w:pict>
          <v:rect id="_x0000_i1027" style="width:90.7pt;height:.75pt" o:hrpct="200" o:hralign="center" o:hrstd="t" o:hrnoshade="t" o:hr="t" fillcolor="black" stroked="f"/>
        </w:pict>
      </w:r>
    </w:p>
    <w:p w:rsidR="00450E56" w:rsidRDefault="00450E56" w:rsidP="00450E56"/>
    <w:p w:rsidR="000F56BF" w:rsidRPr="00450E56" w:rsidRDefault="000F56BF" w:rsidP="00450E56">
      <w:bookmarkStart w:id="0" w:name="_GoBack"/>
      <w:bookmarkEnd w:id="0"/>
    </w:p>
    <w:sectPr w:rsidR="000F56BF" w:rsidRPr="00450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62"/>
    <w:rsid w:val="000C2429"/>
    <w:rsid w:val="000F56BF"/>
    <w:rsid w:val="001A5388"/>
    <w:rsid w:val="00204F28"/>
    <w:rsid w:val="00382D46"/>
    <w:rsid w:val="00450E56"/>
    <w:rsid w:val="0045701D"/>
    <w:rsid w:val="005C2D62"/>
    <w:rsid w:val="005D7725"/>
    <w:rsid w:val="00653B19"/>
    <w:rsid w:val="008063FC"/>
    <w:rsid w:val="009435BB"/>
    <w:rsid w:val="00A27472"/>
    <w:rsid w:val="00A967C5"/>
    <w:rsid w:val="00CF3787"/>
    <w:rsid w:val="00D91850"/>
    <w:rsid w:val="00DC6A0A"/>
    <w:rsid w:val="00EC5477"/>
    <w:rsid w:val="00F313B3"/>
    <w:rsid w:val="00F709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701358E-A124-4428-8BAA-C00887EC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2D62"/>
    <w:pPr>
      <w:autoSpaceDE w:val="0"/>
      <w:autoSpaceDN w:val="0"/>
      <w:jc w:val="left"/>
    </w:pPr>
    <w:rPr>
      <w:rFonts w:eastAsiaTheme="minorEastAs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theme" Target="theme/theme1.xml"/><Relationship Id="rId8" Type="http://schemas.openxmlformats.org/officeDocument/2006/relationships/image" Target="media/image5.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7219</Words>
  <Characters>41153</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Lysina Peter /OPEU/MZV</dc:creator>
  <cp:keywords/>
  <dc:description/>
  <cp:lastModifiedBy>Lysina Peter /OPEU/MZV</cp:lastModifiedBy>
  <cp:revision>3</cp:revision>
  <dcterms:created xsi:type="dcterms:W3CDTF">2018-09-07T11:17:00Z</dcterms:created>
  <dcterms:modified xsi:type="dcterms:W3CDTF">2018-09-07T11:18:00Z</dcterms:modified>
</cp:coreProperties>
</file>