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0E6D4C">
        <w:t>57</w:t>
      </w:r>
      <w:r w:rsidRPr="00D14EA4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635605">
        <w:t>1833</w:t>
      </w:r>
      <w:r w:rsidRPr="00053FB9" w:rsidR="003371B9">
        <w:t>/</w:t>
      </w:r>
      <w:r w:rsidR="00053FB9">
        <w:t>201</w:t>
      </w:r>
      <w:r w:rsidR="000E6D4C">
        <w:t>8</w:t>
      </w:r>
    </w:p>
    <w:p w:rsidR="0004001B" w:rsidP="00067F0B">
      <w:pPr>
        <w:ind w:left="3540" w:firstLine="708"/>
        <w:rPr>
          <w:b/>
        </w:rPr>
      </w:pPr>
    </w:p>
    <w:p w:rsidR="00AC2960" w:rsidP="00067F0B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5D24E9">
        <w:rPr>
          <w:b/>
        </w:rPr>
        <w:t xml:space="preserve"> </w:t>
      </w:r>
    </w:p>
    <w:p w:rsidR="00F31D27" w:rsidP="00067F0B">
      <w:pPr>
        <w:ind w:left="3540" w:firstLine="708"/>
        <w:rPr>
          <w:b/>
        </w:rPr>
      </w:pPr>
      <w:r>
        <w:rPr>
          <w:b/>
        </w:rPr>
        <w:t xml:space="preserve">       </w:t>
      </w:r>
      <w:r w:rsidR="000E6D4C">
        <w:rPr>
          <w:b/>
        </w:rPr>
        <w:t xml:space="preserve">  </w:t>
      </w:r>
      <w:r w:rsidR="00BD12F5">
        <w:rPr>
          <w:b/>
        </w:rPr>
        <w:t xml:space="preserve"> 331</w:t>
      </w:r>
    </w:p>
    <w:p w:rsidR="00EC5F3F" w:rsidP="00067F0B">
      <w:pPr>
        <w:ind w:left="3540" w:firstLine="708"/>
        <w:rPr>
          <w:b/>
        </w:rPr>
      </w:pPr>
      <w:r w:rsidR="00F31D27">
        <w:rPr>
          <w:b/>
        </w:rPr>
        <w:t xml:space="preserve"> </w:t>
      </w: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</w:t>
      </w:r>
      <w:r>
        <w:rPr>
          <w:b/>
        </w:rPr>
        <w:t>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F31D27">
        <w:rPr>
          <w:b/>
        </w:rPr>
        <w:t>20</w:t>
      </w:r>
      <w:r w:rsidR="00C72FBD">
        <w:rPr>
          <w:b/>
        </w:rPr>
        <w:t xml:space="preserve">. </w:t>
      </w:r>
      <w:r w:rsidR="005D24E9">
        <w:rPr>
          <w:b/>
        </w:rPr>
        <w:t>novembra</w:t>
      </w:r>
      <w:r w:rsidR="00830899">
        <w:rPr>
          <w:b/>
        </w:rPr>
        <w:t xml:space="preserve"> 201</w:t>
      </w:r>
      <w:r w:rsidR="000E6D4C">
        <w:rPr>
          <w:b/>
        </w:rPr>
        <w:t>8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0E6D4C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A92570" w:rsidR="00A92570">
        <w:rPr>
          <w:b/>
        </w:rPr>
        <w:t xml:space="preserve"> </w:t>
      </w:r>
      <w:r w:rsidR="001A0813">
        <w:t>návrh poslancov Národnej rady Slovenskej republiky Ľubomíra P</w:t>
      </w:r>
      <w:r w:rsidR="00EC30BE">
        <w:t>etráka</w:t>
      </w:r>
      <w:r w:rsidR="001A0813">
        <w:t>, Martina G</w:t>
      </w:r>
      <w:r w:rsidR="00EC30BE">
        <w:t>lváča</w:t>
      </w:r>
      <w:r w:rsidR="001A0813">
        <w:t>, Dušana J</w:t>
      </w:r>
      <w:r w:rsidR="00EC30BE">
        <w:t>arjabka</w:t>
      </w:r>
      <w:r w:rsidR="001A0813">
        <w:t>, Pavla G</w:t>
      </w:r>
      <w:r w:rsidR="00EC30BE">
        <w:t xml:space="preserve">ogu </w:t>
      </w:r>
      <w:r w:rsidR="001A0813">
        <w:t>a Pétera V</w:t>
      </w:r>
      <w:r w:rsidR="00EC30BE">
        <w:t>örösa</w:t>
      </w:r>
      <w:r w:rsidR="001A0813">
        <w:t xml:space="preserve"> na vydanie z</w:t>
      </w:r>
      <w:r w:rsidR="001A0813">
        <w:t xml:space="preserve">ákona, ktorým sa mení a dopĺňa zákon č. 596/2003 Z. z. o štátnej správe v školstve a školskej samospráve a o zmene a doplnení niektorých zákonov v znení neskorších predpisov a ktorým sa menia a dopĺňajú niektoré zákony </w:t>
      </w:r>
      <w:r w:rsidRPr="001A0813" w:rsidR="001A0813">
        <w:rPr>
          <w:b/>
        </w:rPr>
        <w:t>(tlač 1149)</w:t>
      </w:r>
      <w:r w:rsidR="001A0813">
        <w:t xml:space="preserve"> </w:t>
      </w:r>
      <w:r w:rsidR="000E6D4C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F04DB" w:rsidP="001A0813">
      <w:pPr>
        <w:pStyle w:val="BodyText"/>
        <w:spacing w:after="0"/>
        <w:ind w:firstLine="360"/>
        <w:jc w:val="both"/>
        <w:rPr>
          <w:color w:val="000000"/>
        </w:rPr>
      </w:pPr>
      <w:r w:rsidR="005D24E9">
        <w:t xml:space="preserve"> </w:t>
      </w:r>
      <w:r w:rsidR="00321A20">
        <w:t>s</w:t>
      </w:r>
      <w:r w:rsidRPr="00A73ECD" w:rsidR="00B614DE">
        <w:t> </w:t>
      </w:r>
      <w:r w:rsidR="001A0813">
        <w:t xml:space="preserve">návrhom </w:t>
      </w:r>
      <w:r w:rsidR="001A0813">
        <w:t xml:space="preserve">poslancov Národnej rady Slovenskej republiky </w:t>
      </w:r>
      <w:r w:rsidR="00EC30BE">
        <w:t>Ľubomíra Petráka, Martina Glváča, Dušana Jarjabka, Pavla Gogu a Pétera Vörösa</w:t>
      </w:r>
      <w:r w:rsidR="001A0813">
        <w:t xml:space="preserve"> na vydanie zákona, ktorým sa mení a dopĺňa zákon č. 596/2003 Z. z. o štátnej správe v školstve a školskej samospráve a o zmene a doplnení niektorých zákonov v znení neskorších predpisov a ktorým sa menia a dopĺňajú niektoré zákony </w:t>
      </w:r>
      <w:r w:rsidRPr="001A0813" w:rsidR="001A0813">
        <w:rPr>
          <w:b/>
        </w:rPr>
        <w:t>(tlač 1149)</w:t>
      </w:r>
    </w:p>
    <w:p w:rsidR="00A92570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E6D4C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F92F1D">
      <w:pPr>
        <w:pStyle w:val="Heading1"/>
        <w:ind w:left="0" w:firstLine="360"/>
        <w:jc w:val="both"/>
      </w:pPr>
      <w:r w:rsidRPr="001A0813" w:rsidR="001A0813">
        <w:rPr>
          <w:b w:val="0"/>
        </w:rPr>
        <w:t xml:space="preserve">návrh poslancov Národnej rady Slovenskej republiky </w:t>
      </w:r>
      <w:r w:rsidRPr="00EC30BE" w:rsidR="00EC30BE">
        <w:rPr>
          <w:b w:val="0"/>
        </w:rPr>
        <w:t>Ľubomíra Petráka, Martina Glváča, Dušana Jarjabka, Pavla Gogu a Pétera Vörösa</w:t>
      </w:r>
      <w:r w:rsidRPr="001A0813" w:rsidR="00EC30BE">
        <w:rPr>
          <w:b w:val="0"/>
        </w:rPr>
        <w:t xml:space="preserve"> </w:t>
      </w:r>
      <w:r w:rsidRPr="001A0813" w:rsidR="001A0813">
        <w:rPr>
          <w:b w:val="0"/>
        </w:rPr>
        <w:t xml:space="preserve">na vydanie zákona, ktorým sa mení a dopĺňa zákon č. 596/2003 Z. z. o štátnej správe v školstve a školskej samospráve a o zmene a doplnení niektorých zákonov v znení neskorších predpisov a ktorým sa menia a dopĺňajú niektoré zákony </w:t>
      </w:r>
      <w:r w:rsidRPr="001A0813" w:rsidR="001A0813">
        <w:t>(tlač 1149)</w:t>
      </w:r>
      <w:r w:rsidR="001A0813">
        <w:rPr>
          <w:b w:val="0"/>
        </w:rPr>
        <w:t xml:space="preserve"> </w:t>
      </w:r>
      <w:r w:rsidR="00597030">
        <w:rPr>
          <w:bCs w:val="0"/>
        </w:rPr>
        <w:t>schváliť s pozmeňujúcimi a doplňujúcimi návrhmi tak, ako sú uvedené v prílohe tohto uznesenia</w:t>
      </w:r>
      <w:r w:rsidR="00597030">
        <w:t>;</w:t>
      </w:r>
    </w:p>
    <w:p w:rsidR="00AC2960" w:rsidP="000139BA">
      <w:pPr>
        <w:ind w:left="1416"/>
        <w:jc w:val="both"/>
        <w:rPr>
          <w:b/>
        </w:rPr>
      </w:pPr>
    </w:p>
    <w:p w:rsidR="00F31D27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>
        <w:rPr>
          <w:lang w:val="sk-SK"/>
        </w:rPr>
        <w:t>podať predsed</w:t>
      </w:r>
      <w:r w:rsidR="006109A8">
        <w:rPr>
          <w:lang w:val="sk-SK"/>
        </w:rPr>
        <w:t>ovi</w:t>
      </w:r>
      <w:r w:rsidR="00A92570">
        <w:rPr>
          <w:lang w:val="sk-SK"/>
        </w:rPr>
        <w:t xml:space="preserve"> </w:t>
      </w:r>
      <w:r w:rsidR="0071148D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A92570">
        <w:rPr>
          <w:lang w:val="sk-SK"/>
        </w:rPr>
        <w:t xml:space="preserve"> </w:t>
      </w:r>
      <w:r w:rsidR="00CB6504">
        <w:rPr>
          <w:lang w:val="sk-SK"/>
        </w:rPr>
        <w:t xml:space="preserve">pre </w:t>
      </w:r>
      <w:r w:rsidR="006109A8">
        <w:rPr>
          <w:lang w:val="sk-SK"/>
        </w:rPr>
        <w:t>vzdelávanie, vedu, mládež a šport</w:t>
      </w:r>
      <w:r w:rsidR="00CB6504">
        <w:t xml:space="preserve"> </w:t>
      </w:r>
      <w:r>
        <w:rPr>
          <w:lang w:val="sk-SK"/>
        </w:rPr>
        <w:t>ako ge</w:t>
      </w:r>
      <w:r w:rsidR="00824DAD">
        <w:rPr>
          <w:lang w:val="sk-SK"/>
        </w:rPr>
        <w:t>storské</w:t>
      </w:r>
      <w:r w:rsidR="00824DAD">
        <w:rPr>
          <w:lang w:val="sk-SK"/>
        </w:rPr>
        <w:t xml:space="preserve">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0E6D4C" w:rsidP="00C739C2"/>
    <w:p w:rsidR="0052115B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RPr="008F51E4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45E0F" w:rsidP="00D96ABB">
      <w:pPr>
        <w:ind w:left="5664" w:firstLine="708"/>
      </w:pPr>
    </w:p>
    <w:p w:rsidR="00632B62" w:rsidP="00D96ABB">
      <w:pPr>
        <w:ind w:left="5664" w:firstLine="708"/>
      </w:pPr>
    </w:p>
    <w:p w:rsidR="00A92570" w:rsidP="00A92570"/>
    <w:p w:rsidR="00BD12F5" w:rsidP="00A92570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2011D5">
      <w:pPr>
        <w:rPr>
          <w:sz w:val="28"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  <w:r>
        <w:rPr>
          <w:sz w:val="28"/>
        </w:rPr>
        <w:t xml:space="preserve">                           </w:t>
      </w:r>
    </w:p>
    <w:p w:rsidR="002011D5" w:rsidP="002011D5">
      <w:pPr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BD12F5">
        <w:rPr>
          <w:b/>
        </w:rPr>
        <w:t>331</w:t>
      </w:r>
    </w:p>
    <w:p w:rsidR="000D14F9" w:rsidRPr="003371B9" w:rsidP="000D14F9">
      <w:pPr>
        <w:jc w:val="right"/>
      </w:pPr>
      <w:r w:rsidR="000E6D4C">
        <w:rPr>
          <w:bCs w:val="0"/>
        </w:rPr>
        <w:t>57</w:t>
      </w:r>
      <w:r w:rsidRPr="003371B9">
        <w:rPr>
          <w:bCs w:val="0"/>
        </w:rPr>
        <w:t xml:space="preserve">. </w:t>
      </w:r>
      <w:r w:rsidRPr="003371B9">
        <w:t>schôdza</w:t>
      </w:r>
    </w:p>
    <w:p w:rsidR="002011D5" w:rsidP="000D14F9">
      <w:pPr>
        <w:jc w:val="center"/>
        <w:rPr>
          <w:b/>
          <w:bCs w:val="0"/>
        </w:rPr>
      </w:pPr>
    </w:p>
    <w:p w:rsidR="00BD12F5" w:rsidP="000D14F9">
      <w:pPr>
        <w:jc w:val="center"/>
        <w:rPr>
          <w:b/>
          <w:bCs w:val="0"/>
        </w:rPr>
      </w:pPr>
    </w:p>
    <w:p w:rsidR="00BD12F5" w:rsidP="000D14F9">
      <w:pPr>
        <w:jc w:val="center"/>
        <w:rPr>
          <w:b/>
          <w:bCs w:val="0"/>
        </w:rPr>
      </w:pPr>
    </w:p>
    <w:p w:rsidR="00BD12F5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="002011D5">
        <w:rPr>
          <w:b/>
          <w:bCs w:val="0"/>
        </w:rPr>
        <w:t>P</w:t>
      </w:r>
      <w:r w:rsidRPr="00067F0B">
        <w:rPr>
          <w:b/>
          <w:bCs w:val="0"/>
        </w:rPr>
        <w:t>ozmeňujúc</w:t>
      </w:r>
      <w:r w:rsidR="000E6D4C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>a doplňujúc</w:t>
      </w:r>
      <w:r w:rsidR="000E6D4C">
        <w:rPr>
          <w:b/>
          <w:bCs w:val="0"/>
        </w:rPr>
        <w:t>e</w:t>
      </w:r>
      <w:r w:rsidR="00A45E0F">
        <w:rPr>
          <w:b/>
          <w:bCs w:val="0"/>
        </w:rPr>
        <w:t xml:space="preserve"> </w:t>
      </w:r>
      <w:r w:rsidR="0063617C">
        <w:rPr>
          <w:b/>
          <w:bCs w:val="0"/>
        </w:rPr>
        <w:t>návrh</w:t>
      </w:r>
      <w:r w:rsidR="000E6D4C">
        <w:rPr>
          <w:b/>
          <w:bCs w:val="0"/>
        </w:rPr>
        <w:t>y</w:t>
      </w:r>
    </w:p>
    <w:p w:rsidR="001A0813" w:rsidRPr="001A0813" w:rsidP="006109A8">
      <w:pPr>
        <w:pStyle w:val="Heading1"/>
        <w:ind w:left="360"/>
        <w:jc w:val="center"/>
      </w:pPr>
      <w:r w:rsidR="00117627">
        <w:t>k</w:t>
      </w:r>
      <w:r w:rsidR="00AC2960">
        <w:t> </w:t>
      </w:r>
      <w:r>
        <w:t xml:space="preserve">návrhu poslancov Národnej rady Slovenskej republiky </w:t>
      </w:r>
      <w:r w:rsidR="00EC30BE">
        <w:t xml:space="preserve">Ľubomíra Petráka, Martina Glváča, Dušana Jarjabka, Pavla Gogu a Pétera Vörösa </w:t>
      </w:r>
      <w:r>
        <w:t xml:space="preserve">na vydanie zákona, ktorým sa mení a dopĺňa zákon č. 596/2003 Z. z. o štátnej správe v školstve a školskej samospráve a o zmene a doplnení niektorých zákonov v znení neskorších predpisov a ktorým sa menia a dopĺňajú niektoré zákony </w:t>
      </w:r>
      <w:r w:rsidRPr="001A0813">
        <w:t>(tlač 1149)</w:t>
      </w:r>
    </w:p>
    <w:p w:rsidR="000D14F9" w:rsidP="006109A8">
      <w:pPr>
        <w:pStyle w:val="Heading1"/>
        <w:ind w:left="360"/>
        <w:jc w:val="center"/>
        <w:rPr>
          <w:b w:val="0"/>
          <w:bCs w:val="0"/>
        </w:rPr>
      </w:pPr>
      <w:r>
        <w:rPr>
          <w:b w:val="0"/>
          <w:bCs w:val="0"/>
        </w:rPr>
        <w:t>––––––––––––––––––––––––––––––––––––––––––––––––</w:t>
      </w:r>
      <w:r w:rsidR="006109A8">
        <w:rPr>
          <w:b w:val="0"/>
          <w:bCs w:val="0"/>
        </w:rPr>
        <w:t>––––––––––––––––––––––––––</w:t>
      </w:r>
    </w:p>
    <w:p w:rsidR="003C7508" w:rsidP="000D14F9">
      <w:pPr>
        <w:rPr>
          <w:b/>
          <w:bCs w:val="0"/>
        </w:rPr>
      </w:pPr>
    </w:p>
    <w:p w:rsidR="00BD12F5" w:rsidRPr="00BD12F5" w:rsidP="00BD12F5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12F5">
        <w:rPr>
          <w:rFonts w:ascii="Times New Roman" w:hAnsi="Times New Roman"/>
          <w:b/>
          <w:sz w:val="24"/>
          <w:szCs w:val="24"/>
        </w:rPr>
        <w:t>K čl. I bod 7</w:t>
      </w:r>
    </w:p>
    <w:p w:rsidR="00BD12F5" w:rsidP="00BD12F5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7 v § 13 ods. 19 písm. c) sa za slovom „objektov“ vypúšťa čiarka a slovo „priestorov“.</w:t>
      </w:r>
    </w:p>
    <w:p w:rsidR="00BD12F5" w:rsidP="00BD12F5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BD12F5" w:rsidP="00BD12F5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Vypúšťa sa duplicitne uvedené slovo „priestorov“, keďže v ďalšom texte ustanovenia je použité v spojení „do iných priestorov“.</w:t>
      </w:r>
    </w:p>
    <w:p w:rsidR="00BD12F5" w:rsidP="00BD12F5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BD12F5" w:rsidRPr="00BD12F5" w:rsidP="00BD12F5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12F5">
        <w:rPr>
          <w:rFonts w:ascii="Times New Roman" w:hAnsi="Times New Roman"/>
          <w:b/>
          <w:sz w:val="24"/>
          <w:szCs w:val="24"/>
        </w:rPr>
        <w:t>K čl. I bod 7</w:t>
      </w:r>
    </w:p>
    <w:p w:rsidR="00BD12F5" w:rsidP="00BD12F5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7 v § 13 ods. 19 písm. d) sa slovo „kontrolu“ nahrádza slovami „školskú inšpekciu“ a slovo „kontroly“ sa nahrádza slovami „školskej inšpekcie“.</w:t>
      </w:r>
    </w:p>
    <w:p w:rsidR="00BD12F5" w:rsidP="00BD12F5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BD12F5" w:rsidRPr="00893692" w:rsidP="00BD12F5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Terminológia návrhu zákona sa zosúlaďuje s terminológiou zákona č. 596/2003 Z. z., v ktorom sa v § 13 používa spojenie „výkon školskej inšpekcie“ a v § 13 ods. 4 sa upravuje obsah poverenia na výkon školskej inšpekcie.</w:t>
      </w:r>
    </w:p>
    <w:p w:rsidR="003C7508" w:rsidP="000D14F9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12F5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6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5">
    <w:nsid w:val="272C0F28"/>
    <w:multiLevelType w:val="hybridMultilevel"/>
    <w:tmpl w:val="3C40D7E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2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7"/>
  </w:num>
  <w:num w:numId="5">
    <w:abstractNumId w:val="34"/>
  </w:num>
  <w:num w:numId="6">
    <w:abstractNumId w:val="9"/>
  </w:num>
  <w:num w:numId="7">
    <w:abstractNumId w:val="20"/>
  </w:num>
  <w:num w:numId="8">
    <w:abstractNumId w:val="39"/>
  </w:num>
  <w:num w:numId="9">
    <w:abstractNumId w:val="40"/>
  </w:num>
  <w:num w:numId="10">
    <w:abstractNumId w:val="2"/>
  </w:num>
  <w:num w:numId="11">
    <w:abstractNumId w:val="25"/>
  </w:num>
  <w:num w:numId="12">
    <w:abstractNumId w:val="11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42"/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0"/>
  </w:num>
  <w:num w:numId="19">
    <w:abstractNumId w:val="13"/>
  </w:num>
  <w:num w:numId="20">
    <w:abstractNumId w:val="33"/>
  </w:num>
  <w:num w:numId="21">
    <w:abstractNumId w:val="10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</w:num>
  <w:num w:numId="24">
    <w:abstractNumId w:val="28"/>
  </w:num>
  <w:num w:numId="25">
    <w:abstractNumId w:val="43"/>
  </w:num>
  <w:num w:numId="26">
    <w:abstractNumId w:val="27"/>
  </w:num>
  <w:num w:numId="27">
    <w:abstractNumId w:val="23"/>
  </w:num>
  <w:num w:numId="28">
    <w:abstractNumId w:val="12"/>
  </w:num>
  <w:num w:numId="29">
    <w:abstractNumId w:val="5"/>
  </w:num>
  <w:num w:numId="30">
    <w:abstractNumId w:val="38"/>
  </w:num>
  <w:num w:numId="31">
    <w:abstractNumId w:val="18"/>
  </w:num>
  <w:num w:numId="32">
    <w:abstractNumId w:val="26"/>
  </w:num>
  <w:num w:numId="33">
    <w:abstractNumId w:val="19"/>
  </w:num>
  <w:num w:numId="34">
    <w:abstractNumId w:val="16"/>
  </w:num>
  <w:num w:numId="35">
    <w:abstractNumId w:val="21"/>
  </w:num>
  <w:num w:numId="36">
    <w:abstractNumId w:val="8"/>
  </w:num>
  <w:num w:numId="37">
    <w:abstractNumId w:val="22"/>
  </w:num>
  <w:num w:numId="38">
    <w:abstractNumId w:val="0"/>
  </w:num>
  <w:num w:numId="39">
    <w:abstractNumId w:val="31"/>
  </w:num>
  <w:num w:numId="40">
    <w:abstractNumId w:val="29"/>
  </w:num>
  <w:num w:numId="41">
    <w:abstractNumId w:val="37"/>
  </w:num>
  <w:num w:numId="42">
    <w:abstractNumId w:val="35"/>
  </w:num>
  <w:num w:numId="43">
    <w:abstractNumId w:val="3"/>
  </w:num>
  <w:num w:numId="44">
    <w:abstractNumId w:val="45"/>
  </w:num>
  <w:num w:numId="45">
    <w:abstractNumId w:val="4"/>
  </w:num>
  <w:num w:numId="46">
    <w:abstractNumId w:val="15"/>
  </w:num>
  <w:num w:numId="4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612"/>
    <w:rsid w:val="000107AE"/>
    <w:rsid w:val="000139BA"/>
    <w:rsid w:val="00015125"/>
    <w:rsid w:val="000165A9"/>
    <w:rsid w:val="00016EEA"/>
    <w:rsid w:val="000226F4"/>
    <w:rsid w:val="00022D53"/>
    <w:rsid w:val="00026345"/>
    <w:rsid w:val="0002666C"/>
    <w:rsid w:val="00026968"/>
    <w:rsid w:val="0004001B"/>
    <w:rsid w:val="00040044"/>
    <w:rsid w:val="00041192"/>
    <w:rsid w:val="000434DA"/>
    <w:rsid w:val="00045E54"/>
    <w:rsid w:val="00050225"/>
    <w:rsid w:val="0005173D"/>
    <w:rsid w:val="0005235B"/>
    <w:rsid w:val="00053FB9"/>
    <w:rsid w:val="00066275"/>
    <w:rsid w:val="00067F0B"/>
    <w:rsid w:val="00071C62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44A0"/>
    <w:rsid w:val="000A7E84"/>
    <w:rsid w:val="000B19F4"/>
    <w:rsid w:val="000B4AAD"/>
    <w:rsid w:val="000D0046"/>
    <w:rsid w:val="000D14F9"/>
    <w:rsid w:val="000D1BD1"/>
    <w:rsid w:val="000D4078"/>
    <w:rsid w:val="000E176D"/>
    <w:rsid w:val="000E2CAC"/>
    <w:rsid w:val="000E4253"/>
    <w:rsid w:val="000E5323"/>
    <w:rsid w:val="000E5C35"/>
    <w:rsid w:val="000E6D4C"/>
    <w:rsid w:val="000F1967"/>
    <w:rsid w:val="00103D33"/>
    <w:rsid w:val="0010647C"/>
    <w:rsid w:val="001117D7"/>
    <w:rsid w:val="001139A4"/>
    <w:rsid w:val="00113E0D"/>
    <w:rsid w:val="0011524C"/>
    <w:rsid w:val="00117627"/>
    <w:rsid w:val="001212D5"/>
    <w:rsid w:val="00127866"/>
    <w:rsid w:val="00135CBF"/>
    <w:rsid w:val="00143F10"/>
    <w:rsid w:val="00152B22"/>
    <w:rsid w:val="00153E1E"/>
    <w:rsid w:val="001545C9"/>
    <w:rsid w:val="001559B7"/>
    <w:rsid w:val="00155FEF"/>
    <w:rsid w:val="00160A16"/>
    <w:rsid w:val="001626EB"/>
    <w:rsid w:val="001644D4"/>
    <w:rsid w:val="0016756E"/>
    <w:rsid w:val="001734EE"/>
    <w:rsid w:val="001829BC"/>
    <w:rsid w:val="00183676"/>
    <w:rsid w:val="00184104"/>
    <w:rsid w:val="00184650"/>
    <w:rsid w:val="00184784"/>
    <w:rsid w:val="001852E1"/>
    <w:rsid w:val="00192864"/>
    <w:rsid w:val="001957AD"/>
    <w:rsid w:val="001A0813"/>
    <w:rsid w:val="001A602E"/>
    <w:rsid w:val="001B0C6C"/>
    <w:rsid w:val="001B1E93"/>
    <w:rsid w:val="001B2305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392"/>
    <w:rsid w:val="001F1FB7"/>
    <w:rsid w:val="001F5644"/>
    <w:rsid w:val="002011D5"/>
    <w:rsid w:val="002012D0"/>
    <w:rsid w:val="00205C7B"/>
    <w:rsid w:val="0020683C"/>
    <w:rsid w:val="00210542"/>
    <w:rsid w:val="00213659"/>
    <w:rsid w:val="00214BD9"/>
    <w:rsid w:val="0022770E"/>
    <w:rsid w:val="00232F32"/>
    <w:rsid w:val="00233821"/>
    <w:rsid w:val="002461A5"/>
    <w:rsid w:val="00254F23"/>
    <w:rsid w:val="00255E78"/>
    <w:rsid w:val="002603BC"/>
    <w:rsid w:val="002629D4"/>
    <w:rsid w:val="00272FA8"/>
    <w:rsid w:val="002743DB"/>
    <w:rsid w:val="00276AD6"/>
    <w:rsid w:val="00284126"/>
    <w:rsid w:val="0028499B"/>
    <w:rsid w:val="00294FAE"/>
    <w:rsid w:val="002A59BC"/>
    <w:rsid w:val="002A6335"/>
    <w:rsid w:val="002A7220"/>
    <w:rsid w:val="002B337A"/>
    <w:rsid w:val="002B6101"/>
    <w:rsid w:val="002C62FF"/>
    <w:rsid w:val="002D1085"/>
    <w:rsid w:val="002D29EA"/>
    <w:rsid w:val="002E46AB"/>
    <w:rsid w:val="002E7F6B"/>
    <w:rsid w:val="002F3ED4"/>
    <w:rsid w:val="002F5CD9"/>
    <w:rsid w:val="00301227"/>
    <w:rsid w:val="00302EB6"/>
    <w:rsid w:val="0030491B"/>
    <w:rsid w:val="00321A20"/>
    <w:rsid w:val="00325E49"/>
    <w:rsid w:val="00327018"/>
    <w:rsid w:val="0032711D"/>
    <w:rsid w:val="00334FEC"/>
    <w:rsid w:val="003371B9"/>
    <w:rsid w:val="00342FD3"/>
    <w:rsid w:val="00347242"/>
    <w:rsid w:val="00352292"/>
    <w:rsid w:val="00353717"/>
    <w:rsid w:val="00356336"/>
    <w:rsid w:val="00361210"/>
    <w:rsid w:val="003676F8"/>
    <w:rsid w:val="00370DA7"/>
    <w:rsid w:val="00371F1B"/>
    <w:rsid w:val="00373CBB"/>
    <w:rsid w:val="0038060C"/>
    <w:rsid w:val="00380A1C"/>
    <w:rsid w:val="003832D7"/>
    <w:rsid w:val="00386124"/>
    <w:rsid w:val="003916AC"/>
    <w:rsid w:val="00397CB2"/>
    <w:rsid w:val="003A4FC0"/>
    <w:rsid w:val="003B1B33"/>
    <w:rsid w:val="003C2355"/>
    <w:rsid w:val="003C4B32"/>
    <w:rsid w:val="003C4D07"/>
    <w:rsid w:val="003C7508"/>
    <w:rsid w:val="003D441A"/>
    <w:rsid w:val="003D7C0B"/>
    <w:rsid w:val="003E4817"/>
    <w:rsid w:val="003E5C21"/>
    <w:rsid w:val="003E60B4"/>
    <w:rsid w:val="003F56E7"/>
    <w:rsid w:val="00401691"/>
    <w:rsid w:val="00415698"/>
    <w:rsid w:val="00417F75"/>
    <w:rsid w:val="004231C1"/>
    <w:rsid w:val="004265B4"/>
    <w:rsid w:val="0043269C"/>
    <w:rsid w:val="00435793"/>
    <w:rsid w:val="00450C55"/>
    <w:rsid w:val="0046108E"/>
    <w:rsid w:val="004612FB"/>
    <w:rsid w:val="0047332F"/>
    <w:rsid w:val="004770E8"/>
    <w:rsid w:val="00491556"/>
    <w:rsid w:val="004925DB"/>
    <w:rsid w:val="00493DCA"/>
    <w:rsid w:val="004A0A77"/>
    <w:rsid w:val="004A12F3"/>
    <w:rsid w:val="004A3E40"/>
    <w:rsid w:val="004A665B"/>
    <w:rsid w:val="004B7312"/>
    <w:rsid w:val="004B77A8"/>
    <w:rsid w:val="004D03C0"/>
    <w:rsid w:val="004D397F"/>
    <w:rsid w:val="004D71D6"/>
    <w:rsid w:val="004E263D"/>
    <w:rsid w:val="004E2763"/>
    <w:rsid w:val="004E6C03"/>
    <w:rsid w:val="004F0838"/>
    <w:rsid w:val="004F2B3E"/>
    <w:rsid w:val="004F45C8"/>
    <w:rsid w:val="004F48EB"/>
    <w:rsid w:val="00500C97"/>
    <w:rsid w:val="0050102D"/>
    <w:rsid w:val="00504177"/>
    <w:rsid w:val="00512BEB"/>
    <w:rsid w:val="0052115B"/>
    <w:rsid w:val="00522678"/>
    <w:rsid w:val="0052685A"/>
    <w:rsid w:val="0053136B"/>
    <w:rsid w:val="0053198A"/>
    <w:rsid w:val="0053362C"/>
    <w:rsid w:val="005375F3"/>
    <w:rsid w:val="00552BE1"/>
    <w:rsid w:val="0056697B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97030"/>
    <w:rsid w:val="005A403B"/>
    <w:rsid w:val="005A7352"/>
    <w:rsid w:val="005B36AB"/>
    <w:rsid w:val="005D03BE"/>
    <w:rsid w:val="005D04B9"/>
    <w:rsid w:val="005D1F0B"/>
    <w:rsid w:val="005D24E9"/>
    <w:rsid w:val="005D2E69"/>
    <w:rsid w:val="005D322A"/>
    <w:rsid w:val="005D368F"/>
    <w:rsid w:val="005D6283"/>
    <w:rsid w:val="005D62EB"/>
    <w:rsid w:val="005E0E12"/>
    <w:rsid w:val="005E26FF"/>
    <w:rsid w:val="005E27AA"/>
    <w:rsid w:val="005E3D70"/>
    <w:rsid w:val="005E63ED"/>
    <w:rsid w:val="005F2A14"/>
    <w:rsid w:val="00602FF8"/>
    <w:rsid w:val="006107BB"/>
    <w:rsid w:val="006109A8"/>
    <w:rsid w:val="00611469"/>
    <w:rsid w:val="0062186D"/>
    <w:rsid w:val="00622525"/>
    <w:rsid w:val="00624DDC"/>
    <w:rsid w:val="00632B62"/>
    <w:rsid w:val="00635605"/>
    <w:rsid w:val="0063617C"/>
    <w:rsid w:val="0063749C"/>
    <w:rsid w:val="00642D4E"/>
    <w:rsid w:val="006437A1"/>
    <w:rsid w:val="006443CB"/>
    <w:rsid w:val="0065582E"/>
    <w:rsid w:val="00660095"/>
    <w:rsid w:val="00665A38"/>
    <w:rsid w:val="0066682E"/>
    <w:rsid w:val="00670BE9"/>
    <w:rsid w:val="006732DF"/>
    <w:rsid w:val="00676066"/>
    <w:rsid w:val="006A3283"/>
    <w:rsid w:val="006A3C85"/>
    <w:rsid w:val="006A6D97"/>
    <w:rsid w:val="006A749F"/>
    <w:rsid w:val="006B50A0"/>
    <w:rsid w:val="006C19B0"/>
    <w:rsid w:val="006C72E6"/>
    <w:rsid w:val="006D23E3"/>
    <w:rsid w:val="006D6B84"/>
    <w:rsid w:val="006E5A71"/>
    <w:rsid w:val="006F4192"/>
    <w:rsid w:val="006F7BE1"/>
    <w:rsid w:val="007012B6"/>
    <w:rsid w:val="0071148D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0DA6"/>
    <w:rsid w:val="00753D13"/>
    <w:rsid w:val="00754367"/>
    <w:rsid w:val="00766B24"/>
    <w:rsid w:val="00766EB1"/>
    <w:rsid w:val="00770355"/>
    <w:rsid w:val="00771DBB"/>
    <w:rsid w:val="00776A60"/>
    <w:rsid w:val="00777CFA"/>
    <w:rsid w:val="007808C5"/>
    <w:rsid w:val="007865EF"/>
    <w:rsid w:val="00787F13"/>
    <w:rsid w:val="00791016"/>
    <w:rsid w:val="007965EB"/>
    <w:rsid w:val="007A7227"/>
    <w:rsid w:val="007A7FC3"/>
    <w:rsid w:val="007B40ED"/>
    <w:rsid w:val="007C3A2E"/>
    <w:rsid w:val="007C6EC6"/>
    <w:rsid w:val="007D3639"/>
    <w:rsid w:val="007D74D2"/>
    <w:rsid w:val="007D7D61"/>
    <w:rsid w:val="007E168E"/>
    <w:rsid w:val="0080410E"/>
    <w:rsid w:val="0081158D"/>
    <w:rsid w:val="00824DAD"/>
    <w:rsid w:val="00830899"/>
    <w:rsid w:val="00841E0B"/>
    <w:rsid w:val="00841EA3"/>
    <w:rsid w:val="00843911"/>
    <w:rsid w:val="008458BA"/>
    <w:rsid w:val="0085189B"/>
    <w:rsid w:val="008524BB"/>
    <w:rsid w:val="008720CA"/>
    <w:rsid w:val="00875CE7"/>
    <w:rsid w:val="008769DE"/>
    <w:rsid w:val="00880343"/>
    <w:rsid w:val="00881478"/>
    <w:rsid w:val="00883651"/>
    <w:rsid w:val="0089148D"/>
    <w:rsid w:val="00893692"/>
    <w:rsid w:val="008956C4"/>
    <w:rsid w:val="00896110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04DB"/>
    <w:rsid w:val="008F1D4B"/>
    <w:rsid w:val="008F35D7"/>
    <w:rsid w:val="008F51E4"/>
    <w:rsid w:val="009014AF"/>
    <w:rsid w:val="00901501"/>
    <w:rsid w:val="00902EC3"/>
    <w:rsid w:val="00914F38"/>
    <w:rsid w:val="009171A7"/>
    <w:rsid w:val="00927388"/>
    <w:rsid w:val="00942B86"/>
    <w:rsid w:val="009434CE"/>
    <w:rsid w:val="00945E30"/>
    <w:rsid w:val="009534E4"/>
    <w:rsid w:val="009632BB"/>
    <w:rsid w:val="009673E9"/>
    <w:rsid w:val="00972CAE"/>
    <w:rsid w:val="00975A15"/>
    <w:rsid w:val="00977639"/>
    <w:rsid w:val="00985280"/>
    <w:rsid w:val="00990B21"/>
    <w:rsid w:val="009940AF"/>
    <w:rsid w:val="00996EF0"/>
    <w:rsid w:val="009A0038"/>
    <w:rsid w:val="009A5069"/>
    <w:rsid w:val="009B1A9B"/>
    <w:rsid w:val="009B629D"/>
    <w:rsid w:val="009C1AA3"/>
    <w:rsid w:val="009C5634"/>
    <w:rsid w:val="009C6829"/>
    <w:rsid w:val="009D0655"/>
    <w:rsid w:val="009D25C5"/>
    <w:rsid w:val="009D3928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3B6"/>
    <w:rsid w:val="00A90912"/>
    <w:rsid w:val="00A92570"/>
    <w:rsid w:val="00A93054"/>
    <w:rsid w:val="00AB4ECA"/>
    <w:rsid w:val="00AC22E2"/>
    <w:rsid w:val="00AC2960"/>
    <w:rsid w:val="00AC65F9"/>
    <w:rsid w:val="00AC7EC3"/>
    <w:rsid w:val="00AD0864"/>
    <w:rsid w:val="00AE3087"/>
    <w:rsid w:val="00AE69DF"/>
    <w:rsid w:val="00AE6F63"/>
    <w:rsid w:val="00AF0917"/>
    <w:rsid w:val="00AF0B50"/>
    <w:rsid w:val="00AF7145"/>
    <w:rsid w:val="00B07F36"/>
    <w:rsid w:val="00B16CED"/>
    <w:rsid w:val="00B17563"/>
    <w:rsid w:val="00B44942"/>
    <w:rsid w:val="00B55EBB"/>
    <w:rsid w:val="00B614DE"/>
    <w:rsid w:val="00B64787"/>
    <w:rsid w:val="00B71E6A"/>
    <w:rsid w:val="00B73982"/>
    <w:rsid w:val="00B774DD"/>
    <w:rsid w:val="00B83537"/>
    <w:rsid w:val="00B87020"/>
    <w:rsid w:val="00B956AC"/>
    <w:rsid w:val="00B95CCC"/>
    <w:rsid w:val="00B97CFB"/>
    <w:rsid w:val="00BA1E88"/>
    <w:rsid w:val="00BB022F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2F5"/>
    <w:rsid w:val="00BD172A"/>
    <w:rsid w:val="00BD37D8"/>
    <w:rsid w:val="00BD7172"/>
    <w:rsid w:val="00BE5478"/>
    <w:rsid w:val="00BE788B"/>
    <w:rsid w:val="00C0580A"/>
    <w:rsid w:val="00C059CD"/>
    <w:rsid w:val="00C221C2"/>
    <w:rsid w:val="00C2409D"/>
    <w:rsid w:val="00C34FB0"/>
    <w:rsid w:val="00C37D3C"/>
    <w:rsid w:val="00C40208"/>
    <w:rsid w:val="00C470FD"/>
    <w:rsid w:val="00C511AD"/>
    <w:rsid w:val="00C56FB3"/>
    <w:rsid w:val="00C609C6"/>
    <w:rsid w:val="00C637C7"/>
    <w:rsid w:val="00C66F59"/>
    <w:rsid w:val="00C72FBD"/>
    <w:rsid w:val="00C739C2"/>
    <w:rsid w:val="00C74C86"/>
    <w:rsid w:val="00C81129"/>
    <w:rsid w:val="00C85101"/>
    <w:rsid w:val="00C91164"/>
    <w:rsid w:val="00C93F38"/>
    <w:rsid w:val="00CA02CA"/>
    <w:rsid w:val="00CA0E04"/>
    <w:rsid w:val="00CA4BC6"/>
    <w:rsid w:val="00CA6961"/>
    <w:rsid w:val="00CA7FA7"/>
    <w:rsid w:val="00CB45BF"/>
    <w:rsid w:val="00CB5AF6"/>
    <w:rsid w:val="00CB60CD"/>
    <w:rsid w:val="00CB6504"/>
    <w:rsid w:val="00CD05F3"/>
    <w:rsid w:val="00CD3386"/>
    <w:rsid w:val="00CD5189"/>
    <w:rsid w:val="00CD689C"/>
    <w:rsid w:val="00CE23DD"/>
    <w:rsid w:val="00CE5FA3"/>
    <w:rsid w:val="00CF0260"/>
    <w:rsid w:val="00CF3530"/>
    <w:rsid w:val="00CF7721"/>
    <w:rsid w:val="00D066CB"/>
    <w:rsid w:val="00D14BB3"/>
    <w:rsid w:val="00D14EA4"/>
    <w:rsid w:val="00D24006"/>
    <w:rsid w:val="00D3491C"/>
    <w:rsid w:val="00D43E19"/>
    <w:rsid w:val="00D468CB"/>
    <w:rsid w:val="00D47606"/>
    <w:rsid w:val="00D51BBC"/>
    <w:rsid w:val="00D53213"/>
    <w:rsid w:val="00D5389F"/>
    <w:rsid w:val="00D56CFD"/>
    <w:rsid w:val="00D57C94"/>
    <w:rsid w:val="00D60D33"/>
    <w:rsid w:val="00D6120A"/>
    <w:rsid w:val="00D64717"/>
    <w:rsid w:val="00D72A92"/>
    <w:rsid w:val="00D72E6C"/>
    <w:rsid w:val="00D77944"/>
    <w:rsid w:val="00D840FC"/>
    <w:rsid w:val="00D93A8F"/>
    <w:rsid w:val="00D96ABB"/>
    <w:rsid w:val="00DA4A4E"/>
    <w:rsid w:val="00DB14FA"/>
    <w:rsid w:val="00DB15FF"/>
    <w:rsid w:val="00DC342A"/>
    <w:rsid w:val="00DD0454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27E58"/>
    <w:rsid w:val="00E3668B"/>
    <w:rsid w:val="00E36F3D"/>
    <w:rsid w:val="00E4207A"/>
    <w:rsid w:val="00E54D4F"/>
    <w:rsid w:val="00E564B4"/>
    <w:rsid w:val="00E56CEF"/>
    <w:rsid w:val="00E61311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30BE"/>
    <w:rsid w:val="00EC5F3F"/>
    <w:rsid w:val="00ED3C5E"/>
    <w:rsid w:val="00EE616F"/>
    <w:rsid w:val="00EF60D1"/>
    <w:rsid w:val="00F00247"/>
    <w:rsid w:val="00F02244"/>
    <w:rsid w:val="00F03B10"/>
    <w:rsid w:val="00F05D83"/>
    <w:rsid w:val="00F14525"/>
    <w:rsid w:val="00F15963"/>
    <w:rsid w:val="00F31640"/>
    <w:rsid w:val="00F31D27"/>
    <w:rsid w:val="00F328DE"/>
    <w:rsid w:val="00F33022"/>
    <w:rsid w:val="00F362CE"/>
    <w:rsid w:val="00F531F1"/>
    <w:rsid w:val="00F6286E"/>
    <w:rsid w:val="00F7162F"/>
    <w:rsid w:val="00F7316C"/>
    <w:rsid w:val="00F7461A"/>
    <w:rsid w:val="00F80E71"/>
    <w:rsid w:val="00F87FF3"/>
    <w:rsid w:val="00F92F1D"/>
    <w:rsid w:val="00F966EF"/>
    <w:rsid w:val="00FB71C8"/>
    <w:rsid w:val="00FC615D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D2B17-7707-4F62-8B57-8D77E0C0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62</cp:revision>
  <cp:lastPrinted>2017-11-07T08:24:00Z</cp:lastPrinted>
  <dcterms:created xsi:type="dcterms:W3CDTF">2013-06-14T07:14:00Z</dcterms:created>
  <dcterms:modified xsi:type="dcterms:W3CDTF">2018-11-20T13:36:00Z</dcterms:modified>
</cp:coreProperties>
</file>