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riekatabuky"/>
        <w:tblW w:w="0" w:type="auto"/>
        <w:tblLook w:val="04A0" w:firstRow="1" w:lastRow="0" w:firstColumn="1" w:lastColumn="0" w:noHBand="0" w:noVBand="1"/>
      </w:tblPr>
      <w:tblGrid>
        <w:gridCol w:w="9212"/>
      </w:tblGrid>
      <w:tr w:rsidR="009F2DFA" w:rsidRPr="00F04CCD" w:rsidTr="003B3199">
        <w:trPr>
          <w:trHeight w:val="567"/>
        </w:trPr>
        <w:tc>
          <w:tcPr>
            <w:tcW w:w="9212" w:type="dxa"/>
            <w:shd w:val="clear" w:color="auto" w:fill="D9D9D9" w:themeFill="background1" w:themeFillShade="D9"/>
          </w:tcPr>
          <w:p w:rsidR="009F2DFA" w:rsidRPr="00042C66" w:rsidRDefault="008A1252" w:rsidP="003B3199">
            <w:pPr>
              <w:jc w:val="center"/>
              <w:rPr>
                <w:b/>
                <w:sz w:val="24"/>
              </w:rPr>
            </w:pPr>
            <w:bookmarkStart w:id="0" w:name="_GoBack"/>
            <w:bookmarkEnd w:id="0"/>
            <w:r w:rsidRPr="008A1252">
              <w:rPr>
                <w:b/>
                <w:sz w:val="28"/>
              </w:rPr>
              <w:t xml:space="preserve">Analýza </w:t>
            </w:r>
            <w:r>
              <w:rPr>
                <w:b/>
                <w:sz w:val="28"/>
              </w:rPr>
              <w:t>v</w:t>
            </w:r>
            <w:r w:rsidR="009F2DFA" w:rsidRPr="00042C66">
              <w:rPr>
                <w:b/>
                <w:sz w:val="28"/>
              </w:rPr>
              <w:t>plyv</w:t>
            </w:r>
            <w:r>
              <w:rPr>
                <w:b/>
                <w:sz w:val="28"/>
              </w:rPr>
              <w:t>ov</w:t>
            </w:r>
            <w:r w:rsidR="009F2DFA" w:rsidRPr="00042C66">
              <w:rPr>
                <w:b/>
                <w:sz w:val="28"/>
              </w:rPr>
              <w:t xml:space="preserve"> na podnikateľské prostredie </w:t>
            </w:r>
          </w:p>
          <w:p w:rsidR="009F2DFA" w:rsidRPr="00F04CCD" w:rsidRDefault="009F2DFA" w:rsidP="00780BA6">
            <w:pPr>
              <w:jc w:val="center"/>
              <w:rPr>
                <w:b/>
              </w:rPr>
            </w:pPr>
            <w:r w:rsidRPr="00042C66">
              <w:rPr>
                <w:b/>
                <w:sz w:val="24"/>
              </w:rPr>
              <w:t xml:space="preserve">(vrátane </w:t>
            </w:r>
            <w:r w:rsidR="00780BA6">
              <w:rPr>
                <w:b/>
                <w:sz w:val="24"/>
              </w:rPr>
              <w:t xml:space="preserve">testu </w:t>
            </w:r>
            <w:r w:rsidRPr="00042C66">
              <w:rPr>
                <w:b/>
                <w:sz w:val="24"/>
              </w:rPr>
              <w:t>MSP)</w:t>
            </w:r>
          </w:p>
        </w:tc>
      </w:tr>
      <w:tr w:rsidR="009F2DFA" w:rsidRPr="00F04CCD" w:rsidTr="003B3199">
        <w:trPr>
          <w:trHeight w:val="567"/>
        </w:trPr>
        <w:tc>
          <w:tcPr>
            <w:tcW w:w="9212" w:type="dxa"/>
            <w:shd w:val="clear" w:color="auto" w:fill="D9D9D9" w:themeFill="background1" w:themeFillShade="D9"/>
          </w:tcPr>
          <w:p w:rsidR="009F2DFA" w:rsidRPr="00042C66" w:rsidRDefault="009F2DFA" w:rsidP="003B3199">
            <w:pPr>
              <w:rPr>
                <w:b/>
                <w:sz w:val="24"/>
              </w:rPr>
            </w:pPr>
            <w:r w:rsidRPr="00042C66">
              <w:rPr>
                <w:b/>
                <w:sz w:val="24"/>
              </w:rPr>
              <w:t>Materiál bude mať vplyv s ohľadom na veľkostnú kategóriu podnikov:</w:t>
            </w:r>
          </w:p>
        </w:tc>
      </w:tr>
      <w:tr w:rsidR="009F2DFA" w:rsidRPr="00F04CCD" w:rsidTr="003B3199">
        <w:trPr>
          <w:trHeight w:val="567"/>
        </w:trPr>
        <w:tc>
          <w:tcPr>
            <w:tcW w:w="9212"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545"/>
            </w:tblGrid>
            <w:tr w:rsidR="009F2DFA" w:rsidRPr="00F04CCD" w:rsidTr="003B3199">
              <w:tc>
                <w:tcPr>
                  <w:tcW w:w="436" w:type="dxa"/>
                  <w:tcBorders>
                    <w:top w:val="nil"/>
                    <w:left w:val="nil"/>
                    <w:bottom w:val="nil"/>
                    <w:right w:val="nil"/>
                  </w:tcBorders>
                </w:tcPr>
                <w:p w:rsidR="009F2DFA" w:rsidRPr="00F04CCD" w:rsidRDefault="009F2DFA" w:rsidP="003B3199">
                  <w:pPr>
                    <w:jc w:val="center"/>
                  </w:pPr>
                  <w:r w:rsidRPr="00F04CCD">
                    <w:rPr>
                      <w:rFonts w:ascii="MS Mincho" w:eastAsia="MS Mincho" w:hAnsi="MS Mincho" w:cs="MS Mincho" w:hint="eastAsia"/>
                    </w:rPr>
                    <w:t>☐</w:t>
                  </w:r>
                </w:p>
              </w:tc>
              <w:tc>
                <w:tcPr>
                  <w:tcW w:w="8545" w:type="dxa"/>
                  <w:tcBorders>
                    <w:top w:val="nil"/>
                    <w:left w:val="nil"/>
                    <w:bottom w:val="nil"/>
                    <w:right w:val="nil"/>
                  </w:tcBorders>
                </w:tcPr>
                <w:p w:rsidR="009F2DFA" w:rsidRPr="00F04CCD" w:rsidRDefault="009F2DFA" w:rsidP="003B3199">
                  <w:pPr>
                    <w:rPr>
                      <w:b/>
                    </w:rPr>
                  </w:pPr>
                  <w:r w:rsidRPr="00F04CCD">
                    <w:rPr>
                      <w:b/>
                    </w:rPr>
                    <w:t xml:space="preserve">iba na MSP (0 - 249 zamestnancov) </w:t>
                  </w:r>
                </w:p>
              </w:tc>
            </w:tr>
            <w:tr w:rsidR="009F2DFA" w:rsidRPr="00F04CCD" w:rsidTr="003B3199">
              <w:tc>
                <w:tcPr>
                  <w:tcW w:w="436" w:type="dxa"/>
                  <w:tcBorders>
                    <w:top w:val="nil"/>
                    <w:left w:val="nil"/>
                    <w:bottom w:val="nil"/>
                    <w:right w:val="nil"/>
                  </w:tcBorders>
                </w:tcPr>
                <w:p w:rsidR="009F2DFA" w:rsidRPr="00F04CCD" w:rsidRDefault="009F2DFA" w:rsidP="003B3199">
                  <w:pPr>
                    <w:jc w:val="center"/>
                  </w:pPr>
                  <w:r w:rsidRPr="00F04CCD">
                    <w:rPr>
                      <w:rFonts w:ascii="MS Mincho" w:eastAsia="MS Mincho" w:hAnsi="MS Mincho" w:cs="MS Mincho" w:hint="eastAsia"/>
                    </w:rPr>
                    <w:t>☐</w:t>
                  </w:r>
                </w:p>
              </w:tc>
              <w:tc>
                <w:tcPr>
                  <w:tcW w:w="8545" w:type="dxa"/>
                  <w:tcBorders>
                    <w:top w:val="nil"/>
                    <w:left w:val="nil"/>
                    <w:bottom w:val="nil"/>
                    <w:right w:val="nil"/>
                  </w:tcBorders>
                </w:tcPr>
                <w:p w:rsidR="009F2DFA" w:rsidRPr="00F04CCD" w:rsidRDefault="009F2DFA" w:rsidP="003B3199">
                  <w:pPr>
                    <w:rPr>
                      <w:b/>
                    </w:rPr>
                  </w:pPr>
                  <w:r w:rsidRPr="00F04CCD">
                    <w:rPr>
                      <w:b/>
                    </w:rPr>
                    <w:t>iba na veľké podniky (250 a viac zamestnancov)</w:t>
                  </w:r>
                </w:p>
              </w:tc>
            </w:tr>
            <w:tr w:rsidR="009F2DFA" w:rsidRPr="00F04CCD" w:rsidTr="003B3199">
              <w:tc>
                <w:tcPr>
                  <w:tcW w:w="436" w:type="dxa"/>
                  <w:tcBorders>
                    <w:top w:val="nil"/>
                    <w:left w:val="nil"/>
                    <w:bottom w:val="nil"/>
                    <w:right w:val="nil"/>
                  </w:tcBorders>
                </w:tcPr>
                <w:p w:rsidR="009F2DFA" w:rsidRPr="00F04CCD" w:rsidRDefault="003B3199" w:rsidP="003B3199">
                  <w:pPr>
                    <w:jc w:val="center"/>
                  </w:pPr>
                  <w:r>
                    <w:rPr>
                      <w:rFonts w:ascii="MS Gothic" w:eastAsia="MS Gothic" w:hAnsi="MS Gothic" w:hint="eastAsia"/>
                    </w:rPr>
                    <w:t>☒</w:t>
                  </w:r>
                </w:p>
              </w:tc>
              <w:tc>
                <w:tcPr>
                  <w:tcW w:w="8545" w:type="dxa"/>
                  <w:tcBorders>
                    <w:top w:val="nil"/>
                    <w:left w:val="nil"/>
                    <w:bottom w:val="nil"/>
                    <w:right w:val="nil"/>
                  </w:tcBorders>
                </w:tcPr>
                <w:p w:rsidR="009F2DFA" w:rsidRPr="00F04CCD" w:rsidRDefault="009F2DFA" w:rsidP="003B3199">
                  <w:r w:rsidRPr="00F04CCD">
                    <w:rPr>
                      <w:b/>
                    </w:rPr>
                    <w:t xml:space="preserve">na všetky </w:t>
                  </w:r>
                  <w:r>
                    <w:rPr>
                      <w:b/>
                    </w:rPr>
                    <w:t>kategórie</w:t>
                  </w:r>
                  <w:r w:rsidRPr="00F04CCD">
                    <w:rPr>
                      <w:b/>
                    </w:rPr>
                    <w:t xml:space="preserve"> podnikov</w:t>
                  </w:r>
                </w:p>
              </w:tc>
            </w:tr>
          </w:tbl>
          <w:p w:rsidR="009F2DFA" w:rsidRPr="00F04CCD" w:rsidRDefault="009F2DFA" w:rsidP="003B3199">
            <w:pPr>
              <w:rPr>
                <w:b/>
              </w:rPr>
            </w:pPr>
          </w:p>
        </w:tc>
      </w:tr>
      <w:tr w:rsidR="009F2DFA" w:rsidRPr="00F04CCD" w:rsidTr="003B3199">
        <w:tc>
          <w:tcPr>
            <w:tcW w:w="9212" w:type="dxa"/>
            <w:shd w:val="clear" w:color="auto" w:fill="D9D9D9" w:themeFill="background1" w:themeFillShade="D9"/>
          </w:tcPr>
          <w:p w:rsidR="009F2DFA" w:rsidRPr="00042C66" w:rsidRDefault="002B1108" w:rsidP="003B3199">
            <w:pPr>
              <w:rPr>
                <w:b/>
                <w:sz w:val="24"/>
              </w:rPr>
            </w:pPr>
            <w:r>
              <w:rPr>
                <w:b/>
                <w:sz w:val="24"/>
              </w:rPr>
              <w:t>3</w:t>
            </w:r>
            <w:r w:rsidR="009F2DFA" w:rsidRPr="00042C66">
              <w:rPr>
                <w:b/>
                <w:sz w:val="24"/>
              </w:rPr>
              <w:t>.1 Dotknuté podnikateľské subjekty</w:t>
            </w:r>
          </w:p>
          <w:p w:rsidR="009F2DFA" w:rsidRPr="00F04CCD" w:rsidRDefault="009F2DFA" w:rsidP="003B3199">
            <w:pPr>
              <w:ind w:left="284"/>
              <w:rPr>
                <w:b/>
              </w:rPr>
            </w:pPr>
            <w:r w:rsidRPr="00042C66">
              <w:rPr>
                <w:sz w:val="24"/>
              </w:rPr>
              <w:t xml:space="preserve"> - </w:t>
            </w:r>
            <w:r w:rsidRPr="00042C66">
              <w:rPr>
                <w:b/>
                <w:sz w:val="24"/>
              </w:rPr>
              <w:t>z toho MSP</w:t>
            </w:r>
          </w:p>
        </w:tc>
      </w:tr>
      <w:tr w:rsidR="009F2DFA" w:rsidRPr="00F04CCD" w:rsidTr="003B3199">
        <w:tc>
          <w:tcPr>
            <w:tcW w:w="9212" w:type="dxa"/>
          </w:tcPr>
          <w:p w:rsidR="009F2DFA" w:rsidRPr="00F04CCD" w:rsidRDefault="009F2DFA" w:rsidP="003B3199">
            <w:pPr>
              <w:rPr>
                <w:i/>
              </w:rPr>
            </w:pPr>
            <w:r w:rsidRPr="00F04CCD">
              <w:rPr>
                <w:i/>
              </w:rPr>
              <w:t>Uveďte, aké podnikateľské subjekty budú predkladaným návrhom ovplyvnené.</w:t>
            </w:r>
          </w:p>
          <w:p w:rsidR="009F2DFA" w:rsidRPr="00F04CCD" w:rsidRDefault="009F2DFA" w:rsidP="003B3199">
            <w:pPr>
              <w:rPr>
                <w:i/>
              </w:rPr>
            </w:pPr>
            <w:r w:rsidRPr="00F04CCD">
              <w:rPr>
                <w:i/>
              </w:rPr>
              <w:t>Aký je ich počet?</w:t>
            </w:r>
          </w:p>
        </w:tc>
      </w:tr>
      <w:tr w:rsidR="00D71A4F" w:rsidRPr="00D71A4F" w:rsidTr="00D71A4F">
        <w:trPr>
          <w:trHeight w:val="978"/>
        </w:trPr>
        <w:tc>
          <w:tcPr>
            <w:tcW w:w="9212" w:type="dxa"/>
          </w:tcPr>
          <w:p w:rsidR="00FB02B3" w:rsidRPr="00391A08" w:rsidRDefault="00FB02B3" w:rsidP="00391A08">
            <w:pPr>
              <w:jc w:val="both"/>
            </w:pPr>
            <w:r w:rsidRPr="00391A08">
              <w:t xml:space="preserve">Predkladaný </w:t>
            </w:r>
            <w:r w:rsidR="00C64BA6">
              <w:t xml:space="preserve">vládny </w:t>
            </w:r>
            <w:r w:rsidRPr="00391A08">
              <w:t>návrh zákona pozitívne ovplyvní zamestnávateľov zamestnávajúcich cudzincov, a to zjednodušením a zrýchlením procesu prijímania štátnych príslušníkov tretích krajín ako potenciálnych zamestnancov na územie Slovenskej republiky. Týmto opatrením tak dôjde k celkovému urýchleniu momentu, kedy budú môcť  štátni príslušníci tretích krajín začať pracovať pre uvedených zamestnávateľov.</w:t>
            </w:r>
          </w:p>
          <w:tbl>
            <w:tblPr>
              <w:tblW w:w="0" w:type="auto"/>
              <w:tblLook w:val="0000" w:firstRow="0" w:lastRow="0" w:firstColumn="0" w:lastColumn="0" w:noHBand="0" w:noVBand="0"/>
            </w:tblPr>
            <w:tblGrid>
              <w:gridCol w:w="8996"/>
            </w:tblGrid>
            <w:tr w:rsidR="00D71A4F" w:rsidRPr="00D71A4F" w:rsidTr="00D71A4F">
              <w:trPr>
                <w:trHeight w:val="1541"/>
              </w:trPr>
              <w:tc>
                <w:tcPr>
                  <w:tcW w:w="0" w:type="auto"/>
                  <w:tcBorders>
                    <w:top w:val="nil"/>
                    <w:left w:val="nil"/>
                    <w:bottom w:val="nil"/>
                    <w:right w:val="nil"/>
                  </w:tcBorders>
                </w:tcPr>
                <w:p w:rsidR="00E24B96" w:rsidRPr="00D71A4F" w:rsidRDefault="003B3199" w:rsidP="00A02823">
                  <w:pPr>
                    <w:pStyle w:val="Default"/>
                    <w:ind w:left="-108"/>
                    <w:jc w:val="both"/>
                    <w:rPr>
                      <w:color w:val="auto"/>
                      <w:sz w:val="20"/>
                      <w:szCs w:val="20"/>
                      <w:lang w:eastAsia="sk-SK"/>
                    </w:rPr>
                  </w:pPr>
                  <w:r w:rsidRPr="00D71A4F">
                    <w:rPr>
                      <w:color w:val="auto"/>
                      <w:sz w:val="20"/>
                      <w:szCs w:val="20"/>
                      <w:lang w:eastAsia="sk-SK"/>
                    </w:rPr>
                    <w:t xml:space="preserve">Predkladaným </w:t>
                  </w:r>
                  <w:r w:rsidR="00C64BA6">
                    <w:rPr>
                      <w:color w:val="auto"/>
                      <w:sz w:val="20"/>
                      <w:szCs w:val="20"/>
                      <w:lang w:eastAsia="sk-SK"/>
                    </w:rPr>
                    <w:t xml:space="preserve">vládnym </w:t>
                  </w:r>
                  <w:r w:rsidRPr="00D71A4F">
                    <w:rPr>
                      <w:color w:val="auto"/>
                      <w:sz w:val="20"/>
                      <w:szCs w:val="20"/>
                      <w:lang w:eastAsia="sk-SK"/>
                    </w:rPr>
                    <w:t xml:space="preserve">návrhom </w:t>
                  </w:r>
                  <w:r w:rsidR="00D71A4F">
                    <w:rPr>
                      <w:color w:val="auto"/>
                      <w:sz w:val="20"/>
                      <w:szCs w:val="20"/>
                      <w:lang w:eastAsia="sk-SK"/>
                    </w:rPr>
                    <w:t xml:space="preserve">zákona </w:t>
                  </w:r>
                  <w:r w:rsidRPr="00D71A4F">
                    <w:rPr>
                      <w:color w:val="auto"/>
                      <w:sz w:val="20"/>
                      <w:szCs w:val="20"/>
                      <w:lang w:eastAsia="sk-SK"/>
                    </w:rPr>
                    <w:t xml:space="preserve">budú </w:t>
                  </w:r>
                  <w:r w:rsidR="00E24B96" w:rsidRPr="00D71A4F">
                    <w:rPr>
                      <w:color w:val="auto"/>
                      <w:sz w:val="20"/>
                      <w:szCs w:val="20"/>
                      <w:lang w:eastAsia="sk-SK"/>
                    </w:rPr>
                    <w:t xml:space="preserve">pozitívne </w:t>
                  </w:r>
                  <w:r w:rsidRPr="00D71A4F">
                    <w:rPr>
                      <w:color w:val="auto"/>
                      <w:sz w:val="20"/>
                      <w:szCs w:val="20"/>
                      <w:lang w:eastAsia="sk-SK"/>
                    </w:rPr>
                    <w:t>ovplyvnení</w:t>
                  </w:r>
                  <w:r w:rsidR="00E24B96" w:rsidRPr="00D71A4F">
                    <w:rPr>
                      <w:color w:val="auto"/>
                      <w:sz w:val="20"/>
                      <w:szCs w:val="20"/>
                      <w:lang w:eastAsia="sk-SK"/>
                    </w:rPr>
                    <w:t xml:space="preserve"> zamestnávatelia, ktorí:</w:t>
                  </w:r>
                </w:p>
                <w:p w:rsidR="00E24B96" w:rsidRPr="009435CA" w:rsidRDefault="003B3199" w:rsidP="009435CA">
                  <w:pPr>
                    <w:pStyle w:val="Default"/>
                    <w:numPr>
                      <w:ilvl w:val="0"/>
                      <w:numId w:val="15"/>
                    </w:numPr>
                    <w:jc w:val="both"/>
                    <w:rPr>
                      <w:color w:val="auto"/>
                      <w:sz w:val="20"/>
                      <w:szCs w:val="20"/>
                      <w:lang w:eastAsia="sk-SK"/>
                    </w:rPr>
                  </w:pPr>
                  <w:r w:rsidRPr="00D71A4F">
                    <w:rPr>
                      <w:color w:val="auto"/>
                      <w:sz w:val="20"/>
                      <w:szCs w:val="20"/>
                      <w:lang w:eastAsia="sk-SK"/>
                    </w:rPr>
                    <w:t xml:space="preserve">budú zamestnávať štátnych príslušníkov tretej krajiny a najmä tí, ktorí pôsobia v okresoch </w:t>
                  </w:r>
                  <w:r w:rsidR="000F3810">
                    <w:rPr>
                      <w:color w:val="auto"/>
                      <w:sz w:val="20"/>
                      <w:szCs w:val="20"/>
                      <w:lang w:eastAsia="sk-SK"/>
                    </w:rPr>
                    <w:br/>
                  </w:r>
                  <w:r w:rsidRPr="00D71A4F">
                    <w:rPr>
                      <w:color w:val="auto"/>
                      <w:sz w:val="20"/>
                      <w:szCs w:val="20"/>
                      <w:lang w:eastAsia="sk-SK"/>
                    </w:rPr>
                    <w:t>s priemernou mierou evidovanej nezamestnanosti nižšou ako 5 % a ktorí chcú zamestnávať štátnych príslušníkov tretej krajiny v profesiách, kde bol identifik</w:t>
                  </w:r>
                  <w:r w:rsidR="009435CA">
                    <w:rPr>
                      <w:color w:val="auto"/>
                      <w:sz w:val="20"/>
                      <w:szCs w:val="20"/>
                      <w:lang w:eastAsia="sk-SK"/>
                    </w:rPr>
                    <w:t xml:space="preserve">ovaný nedostatok pracovnej sily a ktorí </w:t>
                  </w:r>
                  <w:r w:rsidR="00195E63" w:rsidRPr="009435CA">
                    <w:rPr>
                      <w:color w:val="auto"/>
                      <w:sz w:val="20"/>
                      <w:szCs w:val="20"/>
                      <w:lang w:eastAsia="sk-SK"/>
                    </w:rPr>
                    <w:t>budú prostredníctvom zmluvy</w:t>
                  </w:r>
                  <w:r w:rsidR="00BF1BB8">
                    <w:rPr>
                      <w:color w:val="auto"/>
                      <w:sz w:val="20"/>
                      <w:szCs w:val="20"/>
                      <w:lang w:eastAsia="sk-SK"/>
                    </w:rPr>
                    <w:t xml:space="preserve"> o dočasnom pridelení</w:t>
                  </w:r>
                  <w:r w:rsidR="00195E63" w:rsidRPr="009435CA">
                    <w:rPr>
                      <w:color w:val="auto"/>
                      <w:sz w:val="20"/>
                      <w:szCs w:val="20"/>
                      <w:lang w:eastAsia="sk-SK"/>
                    </w:rPr>
                    <w:t xml:space="preserve"> s agentúrou dočasného zamestnávania dočasne obsadzovať pracovné miesta štátnymi príslušníkmi tretej krajiny na výkon zamestnan</w:t>
                  </w:r>
                  <w:r w:rsidR="00E24B96" w:rsidRPr="009435CA">
                    <w:rPr>
                      <w:color w:val="auto"/>
                      <w:sz w:val="20"/>
                      <w:szCs w:val="20"/>
                      <w:lang w:eastAsia="sk-SK"/>
                    </w:rPr>
                    <w:t>ia s nedostatkom pracovnej sily,</w:t>
                  </w:r>
                </w:p>
                <w:p w:rsidR="00E24B96" w:rsidRPr="00D71A4F" w:rsidRDefault="00E24B96" w:rsidP="00F16F23">
                  <w:pPr>
                    <w:pStyle w:val="Default"/>
                    <w:numPr>
                      <w:ilvl w:val="0"/>
                      <w:numId w:val="15"/>
                    </w:numPr>
                    <w:jc w:val="both"/>
                    <w:rPr>
                      <w:color w:val="auto"/>
                      <w:sz w:val="20"/>
                      <w:szCs w:val="20"/>
                      <w:lang w:eastAsia="sk-SK"/>
                    </w:rPr>
                  </w:pPr>
                  <w:r w:rsidRPr="00D71A4F">
                    <w:rPr>
                      <w:color w:val="auto"/>
                      <w:sz w:val="20"/>
                      <w:szCs w:val="20"/>
                      <w:lang w:eastAsia="sk-SK"/>
                    </w:rPr>
                    <w:t xml:space="preserve">majú záujem zamestnať štátneho príslušníka tretej krajiny, ktorí si bude podávať žiadosť o udelenie povolenia na zamestnanie, nakoľko sa navrhuje </w:t>
                  </w:r>
                  <w:r w:rsidR="00CF7885" w:rsidRPr="00D71A4F">
                    <w:rPr>
                      <w:color w:val="auto"/>
                      <w:sz w:val="20"/>
                      <w:szCs w:val="20"/>
                      <w:lang w:eastAsia="sk-SK"/>
                    </w:rPr>
                    <w:t xml:space="preserve">skrátenie lehoty nahlásenia voľného pracovného miesta (VPM) na udelenie povolenia na zamestnanie z 15 pracovných dní na 10 pracovných dní </w:t>
                  </w:r>
                  <w:r w:rsidR="000F5E33" w:rsidRPr="00D71A4F">
                    <w:rPr>
                      <w:color w:val="auto"/>
                      <w:sz w:val="20"/>
                      <w:szCs w:val="20"/>
                      <w:lang w:eastAsia="sk-SK"/>
                    </w:rPr>
                    <w:t xml:space="preserve">a  skrátenie lehoty nahlásenia VPM z 10 pracovných dní na 5 pracovných dní pri podaní žiadosti </w:t>
                  </w:r>
                  <w:r w:rsidR="000F3810">
                    <w:rPr>
                      <w:color w:val="auto"/>
                      <w:sz w:val="20"/>
                      <w:szCs w:val="20"/>
                      <w:lang w:eastAsia="sk-SK"/>
                    </w:rPr>
                    <w:br/>
                  </w:r>
                  <w:r w:rsidR="000F5E33" w:rsidRPr="00D71A4F">
                    <w:rPr>
                      <w:color w:val="auto"/>
                      <w:sz w:val="20"/>
                      <w:szCs w:val="20"/>
                      <w:lang w:eastAsia="sk-SK"/>
                    </w:rPr>
                    <w:t>o predĺženie povolenia na zamestnanie</w:t>
                  </w:r>
                  <w:r w:rsidR="00CF7885" w:rsidRPr="00D71A4F">
                    <w:rPr>
                      <w:color w:val="auto"/>
                      <w:sz w:val="20"/>
                      <w:szCs w:val="20"/>
                      <w:lang w:eastAsia="sk-SK"/>
                    </w:rPr>
                    <w:t>,</w:t>
                  </w:r>
                </w:p>
                <w:p w:rsidR="000F5E33" w:rsidRPr="00D71A4F" w:rsidRDefault="000F5E33" w:rsidP="00F16F23">
                  <w:pPr>
                    <w:pStyle w:val="Default"/>
                    <w:numPr>
                      <w:ilvl w:val="0"/>
                      <w:numId w:val="15"/>
                    </w:numPr>
                    <w:jc w:val="both"/>
                    <w:rPr>
                      <w:color w:val="auto"/>
                      <w:sz w:val="20"/>
                      <w:szCs w:val="20"/>
                      <w:lang w:eastAsia="sk-SK"/>
                    </w:rPr>
                  </w:pPr>
                  <w:r w:rsidRPr="00D71A4F">
                    <w:rPr>
                      <w:color w:val="auto"/>
                      <w:sz w:val="20"/>
                      <w:szCs w:val="20"/>
                      <w:lang w:eastAsia="sk-SK"/>
                    </w:rPr>
                    <w:t xml:space="preserve">majú záujem zamestnať štátneho príslušníka tretej krajiny, nakoľko pri posudzovaní žiadosti o udelenie prechodného pobytu na účel zamestnania sa navrhuje vypustiť posudzovanie </w:t>
                  </w:r>
                  <w:r w:rsidR="000F3810">
                    <w:rPr>
                      <w:color w:val="auto"/>
                      <w:sz w:val="20"/>
                      <w:szCs w:val="20"/>
                      <w:lang w:eastAsia="sk-SK"/>
                    </w:rPr>
                    <w:t xml:space="preserve">uloženia pokuty za </w:t>
                  </w:r>
                  <w:r w:rsidRPr="00D71A4F">
                    <w:rPr>
                      <w:color w:val="auto"/>
                      <w:sz w:val="20"/>
                      <w:szCs w:val="20"/>
                      <w:lang w:eastAsia="sk-SK"/>
                    </w:rPr>
                    <w:t>porušeni</w:t>
                  </w:r>
                  <w:r w:rsidR="000F3810">
                    <w:rPr>
                      <w:color w:val="auto"/>
                      <w:sz w:val="20"/>
                      <w:szCs w:val="20"/>
                      <w:lang w:eastAsia="sk-SK"/>
                    </w:rPr>
                    <w:t>e</w:t>
                  </w:r>
                  <w:r w:rsidRPr="00D71A4F">
                    <w:rPr>
                      <w:color w:val="auto"/>
                      <w:sz w:val="20"/>
                      <w:szCs w:val="20"/>
                      <w:lang w:eastAsia="sk-SK"/>
                    </w:rPr>
                    <w:t xml:space="preserve"> pracovných podmienok, </w:t>
                  </w:r>
                </w:p>
                <w:p w:rsidR="00F16F23" w:rsidRPr="00D71A4F" w:rsidRDefault="00E24B96" w:rsidP="00F16F23">
                  <w:pPr>
                    <w:pStyle w:val="Default"/>
                    <w:numPr>
                      <w:ilvl w:val="0"/>
                      <w:numId w:val="15"/>
                    </w:numPr>
                    <w:jc w:val="both"/>
                    <w:rPr>
                      <w:color w:val="auto"/>
                      <w:sz w:val="20"/>
                      <w:szCs w:val="20"/>
                      <w:lang w:eastAsia="sk-SK"/>
                    </w:rPr>
                  </w:pPr>
                  <w:r w:rsidRPr="00D71A4F">
                    <w:rPr>
                      <w:color w:val="auto"/>
                      <w:sz w:val="20"/>
                      <w:szCs w:val="20"/>
                      <w:lang w:eastAsia="sk-SK"/>
                    </w:rPr>
                    <w:t xml:space="preserve">sú </w:t>
                  </w:r>
                  <w:r w:rsidR="00F16F23" w:rsidRPr="00D71A4F">
                    <w:rPr>
                      <w:color w:val="auto"/>
                      <w:sz w:val="20"/>
                      <w:szCs w:val="20"/>
                      <w:lang w:eastAsia="sk-SK"/>
                    </w:rPr>
                    <w:t xml:space="preserve">žiadateľa </w:t>
                  </w:r>
                  <w:r w:rsidR="000F3810">
                    <w:rPr>
                      <w:color w:val="auto"/>
                      <w:sz w:val="20"/>
                      <w:szCs w:val="20"/>
                      <w:lang w:eastAsia="sk-SK"/>
                    </w:rPr>
                    <w:t>o</w:t>
                  </w:r>
                  <w:r w:rsidR="00F16F23" w:rsidRPr="00D71A4F">
                    <w:rPr>
                      <w:color w:val="auto"/>
                      <w:sz w:val="20"/>
                      <w:szCs w:val="20"/>
                      <w:lang w:eastAsia="sk-SK"/>
                    </w:rPr>
                    <w:t xml:space="preserve"> poskytnutie príspevku podľa zákona o službách zamestnanosti, a to precizovaním formy finančných záväzkov </w:t>
                  </w:r>
                  <w:r w:rsidR="00DB16A8" w:rsidRPr="00D71A4F">
                    <w:rPr>
                      <w:color w:val="auto"/>
                      <w:sz w:val="20"/>
                      <w:szCs w:val="20"/>
                      <w:lang w:eastAsia="sk-SK"/>
                    </w:rPr>
                    <w:t xml:space="preserve">za účelom </w:t>
                  </w:r>
                  <w:r w:rsidR="00F16F23" w:rsidRPr="00D71A4F">
                    <w:rPr>
                      <w:color w:val="auto"/>
                      <w:sz w:val="20"/>
                      <w:szCs w:val="20"/>
                      <w:lang w:eastAsia="sk-SK"/>
                    </w:rPr>
                    <w:t xml:space="preserve">jednotného posudzovania takých pohľadávok, ktoré sú </w:t>
                  </w:r>
                  <w:r w:rsidR="00A71A55">
                    <w:rPr>
                      <w:color w:val="auto"/>
                      <w:sz w:val="20"/>
                      <w:szCs w:val="20"/>
                      <w:lang w:eastAsia="sk-SK"/>
                    </w:rPr>
                    <w:t>po lehote splatnosti</w:t>
                  </w:r>
                  <w:r w:rsidR="00F16F23" w:rsidRPr="00D71A4F">
                    <w:rPr>
                      <w:color w:val="auto"/>
                      <w:sz w:val="20"/>
                      <w:szCs w:val="20"/>
                      <w:lang w:eastAsia="sk-SK"/>
                    </w:rPr>
                    <w:t>, čím sa umožní schvaľovanie žiadostí o príspevky subjektom, ktoré majú uzavreté zmluvy s Ústredím práce, sociálnych vecí a rodiny alebo úradom práce, sociálnych vecí a rodiny s periodickým plnením.</w:t>
                  </w:r>
                </w:p>
                <w:p w:rsidR="003B3199" w:rsidRPr="00D71A4F" w:rsidRDefault="003B3199" w:rsidP="003B3199">
                  <w:pPr>
                    <w:pStyle w:val="Default"/>
                    <w:jc w:val="both"/>
                    <w:rPr>
                      <w:color w:val="auto"/>
                      <w:sz w:val="20"/>
                      <w:szCs w:val="20"/>
                      <w:lang w:eastAsia="sk-SK"/>
                    </w:rPr>
                  </w:pPr>
                  <w:r w:rsidRPr="00D71A4F">
                    <w:rPr>
                      <w:color w:val="auto"/>
                      <w:sz w:val="20"/>
                      <w:szCs w:val="20"/>
                      <w:lang w:eastAsia="sk-SK"/>
                    </w:rPr>
                    <w:t>V období od 1.1.2018 do 1</w:t>
                  </w:r>
                  <w:r w:rsidR="00D02BA8" w:rsidRPr="00D71A4F">
                    <w:rPr>
                      <w:color w:val="auto"/>
                      <w:sz w:val="20"/>
                      <w:szCs w:val="20"/>
                      <w:lang w:eastAsia="sk-SK"/>
                    </w:rPr>
                    <w:t>8</w:t>
                  </w:r>
                  <w:r w:rsidRPr="00D71A4F">
                    <w:rPr>
                      <w:color w:val="auto"/>
                      <w:sz w:val="20"/>
                      <w:szCs w:val="20"/>
                      <w:lang w:eastAsia="sk-SK"/>
                    </w:rPr>
                    <w:t xml:space="preserve">.10.2018 zamestnávalo </w:t>
                  </w:r>
                  <w:r w:rsidR="00D02BA8" w:rsidRPr="00D71A4F">
                    <w:rPr>
                      <w:color w:val="auto"/>
                      <w:sz w:val="20"/>
                      <w:szCs w:val="20"/>
                      <w:lang w:eastAsia="sk-SK"/>
                    </w:rPr>
                    <w:t>1 384</w:t>
                  </w:r>
                  <w:r w:rsidRPr="00D71A4F">
                    <w:rPr>
                      <w:color w:val="auto"/>
                      <w:sz w:val="20"/>
                      <w:szCs w:val="20"/>
                      <w:lang w:eastAsia="sk-SK"/>
                    </w:rPr>
                    <w:t xml:space="preserve"> zamestnávateľov</w:t>
                  </w:r>
                  <w:r w:rsidR="000F3810" w:rsidRPr="00D71A4F">
                    <w:rPr>
                      <w:color w:val="auto"/>
                      <w:sz w:val="20"/>
                      <w:szCs w:val="20"/>
                      <w:lang w:eastAsia="sk-SK"/>
                    </w:rPr>
                    <w:t xml:space="preserve"> štátnych príslušníkov tretej krajiny</w:t>
                  </w:r>
                  <w:r w:rsidRPr="00D71A4F">
                    <w:rPr>
                      <w:color w:val="auto"/>
                      <w:sz w:val="20"/>
                      <w:szCs w:val="20"/>
                      <w:lang w:eastAsia="sk-SK"/>
                    </w:rPr>
                    <w:t>, z toho 1</w:t>
                  </w:r>
                  <w:r w:rsidR="00D02BA8" w:rsidRPr="00D71A4F">
                    <w:rPr>
                      <w:color w:val="auto"/>
                      <w:sz w:val="20"/>
                      <w:szCs w:val="20"/>
                      <w:lang w:eastAsia="sk-SK"/>
                    </w:rPr>
                    <w:t xml:space="preserve">43 </w:t>
                  </w:r>
                  <w:r w:rsidRPr="00D71A4F">
                    <w:rPr>
                      <w:color w:val="auto"/>
                      <w:sz w:val="20"/>
                      <w:szCs w:val="20"/>
                      <w:lang w:eastAsia="sk-SK"/>
                    </w:rPr>
                    <w:t xml:space="preserve">zamestnávateľov zamestnáva štátnych príslušníkov tretej krajiny v profesiách, kde bol identifikovaný nedostatok pracovnej sily. Vzhľadom na krátke časové obdobie platnosti právnej úpravy (účinnosť od 1.mája 2018), ktorá zjednodušila podmienky zamestnávania štátnych príslušníkov tretej krajiny pre zamestnania, kde pretrváva nedostatok pracovnej sily v okresoch s mierou evidovanej nezamestnanosti nižšou ako 5 % za uplynulý kalendárny rok podľa zoznamu zamestnaní s nedostatkom pracovnej sily, ktorý zverejnilo Ústredie práce, sociálnych vecí a rodiny 25. 6. 2018, nie možné v súčasnosti vyčísliť počet ovplyvnených zamestnávateľov. </w:t>
                  </w:r>
                </w:p>
                <w:p w:rsidR="00E24B96" w:rsidRPr="00D71A4F" w:rsidRDefault="00E24B96" w:rsidP="003B3199">
                  <w:pPr>
                    <w:pStyle w:val="Default"/>
                    <w:jc w:val="both"/>
                    <w:rPr>
                      <w:color w:val="auto"/>
                      <w:sz w:val="20"/>
                      <w:szCs w:val="20"/>
                      <w:lang w:eastAsia="sk-SK"/>
                    </w:rPr>
                  </w:pPr>
                </w:p>
                <w:p w:rsidR="00F36CD4" w:rsidRPr="00EB4639" w:rsidRDefault="003F1F12" w:rsidP="00EB4639">
                  <w:pPr>
                    <w:pStyle w:val="Default"/>
                    <w:jc w:val="both"/>
                    <w:rPr>
                      <w:color w:val="auto"/>
                      <w:sz w:val="20"/>
                      <w:szCs w:val="20"/>
                      <w:lang w:eastAsia="sk-SK"/>
                    </w:rPr>
                  </w:pPr>
                  <w:r>
                    <w:rPr>
                      <w:color w:val="auto"/>
                      <w:sz w:val="20"/>
                      <w:szCs w:val="20"/>
                      <w:lang w:eastAsia="sk-SK"/>
                    </w:rPr>
                    <w:t>N</w:t>
                  </w:r>
                  <w:r w:rsidR="003B3199" w:rsidRPr="00D71A4F">
                    <w:rPr>
                      <w:color w:val="auto"/>
                      <w:sz w:val="20"/>
                      <w:szCs w:val="20"/>
                      <w:lang w:eastAsia="sk-SK"/>
                    </w:rPr>
                    <w:t>ávrhom budú negat</w:t>
                  </w:r>
                  <w:r w:rsidR="00195E63" w:rsidRPr="00D71A4F">
                    <w:rPr>
                      <w:color w:val="auto"/>
                      <w:sz w:val="20"/>
                      <w:szCs w:val="20"/>
                      <w:lang w:eastAsia="sk-SK"/>
                    </w:rPr>
                    <w:t>ívne ovplyvnení zamestnávatelia</w:t>
                  </w:r>
                  <w:r w:rsidR="003B3199" w:rsidRPr="00D71A4F">
                    <w:rPr>
                      <w:color w:val="auto"/>
                      <w:sz w:val="20"/>
                      <w:szCs w:val="20"/>
                      <w:lang w:eastAsia="sk-SK"/>
                    </w:rPr>
                    <w:t xml:space="preserve"> z dôvodu zavedenia povinnosti nahlásenia voľného pracovného miesta na úrad </w:t>
                  </w:r>
                  <w:r w:rsidR="00EB4639">
                    <w:rPr>
                      <w:color w:val="auto"/>
                      <w:sz w:val="20"/>
                      <w:szCs w:val="20"/>
                      <w:lang w:eastAsia="sk-SK"/>
                    </w:rPr>
                    <w:t xml:space="preserve">práce, sociálnych vecí a rodiny. </w:t>
                  </w:r>
                  <w:r w:rsidR="00F36CD4" w:rsidRPr="00EB4639">
                    <w:rPr>
                      <w:color w:val="auto"/>
                      <w:sz w:val="20"/>
                      <w:szCs w:val="20"/>
                      <w:lang w:eastAsia="sk-SK"/>
                    </w:rPr>
                    <w:t>Počet dotknutých zamestnávateľov uvedeným návrhom bude závisieť od ich potreby obsadzovať voľné pracovné miesta</w:t>
                  </w:r>
                  <w:r w:rsidR="00F16F23" w:rsidRPr="00EB4639">
                    <w:rPr>
                      <w:color w:val="auto"/>
                      <w:sz w:val="20"/>
                      <w:szCs w:val="20"/>
                      <w:lang w:eastAsia="sk-SK"/>
                    </w:rPr>
                    <w:t>.</w:t>
                  </w:r>
                </w:p>
                <w:p w:rsidR="00F16F23" w:rsidRPr="00D71A4F" w:rsidRDefault="000F5E33" w:rsidP="00F36CD4">
                  <w:pPr>
                    <w:jc w:val="both"/>
                  </w:pPr>
                  <w:r w:rsidRPr="00D71A4F">
                    <w:t>Ďalej budú negatívne ovplyvnení zamestnávatelia, ktorí budú zamestnávať štátnych príslušníkov tretej krajiny, v súvislosti s</w:t>
                  </w:r>
                  <w:r w:rsidR="00A06D8F" w:rsidRPr="00D71A4F">
                    <w:t xml:space="preserve"> návrhom </w:t>
                  </w:r>
                  <w:r w:rsidRPr="00D71A4F">
                    <w:t>predĺžen</w:t>
                  </w:r>
                  <w:r w:rsidR="00A06D8F" w:rsidRPr="00D71A4F">
                    <w:t>ia</w:t>
                  </w:r>
                  <w:r w:rsidRPr="00D71A4F">
                    <w:t xml:space="preserve"> </w:t>
                  </w:r>
                  <w:r w:rsidR="00A06D8F" w:rsidRPr="00D71A4F">
                    <w:t xml:space="preserve">obdobia, v ktorom sa posudzuje neporušenie zákazu nelegálneho zamestnávania, a to </w:t>
                  </w:r>
                  <w:r w:rsidRPr="00D71A4F">
                    <w:t>na 5 ro</w:t>
                  </w:r>
                  <w:r w:rsidR="00A06D8F" w:rsidRPr="00D71A4F">
                    <w:t>kov pre</w:t>
                  </w:r>
                  <w:r w:rsidR="000F3810">
                    <w:t>d</w:t>
                  </w:r>
                  <w:r w:rsidR="00A06D8F" w:rsidRPr="00D71A4F">
                    <w:t xml:space="preserve"> podaním žiadosti o udelenie prechodného pobytu na účel zamestnania.</w:t>
                  </w:r>
                </w:p>
                <w:p w:rsidR="00D71A4F" w:rsidRDefault="00D71A4F" w:rsidP="00D71A4F">
                  <w:pPr>
                    <w:jc w:val="both"/>
                    <w:rPr>
                      <w:color w:val="FF0000"/>
                    </w:rPr>
                  </w:pPr>
                </w:p>
                <w:p w:rsidR="003B3199" w:rsidRPr="00D71A4F" w:rsidRDefault="003B3199" w:rsidP="00D71A4F">
                  <w:pPr>
                    <w:pStyle w:val="Default"/>
                    <w:jc w:val="both"/>
                    <w:rPr>
                      <w:color w:val="auto"/>
                      <w:sz w:val="20"/>
                      <w:szCs w:val="20"/>
                      <w:lang w:eastAsia="sk-SK"/>
                    </w:rPr>
                  </w:pPr>
                </w:p>
              </w:tc>
            </w:tr>
          </w:tbl>
          <w:p w:rsidR="009F2DFA" w:rsidRPr="00D71A4F" w:rsidRDefault="009F2DFA" w:rsidP="003B3199">
            <w:pPr>
              <w:rPr>
                <w:i/>
              </w:rPr>
            </w:pPr>
          </w:p>
        </w:tc>
      </w:tr>
      <w:tr w:rsidR="009F2DFA" w:rsidRPr="00F04CCD" w:rsidTr="003B3199">
        <w:trPr>
          <w:trHeight w:val="339"/>
        </w:trPr>
        <w:tc>
          <w:tcPr>
            <w:tcW w:w="9212" w:type="dxa"/>
            <w:shd w:val="clear" w:color="auto" w:fill="D9D9D9" w:themeFill="background1" w:themeFillShade="D9"/>
          </w:tcPr>
          <w:p w:rsidR="009F2DFA" w:rsidRPr="00042C66" w:rsidRDefault="002B1108" w:rsidP="003B3199">
            <w:pPr>
              <w:rPr>
                <w:b/>
                <w:sz w:val="24"/>
              </w:rPr>
            </w:pPr>
            <w:r>
              <w:rPr>
                <w:b/>
                <w:sz w:val="24"/>
              </w:rPr>
              <w:t>3</w:t>
            </w:r>
            <w:r w:rsidR="009F2DFA" w:rsidRPr="00042C66">
              <w:rPr>
                <w:b/>
                <w:sz w:val="24"/>
              </w:rPr>
              <w:t>.2 Vyhodnotenie konzultácií</w:t>
            </w:r>
          </w:p>
          <w:p w:rsidR="009F2DFA" w:rsidRPr="00F04CCD" w:rsidRDefault="009F2DFA" w:rsidP="003B3199">
            <w:pPr>
              <w:rPr>
                <w:b/>
              </w:rPr>
            </w:pPr>
            <w:r w:rsidRPr="00042C66">
              <w:rPr>
                <w:sz w:val="24"/>
              </w:rPr>
              <w:t xml:space="preserve">       - </w:t>
            </w:r>
            <w:r w:rsidRPr="00042C66">
              <w:rPr>
                <w:b/>
                <w:sz w:val="24"/>
              </w:rPr>
              <w:t>z toho MSP</w:t>
            </w:r>
          </w:p>
        </w:tc>
      </w:tr>
      <w:tr w:rsidR="009F2DFA" w:rsidRPr="00F04CCD" w:rsidTr="003B3199">
        <w:trPr>
          <w:trHeight w:val="557"/>
        </w:trPr>
        <w:tc>
          <w:tcPr>
            <w:tcW w:w="9212" w:type="dxa"/>
          </w:tcPr>
          <w:p w:rsidR="009F2DFA" w:rsidRPr="00F04CCD" w:rsidRDefault="009F2DFA" w:rsidP="003B3199">
            <w:pPr>
              <w:rPr>
                <w:i/>
              </w:rPr>
            </w:pPr>
            <w:r w:rsidRPr="00F04CCD">
              <w:rPr>
                <w:i/>
              </w:rPr>
              <w:t>Uveďte, akou formou (verejné alebo cielené konzultácie a prečo)</w:t>
            </w:r>
            <w:r>
              <w:rPr>
                <w:i/>
              </w:rPr>
              <w:t xml:space="preserve"> a </w:t>
            </w:r>
            <w:r w:rsidRPr="00F04CCD">
              <w:rPr>
                <w:i/>
              </w:rPr>
              <w:t>s kým bol návrh konzultovaný.</w:t>
            </w:r>
          </w:p>
          <w:p w:rsidR="009F2DFA" w:rsidRPr="00F04CCD" w:rsidRDefault="009F2DFA" w:rsidP="003B3199">
            <w:pPr>
              <w:rPr>
                <w:i/>
              </w:rPr>
            </w:pPr>
            <w:r w:rsidRPr="00F04CCD">
              <w:rPr>
                <w:i/>
              </w:rPr>
              <w:t>Ako dlho trvali konzultácie?</w:t>
            </w:r>
          </w:p>
          <w:p w:rsidR="009F2DFA" w:rsidRPr="000D2622" w:rsidRDefault="009F2DFA" w:rsidP="003B3199">
            <w:pPr>
              <w:rPr>
                <w:i/>
              </w:rPr>
            </w:pPr>
            <w:r w:rsidRPr="00F04CCD">
              <w:rPr>
                <w:i/>
              </w:rPr>
              <w:t xml:space="preserve">Uveďte hlavné body konzultácií a výsledky konzultácií. </w:t>
            </w:r>
          </w:p>
        </w:tc>
      </w:tr>
      <w:tr w:rsidR="009F2DFA" w:rsidRPr="00F04CCD" w:rsidTr="003B3199">
        <w:trPr>
          <w:trHeight w:val="1440"/>
        </w:trPr>
        <w:tc>
          <w:tcPr>
            <w:tcW w:w="9212" w:type="dxa"/>
          </w:tcPr>
          <w:p w:rsidR="00E23A2D" w:rsidRPr="00E6790D" w:rsidRDefault="003F1F12" w:rsidP="00E23A2D">
            <w:pPr>
              <w:jc w:val="both"/>
            </w:pPr>
            <w:r w:rsidRPr="00E6790D">
              <w:lastRenderedPageBreak/>
              <w:t xml:space="preserve">Predkladaný </w:t>
            </w:r>
            <w:r w:rsidR="00C64BA6">
              <w:t xml:space="preserve">vládny </w:t>
            </w:r>
            <w:r w:rsidRPr="00E6790D">
              <w:t xml:space="preserve">návrh zákona </w:t>
            </w:r>
            <w:r w:rsidR="0017549B" w:rsidRPr="00E6790D">
              <w:t>b</w:t>
            </w:r>
            <w:r w:rsidR="00E23A2D" w:rsidRPr="00E6790D">
              <w:t>ol</w:t>
            </w:r>
            <w:r w:rsidR="0017549B" w:rsidRPr="00E6790D">
              <w:t xml:space="preserve"> dňa 24.10.2018 konzultovaný so zástupcami</w:t>
            </w:r>
            <w:hyperlink r:id="rId8" w:history="1">
              <w:r w:rsidR="0017549B" w:rsidRPr="00E6790D">
                <w:t xml:space="preserve"> Klubu 500, </w:t>
              </w:r>
              <w:r w:rsidR="00E23A2D" w:rsidRPr="00E6790D">
                <w:t xml:space="preserve">Asociácie priemyselných zväzov a </w:t>
              </w:r>
              <w:r w:rsidR="0017549B" w:rsidRPr="00E6790D">
                <w:rPr>
                  <w:bCs/>
                </w:rPr>
                <w:t>Zväzu automobilového priemyslu Slovenskej Republiky.</w:t>
              </w:r>
            </w:hyperlink>
            <w:r w:rsidR="00431E13" w:rsidRPr="00E6790D">
              <w:t xml:space="preserve"> </w:t>
            </w:r>
            <w:r w:rsidR="00E23A2D" w:rsidRPr="00E6790D">
              <w:t>Asociácia zamestnávateľských zväzov a združení SR sa z účasti na konzultáciách ospravedlnila. Konzultácie sa na základe požiadavky zástupcov zamestnávateľov sústredili na podrobné vysvetlenie a odôvodnenie navrhovaných zmien, najmä k:</w:t>
            </w:r>
          </w:p>
          <w:p w:rsidR="00E23A2D" w:rsidRPr="00E6790D" w:rsidRDefault="00E23A2D" w:rsidP="00841DBD">
            <w:pPr>
              <w:pStyle w:val="Odsekzoznamu"/>
              <w:numPr>
                <w:ilvl w:val="0"/>
                <w:numId w:val="15"/>
              </w:numPr>
              <w:tabs>
                <w:tab w:val="left" w:pos="284"/>
              </w:tabs>
              <w:spacing w:after="0" w:line="240" w:lineRule="auto"/>
              <w:ind w:left="284" w:hanging="284"/>
              <w:jc w:val="both"/>
              <w:rPr>
                <w:rFonts w:ascii="Times New Roman" w:hAnsi="Times New Roman"/>
                <w:sz w:val="20"/>
                <w:szCs w:val="20"/>
                <w:lang w:eastAsia="sk-SK"/>
              </w:rPr>
            </w:pPr>
            <w:r w:rsidRPr="00E6790D">
              <w:rPr>
                <w:rFonts w:ascii="Times New Roman" w:hAnsi="Times New Roman"/>
                <w:sz w:val="20"/>
                <w:szCs w:val="20"/>
                <w:lang w:eastAsia="sk-SK"/>
              </w:rPr>
              <w:t>zmene periodicity tvorby a následného zverejňovania zoznamu zamestnaní s nedostatkom pracovnej sily,</w:t>
            </w:r>
          </w:p>
          <w:p w:rsidR="00E23A2D" w:rsidRPr="00E6790D" w:rsidRDefault="00E23A2D" w:rsidP="00841DBD">
            <w:pPr>
              <w:pStyle w:val="Odsekzoznamu"/>
              <w:numPr>
                <w:ilvl w:val="0"/>
                <w:numId w:val="15"/>
              </w:numPr>
              <w:tabs>
                <w:tab w:val="left" w:pos="284"/>
              </w:tabs>
              <w:spacing w:line="240" w:lineRule="auto"/>
              <w:ind w:left="284" w:hanging="284"/>
              <w:jc w:val="both"/>
              <w:rPr>
                <w:rFonts w:ascii="Times New Roman" w:hAnsi="Times New Roman"/>
                <w:sz w:val="20"/>
                <w:szCs w:val="20"/>
                <w:lang w:eastAsia="sk-SK"/>
              </w:rPr>
            </w:pPr>
            <w:r w:rsidRPr="00E6790D">
              <w:rPr>
                <w:rFonts w:ascii="Times New Roman" w:hAnsi="Times New Roman"/>
                <w:sz w:val="20"/>
                <w:szCs w:val="20"/>
              </w:rPr>
              <w:t>podmienke neporušenia zákazu nelegálneho zamestnávania na účel vydania súhlasného potvrdenia o možnosti obsadenia voľného pracovného miesta,</w:t>
            </w:r>
          </w:p>
          <w:p w:rsidR="00E23A2D" w:rsidRPr="00E6790D" w:rsidRDefault="00E23A2D" w:rsidP="00841DBD">
            <w:pPr>
              <w:pStyle w:val="Odsekzoznamu"/>
              <w:numPr>
                <w:ilvl w:val="0"/>
                <w:numId w:val="15"/>
              </w:numPr>
              <w:tabs>
                <w:tab w:val="left" w:pos="284"/>
              </w:tabs>
              <w:spacing w:line="240" w:lineRule="auto"/>
              <w:ind w:left="284" w:hanging="284"/>
              <w:jc w:val="both"/>
              <w:rPr>
                <w:rFonts w:ascii="Times New Roman" w:hAnsi="Times New Roman"/>
                <w:sz w:val="20"/>
                <w:szCs w:val="20"/>
                <w:lang w:eastAsia="sk-SK"/>
              </w:rPr>
            </w:pPr>
            <w:r w:rsidRPr="00E6790D">
              <w:rPr>
                <w:rFonts w:ascii="Times New Roman" w:hAnsi="Times New Roman"/>
                <w:sz w:val="20"/>
                <w:szCs w:val="20"/>
              </w:rPr>
              <w:t>zavedeniu povinnosti nahlasovania voľného pracovného miesta</w:t>
            </w:r>
            <w:r w:rsidR="00540D86" w:rsidRPr="00E6790D">
              <w:rPr>
                <w:rFonts w:ascii="Times New Roman" w:hAnsi="Times New Roman"/>
                <w:sz w:val="20"/>
                <w:szCs w:val="20"/>
              </w:rPr>
              <w:t>,</w:t>
            </w:r>
          </w:p>
          <w:p w:rsidR="00540D86" w:rsidRPr="00E6790D" w:rsidRDefault="00540D86" w:rsidP="00841DBD">
            <w:pPr>
              <w:pStyle w:val="Odsekzoznamu"/>
              <w:numPr>
                <w:ilvl w:val="0"/>
                <w:numId w:val="15"/>
              </w:numPr>
              <w:tabs>
                <w:tab w:val="left" w:pos="284"/>
              </w:tabs>
              <w:spacing w:after="0" w:line="240" w:lineRule="auto"/>
              <w:ind w:left="284" w:hanging="284"/>
              <w:jc w:val="both"/>
              <w:rPr>
                <w:rFonts w:ascii="Times New Roman" w:hAnsi="Times New Roman"/>
                <w:sz w:val="20"/>
                <w:szCs w:val="20"/>
                <w:lang w:eastAsia="sk-SK"/>
              </w:rPr>
            </w:pPr>
            <w:r w:rsidRPr="00E6790D">
              <w:rPr>
                <w:rFonts w:ascii="Times New Roman" w:hAnsi="Times New Roman"/>
                <w:sz w:val="20"/>
                <w:szCs w:val="20"/>
              </w:rPr>
              <w:t>úprave predkladania dokladov o</w:t>
            </w:r>
            <w:r w:rsidR="008A331A" w:rsidRPr="00E6790D">
              <w:rPr>
                <w:rFonts w:ascii="Times New Roman" w:hAnsi="Times New Roman"/>
                <w:sz w:val="20"/>
                <w:szCs w:val="20"/>
              </w:rPr>
              <w:t> </w:t>
            </w:r>
            <w:r w:rsidRPr="00E6790D">
              <w:rPr>
                <w:rFonts w:ascii="Times New Roman" w:hAnsi="Times New Roman"/>
                <w:sz w:val="20"/>
                <w:szCs w:val="20"/>
              </w:rPr>
              <w:t>vzdelaní</w:t>
            </w:r>
            <w:r w:rsidR="008A331A" w:rsidRPr="00E6790D">
              <w:rPr>
                <w:rFonts w:ascii="Times New Roman" w:hAnsi="Times New Roman"/>
                <w:sz w:val="20"/>
                <w:szCs w:val="20"/>
              </w:rPr>
              <w:t xml:space="preserve"> štátneho príslušníka tretej krajiny.</w:t>
            </w:r>
          </w:p>
          <w:p w:rsidR="00E23A2D" w:rsidRPr="00540D86" w:rsidRDefault="008A331A" w:rsidP="00540D86">
            <w:pPr>
              <w:jc w:val="both"/>
              <w:rPr>
                <w:color w:val="FF0000"/>
              </w:rPr>
            </w:pPr>
            <w:r w:rsidRPr="00E6790D">
              <w:t xml:space="preserve">Konzultácie trvali približne 2 hodiny. </w:t>
            </w:r>
            <w:r w:rsidR="00E23A2D" w:rsidRPr="00E6790D">
              <w:t xml:space="preserve">Pripomienky </w:t>
            </w:r>
            <w:r w:rsidR="00540D86" w:rsidRPr="00E6790D">
              <w:t xml:space="preserve">k návrhu zákona na konzultáciách </w:t>
            </w:r>
            <w:r w:rsidR="00E23A2D" w:rsidRPr="00E6790D">
              <w:t>neprezentoval nikto.</w:t>
            </w:r>
          </w:p>
        </w:tc>
      </w:tr>
      <w:tr w:rsidR="009F2DFA" w:rsidRPr="00F04CCD" w:rsidTr="003B3199">
        <w:tc>
          <w:tcPr>
            <w:tcW w:w="9212" w:type="dxa"/>
            <w:shd w:val="clear" w:color="auto" w:fill="D9D9D9" w:themeFill="background1" w:themeFillShade="D9"/>
          </w:tcPr>
          <w:p w:rsidR="009F2DFA" w:rsidRPr="00042C66" w:rsidRDefault="002B1108" w:rsidP="003B3199">
            <w:pPr>
              <w:rPr>
                <w:b/>
                <w:sz w:val="24"/>
              </w:rPr>
            </w:pPr>
            <w:r>
              <w:rPr>
                <w:b/>
                <w:sz w:val="24"/>
              </w:rPr>
              <w:t>3</w:t>
            </w:r>
            <w:r w:rsidR="009F2DFA" w:rsidRPr="00042C66">
              <w:rPr>
                <w:b/>
                <w:sz w:val="24"/>
              </w:rPr>
              <w:t>.3 Náklady regulácie</w:t>
            </w:r>
          </w:p>
          <w:p w:rsidR="009F2DFA" w:rsidRPr="00F04CCD" w:rsidRDefault="009F2DFA" w:rsidP="003B3199">
            <w:pPr>
              <w:rPr>
                <w:b/>
              </w:rPr>
            </w:pPr>
            <w:r w:rsidRPr="00042C66">
              <w:rPr>
                <w:sz w:val="24"/>
              </w:rPr>
              <w:t xml:space="preserve">      - </w:t>
            </w:r>
            <w:r w:rsidRPr="00042C66">
              <w:rPr>
                <w:b/>
                <w:sz w:val="24"/>
              </w:rPr>
              <w:t>z toho MSP</w:t>
            </w:r>
          </w:p>
        </w:tc>
      </w:tr>
      <w:tr w:rsidR="009F2DFA" w:rsidRPr="00F04CCD" w:rsidTr="003B3199">
        <w:tc>
          <w:tcPr>
            <w:tcW w:w="9212" w:type="dxa"/>
          </w:tcPr>
          <w:p w:rsidR="009F2DFA" w:rsidRPr="00F04CCD" w:rsidRDefault="002B1108" w:rsidP="003B3199">
            <w:pPr>
              <w:rPr>
                <w:b/>
                <w:i/>
              </w:rPr>
            </w:pPr>
            <w:r>
              <w:rPr>
                <w:b/>
                <w:i/>
              </w:rPr>
              <w:t>3</w:t>
            </w:r>
            <w:r w:rsidR="009F2DFA" w:rsidRPr="00F04CCD">
              <w:rPr>
                <w:b/>
                <w:i/>
              </w:rPr>
              <w:t>.3.1 Priame finančné náklady</w:t>
            </w:r>
          </w:p>
          <w:p w:rsidR="009F2DFA" w:rsidRPr="00F04CCD" w:rsidRDefault="009F2DFA" w:rsidP="003B3199">
            <w:pPr>
              <w:rPr>
                <w:i/>
              </w:rPr>
            </w:pPr>
            <w:r w:rsidRPr="00F04CCD">
              <w:rPr>
                <w:i/>
              </w:rPr>
              <w:t xml:space="preserve">Dochádza k zvýšeniu/zníženiu priamych finančných nákladov (poplatky, odvody, dane clá...)? Ak áno, popíšte a vyčíslite ich. Uveďte tiež spôsob ich výpočtu. </w:t>
            </w:r>
          </w:p>
        </w:tc>
      </w:tr>
      <w:tr w:rsidR="009F2DFA" w:rsidRPr="00F04CCD" w:rsidTr="003B3199">
        <w:tc>
          <w:tcPr>
            <w:tcW w:w="9212" w:type="dxa"/>
          </w:tcPr>
          <w:p w:rsidR="009F2DFA" w:rsidRPr="00850B40" w:rsidRDefault="003F1F12" w:rsidP="003B3199">
            <w:pPr>
              <w:rPr>
                <w:b/>
                <w:i/>
              </w:rPr>
            </w:pPr>
            <w:r w:rsidRPr="00850B40">
              <w:t>Predkladaný návrh zákona  nepredpokladá zvýšenie/zníženie priamych finančných nákladov</w:t>
            </w:r>
            <w:r w:rsidR="00FF1EE2" w:rsidRPr="00850B40">
              <w:t>.</w:t>
            </w:r>
          </w:p>
          <w:p w:rsidR="009F2DFA" w:rsidRPr="00391A08" w:rsidRDefault="009F2DFA" w:rsidP="003B3199">
            <w:pPr>
              <w:rPr>
                <w:b/>
                <w:i/>
              </w:rPr>
            </w:pPr>
          </w:p>
        </w:tc>
      </w:tr>
      <w:tr w:rsidR="009F2DFA" w:rsidRPr="00F04CCD" w:rsidTr="003B3199">
        <w:tc>
          <w:tcPr>
            <w:tcW w:w="9212" w:type="dxa"/>
          </w:tcPr>
          <w:p w:rsidR="009F2DFA" w:rsidRPr="00391A08" w:rsidRDefault="002B1108" w:rsidP="003B3199">
            <w:pPr>
              <w:rPr>
                <w:b/>
                <w:i/>
              </w:rPr>
            </w:pPr>
            <w:r w:rsidRPr="00391A08">
              <w:rPr>
                <w:b/>
                <w:i/>
              </w:rPr>
              <w:t>3</w:t>
            </w:r>
            <w:r w:rsidR="009F2DFA" w:rsidRPr="00391A08">
              <w:rPr>
                <w:b/>
                <w:i/>
              </w:rPr>
              <w:t>.3.2 Nepriame finančné náklady</w:t>
            </w:r>
          </w:p>
          <w:p w:rsidR="009F2DFA" w:rsidRPr="00391A08" w:rsidRDefault="009F2DFA" w:rsidP="00B31A8E">
            <w:pPr>
              <w:rPr>
                <w:i/>
              </w:rPr>
            </w:pPr>
            <w:r w:rsidRPr="00391A08">
              <w:rPr>
                <w:i/>
              </w:rPr>
              <w:t xml:space="preserve">Vyžaduje si predkladaný návrh dodatočné náklady na nákup tovarov alebo služieb? </w:t>
            </w:r>
            <w:r w:rsidR="00B31A8E" w:rsidRPr="00391A08">
              <w:rPr>
                <w:i/>
              </w:rPr>
              <w:t xml:space="preserve">Zvyšuje predkladaný návrh náklady súvisiace so zamestnávaním? </w:t>
            </w:r>
            <w:r w:rsidRPr="00391A08">
              <w:rPr>
                <w:i/>
              </w:rPr>
              <w:t>Ak áno, popíšte a vyčíslite ich. Uveďte tiež spôsob ich výpočtu.</w:t>
            </w:r>
          </w:p>
        </w:tc>
      </w:tr>
      <w:tr w:rsidR="009F2DFA" w:rsidRPr="00F04CCD" w:rsidTr="003B3199">
        <w:tc>
          <w:tcPr>
            <w:tcW w:w="9212" w:type="dxa"/>
          </w:tcPr>
          <w:p w:rsidR="009F2DFA" w:rsidRPr="00841DBD" w:rsidRDefault="003F1F12" w:rsidP="00841DBD">
            <w:pPr>
              <w:jc w:val="both"/>
            </w:pPr>
            <w:r w:rsidRPr="00850B40">
              <w:t xml:space="preserve">Predkladaný </w:t>
            </w:r>
            <w:r w:rsidR="00C64BA6">
              <w:t xml:space="preserve">vládny </w:t>
            </w:r>
            <w:r w:rsidRPr="00850B40">
              <w:t>návrh zákona nevyžaduje dodatočné náklady na nákup tovarov alebo služieb, ani nezvyšuje náklady súvisia</w:t>
            </w:r>
            <w:r w:rsidR="00841DBD">
              <w:t xml:space="preserve">ce so zamestnávaním cudzincov. </w:t>
            </w:r>
          </w:p>
          <w:p w:rsidR="009F2DFA" w:rsidRPr="00391A08" w:rsidRDefault="009F2DFA" w:rsidP="003B3199">
            <w:pPr>
              <w:rPr>
                <w:b/>
                <w:i/>
              </w:rPr>
            </w:pPr>
          </w:p>
        </w:tc>
      </w:tr>
      <w:tr w:rsidR="009F2DFA" w:rsidRPr="00F04CCD" w:rsidTr="003B3199">
        <w:tc>
          <w:tcPr>
            <w:tcW w:w="9212" w:type="dxa"/>
          </w:tcPr>
          <w:p w:rsidR="009F2DFA" w:rsidRPr="00F04CCD" w:rsidRDefault="002B1108" w:rsidP="003B3199">
            <w:pPr>
              <w:rPr>
                <w:b/>
                <w:i/>
              </w:rPr>
            </w:pPr>
            <w:r>
              <w:rPr>
                <w:b/>
                <w:i/>
              </w:rPr>
              <w:t>3</w:t>
            </w:r>
            <w:r w:rsidR="009F2DFA" w:rsidRPr="00F04CCD">
              <w:rPr>
                <w:b/>
                <w:i/>
              </w:rPr>
              <w:t>.3.3 Administratívne náklady</w:t>
            </w:r>
          </w:p>
          <w:p w:rsidR="009F2DFA" w:rsidRPr="00F04CCD" w:rsidRDefault="009F2DFA" w:rsidP="003B3199">
            <w:pPr>
              <w:rPr>
                <w:i/>
              </w:rPr>
            </w:pPr>
            <w:r w:rsidRPr="00F04CCD">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9F2DFA" w:rsidRPr="00F04CCD" w:rsidTr="003B3199">
        <w:tc>
          <w:tcPr>
            <w:tcW w:w="9212" w:type="dxa"/>
          </w:tcPr>
          <w:p w:rsidR="00EB4639" w:rsidRPr="00EB4639" w:rsidRDefault="00CE42F8" w:rsidP="00EB4639">
            <w:pPr>
              <w:pStyle w:val="Default"/>
              <w:jc w:val="both"/>
              <w:rPr>
                <w:color w:val="auto"/>
                <w:sz w:val="20"/>
                <w:szCs w:val="20"/>
                <w:lang w:eastAsia="sk-SK"/>
              </w:rPr>
            </w:pPr>
            <w:r w:rsidRPr="00EB4639">
              <w:rPr>
                <w:sz w:val="20"/>
                <w:szCs w:val="20"/>
              </w:rPr>
              <w:t xml:space="preserve">Predkladaným </w:t>
            </w:r>
            <w:r w:rsidR="00C64BA6">
              <w:rPr>
                <w:sz w:val="20"/>
                <w:szCs w:val="20"/>
              </w:rPr>
              <w:t xml:space="preserve">vládnym </w:t>
            </w:r>
            <w:r w:rsidRPr="00EB4639">
              <w:rPr>
                <w:sz w:val="20"/>
                <w:szCs w:val="20"/>
              </w:rPr>
              <w:t xml:space="preserve">návrhom </w:t>
            </w:r>
            <w:r w:rsidR="00C64BA6">
              <w:rPr>
                <w:sz w:val="20"/>
                <w:szCs w:val="20"/>
              </w:rPr>
              <w:t xml:space="preserve">zákona </w:t>
            </w:r>
            <w:r w:rsidRPr="00EB4639">
              <w:rPr>
                <w:sz w:val="20"/>
                <w:szCs w:val="20"/>
              </w:rPr>
              <w:t xml:space="preserve">bude zavedená pre zamestnávateľov povinnosť nahlásenia voľného pracovného miesta na úrad práce, sociálnych vecí a rodiny. </w:t>
            </w:r>
            <w:r w:rsidR="00EB4639" w:rsidRPr="00EB4639">
              <w:rPr>
                <w:color w:val="auto"/>
                <w:sz w:val="20"/>
                <w:szCs w:val="20"/>
                <w:lang w:eastAsia="sk-SK"/>
              </w:rPr>
              <w:t>Voľné pracovné miesta môže zamestnávateľ nahlásiť:</w:t>
            </w:r>
          </w:p>
          <w:p w:rsidR="00EB4639" w:rsidRPr="00EB4639" w:rsidRDefault="00EB4639" w:rsidP="00EB4639">
            <w:pPr>
              <w:numPr>
                <w:ilvl w:val="0"/>
                <w:numId w:val="13"/>
              </w:numPr>
              <w:jc w:val="both"/>
            </w:pPr>
            <w:proofErr w:type="spellStart"/>
            <w:r w:rsidRPr="00EB4639">
              <w:t>online</w:t>
            </w:r>
            <w:proofErr w:type="spellEnd"/>
            <w:r w:rsidRPr="00EB4639">
              <w:t xml:space="preserve"> prostredníctvom webovej stránky </w:t>
            </w:r>
            <w:hyperlink r:id="rId9" w:tgtFrame="_blank" w:history="1">
              <w:r w:rsidRPr="00EB4639">
                <w:t>www.istp.sk</w:t>
              </w:r>
            </w:hyperlink>
            <w:r w:rsidRPr="00EB4639">
              <w:t>. Po bezplatnej registrácii v systéme ISTP (</w:t>
            </w:r>
            <w:hyperlink r:id="rId10" w:tgtFrame="_blank" w:tooltip="registrácia " w:history="1">
              <w:r w:rsidRPr="00EB4639">
                <w:t xml:space="preserve">Registrácia v </w:t>
              </w:r>
              <w:proofErr w:type="spellStart"/>
              <w:r w:rsidRPr="00EB4639">
                <w:t>ISTP.sk</w:t>
              </w:r>
              <w:proofErr w:type="spellEnd"/>
            </w:hyperlink>
            <w:r w:rsidRPr="00EB4639">
              <w:t>)  môže bezplatne vytvárať, evidovať a zverejňovať ponuky pracovných miest.</w:t>
            </w:r>
          </w:p>
          <w:p w:rsidR="00EB4639" w:rsidRPr="00EB4639" w:rsidRDefault="00EB4639" w:rsidP="00EB4639">
            <w:pPr>
              <w:numPr>
                <w:ilvl w:val="0"/>
                <w:numId w:val="13"/>
              </w:numPr>
              <w:jc w:val="both"/>
            </w:pPr>
            <w:r w:rsidRPr="00EB4639">
              <w:t>vyplnením  tlačiva „</w:t>
            </w:r>
            <w:proofErr w:type="spellStart"/>
            <w:r w:rsidR="00983F3F">
              <w:fldChar w:fldCharType="begin"/>
            </w:r>
            <w:r w:rsidR="00983F3F">
              <w:instrText xml:space="preserve"> HYPERLINK "https://www.upsvr.gov.sk/buxus/docs/SSZ/OISS/nahlaska_VPM_3.xlsx" \t "_blank" </w:instrText>
            </w:r>
            <w:r w:rsidR="00983F3F">
              <w:fldChar w:fldCharType="separate"/>
            </w:r>
            <w:r w:rsidRPr="00EB4639">
              <w:t>nahláška</w:t>
            </w:r>
            <w:proofErr w:type="spellEnd"/>
            <w:r w:rsidRPr="00EB4639">
              <w:t xml:space="preserve"> voľných pracovných miest</w:t>
            </w:r>
            <w:r w:rsidR="00983F3F">
              <w:fldChar w:fldCharType="end"/>
            </w:r>
            <w:r w:rsidRPr="00EB4639">
              <w:t>“, ktorú prostredníctvom pošty, faxu alebo formou elektronickej pošty zašle na Ústredie práce, sociálnych vecí a rodiny.</w:t>
            </w:r>
          </w:p>
          <w:p w:rsidR="00E6790D" w:rsidRDefault="00E6790D" w:rsidP="00EB4639">
            <w:pPr>
              <w:pStyle w:val="Default"/>
              <w:jc w:val="both"/>
              <w:rPr>
                <w:sz w:val="20"/>
                <w:szCs w:val="20"/>
              </w:rPr>
            </w:pPr>
          </w:p>
          <w:p w:rsidR="00E6790D" w:rsidRPr="00E6790D" w:rsidRDefault="00E6790D" w:rsidP="00E6790D">
            <w:pPr>
              <w:jc w:val="both"/>
              <w:rPr>
                <w:color w:val="000000"/>
                <w:lang w:eastAsia="en-US"/>
              </w:rPr>
            </w:pPr>
            <w:r>
              <w:rPr>
                <w:color w:val="000000"/>
                <w:lang w:eastAsia="en-US"/>
              </w:rPr>
              <w:t>Č</w:t>
            </w:r>
            <w:r w:rsidRPr="00E6790D">
              <w:rPr>
                <w:color w:val="000000"/>
                <w:lang w:eastAsia="en-US"/>
              </w:rPr>
              <w:t>asové náklady nahlásenia voľného pracovného miesta.</w:t>
            </w:r>
          </w:p>
          <w:p w:rsidR="00E6790D" w:rsidRPr="00E6790D" w:rsidRDefault="00E6790D" w:rsidP="00841DBD">
            <w:pPr>
              <w:numPr>
                <w:ilvl w:val="0"/>
                <w:numId w:val="16"/>
              </w:numPr>
              <w:tabs>
                <w:tab w:val="left" w:pos="284"/>
              </w:tabs>
              <w:ind w:left="284" w:hanging="284"/>
              <w:jc w:val="both"/>
              <w:rPr>
                <w:color w:val="000000"/>
                <w:lang w:eastAsia="en-US"/>
              </w:rPr>
            </w:pPr>
            <w:proofErr w:type="spellStart"/>
            <w:r w:rsidRPr="00E6790D">
              <w:rPr>
                <w:color w:val="000000"/>
                <w:lang w:eastAsia="en-US"/>
              </w:rPr>
              <w:t>online</w:t>
            </w:r>
            <w:proofErr w:type="spellEnd"/>
            <w:r w:rsidRPr="00E6790D">
              <w:rPr>
                <w:color w:val="000000"/>
                <w:lang w:eastAsia="en-US"/>
              </w:rPr>
              <w:t xml:space="preserve"> prostredníctvom webovej stránky </w:t>
            </w:r>
            <w:hyperlink r:id="rId11" w:tgtFrame="_blank" w:history="1">
              <w:r w:rsidRPr="00E6790D">
                <w:rPr>
                  <w:color w:val="000000"/>
                  <w:lang w:eastAsia="en-US"/>
                </w:rPr>
                <w:t>www.istp.sk</w:t>
              </w:r>
            </w:hyperlink>
            <w:r w:rsidRPr="00E6790D">
              <w:rPr>
                <w:color w:val="000000"/>
                <w:lang w:eastAsia="en-US"/>
              </w:rPr>
              <w:t xml:space="preserve"> – pri prvom vstupe je potrebná  registrácia v systéme ISTP – časová náročnosť nahlásenia voľného pracovného miesta je max. 5 minút. Pri nahlasovaní voľného pracovného miesta zaregistrovaného užívateľa sa odhaduje časová náročnosť max. do 3 minút, v závislosti od p</w:t>
            </w:r>
            <w:r w:rsidR="00912A5E">
              <w:rPr>
                <w:color w:val="000000"/>
                <w:lang w:eastAsia="en-US"/>
              </w:rPr>
              <w:t>očítačových zručností užívateľa.</w:t>
            </w:r>
          </w:p>
          <w:p w:rsidR="00E6790D" w:rsidRPr="00E6790D" w:rsidRDefault="00E6790D" w:rsidP="00841DBD">
            <w:pPr>
              <w:numPr>
                <w:ilvl w:val="0"/>
                <w:numId w:val="16"/>
              </w:numPr>
              <w:tabs>
                <w:tab w:val="left" w:pos="284"/>
              </w:tabs>
              <w:ind w:left="284" w:hanging="284"/>
              <w:jc w:val="both"/>
              <w:rPr>
                <w:color w:val="000000"/>
                <w:lang w:eastAsia="en-US"/>
              </w:rPr>
            </w:pPr>
            <w:r w:rsidRPr="00E6790D">
              <w:rPr>
                <w:color w:val="000000"/>
                <w:lang w:eastAsia="en-US"/>
              </w:rPr>
              <w:t>vyplnenie  tlačiva „</w:t>
            </w:r>
            <w:proofErr w:type="spellStart"/>
            <w:r w:rsidR="00983F3F">
              <w:fldChar w:fldCharType="begin"/>
            </w:r>
            <w:r w:rsidR="00983F3F">
              <w:instrText xml:space="preserve"> HYPERLINK</w:instrText>
            </w:r>
            <w:r w:rsidR="00983F3F">
              <w:instrText xml:space="preserve"> "https://www.upsvr.gov.sk/buxus/docs/SSZ/OISS/nahlaska_VPM_3.xlsx" \t "_blank" </w:instrText>
            </w:r>
            <w:r w:rsidR="00983F3F">
              <w:fldChar w:fldCharType="separate"/>
            </w:r>
            <w:r w:rsidRPr="00E6790D">
              <w:rPr>
                <w:color w:val="000000"/>
                <w:lang w:eastAsia="en-US"/>
              </w:rPr>
              <w:t>nahláška</w:t>
            </w:r>
            <w:proofErr w:type="spellEnd"/>
            <w:r w:rsidRPr="00E6790D">
              <w:rPr>
                <w:color w:val="000000"/>
                <w:lang w:eastAsia="en-US"/>
              </w:rPr>
              <w:t xml:space="preserve"> voľných pracovných miest</w:t>
            </w:r>
            <w:r w:rsidR="00983F3F">
              <w:rPr>
                <w:color w:val="000000"/>
                <w:lang w:eastAsia="en-US"/>
              </w:rPr>
              <w:fldChar w:fldCharType="end"/>
            </w:r>
            <w:r w:rsidRPr="00E6790D">
              <w:rPr>
                <w:color w:val="000000"/>
                <w:lang w:eastAsia="en-US"/>
              </w:rPr>
              <w:t>a – časová náročnosť max. 5 minút.</w:t>
            </w:r>
          </w:p>
          <w:p w:rsidR="003F1F12" w:rsidRPr="00F04CCD" w:rsidRDefault="00E6790D" w:rsidP="00E6790D">
            <w:pPr>
              <w:jc w:val="both"/>
              <w:rPr>
                <w:b/>
                <w:i/>
              </w:rPr>
            </w:pPr>
            <w:r w:rsidRPr="00E6790D">
              <w:rPr>
                <w:color w:val="000000"/>
                <w:lang w:eastAsia="en-US"/>
              </w:rPr>
              <w:t xml:space="preserve">Administratívne náklady na 1 podnikateľa budú závisieť od počtu nahlasovaných voľných pracovných miest. Pri nahlasovaní voľných pracovných miest s rovnakou pracovnou pozíciou postačuje 1 </w:t>
            </w:r>
            <w:proofErr w:type="spellStart"/>
            <w:r w:rsidRPr="00E6790D">
              <w:rPr>
                <w:color w:val="000000"/>
                <w:lang w:eastAsia="en-US"/>
              </w:rPr>
              <w:t>nahláška</w:t>
            </w:r>
            <w:proofErr w:type="spellEnd"/>
            <w:r w:rsidRPr="00E6790D">
              <w:rPr>
                <w:color w:val="000000"/>
                <w:lang w:eastAsia="en-US"/>
              </w:rPr>
              <w:t xml:space="preserve">, kde je vyznačený </w:t>
            </w:r>
            <w:r>
              <w:rPr>
                <w:color w:val="000000"/>
                <w:lang w:eastAsia="en-US"/>
              </w:rPr>
              <w:t xml:space="preserve">ich </w:t>
            </w:r>
            <w:r w:rsidRPr="00E6790D">
              <w:rPr>
                <w:color w:val="000000"/>
                <w:lang w:eastAsia="en-US"/>
              </w:rPr>
              <w:t>počet.</w:t>
            </w:r>
            <w:r w:rsidRPr="00F04CCD">
              <w:rPr>
                <w:b/>
                <w:i/>
              </w:rPr>
              <w:t xml:space="preserve"> </w:t>
            </w:r>
          </w:p>
        </w:tc>
      </w:tr>
      <w:tr w:rsidR="009F2DFA" w:rsidRPr="00F04CCD" w:rsidTr="003B3199">
        <w:trPr>
          <w:trHeight w:val="2318"/>
        </w:trPr>
        <w:tc>
          <w:tcPr>
            <w:tcW w:w="9212" w:type="dxa"/>
          </w:tcPr>
          <w:p w:rsidR="009F2DFA" w:rsidRPr="00F04CCD" w:rsidRDefault="002B1108" w:rsidP="003B3199">
            <w:pPr>
              <w:rPr>
                <w:i/>
              </w:rPr>
            </w:pPr>
            <w:r>
              <w:rPr>
                <w:b/>
                <w:i/>
              </w:rPr>
              <w:t>3</w:t>
            </w:r>
            <w:r w:rsidR="009F2DFA" w:rsidRPr="00F04CCD">
              <w:rPr>
                <w:b/>
                <w:i/>
              </w:rPr>
              <w:t>.3.4 Súhrnná tabuľka nákladov regulácie</w:t>
            </w:r>
          </w:p>
          <w:p w:rsidR="009F2DFA" w:rsidRPr="00F04CCD" w:rsidRDefault="009F2DFA" w:rsidP="003B3199">
            <w:pPr>
              <w:rPr>
                <w:i/>
              </w:rPr>
            </w:pPr>
          </w:p>
          <w:tbl>
            <w:tblPr>
              <w:tblStyle w:val="Mriekatabuky"/>
              <w:tblW w:w="0" w:type="auto"/>
              <w:tblLook w:val="04A0" w:firstRow="1" w:lastRow="0" w:firstColumn="1" w:lastColumn="0" w:noHBand="0" w:noVBand="1"/>
            </w:tblPr>
            <w:tblGrid>
              <w:gridCol w:w="2993"/>
              <w:gridCol w:w="2994"/>
              <w:gridCol w:w="2994"/>
            </w:tblGrid>
            <w:tr w:rsidR="009F2DFA" w:rsidRPr="00F04CCD" w:rsidTr="003B3199">
              <w:tc>
                <w:tcPr>
                  <w:tcW w:w="2993" w:type="dxa"/>
                  <w:tcBorders>
                    <w:top w:val="single" w:sz="4" w:space="0" w:color="auto"/>
                    <w:left w:val="single" w:sz="4" w:space="0" w:color="auto"/>
                    <w:bottom w:val="single" w:sz="4" w:space="0" w:color="auto"/>
                    <w:right w:val="single" w:sz="4" w:space="0" w:color="auto"/>
                  </w:tcBorders>
                </w:tcPr>
                <w:p w:rsidR="009F2DFA" w:rsidRPr="00F04CCD" w:rsidRDefault="009F2DFA" w:rsidP="003B3199">
                  <w:pPr>
                    <w:rPr>
                      <w:i/>
                    </w:rPr>
                  </w:pPr>
                </w:p>
              </w:tc>
              <w:tc>
                <w:tcPr>
                  <w:tcW w:w="2994" w:type="dxa"/>
                  <w:tcBorders>
                    <w:top w:val="single" w:sz="4" w:space="0" w:color="auto"/>
                    <w:left w:val="single" w:sz="4" w:space="0" w:color="auto"/>
                    <w:bottom w:val="single" w:sz="4" w:space="0" w:color="auto"/>
                    <w:right w:val="single" w:sz="4" w:space="0" w:color="auto"/>
                  </w:tcBorders>
                </w:tcPr>
                <w:p w:rsidR="009F2DFA" w:rsidRPr="00F04CCD" w:rsidRDefault="009F2DFA" w:rsidP="003B3199">
                  <w:pPr>
                    <w:jc w:val="center"/>
                    <w:rPr>
                      <w:i/>
                    </w:rPr>
                  </w:pPr>
                  <w:r w:rsidRPr="00F04CCD">
                    <w:rPr>
                      <w:i/>
                    </w:rPr>
                    <w:t>Náklady na 1 podnikateľa</w:t>
                  </w:r>
                </w:p>
              </w:tc>
              <w:tc>
                <w:tcPr>
                  <w:tcW w:w="2994" w:type="dxa"/>
                  <w:tcBorders>
                    <w:top w:val="single" w:sz="4" w:space="0" w:color="auto"/>
                    <w:left w:val="single" w:sz="4" w:space="0" w:color="auto"/>
                    <w:bottom w:val="single" w:sz="4" w:space="0" w:color="auto"/>
                    <w:right w:val="single" w:sz="4" w:space="0" w:color="auto"/>
                  </w:tcBorders>
                </w:tcPr>
                <w:p w:rsidR="009F2DFA" w:rsidRPr="00F04CCD" w:rsidRDefault="009F2DFA" w:rsidP="003B3199">
                  <w:pPr>
                    <w:jc w:val="center"/>
                    <w:rPr>
                      <w:i/>
                    </w:rPr>
                  </w:pPr>
                  <w:r w:rsidRPr="00F04CCD">
                    <w:rPr>
                      <w:i/>
                    </w:rPr>
                    <w:t>Náklady na celé podnikateľské prostredie</w:t>
                  </w:r>
                </w:p>
              </w:tc>
            </w:tr>
            <w:tr w:rsidR="009F2DFA" w:rsidRPr="00F04CCD" w:rsidTr="003B3199">
              <w:tc>
                <w:tcPr>
                  <w:tcW w:w="2993" w:type="dxa"/>
                  <w:tcBorders>
                    <w:top w:val="single" w:sz="4" w:space="0" w:color="auto"/>
                    <w:left w:val="single" w:sz="4" w:space="0" w:color="auto"/>
                    <w:bottom w:val="single" w:sz="4" w:space="0" w:color="auto"/>
                    <w:right w:val="single" w:sz="4" w:space="0" w:color="auto"/>
                  </w:tcBorders>
                </w:tcPr>
                <w:p w:rsidR="009F2DFA" w:rsidRPr="00F04CCD" w:rsidRDefault="009F2DFA" w:rsidP="003B3199">
                  <w:pPr>
                    <w:rPr>
                      <w:i/>
                    </w:rPr>
                  </w:pPr>
                  <w:r w:rsidRPr="00F04CCD">
                    <w:rPr>
                      <w:i/>
                    </w:rPr>
                    <w:t>Priame finančné náklady</w:t>
                  </w:r>
                </w:p>
              </w:tc>
              <w:tc>
                <w:tcPr>
                  <w:tcW w:w="2994" w:type="dxa"/>
                  <w:tcBorders>
                    <w:top w:val="single" w:sz="4" w:space="0" w:color="auto"/>
                    <w:left w:val="single" w:sz="4" w:space="0" w:color="auto"/>
                    <w:bottom w:val="single" w:sz="4" w:space="0" w:color="auto"/>
                    <w:right w:val="single" w:sz="4" w:space="0" w:color="auto"/>
                  </w:tcBorders>
                </w:tcPr>
                <w:p w:rsidR="009F2DFA" w:rsidRPr="00F04CCD" w:rsidRDefault="009F2DFA" w:rsidP="003B3199">
                  <w:pPr>
                    <w:jc w:val="center"/>
                    <w:rPr>
                      <w:i/>
                    </w:rPr>
                  </w:pPr>
                  <w:r w:rsidRPr="00F04CCD">
                    <w:rPr>
                      <w:i/>
                    </w:rPr>
                    <w:t>0</w:t>
                  </w:r>
                </w:p>
              </w:tc>
              <w:tc>
                <w:tcPr>
                  <w:tcW w:w="2994" w:type="dxa"/>
                  <w:tcBorders>
                    <w:top w:val="single" w:sz="4" w:space="0" w:color="auto"/>
                    <w:left w:val="single" w:sz="4" w:space="0" w:color="auto"/>
                    <w:bottom w:val="single" w:sz="4" w:space="0" w:color="auto"/>
                    <w:right w:val="single" w:sz="4" w:space="0" w:color="auto"/>
                  </w:tcBorders>
                </w:tcPr>
                <w:p w:rsidR="009F2DFA" w:rsidRPr="00F04CCD" w:rsidRDefault="009F2DFA" w:rsidP="003B3199">
                  <w:pPr>
                    <w:jc w:val="center"/>
                    <w:rPr>
                      <w:i/>
                    </w:rPr>
                  </w:pPr>
                  <w:r w:rsidRPr="00F04CCD">
                    <w:rPr>
                      <w:i/>
                    </w:rPr>
                    <w:t>0</w:t>
                  </w:r>
                </w:p>
              </w:tc>
            </w:tr>
            <w:tr w:rsidR="009F2DFA" w:rsidRPr="00F04CCD" w:rsidTr="003B3199">
              <w:tc>
                <w:tcPr>
                  <w:tcW w:w="2993" w:type="dxa"/>
                  <w:tcBorders>
                    <w:top w:val="single" w:sz="4" w:space="0" w:color="auto"/>
                    <w:left w:val="single" w:sz="4" w:space="0" w:color="auto"/>
                    <w:bottom w:val="single" w:sz="4" w:space="0" w:color="auto"/>
                    <w:right w:val="single" w:sz="4" w:space="0" w:color="auto"/>
                  </w:tcBorders>
                </w:tcPr>
                <w:p w:rsidR="009F2DFA" w:rsidRPr="00F04CCD" w:rsidRDefault="009F2DFA" w:rsidP="003B3199">
                  <w:pPr>
                    <w:rPr>
                      <w:i/>
                    </w:rPr>
                  </w:pPr>
                  <w:r w:rsidRPr="00F04CCD">
                    <w:rPr>
                      <w:i/>
                    </w:rPr>
                    <w:t>Nepriame finančné náklady</w:t>
                  </w:r>
                </w:p>
              </w:tc>
              <w:tc>
                <w:tcPr>
                  <w:tcW w:w="2994" w:type="dxa"/>
                  <w:tcBorders>
                    <w:top w:val="single" w:sz="4" w:space="0" w:color="auto"/>
                    <w:left w:val="single" w:sz="4" w:space="0" w:color="auto"/>
                    <w:bottom w:val="single" w:sz="4" w:space="0" w:color="auto"/>
                    <w:right w:val="single" w:sz="4" w:space="0" w:color="auto"/>
                  </w:tcBorders>
                </w:tcPr>
                <w:p w:rsidR="009F2DFA" w:rsidRPr="00F04CCD" w:rsidRDefault="009F2DFA" w:rsidP="003B3199">
                  <w:pPr>
                    <w:jc w:val="center"/>
                    <w:rPr>
                      <w:i/>
                    </w:rPr>
                  </w:pPr>
                  <w:r w:rsidRPr="00F04CCD">
                    <w:rPr>
                      <w:i/>
                    </w:rPr>
                    <w:t>0</w:t>
                  </w:r>
                </w:p>
              </w:tc>
              <w:tc>
                <w:tcPr>
                  <w:tcW w:w="2994" w:type="dxa"/>
                  <w:tcBorders>
                    <w:top w:val="single" w:sz="4" w:space="0" w:color="auto"/>
                    <w:left w:val="single" w:sz="4" w:space="0" w:color="auto"/>
                    <w:bottom w:val="single" w:sz="4" w:space="0" w:color="auto"/>
                    <w:right w:val="single" w:sz="4" w:space="0" w:color="auto"/>
                  </w:tcBorders>
                </w:tcPr>
                <w:p w:rsidR="009F2DFA" w:rsidRPr="00F04CCD" w:rsidRDefault="009F2DFA" w:rsidP="003B3199">
                  <w:pPr>
                    <w:jc w:val="center"/>
                    <w:rPr>
                      <w:i/>
                    </w:rPr>
                  </w:pPr>
                  <w:r w:rsidRPr="00F04CCD">
                    <w:rPr>
                      <w:i/>
                    </w:rPr>
                    <w:t>0</w:t>
                  </w:r>
                </w:p>
              </w:tc>
            </w:tr>
            <w:tr w:rsidR="009F2DFA" w:rsidRPr="00F04CCD" w:rsidTr="003B3199">
              <w:tc>
                <w:tcPr>
                  <w:tcW w:w="2993" w:type="dxa"/>
                  <w:tcBorders>
                    <w:top w:val="single" w:sz="4" w:space="0" w:color="auto"/>
                    <w:left w:val="single" w:sz="4" w:space="0" w:color="auto"/>
                    <w:bottom w:val="single" w:sz="4" w:space="0" w:color="auto"/>
                    <w:right w:val="single" w:sz="4" w:space="0" w:color="auto"/>
                  </w:tcBorders>
                </w:tcPr>
                <w:p w:rsidR="009F2DFA" w:rsidRPr="00F04CCD" w:rsidRDefault="009F2DFA" w:rsidP="003B3199">
                  <w:pPr>
                    <w:rPr>
                      <w:i/>
                    </w:rPr>
                  </w:pPr>
                  <w:r w:rsidRPr="00F04CCD">
                    <w:rPr>
                      <w:i/>
                    </w:rPr>
                    <w:t>Administratívne náklady</w:t>
                  </w:r>
                </w:p>
              </w:tc>
              <w:tc>
                <w:tcPr>
                  <w:tcW w:w="2994" w:type="dxa"/>
                  <w:tcBorders>
                    <w:top w:val="single" w:sz="4" w:space="0" w:color="auto"/>
                    <w:left w:val="single" w:sz="4" w:space="0" w:color="auto"/>
                    <w:bottom w:val="single" w:sz="4" w:space="0" w:color="auto"/>
                    <w:right w:val="single" w:sz="4" w:space="0" w:color="auto"/>
                  </w:tcBorders>
                </w:tcPr>
                <w:p w:rsidR="009F2DFA" w:rsidRPr="00F04CCD" w:rsidRDefault="009F2DFA" w:rsidP="003B3199">
                  <w:pPr>
                    <w:jc w:val="center"/>
                    <w:rPr>
                      <w:i/>
                    </w:rPr>
                  </w:pPr>
                  <w:r w:rsidRPr="00F04CCD">
                    <w:rPr>
                      <w:i/>
                    </w:rPr>
                    <w:t>0</w:t>
                  </w:r>
                </w:p>
              </w:tc>
              <w:tc>
                <w:tcPr>
                  <w:tcW w:w="2994" w:type="dxa"/>
                  <w:tcBorders>
                    <w:top w:val="single" w:sz="4" w:space="0" w:color="auto"/>
                    <w:left w:val="single" w:sz="4" w:space="0" w:color="auto"/>
                    <w:bottom w:val="single" w:sz="4" w:space="0" w:color="auto"/>
                    <w:right w:val="single" w:sz="4" w:space="0" w:color="auto"/>
                  </w:tcBorders>
                </w:tcPr>
                <w:p w:rsidR="009F2DFA" w:rsidRPr="00F04CCD" w:rsidRDefault="009F2DFA" w:rsidP="003B3199">
                  <w:pPr>
                    <w:jc w:val="center"/>
                    <w:rPr>
                      <w:i/>
                    </w:rPr>
                  </w:pPr>
                  <w:r w:rsidRPr="00F04CCD">
                    <w:rPr>
                      <w:i/>
                    </w:rPr>
                    <w:t>0</w:t>
                  </w:r>
                </w:p>
              </w:tc>
            </w:tr>
            <w:tr w:rsidR="009F2DFA" w:rsidRPr="00F04CCD" w:rsidTr="003B3199">
              <w:tc>
                <w:tcPr>
                  <w:tcW w:w="2993" w:type="dxa"/>
                  <w:tcBorders>
                    <w:top w:val="single" w:sz="4" w:space="0" w:color="auto"/>
                    <w:left w:val="single" w:sz="4" w:space="0" w:color="auto"/>
                    <w:bottom w:val="single" w:sz="4" w:space="0" w:color="auto"/>
                    <w:right w:val="single" w:sz="4" w:space="0" w:color="auto"/>
                  </w:tcBorders>
                </w:tcPr>
                <w:p w:rsidR="009F2DFA" w:rsidRPr="00F04CCD" w:rsidRDefault="009F2DFA" w:rsidP="003B3199">
                  <w:pPr>
                    <w:rPr>
                      <w:b/>
                      <w:i/>
                    </w:rPr>
                  </w:pPr>
                  <w:r w:rsidRPr="00F04CCD">
                    <w:rPr>
                      <w:b/>
                      <w:i/>
                    </w:rPr>
                    <w:t>Celkové náklady regulácie</w:t>
                  </w:r>
                </w:p>
              </w:tc>
              <w:tc>
                <w:tcPr>
                  <w:tcW w:w="2994" w:type="dxa"/>
                  <w:tcBorders>
                    <w:top w:val="single" w:sz="4" w:space="0" w:color="auto"/>
                    <w:left w:val="single" w:sz="4" w:space="0" w:color="auto"/>
                    <w:bottom w:val="single" w:sz="4" w:space="0" w:color="auto"/>
                    <w:right w:val="single" w:sz="4" w:space="0" w:color="auto"/>
                  </w:tcBorders>
                </w:tcPr>
                <w:p w:rsidR="009F2DFA" w:rsidRPr="00F04CCD" w:rsidRDefault="009F2DFA" w:rsidP="003B3199">
                  <w:pPr>
                    <w:jc w:val="center"/>
                    <w:rPr>
                      <w:b/>
                      <w:i/>
                    </w:rPr>
                  </w:pPr>
                  <w:r w:rsidRPr="00F04CCD">
                    <w:rPr>
                      <w:b/>
                      <w:i/>
                    </w:rPr>
                    <w:t>0</w:t>
                  </w:r>
                </w:p>
              </w:tc>
              <w:tc>
                <w:tcPr>
                  <w:tcW w:w="2994" w:type="dxa"/>
                  <w:tcBorders>
                    <w:top w:val="single" w:sz="4" w:space="0" w:color="auto"/>
                    <w:left w:val="single" w:sz="4" w:space="0" w:color="auto"/>
                    <w:bottom w:val="single" w:sz="4" w:space="0" w:color="auto"/>
                    <w:right w:val="single" w:sz="4" w:space="0" w:color="auto"/>
                  </w:tcBorders>
                </w:tcPr>
                <w:p w:rsidR="009F2DFA" w:rsidRPr="00F04CCD" w:rsidRDefault="009F2DFA" w:rsidP="003B3199">
                  <w:pPr>
                    <w:jc w:val="center"/>
                    <w:rPr>
                      <w:b/>
                      <w:i/>
                    </w:rPr>
                  </w:pPr>
                  <w:r w:rsidRPr="00F04CCD">
                    <w:rPr>
                      <w:b/>
                      <w:i/>
                    </w:rPr>
                    <w:t>0</w:t>
                  </w:r>
                </w:p>
              </w:tc>
            </w:tr>
          </w:tbl>
          <w:p w:rsidR="009F2DFA" w:rsidRPr="00F04CCD" w:rsidRDefault="009F2DFA" w:rsidP="003B3199">
            <w:pPr>
              <w:rPr>
                <w:i/>
              </w:rPr>
            </w:pPr>
          </w:p>
        </w:tc>
      </w:tr>
      <w:tr w:rsidR="009F2DFA" w:rsidRPr="00F04CCD" w:rsidTr="003B3199">
        <w:tc>
          <w:tcPr>
            <w:tcW w:w="9212" w:type="dxa"/>
            <w:shd w:val="clear" w:color="auto" w:fill="D9D9D9" w:themeFill="background1" w:themeFillShade="D9"/>
          </w:tcPr>
          <w:p w:rsidR="009F2DFA" w:rsidRPr="00042C66" w:rsidRDefault="002B1108" w:rsidP="003B3199">
            <w:pPr>
              <w:rPr>
                <w:b/>
                <w:sz w:val="24"/>
              </w:rPr>
            </w:pPr>
            <w:r>
              <w:rPr>
                <w:b/>
                <w:sz w:val="24"/>
              </w:rPr>
              <w:t>3</w:t>
            </w:r>
            <w:r w:rsidR="009F2DFA" w:rsidRPr="00042C66">
              <w:rPr>
                <w:b/>
                <w:sz w:val="24"/>
              </w:rPr>
              <w:t>.4 Konkurencieschopnosť a správanie sa podnikov na trhu</w:t>
            </w:r>
          </w:p>
          <w:p w:rsidR="009F2DFA" w:rsidRPr="00F04CCD" w:rsidRDefault="009F2DFA" w:rsidP="003B3199">
            <w:r w:rsidRPr="00042C66">
              <w:rPr>
                <w:b/>
                <w:sz w:val="24"/>
              </w:rPr>
              <w:t xml:space="preserve">       </w:t>
            </w:r>
            <w:r w:rsidRPr="00042C66">
              <w:rPr>
                <w:sz w:val="24"/>
              </w:rPr>
              <w:t xml:space="preserve">- </w:t>
            </w:r>
            <w:r w:rsidRPr="00042C66">
              <w:rPr>
                <w:b/>
                <w:sz w:val="24"/>
              </w:rPr>
              <w:t>z toho MSP</w:t>
            </w:r>
          </w:p>
        </w:tc>
      </w:tr>
      <w:tr w:rsidR="009F2DFA" w:rsidRPr="00F04CCD" w:rsidTr="003B3199">
        <w:tc>
          <w:tcPr>
            <w:tcW w:w="9212" w:type="dxa"/>
          </w:tcPr>
          <w:p w:rsidR="009F2DFA" w:rsidRPr="00F04CCD" w:rsidRDefault="009F2DFA" w:rsidP="003B3199">
            <w:pPr>
              <w:rPr>
                <w:i/>
              </w:rPr>
            </w:pPr>
            <w:r w:rsidRPr="00F04CCD">
              <w:rPr>
                <w:i/>
              </w:rPr>
              <w:t xml:space="preserve">Dochádza k vytvoreniu bariér pre vstup na trh pre nových dodávateľov alebo poskytovateľov služieb? </w:t>
            </w:r>
            <w:r>
              <w:rPr>
                <w:i/>
              </w:rPr>
              <w:t xml:space="preserve">Bude mať navrhovaná zmena za následok </w:t>
            </w:r>
            <w:r w:rsidRPr="00F04CCD">
              <w:rPr>
                <w:i/>
              </w:rPr>
              <w:t xml:space="preserve">prísnejšiu reguláciu správania sa niektorých podnikov? Bude sa s niektorými </w:t>
            </w:r>
            <w:r w:rsidRPr="00F04CCD">
              <w:rPr>
                <w:i/>
              </w:rPr>
              <w:lastRenderedPageBreak/>
              <w:t xml:space="preserve">podnikmi alebo produktmi zaobchádzať v porovnateľnej situácii rôzne (špeciálne režimy pre </w:t>
            </w:r>
            <w:proofErr w:type="spellStart"/>
            <w:r w:rsidRPr="00F04CCD">
              <w:rPr>
                <w:i/>
              </w:rPr>
              <w:t>mikro</w:t>
            </w:r>
            <w:proofErr w:type="spellEnd"/>
            <w:r w:rsidRPr="00F04CCD">
              <w:rPr>
                <w:i/>
              </w:rPr>
              <w:t>, malé a stredné podniky tzv. MSP)? Ak áno, popíšte.</w:t>
            </w:r>
          </w:p>
          <w:p w:rsidR="009F2DFA" w:rsidRPr="00F04CCD" w:rsidRDefault="009F2DFA" w:rsidP="003B3199">
            <w:pPr>
              <w:rPr>
                <w:i/>
              </w:rPr>
            </w:pPr>
            <w:r w:rsidRPr="00F04CCD">
              <w:rPr>
                <w:i/>
              </w:rPr>
              <w:t>Aký vplyv bude mať navrhovaná zmena na obchodné bariéry? Bude mať vplyv na vyvolanie cezhraničných investícií (príliv /odliv zahraničných investícií resp. uplatnenie slovenských podnikov na zahraničných trhoch)? Ak áno, popíšte.</w:t>
            </w:r>
          </w:p>
          <w:p w:rsidR="009F2DFA" w:rsidRPr="00F04CCD" w:rsidRDefault="009F2DFA" w:rsidP="003B3199">
            <w:pPr>
              <w:rPr>
                <w:i/>
              </w:rPr>
            </w:pPr>
            <w:r w:rsidRPr="00F04CCD">
              <w:rPr>
                <w:i/>
              </w:rPr>
              <w:t>Ako ovplyvní cenu alebo dostupnosť základných zdrojov (suroviny, mechanizmy, pracovná sila, energie atď.)?</w:t>
            </w:r>
          </w:p>
          <w:p w:rsidR="009F2DFA" w:rsidRPr="00F04CCD" w:rsidRDefault="009F2DFA" w:rsidP="003B3199">
            <w:pPr>
              <w:rPr>
                <w:i/>
              </w:rPr>
            </w:pPr>
            <w:r w:rsidRPr="00F04CCD">
              <w:rPr>
                <w:i/>
              </w:rPr>
              <w:t>Ovplyvňuje prístup k financiám? Ak áno, ako?</w:t>
            </w:r>
          </w:p>
        </w:tc>
      </w:tr>
      <w:tr w:rsidR="009F2DFA" w:rsidRPr="00F04CCD" w:rsidTr="00DF1642">
        <w:trPr>
          <w:trHeight w:val="979"/>
        </w:trPr>
        <w:tc>
          <w:tcPr>
            <w:tcW w:w="9212" w:type="dxa"/>
          </w:tcPr>
          <w:p w:rsidR="009F2DFA" w:rsidRPr="002E67B2" w:rsidRDefault="003F1F12" w:rsidP="00DB16A8">
            <w:pPr>
              <w:pStyle w:val="Default"/>
              <w:jc w:val="both"/>
              <w:rPr>
                <w:sz w:val="20"/>
                <w:szCs w:val="20"/>
              </w:rPr>
            </w:pPr>
            <w:r w:rsidRPr="002E67B2">
              <w:rPr>
                <w:sz w:val="20"/>
                <w:szCs w:val="20"/>
              </w:rPr>
              <w:lastRenderedPageBreak/>
              <w:t xml:space="preserve">Predkladaným </w:t>
            </w:r>
            <w:r w:rsidR="00C64BA6">
              <w:rPr>
                <w:sz w:val="20"/>
                <w:szCs w:val="20"/>
              </w:rPr>
              <w:t xml:space="preserve">vládnym </w:t>
            </w:r>
            <w:r w:rsidRPr="002E67B2">
              <w:rPr>
                <w:sz w:val="20"/>
                <w:szCs w:val="20"/>
              </w:rPr>
              <w:t>návrhom</w:t>
            </w:r>
            <w:r w:rsidR="00DF1642" w:rsidRPr="002E67B2">
              <w:rPr>
                <w:sz w:val="20"/>
                <w:szCs w:val="20"/>
              </w:rPr>
              <w:t xml:space="preserve"> </w:t>
            </w:r>
            <w:r w:rsidR="0017549B">
              <w:rPr>
                <w:sz w:val="20"/>
                <w:szCs w:val="20"/>
              </w:rPr>
              <w:t xml:space="preserve">zákona </w:t>
            </w:r>
            <w:r w:rsidR="00DF1642" w:rsidRPr="002E67B2">
              <w:rPr>
                <w:sz w:val="20"/>
                <w:szCs w:val="20"/>
              </w:rPr>
              <w:t xml:space="preserve">sa </w:t>
            </w:r>
            <w:r w:rsidRPr="002E67B2">
              <w:rPr>
                <w:sz w:val="20"/>
                <w:szCs w:val="20"/>
              </w:rPr>
              <w:t xml:space="preserve">navrhuje </w:t>
            </w:r>
            <w:r w:rsidR="00DF1642" w:rsidRPr="002E67B2">
              <w:rPr>
                <w:sz w:val="20"/>
                <w:szCs w:val="20"/>
              </w:rPr>
              <w:t>prij</w:t>
            </w:r>
            <w:r w:rsidRPr="002E67B2">
              <w:rPr>
                <w:sz w:val="20"/>
                <w:szCs w:val="20"/>
              </w:rPr>
              <w:t xml:space="preserve">ať </w:t>
            </w:r>
            <w:r w:rsidR="00DF1642" w:rsidRPr="002E67B2">
              <w:rPr>
                <w:sz w:val="20"/>
                <w:szCs w:val="20"/>
              </w:rPr>
              <w:t>dočasné, mimoriadne riešeni</w:t>
            </w:r>
            <w:r w:rsidRPr="002E67B2">
              <w:rPr>
                <w:sz w:val="20"/>
                <w:szCs w:val="20"/>
              </w:rPr>
              <w:t>e</w:t>
            </w:r>
            <w:r w:rsidR="00DF1642" w:rsidRPr="002E67B2">
              <w:rPr>
                <w:sz w:val="20"/>
                <w:szCs w:val="20"/>
              </w:rPr>
              <w:t xml:space="preserve"> aktuálneho nedostatku pracovnej sily na slovenskom trhu práce v súlade s potrebami zamestnávateľov na podporu udržateľného ekonomického rastu a konkurencieschopnosti. </w:t>
            </w:r>
          </w:p>
          <w:p w:rsidR="003F1F12" w:rsidRPr="00F04CCD" w:rsidRDefault="003F1F12" w:rsidP="00DB16A8">
            <w:pPr>
              <w:pStyle w:val="Default"/>
              <w:jc w:val="both"/>
              <w:rPr>
                <w:i/>
              </w:rPr>
            </w:pPr>
          </w:p>
        </w:tc>
      </w:tr>
      <w:tr w:rsidR="009F2DFA" w:rsidRPr="00F04CCD" w:rsidTr="003B3199">
        <w:tc>
          <w:tcPr>
            <w:tcW w:w="9212" w:type="dxa"/>
            <w:shd w:val="clear" w:color="auto" w:fill="D9D9D9" w:themeFill="background1" w:themeFillShade="D9"/>
          </w:tcPr>
          <w:p w:rsidR="009F2DFA" w:rsidRPr="00042C66" w:rsidRDefault="002B1108" w:rsidP="003B3199">
            <w:pPr>
              <w:rPr>
                <w:b/>
                <w:sz w:val="24"/>
              </w:rPr>
            </w:pPr>
            <w:r>
              <w:rPr>
                <w:b/>
                <w:sz w:val="24"/>
              </w:rPr>
              <w:t>3</w:t>
            </w:r>
            <w:r w:rsidR="009F2DFA" w:rsidRPr="00042C66">
              <w:rPr>
                <w:b/>
                <w:sz w:val="24"/>
              </w:rPr>
              <w:t xml:space="preserve">.5 Inovácie </w:t>
            </w:r>
          </w:p>
          <w:p w:rsidR="009F2DFA" w:rsidRPr="00F04CCD" w:rsidRDefault="009F2DFA" w:rsidP="003B3199">
            <w:pPr>
              <w:rPr>
                <w:b/>
              </w:rPr>
            </w:pPr>
            <w:r w:rsidRPr="00042C66">
              <w:rPr>
                <w:sz w:val="24"/>
              </w:rPr>
              <w:t xml:space="preserve">       - </w:t>
            </w:r>
            <w:r w:rsidRPr="00042C66">
              <w:rPr>
                <w:b/>
                <w:sz w:val="24"/>
              </w:rPr>
              <w:t>z toho MSP</w:t>
            </w:r>
          </w:p>
        </w:tc>
      </w:tr>
      <w:tr w:rsidR="009F2DFA" w:rsidRPr="00F04CCD" w:rsidTr="003B3199">
        <w:tc>
          <w:tcPr>
            <w:tcW w:w="9212" w:type="dxa"/>
          </w:tcPr>
          <w:p w:rsidR="009F2DFA" w:rsidRPr="00F04CCD" w:rsidRDefault="009F2DFA" w:rsidP="003B3199">
            <w:pPr>
              <w:rPr>
                <w:i/>
              </w:rPr>
            </w:pPr>
            <w:r w:rsidRPr="00F04CCD">
              <w:rPr>
                <w:i/>
              </w:rPr>
              <w:t>Uveďte, ako podporuje navrhovaná zmena inovácie.</w:t>
            </w:r>
          </w:p>
          <w:p w:rsidR="009F2DFA" w:rsidRPr="00F04CCD" w:rsidRDefault="009F2DFA" w:rsidP="003B3199">
            <w:pPr>
              <w:rPr>
                <w:i/>
              </w:rPr>
            </w:pPr>
            <w:r w:rsidRPr="00F04CCD">
              <w:rPr>
                <w:i/>
              </w:rPr>
              <w:t>Zjednodušuje uvedenie alebo rozšírenie nových výrobných metód, technológií a výrobkov na trh?</w:t>
            </w:r>
          </w:p>
          <w:p w:rsidR="009F2DFA" w:rsidRPr="00F04CCD" w:rsidRDefault="009F2DFA" w:rsidP="003B3199">
            <w:pPr>
              <w:rPr>
                <w:i/>
              </w:rPr>
            </w:pPr>
            <w:r w:rsidRPr="00F04CCD">
              <w:rPr>
                <w:i/>
              </w:rPr>
              <w:t xml:space="preserve">Uveďte, ako vplýva navrhovaná zmena na </w:t>
            </w:r>
            <w:r w:rsidR="00904C9B">
              <w:rPr>
                <w:i/>
              </w:rPr>
              <w:t xml:space="preserve">jednotlivé </w:t>
            </w:r>
            <w:r w:rsidRPr="00F04CCD">
              <w:rPr>
                <w:i/>
              </w:rPr>
              <w:t>práva duševného vlastníctva (</w:t>
            </w:r>
            <w:r w:rsidR="00904C9B">
              <w:rPr>
                <w:i/>
              </w:rPr>
              <w:t xml:space="preserve">napr. </w:t>
            </w:r>
            <w:r w:rsidRPr="00F04CCD">
              <w:rPr>
                <w:i/>
              </w:rPr>
              <w:t xml:space="preserve">patenty, ochranné známky, </w:t>
            </w:r>
            <w:r w:rsidR="00904C9B">
              <w:rPr>
                <w:i/>
              </w:rPr>
              <w:t>autorské práva</w:t>
            </w:r>
            <w:r w:rsidRPr="00F04CCD">
              <w:rPr>
                <w:i/>
              </w:rPr>
              <w:t xml:space="preserve">, vlastníctvo </w:t>
            </w:r>
            <w:proofErr w:type="spellStart"/>
            <w:r w:rsidRPr="00F04CCD">
              <w:rPr>
                <w:i/>
              </w:rPr>
              <w:t>know-how</w:t>
            </w:r>
            <w:proofErr w:type="spellEnd"/>
            <w:r w:rsidRPr="00F04CCD">
              <w:rPr>
                <w:i/>
              </w:rPr>
              <w:t>).</w:t>
            </w:r>
          </w:p>
          <w:p w:rsidR="009F2DFA" w:rsidRDefault="009F2DFA" w:rsidP="003B3199">
            <w:pPr>
              <w:rPr>
                <w:i/>
              </w:rPr>
            </w:pPr>
            <w:r w:rsidRPr="00F04CCD">
              <w:rPr>
                <w:i/>
              </w:rPr>
              <w:t>Podporuje vyššiu efektivitu výroby/využívania zdrojov? Ak áno, ako?</w:t>
            </w:r>
          </w:p>
          <w:p w:rsidR="00837639" w:rsidRPr="00F04CCD" w:rsidRDefault="00837639" w:rsidP="003B3199">
            <w:r w:rsidRPr="00154881">
              <w:rPr>
                <w:i/>
              </w:rPr>
              <w:t>Vytvorí zmena nové pracovné miesta pre zamestnancov výskumu a vývoja v</w:t>
            </w:r>
            <w:r>
              <w:rPr>
                <w:i/>
              </w:rPr>
              <w:t> </w:t>
            </w:r>
            <w:r w:rsidRPr="00154881">
              <w:rPr>
                <w:i/>
              </w:rPr>
              <w:t>SR</w:t>
            </w:r>
            <w:r>
              <w:rPr>
                <w:i/>
              </w:rPr>
              <w:t>?</w:t>
            </w:r>
          </w:p>
        </w:tc>
      </w:tr>
      <w:tr w:rsidR="009F2DFA" w:rsidRPr="00F04CCD" w:rsidTr="00DF1642">
        <w:trPr>
          <w:trHeight w:val="1165"/>
        </w:trPr>
        <w:tc>
          <w:tcPr>
            <w:tcW w:w="9212" w:type="dxa"/>
          </w:tcPr>
          <w:p w:rsidR="009F2DFA" w:rsidRPr="00391A08" w:rsidRDefault="00DF1642" w:rsidP="00391A08">
            <w:pPr>
              <w:spacing w:before="120"/>
              <w:jc w:val="both"/>
              <w:rPr>
                <w:iCs/>
              </w:rPr>
            </w:pPr>
            <w:r w:rsidRPr="00DF1642">
              <w:rPr>
                <w:iCs/>
              </w:rPr>
              <w:t xml:space="preserve">Skrátenie lehôt na posudzovanie žiadostí o udelenie prechodného pobytu </w:t>
            </w:r>
            <w:r w:rsidR="00403154">
              <w:rPr>
                <w:iCs/>
              </w:rPr>
              <w:t xml:space="preserve">na účel zamestnania </w:t>
            </w:r>
            <w:r w:rsidRPr="00DF1642">
              <w:rPr>
                <w:iCs/>
              </w:rPr>
              <w:t xml:space="preserve">z 90 na 30 dní </w:t>
            </w:r>
            <w:r w:rsidR="00403154" w:rsidRPr="00403154">
              <w:rPr>
                <w:iCs/>
              </w:rPr>
              <w:t xml:space="preserve">od doručenia kompletnej žiadosti o udelenie prechodného pobytu </w:t>
            </w:r>
            <w:r w:rsidRPr="00403154">
              <w:rPr>
                <w:iCs/>
              </w:rPr>
              <w:t xml:space="preserve">pre </w:t>
            </w:r>
            <w:r w:rsidR="00403154" w:rsidRPr="00403154">
              <w:rPr>
                <w:iCs/>
              </w:rPr>
              <w:t xml:space="preserve">štátneho príslušníka tretej krajiny, ktorý bude zamestnaný u </w:t>
            </w:r>
            <w:r w:rsidRPr="00403154">
              <w:rPr>
                <w:iCs/>
              </w:rPr>
              <w:t xml:space="preserve">investora, ktorý realizuje výskum a vývoj a jeho prevádzka spĺňa definíciu technologického centra podľa zákona 57/2018 </w:t>
            </w:r>
            <w:proofErr w:type="spellStart"/>
            <w:r w:rsidRPr="00403154">
              <w:rPr>
                <w:iCs/>
              </w:rPr>
              <w:t>Z.z</w:t>
            </w:r>
            <w:proofErr w:type="spellEnd"/>
            <w:r w:rsidRPr="00403154">
              <w:rPr>
                <w:iCs/>
              </w:rPr>
              <w:t>. o regionálnej investičnej pomoci</w:t>
            </w:r>
            <w:r w:rsidR="000F3810">
              <w:rPr>
                <w:iCs/>
              </w:rPr>
              <w:t>.</w:t>
            </w:r>
          </w:p>
        </w:tc>
      </w:tr>
    </w:tbl>
    <w:p w:rsidR="009F2DFA" w:rsidRPr="00F04CCD" w:rsidRDefault="009F2DFA" w:rsidP="009F2DFA"/>
    <w:p w:rsidR="009F2DFA" w:rsidRDefault="009F2DFA" w:rsidP="009F2DFA"/>
    <w:p w:rsidR="009F2DFA" w:rsidRDefault="009F2DFA" w:rsidP="009F2DFA"/>
    <w:p w:rsidR="009F2DFA" w:rsidRDefault="009F2DFA" w:rsidP="009F2DFA"/>
    <w:p w:rsidR="009F2DFA" w:rsidRDefault="009F2DFA" w:rsidP="009F2DFA"/>
    <w:p w:rsidR="009F2DFA" w:rsidRDefault="009F2DFA" w:rsidP="009F2DFA"/>
    <w:p w:rsidR="009F2DFA" w:rsidRDefault="009F2DFA" w:rsidP="009F2DFA"/>
    <w:p w:rsidR="009F2DFA" w:rsidRDefault="009F2DFA" w:rsidP="009F2DFA">
      <w:pPr>
        <w:rPr>
          <w:b/>
          <w:sz w:val="24"/>
        </w:rPr>
      </w:pPr>
    </w:p>
    <w:sectPr w:rsidR="009F2DF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F3F" w:rsidRDefault="00983F3F" w:rsidP="009F2DFA">
      <w:r>
        <w:separator/>
      </w:r>
    </w:p>
  </w:endnote>
  <w:endnote w:type="continuationSeparator" w:id="0">
    <w:p w:rsidR="00983F3F" w:rsidRDefault="00983F3F" w:rsidP="009F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07F" w:rsidRDefault="0081507F">
    <w:pPr>
      <w:pStyle w:val="Pta"/>
      <w:jc w:val="center"/>
    </w:pPr>
    <w:r>
      <w:fldChar w:fldCharType="begin"/>
    </w:r>
    <w:r>
      <w:instrText>PAGE   \* MERGEFORMAT</w:instrText>
    </w:r>
    <w:r>
      <w:fldChar w:fldCharType="separate"/>
    </w:r>
    <w:r w:rsidR="001D645B">
      <w:rPr>
        <w:noProof/>
      </w:rPr>
      <w:t>1</w:t>
    </w:r>
    <w:r>
      <w:fldChar w:fldCharType="end"/>
    </w:r>
  </w:p>
  <w:p w:rsidR="003B3199" w:rsidRDefault="003B319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F3F" w:rsidRDefault="00983F3F" w:rsidP="009F2DFA">
      <w:r>
        <w:separator/>
      </w:r>
    </w:p>
  </w:footnote>
  <w:footnote w:type="continuationSeparator" w:id="0">
    <w:p w:rsidR="00983F3F" w:rsidRDefault="00983F3F" w:rsidP="009F2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0D9"/>
    <w:multiLevelType w:val="hybridMultilevel"/>
    <w:tmpl w:val="BE7EA2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nsid w:val="105E1B05"/>
    <w:multiLevelType w:val="hybridMultilevel"/>
    <w:tmpl w:val="8A649484"/>
    <w:lvl w:ilvl="0" w:tplc="6C24FD36">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
    <w:nsid w:val="16B66859"/>
    <w:multiLevelType w:val="hybridMultilevel"/>
    <w:tmpl w:val="F4145CF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302D65B4"/>
    <w:multiLevelType w:val="hybridMultilevel"/>
    <w:tmpl w:val="05EEF73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nsid w:val="3A620081"/>
    <w:multiLevelType w:val="hybridMultilevel"/>
    <w:tmpl w:val="EFA415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nsid w:val="3B2702CF"/>
    <w:multiLevelType w:val="hybridMultilevel"/>
    <w:tmpl w:val="B87C199E"/>
    <w:lvl w:ilvl="0" w:tplc="E85A4956">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FD175FD"/>
    <w:multiLevelType w:val="hybridMultilevel"/>
    <w:tmpl w:val="44D0416A"/>
    <w:lvl w:ilvl="0" w:tplc="E718363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3D04292"/>
    <w:multiLevelType w:val="hybridMultilevel"/>
    <w:tmpl w:val="22768E5C"/>
    <w:lvl w:ilvl="0" w:tplc="028AC97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524C7B1F"/>
    <w:multiLevelType w:val="hybridMultilevel"/>
    <w:tmpl w:val="5D6C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EF4089"/>
    <w:multiLevelType w:val="multilevel"/>
    <w:tmpl w:val="1BCEF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5B0C2D03"/>
    <w:multiLevelType w:val="hybridMultilevel"/>
    <w:tmpl w:val="1EFC29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nsid w:val="5CCE19A5"/>
    <w:multiLevelType w:val="hybridMultilevel"/>
    <w:tmpl w:val="E66AFDB2"/>
    <w:lvl w:ilvl="0" w:tplc="E85A4956">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5E680BAD"/>
    <w:multiLevelType w:val="hybridMultilevel"/>
    <w:tmpl w:val="41D4CC1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5FE46C3F"/>
    <w:multiLevelType w:val="hybridMultilevel"/>
    <w:tmpl w:val="1C9C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833080"/>
    <w:multiLevelType w:val="hybridMultilevel"/>
    <w:tmpl w:val="E85A8616"/>
    <w:lvl w:ilvl="0" w:tplc="328A3888">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B7F06E0"/>
    <w:multiLevelType w:val="hybridMultilevel"/>
    <w:tmpl w:val="33EA1E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11"/>
  </w:num>
  <w:num w:numId="2">
    <w:abstractNumId w:val="5"/>
  </w:num>
  <w:num w:numId="3">
    <w:abstractNumId w:val="13"/>
  </w:num>
  <w:num w:numId="4">
    <w:abstractNumId w:val="12"/>
  </w:num>
  <w:num w:numId="5">
    <w:abstractNumId w:val="2"/>
  </w:num>
  <w:num w:numId="6">
    <w:abstractNumId w:val="8"/>
  </w:num>
  <w:num w:numId="7">
    <w:abstractNumId w:val="14"/>
  </w:num>
  <w:num w:numId="8">
    <w:abstractNumId w:val="3"/>
  </w:num>
  <w:num w:numId="9">
    <w:abstractNumId w:val="0"/>
  </w:num>
  <w:num w:numId="10">
    <w:abstractNumId w:val="15"/>
  </w:num>
  <w:num w:numId="11">
    <w:abstractNumId w:val="10"/>
  </w:num>
  <w:num w:numId="12">
    <w:abstractNumId w:val="4"/>
  </w:num>
  <w:num w:numId="13">
    <w:abstractNumId w:val="9"/>
  </w:num>
  <w:num w:numId="14">
    <w:abstractNumId w:val="6"/>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C13"/>
    <w:rsid w:val="00042C66"/>
    <w:rsid w:val="000D2622"/>
    <w:rsid w:val="000F3810"/>
    <w:rsid w:val="000F5E33"/>
    <w:rsid w:val="00136AC3"/>
    <w:rsid w:val="00154881"/>
    <w:rsid w:val="0017549B"/>
    <w:rsid w:val="00181727"/>
    <w:rsid w:val="00195E63"/>
    <w:rsid w:val="001C4510"/>
    <w:rsid w:val="001D645B"/>
    <w:rsid w:val="00271CE5"/>
    <w:rsid w:val="00286D48"/>
    <w:rsid w:val="00286E31"/>
    <w:rsid w:val="002A2E74"/>
    <w:rsid w:val="002B1108"/>
    <w:rsid w:val="002C3D25"/>
    <w:rsid w:val="002E67B2"/>
    <w:rsid w:val="00364C86"/>
    <w:rsid w:val="00391A08"/>
    <w:rsid w:val="003A7A9D"/>
    <w:rsid w:val="003B3199"/>
    <w:rsid w:val="003F1F12"/>
    <w:rsid w:val="00400287"/>
    <w:rsid w:val="00403154"/>
    <w:rsid w:val="00431E13"/>
    <w:rsid w:val="00440748"/>
    <w:rsid w:val="00493084"/>
    <w:rsid w:val="004B5784"/>
    <w:rsid w:val="004E3EEC"/>
    <w:rsid w:val="0052297F"/>
    <w:rsid w:val="00540D86"/>
    <w:rsid w:val="005A170E"/>
    <w:rsid w:val="00640F00"/>
    <w:rsid w:val="006E2502"/>
    <w:rsid w:val="006E433E"/>
    <w:rsid w:val="00722272"/>
    <w:rsid w:val="00727220"/>
    <w:rsid w:val="00780BA6"/>
    <w:rsid w:val="007A703E"/>
    <w:rsid w:val="0081507F"/>
    <w:rsid w:val="00837639"/>
    <w:rsid w:val="00841DBD"/>
    <w:rsid w:val="00850B40"/>
    <w:rsid w:val="008A1252"/>
    <w:rsid w:val="008A331A"/>
    <w:rsid w:val="008D3538"/>
    <w:rsid w:val="00904C9B"/>
    <w:rsid w:val="00912A5E"/>
    <w:rsid w:val="009435CA"/>
    <w:rsid w:val="00983F3F"/>
    <w:rsid w:val="009A4702"/>
    <w:rsid w:val="009C2381"/>
    <w:rsid w:val="009E28AF"/>
    <w:rsid w:val="009F2DFA"/>
    <w:rsid w:val="00A02823"/>
    <w:rsid w:val="00A06D8F"/>
    <w:rsid w:val="00A27191"/>
    <w:rsid w:val="00A27D52"/>
    <w:rsid w:val="00A4208C"/>
    <w:rsid w:val="00A71A55"/>
    <w:rsid w:val="00AC74DE"/>
    <w:rsid w:val="00B03CC0"/>
    <w:rsid w:val="00B06A4C"/>
    <w:rsid w:val="00B31A8E"/>
    <w:rsid w:val="00B40284"/>
    <w:rsid w:val="00B74AA0"/>
    <w:rsid w:val="00BA073A"/>
    <w:rsid w:val="00BF1BB8"/>
    <w:rsid w:val="00C3119C"/>
    <w:rsid w:val="00C3513C"/>
    <w:rsid w:val="00C451C0"/>
    <w:rsid w:val="00C64BA6"/>
    <w:rsid w:val="00CB3623"/>
    <w:rsid w:val="00CD0589"/>
    <w:rsid w:val="00CE42F8"/>
    <w:rsid w:val="00CF1EC4"/>
    <w:rsid w:val="00CF6468"/>
    <w:rsid w:val="00CF7885"/>
    <w:rsid w:val="00D02BA8"/>
    <w:rsid w:val="00D55682"/>
    <w:rsid w:val="00D60545"/>
    <w:rsid w:val="00D71A4F"/>
    <w:rsid w:val="00DB16A8"/>
    <w:rsid w:val="00DB4245"/>
    <w:rsid w:val="00DF1642"/>
    <w:rsid w:val="00E23A2D"/>
    <w:rsid w:val="00E24B96"/>
    <w:rsid w:val="00E6790D"/>
    <w:rsid w:val="00E86AD1"/>
    <w:rsid w:val="00EA0ED8"/>
    <w:rsid w:val="00EA44C8"/>
    <w:rsid w:val="00EB4639"/>
    <w:rsid w:val="00EE743B"/>
    <w:rsid w:val="00F04CCD"/>
    <w:rsid w:val="00F07CDA"/>
    <w:rsid w:val="00F16F23"/>
    <w:rsid w:val="00F213D0"/>
    <w:rsid w:val="00F36CD4"/>
    <w:rsid w:val="00F41620"/>
    <w:rsid w:val="00F74E9C"/>
    <w:rsid w:val="00FA422F"/>
    <w:rsid w:val="00FA6344"/>
    <w:rsid w:val="00FB02B3"/>
    <w:rsid w:val="00FB5C13"/>
    <w:rsid w:val="00FF1E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2DFA"/>
    <w:pPr>
      <w:spacing w:after="0" w:line="240" w:lineRule="auto"/>
    </w:pPr>
    <w:rPr>
      <w:rFonts w:ascii="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F2DF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F2DFA"/>
    <w:pPr>
      <w:spacing w:after="200" w:line="276" w:lineRule="auto"/>
      <w:ind w:left="720"/>
      <w:contextualSpacing/>
    </w:pPr>
    <w:rPr>
      <w:rFonts w:asciiTheme="minorHAnsi" w:hAnsiTheme="minorHAnsi"/>
      <w:sz w:val="22"/>
      <w:szCs w:val="22"/>
      <w:lang w:eastAsia="en-US"/>
    </w:rPr>
  </w:style>
  <w:style w:type="paragraph" w:customStyle="1" w:styleId="BodyText1">
    <w:name w:val="Body Text1"/>
    <w:qFormat/>
    <w:rsid w:val="009F2DFA"/>
    <w:pPr>
      <w:spacing w:after="120" w:line="240" w:lineRule="auto"/>
    </w:pPr>
    <w:rPr>
      <w:rFonts w:ascii="Arial" w:hAnsi="Arial" w:cs="Times New Roman"/>
      <w:color w:val="000000"/>
      <w:sz w:val="19"/>
      <w:szCs w:val="48"/>
    </w:rPr>
  </w:style>
  <w:style w:type="paragraph" w:styleId="Normlnywebov">
    <w:name w:val="Normal (Web)"/>
    <w:basedOn w:val="Normlny"/>
    <w:uiPriority w:val="99"/>
    <w:unhideWhenUsed/>
    <w:rsid w:val="009F2DFA"/>
    <w:pPr>
      <w:spacing w:before="100" w:beforeAutospacing="1" w:after="100" w:afterAutospacing="1"/>
    </w:pPr>
    <w:rPr>
      <w:rFonts w:eastAsiaTheme="minorEastAsia"/>
      <w:sz w:val="24"/>
      <w:szCs w:val="24"/>
      <w:lang w:val="en-US" w:eastAsia="en-US"/>
    </w:rPr>
  </w:style>
  <w:style w:type="paragraph" w:customStyle="1" w:styleId="Deloittebodytext">
    <w:name w:val="Deloitte body text"/>
    <w:qFormat/>
    <w:rsid w:val="009F2DFA"/>
    <w:pPr>
      <w:spacing w:after="240" w:line="280" w:lineRule="exact"/>
      <w:jc w:val="both"/>
    </w:pPr>
    <w:rPr>
      <w:rFonts w:ascii="Arial" w:hAnsi="Arial" w:cs="Times New Roman"/>
      <w:color w:val="000000"/>
      <w:szCs w:val="48"/>
    </w:rPr>
  </w:style>
  <w:style w:type="paragraph" w:customStyle="1" w:styleId="TableColumnheader">
    <w:name w:val="Table Column header"/>
    <w:basedOn w:val="Normlny"/>
    <w:rsid w:val="009F2DFA"/>
    <w:pPr>
      <w:spacing w:before="80" w:after="80"/>
    </w:pPr>
    <w:rPr>
      <w:rFonts w:ascii="Arial" w:hAnsi="Arial"/>
      <w:b/>
      <w:noProof/>
      <w:color w:val="FFFFFF"/>
      <w:sz w:val="18"/>
      <w:szCs w:val="24"/>
      <w:lang w:val="en-US" w:eastAsia="en-US"/>
    </w:rPr>
  </w:style>
  <w:style w:type="paragraph" w:styleId="Textbubliny">
    <w:name w:val="Balloon Text"/>
    <w:basedOn w:val="Normlny"/>
    <w:link w:val="TextbublinyChar"/>
    <w:uiPriority w:val="99"/>
    <w:semiHidden/>
    <w:unhideWhenUsed/>
    <w:rsid w:val="009F2DFA"/>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9F2DFA"/>
    <w:rPr>
      <w:rFonts w:ascii="Tahoma" w:hAnsi="Tahoma" w:cs="Tahoma"/>
      <w:sz w:val="16"/>
      <w:szCs w:val="16"/>
      <w:lang w:val="x-none" w:eastAsia="sk-SK"/>
    </w:rPr>
  </w:style>
  <w:style w:type="paragraph" w:styleId="Hlavika">
    <w:name w:val="header"/>
    <w:basedOn w:val="Normlny"/>
    <w:link w:val="HlavikaChar"/>
    <w:uiPriority w:val="99"/>
    <w:unhideWhenUsed/>
    <w:rsid w:val="009F2DFA"/>
    <w:pPr>
      <w:tabs>
        <w:tab w:val="center" w:pos="4536"/>
        <w:tab w:val="right" w:pos="9072"/>
      </w:tabs>
    </w:pPr>
  </w:style>
  <w:style w:type="character" w:customStyle="1" w:styleId="HlavikaChar">
    <w:name w:val="Hlavička Char"/>
    <w:basedOn w:val="Predvolenpsmoodseku"/>
    <w:link w:val="Hlavika"/>
    <w:uiPriority w:val="99"/>
    <w:locked/>
    <w:rsid w:val="009F2DFA"/>
    <w:rPr>
      <w:rFonts w:ascii="Times New Roman" w:hAnsi="Times New Roman" w:cs="Times New Roman"/>
      <w:sz w:val="20"/>
      <w:szCs w:val="20"/>
      <w:lang w:val="x-none" w:eastAsia="sk-SK"/>
    </w:rPr>
  </w:style>
  <w:style w:type="paragraph" w:styleId="Pta">
    <w:name w:val="footer"/>
    <w:basedOn w:val="Normlny"/>
    <w:link w:val="PtaChar"/>
    <w:uiPriority w:val="99"/>
    <w:unhideWhenUsed/>
    <w:rsid w:val="009F2DFA"/>
    <w:pPr>
      <w:tabs>
        <w:tab w:val="center" w:pos="4536"/>
        <w:tab w:val="right" w:pos="9072"/>
      </w:tabs>
    </w:pPr>
  </w:style>
  <w:style w:type="character" w:customStyle="1" w:styleId="PtaChar">
    <w:name w:val="Päta Char"/>
    <w:basedOn w:val="Predvolenpsmoodseku"/>
    <w:link w:val="Pta"/>
    <w:uiPriority w:val="99"/>
    <w:locked/>
    <w:rsid w:val="009F2DFA"/>
    <w:rPr>
      <w:rFonts w:ascii="Times New Roman" w:hAnsi="Times New Roman" w:cs="Times New Roman"/>
      <w:sz w:val="20"/>
      <w:szCs w:val="20"/>
      <w:lang w:val="x-none" w:eastAsia="sk-SK"/>
    </w:rPr>
  </w:style>
  <w:style w:type="paragraph" w:customStyle="1" w:styleId="Default">
    <w:name w:val="Default"/>
    <w:rsid w:val="003B3199"/>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F36CD4"/>
    <w:rPr>
      <w:rFonts w:cs="Times New Roman"/>
      <w:color w:val="0000FF"/>
      <w:u w:val="single"/>
    </w:rPr>
  </w:style>
  <w:style w:type="character" w:styleId="Textzstupnhosymbolu">
    <w:name w:val="Placeholder Text"/>
    <w:basedOn w:val="Predvolenpsmoodseku"/>
    <w:uiPriority w:val="99"/>
    <w:semiHidden/>
    <w:rsid w:val="00F16F23"/>
    <w:rPr>
      <w:rFonts w:ascii="Times New Roman" w:hAnsi="Times New Roman" w:cs="Times New Roman"/>
      <w:color w:val="808080"/>
    </w:rPr>
  </w:style>
  <w:style w:type="character" w:styleId="Zvraznenie">
    <w:name w:val="Emphasis"/>
    <w:basedOn w:val="Predvolenpsmoodseku"/>
    <w:uiPriority w:val="20"/>
    <w:qFormat/>
    <w:rsid w:val="0017549B"/>
    <w:rPr>
      <w:rFonts w:cs="Times New Roman"/>
      <w:b/>
      <w:bCs/>
    </w:rPr>
  </w:style>
  <w:style w:type="character" w:customStyle="1" w:styleId="st1">
    <w:name w:val="st1"/>
    <w:basedOn w:val="Predvolenpsmoodseku"/>
    <w:rsid w:val="0017549B"/>
    <w:rPr>
      <w:rFonts w:cs="Times New Roman"/>
    </w:rPr>
  </w:style>
  <w:style w:type="character" w:styleId="Odkaznakomentr">
    <w:name w:val="annotation reference"/>
    <w:basedOn w:val="Predvolenpsmoodseku"/>
    <w:uiPriority w:val="99"/>
    <w:semiHidden/>
    <w:unhideWhenUsed/>
    <w:rsid w:val="00FF1EE2"/>
    <w:rPr>
      <w:rFonts w:cs="Times New Roman"/>
      <w:sz w:val="16"/>
      <w:szCs w:val="16"/>
    </w:rPr>
  </w:style>
  <w:style w:type="paragraph" w:styleId="Textkomentra">
    <w:name w:val="annotation text"/>
    <w:basedOn w:val="Normlny"/>
    <w:link w:val="TextkomentraChar"/>
    <w:uiPriority w:val="99"/>
    <w:semiHidden/>
    <w:unhideWhenUsed/>
    <w:rsid w:val="00FF1EE2"/>
  </w:style>
  <w:style w:type="character" w:customStyle="1" w:styleId="TextkomentraChar">
    <w:name w:val="Text komentára Char"/>
    <w:basedOn w:val="Predvolenpsmoodseku"/>
    <w:link w:val="Textkomentra"/>
    <w:uiPriority w:val="99"/>
    <w:semiHidden/>
    <w:locked/>
    <w:rsid w:val="00FF1EE2"/>
    <w:rPr>
      <w:rFonts w:ascii="Times New Roman" w:hAnsi="Times New Roman" w:cs="Times New Roman"/>
      <w:sz w:val="20"/>
      <w:szCs w:val="20"/>
      <w:lang w:val="x-none" w:eastAsia="sk-SK"/>
    </w:rPr>
  </w:style>
  <w:style w:type="paragraph" w:styleId="Predmetkomentra">
    <w:name w:val="annotation subject"/>
    <w:basedOn w:val="Textkomentra"/>
    <w:next w:val="Textkomentra"/>
    <w:link w:val="PredmetkomentraChar"/>
    <w:uiPriority w:val="99"/>
    <w:semiHidden/>
    <w:unhideWhenUsed/>
    <w:rsid w:val="00FF1EE2"/>
    <w:rPr>
      <w:b/>
      <w:bCs/>
    </w:rPr>
  </w:style>
  <w:style w:type="character" w:customStyle="1" w:styleId="PredmetkomentraChar">
    <w:name w:val="Predmet komentára Char"/>
    <w:basedOn w:val="TextkomentraChar"/>
    <w:link w:val="Predmetkomentra"/>
    <w:uiPriority w:val="99"/>
    <w:semiHidden/>
    <w:locked/>
    <w:rsid w:val="00FF1EE2"/>
    <w:rPr>
      <w:rFonts w:ascii="Times New Roman" w:hAnsi="Times New Roman" w:cs="Times New Roman"/>
      <w:b/>
      <w:bCs/>
      <w:sz w:val="20"/>
      <w:szCs w:val="20"/>
      <w:lang w:val="x-none"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2DFA"/>
    <w:pPr>
      <w:spacing w:after="0" w:line="240" w:lineRule="auto"/>
    </w:pPr>
    <w:rPr>
      <w:rFonts w:ascii="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F2DF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F2DFA"/>
    <w:pPr>
      <w:spacing w:after="200" w:line="276" w:lineRule="auto"/>
      <w:ind w:left="720"/>
      <w:contextualSpacing/>
    </w:pPr>
    <w:rPr>
      <w:rFonts w:asciiTheme="minorHAnsi" w:hAnsiTheme="minorHAnsi"/>
      <w:sz w:val="22"/>
      <w:szCs w:val="22"/>
      <w:lang w:eastAsia="en-US"/>
    </w:rPr>
  </w:style>
  <w:style w:type="paragraph" w:customStyle="1" w:styleId="BodyText1">
    <w:name w:val="Body Text1"/>
    <w:qFormat/>
    <w:rsid w:val="009F2DFA"/>
    <w:pPr>
      <w:spacing w:after="120" w:line="240" w:lineRule="auto"/>
    </w:pPr>
    <w:rPr>
      <w:rFonts w:ascii="Arial" w:hAnsi="Arial" w:cs="Times New Roman"/>
      <w:color w:val="000000"/>
      <w:sz w:val="19"/>
      <w:szCs w:val="48"/>
    </w:rPr>
  </w:style>
  <w:style w:type="paragraph" w:styleId="Normlnywebov">
    <w:name w:val="Normal (Web)"/>
    <w:basedOn w:val="Normlny"/>
    <w:uiPriority w:val="99"/>
    <w:unhideWhenUsed/>
    <w:rsid w:val="009F2DFA"/>
    <w:pPr>
      <w:spacing w:before="100" w:beforeAutospacing="1" w:after="100" w:afterAutospacing="1"/>
    </w:pPr>
    <w:rPr>
      <w:rFonts w:eastAsiaTheme="minorEastAsia"/>
      <w:sz w:val="24"/>
      <w:szCs w:val="24"/>
      <w:lang w:val="en-US" w:eastAsia="en-US"/>
    </w:rPr>
  </w:style>
  <w:style w:type="paragraph" w:customStyle="1" w:styleId="Deloittebodytext">
    <w:name w:val="Deloitte body text"/>
    <w:qFormat/>
    <w:rsid w:val="009F2DFA"/>
    <w:pPr>
      <w:spacing w:after="240" w:line="280" w:lineRule="exact"/>
      <w:jc w:val="both"/>
    </w:pPr>
    <w:rPr>
      <w:rFonts w:ascii="Arial" w:hAnsi="Arial" w:cs="Times New Roman"/>
      <w:color w:val="000000"/>
      <w:szCs w:val="48"/>
    </w:rPr>
  </w:style>
  <w:style w:type="paragraph" w:customStyle="1" w:styleId="TableColumnheader">
    <w:name w:val="Table Column header"/>
    <w:basedOn w:val="Normlny"/>
    <w:rsid w:val="009F2DFA"/>
    <w:pPr>
      <w:spacing w:before="80" w:after="80"/>
    </w:pPr>
    <w:rPr>
      <w:rFonts w:ascii="Arial" w:hAnsi="Arial"/>
      <w:b/>
      <w:noProof/>
      <w:color w:val="FFFFFF"/>
      <w:sz w:val="18"/>
      <w:szCs w:val="24"/>
      <w:lang w:val="en-US" w:eastAsia="en-US"/>
    </w:rPr>
  </w:style>
  <w:style w:type="paragraph" w:styleId="Textbubliny">
    <w:name w:val="Balloon Text"/>
    <w:basedOn w:val="Normlny"/>
    <w:link w:val="TextbublinyChar"/>
    <w:uiPriority w:val="99"/>
    <w:semiHidden/>
    <w:unhideWhenUsed/>
    <w:rsid w:val="009F2DFA"/>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9F2DFA"/>
    <w:rPr>
      <w:rFonts w:ascii="Tahoma" w:hAnsi="Tahoma" w:cs="Tahoma"/>
      <w:sz w:val="16"/>
      <w:szCs w:val="16"/>
      <w:lang w:val="x-none" w:eastAsia="sk-SK"/>
    </w:rPr>
  </w:style>
  <w:style w:type="paragraph" w:styleId="Hlavika">
    <w:name w:val="header"/>
    <w:basedOn w:val="Normlny"/>
    <w:link w:val="HlavikaChar"/>
    <w:uiPriority w:val="99"/>
    <w:unhideWhenUsed/>
    <w:rsid w:val="009F2DFA"/>
    <w:pPr>
      <w:tabs>
        <w:tab w:val="center" w:pos="4536"/>
        <w:tab w:val="right" w:pos="9072"/>
      </w:tabs>
    </w:pPr>
  </w:style>
  <w:style w:type="character" w:customStyle="1" w:styleId="HlavikaChar">
    <w:name w:val="Hlavička Char"/>
    <w:basedOn w:val="Predvolenpsmoodseku"/>
    <w:link w:val="Hlavika"/>
    <w:uiPriority w:val="99"/>
    <w:locked/>
    <w:rsid w:val="009F2DFA"/>
    <w:rPr>
      <w:rFonts w:ascii="Times New Roman" w:hAnsi="Times New Roman" w:cs="Times New Roman"/>
      <w:sz w:val="20"/>
      <w:szCs w:val="20"/>
      <w:lang w:val="x-none" w:eastAsia="sk-SK"/>
    </w:rPr>
  </w:style>
  <w:style w:type="paragraph" w:styleId="Pta">
    <w:name w:val="footer"/>
    <w:basedOn w:val="Normlny"/>
    <w:link w:val="PtaChar"/>
    <w:uiPriority w:val="99"/>
    <w:unhideWhenUsed/>
    <w:rsid w:val="009F2DFA"/>
    <w:pPr>
      <w:tabs>
        <w:tab w:val="center" w:pos="4536"/>
        <w:tab w:val="right" w:pos="9072"/>
      </w:tabs>
    </w:pPr>
  </w:style>
  <w:style w:type="character" w:customStyle="1" w:styleId="PtaChar">
    <w:name w:val="Päta Char"/>
    <w:basedOn w:val="Predvolenpsmoodseku"/>
    <w:link w:val="Pta"/>
    <w:uiPriority w:val="99"/>
    <w:locked/>
    <w:rsid w:val="009F2DFA"/>
    <w:rPr>
      <w:rFonts w:ascii="Times New Roman" w:hAnsi="Times New Roman" w:cs="Times New Roman"/>
      <w:sz w:val="20"/>
      <w:szCs w:val="20"/>
      <w:lang w:val="x-none" w:eastAsia="sk-SK"/>
    </w:rPr>
  </w:style>
  <w:style w:type="paragraph" w:customStyle="1" w:styleId="Default">
    <w:name w:val="Default"/>
    <w:rsid w:val="003B3199"/>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F36CD4"/>
    <w:rPr>
      <w:rFonts w:cs="Times New Roman"/>
      <w:color w:val="0000FF"/>
      <w:u w:val="single"/>
    </w:rPr>
  </w:style>
  <w:style w:type="character" w:styleId="Textzstupnhosymbolu">
    <w:name w:val="Placeholder Text"/>
    <w:basedOn w:val="Predvolenpsmoodseku"/>
    <w:uiPriority w:val="99"/>
    <w:semiHidden/>
    <w:rsid w:val="00F16F23"/>
    <w:rPr>
      <w:rFonts w:ascii="Times New Roman" w:hAnsi="Times New Roman" w:cs="Times New Roman"/>
      <w:color w:val="808080"/>
    </w:rPr>
  </w:style>
  <w:style w:type="character" w:styleId="Zvraznenie">
    <w:name w:val="Emphasis"/>
    <w:basedOn w:val="Predvolenpsmoodseku"/>
    <w:uiPriority w:val="20"/>
    <w:qFormat/>
    <w:rsid w:val="0017549B"/>
    <w:rPr>
      <w:rFonts w:cs="Times New Roman"/>
      <w:b/>
      <w:bCs/>
    </w:rPr>
  </w:style>
  <w:style w:type="character" w:customStyle="1" w:styleId="st1">
    <w:name w:val="st1"/>
    <w:basedOn w:val="Predvolenpsmoodseku"/>
    <w:rsid w:val="0017549B"/>
    <w:rPr>
      <w:rFonts w:cs="Times New Roman"/>
    </w:rPr>
  </w:style>
  <w:style w:type="character" w:styleId="Odkaznakomentr">
    <w:name w:val="annotation reference"/>
    <w:basedOn w:val="Predvolenpsmoodseku"/>
    <w:uiPriority w:val="99"/>
    <w:semiHidden/>
    <w:unhideWhenUsed/>
    <w:rsid w:val="00FF1EE2"/>
    <w:rPr>
      <w:rFonts w:cs="Times New Roman"/>
      <w:sz w:val="16"/>
      <w:szCs w:val="16"/>
    </w:rPr>
  </w:style>
  <w:style w:type="paragraph" w:styleId="Textkomentra">
    <w:name w:val="annotation text"/>
    <w:basedOn w:val="Normlny"/>
    <w:link w:val="TextkomentraChar"/>
    <w:uiPriority w:val="99"/>
    <w:semiHidden/>
    <w:unhideWhenUsed/>
    <w:rsid w:val="00FF1EE2"/>
  </w:style>
  <w:style w:type="character" w:customStyle="1" w:styleId="TextkomentraChar">
    <w:name w:val="Text komentára Char"/>
    <w:basedOn w:val="Predvolenpsmoodseku"/>
    <w:link w:val="Textkomentra"/>
    <w:uiPriority w:val="99"/>
    <w:semiHidden/>
    <w:locked/>
    <w:rsid w:val="00FF1EE2"/>
    <w:rPr>
      <w:rFonts w:ascii="Times New Roman" w:hAnsi="Times New Roman" w:cs="Times New Roman"/>
      <w:sz w:val="20"/>
      <w:szCs w:val="20"/>
      <w:lang w:val="x-none" w:eastAsia="sk-SK"/>
    </w:rPr>
  </w:style>
  <w:style w:type="paragraph" w:styleId="Predmetkomentra">
    <w:name w:val="annotation subject"/>
    <w:basedOn w:val="Textkomentra"/>
    <w:next w:val="Textkomentra"/>
    <w:link w:val="PredmetkomentraChar"/>
    <w:uiPriority w:val="99"/>
    <w:semiHidden/>
    <w:unhideWhenUsed/>
    <w:rsid w:val="00FF1EE2"/>
    <w:rPr>
      <w:b/>
      <w:bCs/>
    </w:rPr>
  </w:style>
  <w:style w:type="character" w:customStyle="1" w:styleId="PredmetkomentraChar">
    <w:name w:val="Predmet komentára Char"/>
    <w:basedOn w:val="TextkomentraChar"/>
    <w:link w:val="Predmetkomentra"/>
    <w:uiPriority w:val="99"/>
    <w:semiHidden/>
    <w:locked/>
    <w:rsid w:val="00FF1EE2"/>
    <w:rPr>
      <w:rFonts w:ascii="Times New Roman" w:hAnsi="Times New Roman" w:cs="Times New Roman"/>
      <w:b/>
      <w:bCs/>
      <w:sz w:val="20"/>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569569">
      <w:marLeft w:val="0"/>
      <w:marRight w:val="0"/>
      <w:marTop w:val="0"/>
      <w:marBottom w:val="0"/>
      <w:divBdr>
        <w:top w:val="none" w:sz="0" w:space="0" w:color="auto"/>
        <w:left w:val="none" w:sz="0" w:space="0" w:color="auto"/>
        <w:bottom w:val="none" w:sz="0" w:space="0" w:color="auto"/>
        <w:right w:val="none" w:sz="0" w:space="0" w:color="auto"/>
      </w:divBdr>
    </w:div>
    <w:div w:id="1065569578">
      <w:marLeft w:val="0"/>
      <w:marRight w:val="0"/>
      <w:marTop w:val="0"/>
      <w:marBottom w:val="0"/>
      <w:divBdr>
        <w:top w:val="none" w:sz="0" w:space="0" w:color="auto"/>
        <w:left w:val="none" w:sz="0" w:space="0" w:color="auto"/>
        <w:bottom w:val="none" w:sz="0" w:space="0" w:color="auto"/>
        <w:right w:val="none" w:sz="0" w:space="0" w:color="auto"/>
      </w:divBdr>
      <w:divsChild>
        <w:div w:id="1065569584">
          <w:marLeft w:val="0"/>
          <w:marRight w:val="0"/>
          <w:marTop w:val="0"/>
          <w:marBottom w:val="0"/>
          <w:divBdr>
            <w:top w:val="none" w:sz="0" w:space="0" w:color="auto"/>
            <w:left w:val="none" w:sz="0" w:space="0" w:color="auto"/>
            <w:bottom w:val="none" w:sz="0" w:space="0" w:color="auto"/>
            <w:right w:val="none" w:sz="0" w:space="0" w:color="auto"/>
          </w:divBdr>
          <w:divsChild>
            <w:div w:id="1065569577">
              <w:marLeft w:val="0"/>
              <w:marRight w:val="0"/>
              <w:marTop w:val="0"/>
              <w:marBottom w:val="0"/>
              <w:divBdr>
                <w:top w:val="none" w:sz="0" w:space="0" w:color="auto"/>
                <w:left w:val="none" w:sz="0" w:space="0" w:color="auto"/>
                <w:bottom w:val="none" w:sz="0" w:space="0" w:color="auto"/>
                <w:right w:val="none" w:sz="0" w:space="0" w:color="auto"/>
              </w:divBdr>
              <w:divsChild>
                <w:div w:id="1065569572">
                  <w:marLeft w:val="0"/>
                  <w:marRight w:val="0"/>
                  <w:marTop w:val="0"/>
                  <w:marBottom w:val="0"/>
                  <w:divBdr>
                    <w:top w:val="none" w:sz="0" w:space="0" w:color="auto"/>
                    <w:left w:val="none" w:sz="0" w:space="0" w:color="auto"/>
                    <w:bottom w:val="none" w:sz="0" w:space="0" w:color="auto"/>
                    <w:right w:val="none" w:sz="0" w:space="0" w:color="auto"/>
                  </w:divBdr>
                  <w:divsChild>
                    <w:div w:id="1065569581">
                      <w:marLeft w:val="0"/>
                      <w:marRight w:val="0"/>
                      <w:marTop w:val="45"/>
                      <w:marBottom w:val="0"/>
                      <w:divBdr>
                        <w:top w:val="none" w:sz="0" w:space="0" w:color="auto"/>
                        <w:left w:val="none" w:sz="0" w:space="0" w:color="auto"/>
                        <w:bottom w:val="none" w:sz="0" w:space="0" w:color="auto"/>
                        <w:right w:val="none" w:sz="0" w:space="0" w:color="auto"/>
                      </w:divBdr>
                      <w:divsChild>
                        <w:div w:id="1065569580">
                          <w:marLeft w:val="0"/>
                          <w:marRight w:val="0"/>
                          <w:marTop w:val="0"/>
                          <w:marBottom w:val="0"/>
                          <w:divBdr>
                            <w:top w:val="none" w:sz="0" w:space="0" w:color="auto"/>
                            <w:left w:val="none" w:sz="0" w:space="0" w:color="auto"/>
                            <w:bottom w:val="none" w:sz="0" w:space="0" w:color="auto"/>
                            <w:right w:val="none" w:sz="0" w:space="0" w:color="auto"/>
                          </w:divBdr>
                          <w:divsChild>
                            <w:div w:id="1065569568">
                              <w:marLeft w:val="2070"/>
                              <w:marRight w:val="3960"/>
                              <w:marTop w:val="0"/>
                              <w:marBottom w:val="0"/>
                              <w:divBdr>
                                <w:top w:val="none" w:sz="0" w:space="0" w:color="auto"/>
                                <w:left w:val="none" w:sz="0" w:space="0" w:color="auto"/>
                                <w:bottom w:val="none" w:sz="0" w:space="0" w:color="auto"/>
                                <w:right w:val="none" w:sz="0" w:space="0" w:color="auto"/>
                              </w:divBdr>
                              <w:divsChild>
                                <w:div w:id="1065569576">
                                  <w:marLeft w:val="0"/>
                                  <w:marRight w:val="0"/>
                                  <w:marTop w:val="0"/>
                                  <w:marBottom w:val="0"/>
                                  <w:divBdr>
                                    <w:top w:val="none" w:sz="0" w:space="0" w:color="auto"/>
                                    <w:left w:val="none" w:sz="0" w:space="0" w:color="auto"/>
                                    <w:bottom w:val="none" w:sz="0" w:space="0" w:color="auto"/>
                                    <w:right w:val="none" w:sz="0" w:space="0" w:color="auto"/>
                                  </w:divBdr>
                                  <w:divsChild>
                                    <w:div w:id="1065569579">
                                      <w:marLeft w:val="0"/>
                                      <w:marRight w:val="0"/>
                                      <w:marTop w:val="0"/>
                                      <w:marBottom w:val="0"/>
                                      <w:divBdr>
                                        <w:top w:val="none" w:sz="0" w:space="0" w:color="auto"/>
                                        <w:left w:val="none" w:sz="0" w:space="0" w:color="auto"/>
                                        <w:bottom w:val="none" w:sz="0" w:space="0" w:color="auto"/>
                                        <w:right w:val="none" w:sz="0" w:space="0" w:color="auto"/>
                                      </w:divBdr>
                                      <w:divsChild>
                                        <w:div w:id="1065569573">
                                          <w:marLeft w:val="0"/>
                                          <w:marRight w:val="0"/>
                                          <w:marTop w:val="0"/>
                                          <w:marBottom w:val="0"/>
                                          <w:divBdr>
                                            <w:top w:val="none" w:sz="0" w:space="0" w:color="auto"/>
                                            <w:left w:val="none" w:sz="0" w:space="0" w:color="auto"/>
                                            <w:bottom w:val="none" w:sz="0" w:space="0" w:color="auto"/>
                                            <w:right w:val="none" w:sz="0" w:space="0" w:color="auto"/>
                                          </w:divBdr>
                                          <w:divsChild>
                                            <w:div w:id="1065569574">
                                              <w:marLeft w:val="0"/>
                                              <w:marRight w:val="0"/>
                                              <w:marTop w:val="90"/>
                                              <w:marBottom w:val="0"/>
                                              <w:divBdr>
                                                <w:top w:val="none" w:sz="0" w:space="0" w:color="auto"/>
                                                <w:left w:val="none" w:sz="0" w:space="0" w:color="auto"/>
                                                <w:bottom w:val="none" w:sz="0" w:space="0" w:color="auto"/>
                                                <w:right w:val="none" w:sz="0" w:space="0" w:color="auto"/>
                                              </w:divBdr>
                                              <w:divsChild>
                                                <w:div w:id="1065569583">
                                                  <w:marLeft w:val="0"/>
                                                  <w:marRight w:val="0"/>
                                                  <w:marTop w:val="0"/>
                                                  <w:marBottom w:val="0"/>
                                                  <w:divBdr>
                                                    <w:top w:val="none" w:sz="0" w:space="0" w:color="auto"/>
                                                    <w:left w:val="none" w:sz="0" w:space="0" w:color="auto"/>
                                                    <w:bottom w:val="none" w:sz="0" w:space="0" w:color="auto"/>
                                                    <w:right w:val="none" w:sz="0" w:space="0" w:color="auto"/>
                                                  </w:divBdr>
                                                  <w:divsChild>
                                                    <w:div w:id="1065569571">
                                                      <w:marLeft w:val="0"/>
                                                      <w:marRight w:val="0"/>
                                                      <w:marTop w:val="0"/>
                                                      <w:marBottom w:val="0"/>
                                                      <w:divBdr>
                                                        <w:top w:val="none" w:sz="0" w:space="0" w:color="auto"/>
                                                        <w:left w:val="none" w:sz="0" w:space="0" w:color="auto"/>
                                                        <w:bottom w:val="none" w:sz="0" w:space="0" w:color="auto"/>
                                                        <w:right w:val="none" w:sz="0" w:space="0" w:color="auto"/>
                                                      </w:divBdr>
                                                      <w:divsChild>
                                                        <w:div w:id="1065569582">
                                                          <w:marLeft w:val="0"/>
                                                          <w:marRight w:val="0"/>
                                                          <w:marTop w:val="0"/>
                                                          <w:marBottom w:val="390"/>
                                                          <w:divBdr>
                                                            <w:top w:val="none" w:sz="0" w:space="0" w:color="auto"/>
                                                            <w:left w:val="none" w:sz="0" w:space="0" w:color="auto"/>
                                                            <w:bottom w:val="none" w:sz="0" w:space="0" w:color="auto"/>
                                                            <w:right w:val="none" w:sz="0" w:space="0" w:color="auto"/>
                                                          </w:divBdr>
                                                          <w:divsChild>
                                                            <w:div w:id="1065569575">
                                                              <w:marLeft w:val="0"/>
                                                              <w:marRight w:val="0"/>
                                                              <w:marTop w:val="0"/>
                                                              <w:marBottom w:val="0"/>
                                                              <w:divBdr>
                                                                <w:top w:val="none" w:sz="0" w:space="0" w:color="auto"/>
                                                                <w:left w:val="none" w:sz="0" w:space="0" w:color="auto"/>
                                                                <w:bottom w:val="none" w:sz="0" w:space="0" w:color="auto"/>
                                                                <w:right w:val="none" w:sz="0" w:space="0" w:color="auto"/>
                                                              </w:divBdr>
                                                              <w:divsChild>
                                                                <w:div w:id="1065569570">
                                                                  <w:marLeft w:val="0"/>
                                                                  <w:marRight w:val="0"/>
                                                                  <w:marTop w:val="0"/>
                                                                  <w:marBottom w:val="0"/>
                                                                  <w:divBdr>
                                                                    <w:top w:val="none" w:sz="0" w:space="0" w:color="auto"/>
                                                                    <w:left w:val="none" w:sz="0" w:space="0" w:color="auto"/>
                                                                    <w:bottom w:val="none" w:sz="0" w:space="0" w:color="auto"/>
                                                                    <w:right w:val="none" w:sz="0" w:space="0" w:color="auto"/>
                                                                  </w:divBdr>
                                                                  <w:divsChild>
                                                                    <w:div w:id="1065569567">
                                                                      <w:marLeft w:val="0"/>
                                                                      <w:marRight w:val="0"/>
                                                                      <w:marTop w:val="0"/>
                                                                      <w:marBottom w:val="0"/>
                                                                      <w:divBdr>
                                                                        <w:top w:val="none" w:sz="0" w:space="0" w:color="auto"/>
                                                                        <w:left w:val="none" w:sz="0" w:space="0" w:color="auto"/>
                                                                        <w:bottom w:val="none" w:sz="0" w:space="0" w:color="auto"/>
                                                                        <w:right w:val="none" w:sz="0" w:space="0" w:color="auto"/>
                                                                      </w:divBdr>
                                                                      <w:divsChild>
                                                                        <w:div w:id="106556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5569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zz.s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stp.sk/" TargetMode="External"/><Relationship Id="rId5" Type="http://schemas.openxmlformats.org/officeDocument/2006/relationships/webSettings" Target="webSettings.xml"/><Relationship Id="rId10" Type="http://schemas.openxmlformats.org/officeDocument/2006/relationships/hyperlink" Target="http://istp.sk/registracia.php" TargetMode="External"/><Relationship Id="rId4" Type="http://schemas.openxmlformats.org/officeDocument/2006/relationships/settings" Target="settings.xml"/><Relationship Id="rId9" Type="http://schemas.openxmlformats.org/officeDocument/2006/relationships/hyperlink" Target="http://www.istp.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1464</Words>
  <Characters>8348</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Barnova Ludmila</cp:lastModifiedBy>
  <cp:revision>4</cp:revision>
  <cp:lastPrinted>2018-11-20T11:52:00Z</cp:lastPrinted>
  <dcterms:created xsi:type="dcterms:W3CDTF">2018-11-20T11:52:00Z</dcterms:created>
  <dcterms:modified xsi:type="dcterms:W3CDTF">2018-11-20T11:53:00Z</dcterms:modified>
</cp:coreProperties>
</file>