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25" w:rsidRDefault="00992725" w:rsidP="00992725">
      <w:pPr>
        <w:jc w:val="center"/>
        <w:rPr>
          <w:rFonts w:ascii="Times New Roman" w:hAnsi="Times New Roman"/>
          <w:b/>
          <w:sz w:val="24"/>
          <w:szCs w:val="24"/>
        </w:rPr>
      </w:pPr>
      <w:r w:rsidRPr="00F94985">
        <w:rPr>
          <w:rFonts w:ascii="Times New Roman" w:hAnsi="Times New Roman"/>
          <w:b/>
          <w:sz w:val="24"/>
          <w:szCs w:val="24"/>
        </w:rPr>
        <w:t>Dôvodová správa</w:t>
      </w:r>
    </w:p>
    <w:p w:rsidR="00F94985" w:rsidRPr="00F94985" w:rsidRDefault="00F94985" w:rsidP="009927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2725" w:rsidRPr="00F94985" w:rsidRDefault="00992725" w:rsidP="0099272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4985">
        <w:rPr>
          <w:rFonts w:ascii="Times New Roman" w:hAnsi="Times New Roman"/>
          <w:b/>
          <w:sz w:val="24"/>
          <w:szCs w:val="24"/>
        </w:rPr>
        <w:t>Všeobecná časť</w:t>
      </w:r>
    </w:p>
    <w:p w:rsidR="00992725" w:rsidRPr="00F94985" w:rsidRDefault="004F595F" w:rsidP="00992725">
      <w:pPr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F94985">
        <w:rPr>
          <w:rFonts w:ascii="Times New Roman" w:hAnsi="Times New Roman"/>
          <w:sz w:val="24"/>
          <w:szCs w:val="24"/>
        </w:rPr>
        <w:t xml:space="preserve"> </w:t>
      </w:r>
    </w:p>
    <w:p w:rsidR="00674043" w:rsidRPr="00F94985" w:rsidRDefault="00FA68EF" w:rsidP="00674043">
      <w:pPr>
        <w:pStyle w:val="Normlnywebov"/>
        <w:spacing w:before="0" w:beforeAutospacing="0" w:after="0" w:afterAutospacing="0"/>
        <w:ind w:firstLine="708"/>
        <w:jc w:val="both"/>
      </w:pPr>
      <w:r w:rsidRPr="00F94985">
        <w:t xml:space="preserve">  Poslan</w:t>
      </w:r>
      <w:r w:rsidR="00C15AF0">
        <w:t>c</w:t>
      </w:r>
      <w:r w:rsidR="00DC27EE">
        <w:t>i</w:t>
      </w:r>
      <w:r w:rsidRPr="00F94985">
        <w:t xml:space="preserve"> Národnej rady Slovenskej republiky </w:t>
      </w:r>
      <w:r w:rsidR="00C15AF0">
        <w:t>Jaroslav Baška</w:t>
      </w:r>
      <w:r w:rsidR="00DC27EE">
        <w:t>, Dušan Bublavý, Peter Šuca</w:t>
      </w:r>
      <w:r w:rsidRPr="00F94985">
        <w:t xml:space="preserve"> predklad</w:t>
      </w:r>
      <w:r w:rsidR="00DC27EE">
        <w:t>ajú</w:t>
      </w:r>
      <w:r w:rsidRPr="00F94985">
        <w:t xml:space="preserve"> na schôdzu Národnej rady Slovenskej republiky návrh zákona, </w:t>
      </w:r>
      <w:r w:rsidR="00674043" w:rsidRPr="00F94985">
        <w:t>ktorým sa mení a dopĺňa zákon č. 50/1976 Zb. o územnom plánovaní a stavebnom poriadku (stavebný zákon) v znení neskorších predpisov</w:t>
      </w:r>
      <w:r w:rsidRPr="00F94985">
        <w:t xml:space="preserve">.  </w:t>
      </w:r>
    </w:p>
    <w:p w:rsidR="00B90213" w:rsidRDefault="00FA68EF" w:rsidP="008153A5">
      <w:pPr>
        <w:pStyle w:val="Normlnywebov"/>
        <w:spacing w:after="0"/>
        <w:ind w:firstLine="708"/>
        <w:jc w:val="both"/>
      </w:pPr>
      <w:r w:rsidRPr="00F94985">
        <w:t xml:space="preserve">Cieľom predloženého návrhu </w:t>
      </w:r>
      <w:r w:rsidR="0048604F" w:rsidRPr="00F94985">
        <w:t xml:space="preserve">zákona </w:t>
      </w:r>
      <w:r w:rsidRPr="00F94985">
        <w:t xml:space="preserve">je </w:t>
      </w:r>
      <w:r w:rsidR="00674043" w:rsidRPr="00F94985">
        <w:t xml:space="preserve">zabezpečiť, aby stavby slúžiace na plnenie úloh troch najvyšších ústavných činiteľov Slovenskej republiky </w:t>
      </w:r>
      <w:r w:rsidR="00B90213">
        <w:t xml:space="preserve">boli považované za stavby pre bezpečnosť štátu. </w:t>
      </w:r>
    </w:p>
    <w:p w:rsidR="008153A5" w:rsidRPr="00F94985" w:rsidRDefault="0032118A" w:rsidP="008153A5">
      <w:pPr>
        <w:pStyle w:val="Normlnywebov"/>
        <w:spacing w:after="0"/>
        <w:ind w:firstLine="708"/>
        <w:jc w:val="both"/>
      </w:pPr>
      <w:r w:rsidRPr="00F94985">
        <w:t xml:space="preserve">Vzhľadom na skutočnosť, že v objektoch slúžiacich na plnenie úloh </w:t>
      </w:r>
      <w:r w:rsidR="00136408">
        <w:t>prezidenta Slovenskej republiky, predsedu Národnej rady Slovenskej republiky alebo predsedu vlády</w:t>
      </w:r>
      <w:r w:rsidR="00136408" w:rsidRPr="00F94985">
        <w:t xml:space="preserve"> </w:t>
      </w:r>
      <w:r w:rsidRPr="00F94985">
        <w:t xml:space="preserve">Slovenskej republiky </w:t>
      </w:r>
      <w:r w:rsidR="00E0688A" w:rsidRPr="00F94985">
        <w:t xml:space="preserve">je nevyhnutné dodržiavať prísne režimové opatrenia, je dôvodné, aby aj pri konaniach podľa stavebného zákona boli v súvislosti s týmito stavbami dodržiavané osobitné opatrenia. </w:t>
      </w:r>
    </w:p>
    <w:p w:rsidR="0032118A" w:rsidRPr="00F94985" w:rsidRDefault="008153A5" w:rsidP="008153A5">
      <w:pPr>
        <w:pStyle w:val="Normlnywebov"/>
        <w:spacing w:after="0"/>
        <w:ind w:firstLine="708"/>
        <w:jc w:val="both"/>
      </w:pPr>
      <w:r w:rsidRPr="00F94985">
        <w:t>S prihliadnutím na to, že ústredným orgánom štátnej správy pre ochranu ústavného zriadenia</w:t>
      </w:r>
      <w:r w:rsidR="004C6C74">
        <w:t xml:space="preserve"> ako aj bezpečnosti osôb a majetku</w:t>
      </w:r>
      <w:r w:rsidRPr="00F94985">
        <w:t xml:space="preserve"> je Ministerstvo vnútra Slovenskej republiky, </w:t>
      </w:r>
      <w:r w:rsidR="00B90213">
        <w:t xml:space="preserve">zahrnutím stavieb </w:t>
      </w:r>
      <w:r w:rsidR="00B90213" w:rsidRPr="00F94985">
        <w:t>slúžiac</w:t>
      </w:r>
      <w:r w:rsidR="00B90213">
        <w:t>ich</w:t>
      </w:r>
      <w:r w:rsidR="00B90213" w:rsidRPr="00F94985">
        <w:t xml:space="preserve"> na plnenie úloh </w:t>
      </w:r>
      <w:r w:rsidR="00B90213">
        <w:t>prezidenta Slovenskej republiky, predsedu Národnej rady Slovenskej republiky alebo predsedu vlády</w:t>
      </w:r>
      <w:r w:rsidR="00B90213" w:rsidRPr="00F94985">
        <w:t xml:space="preserve"> Slovenskej republiky </w:t>
      </w:r>
      <w:r w:rsidR="00B90213">
        <w:t xml:space="preserve">pod pojem „stavby pre bezpečnosť štátu“  sa docieli, aby pôsobnosť stavebného úradu pre tieto stavby vykonávalo  </w:t>
      </w:r>
      <w:r w:rsidRPr="00F94985">
        <w:t>Ministerstvo vnútra Slovenskej republiky.</w:t>
      </w:r>
    </w:p>
    <w:p w:rsidR="008153A5" w:rsidRPr="00F94985" w:rsidRDefault="00FA68EF" w:rsidP="00DA0CE9">
      <w:pPr>
        <w:pStyle w:val="Default"/>
        <w:jc w:val="both"/>
      </w:pPr>
      <w:r w:rsidRPr="00F94985">
        <w:t xml:space="preserve"> </w:t>
      </w:r>
      <w:r w:rsidR="00DA0CE9" w:rsidRPr="00F94985">
        <w:tab/>
      </w:r>
      <w:r w:rsidRPr="00F94985">
        <w:t xml:space="preserve">Návrh zákona je v súlade s Ústavou Slovenskej republiky, ústavnými zákonmi, </w:t>
      </w:r>
      <w:r w:rsidR="00DA0CE9" w:rsidRPr="00F94985">
        <w:t xml:space="preserve">s nálezmi Ústavného súdu Slovenskej republiky, s </w:t>
      </w:r>
      <w:r w:rsidRPr="00F94985">
        <w:t>medzinárodnými zmluvami</w:t>
      </w:r>
      <w:r w:rsidR="00DA0CE9" w:rsidRPr="00F94985">
        <w:t xml:space="preserve"> a inými medzinárodnými dokumentmi</w:t>
      </w:r>
      <w:r w:rsidRPr="00F94985">
        <w:t>, ktorými</w:t>
      </w:r>
      <w:r w:rsidR="00DA0CE9" w:rsidRPr="00F94985">
        <w:t xml:space="preserve"> je Slovenská republika viazaná</w:t>
      </w:r>
      <w:r w:rsidRPr="00F94985">
        <w:t>.</w:t>
      </w:r>
      <w:r w:rsidR="008153A5" w:rsidRPr="00F94985">
        <w:t xml:space="preserve"> </w:t>
      </w:r>
    </w:p>
    <w:p w:rsidR="00FA68EF" w:rsidRDefault="00FA68EF" w:rsidP="00FA68EF">
      <w:pPr>
        <w:pStyle w:val="Normlnywebov"/>
        <w:ind w:firstLine="720"/>
        <w:jc w:val="both"/>
      </w:pPr>
      <w:r w:rsidRPr="00F94985">
        <w:t>Predložený návrh zákona nebude mať vplyv</w:t>
      </w:r>
      <w:r w:rsidR="008153A5" w:rsidRPr="00F94985">
        <w:t>y</w:t>
      </w:r>
      <w:r w:rsidRPr="00F94985">
        <w:t xml:space="preserve"> na </w:t>
      </w:r>
      <w:r w:rsidR="008153A5" w:rsidRPr="00F94985">
        <w:t xml:space="preserve">rozpočet </w:t>
      </w:r>
      <w:r w:rsidRPr="00F94985">
        <w:t>verejn</w:t>
      </w:r>
      <w:r w:rsidR="00DA0CE9" w:rsidRPr="00F94985">
        <w:t>ej správy</w:t>
      </w:r>
      <w:r w:rsidRPr="00F94985">
        <w:t>, na podnikateľské prostredie</w:t>
      </w:r>
      <w:r w:rsidR="00F35325" w:rsidRPr="00F94985">
        <w:t xml:space="preserve">, </w:t>
      </w:r>
      <w:r w:rsidR="00DA0CE9" w:rsidRPr="00F94985">
        <w:t>nebude mať sociálne vplyvy ani vplyvy</w:t>
      </w:r>
      <w:r w:rsidR="00F35325" w:rsidRPr="00F94985">
        <w:t xml:space="preserve"> na životné prostredie</w:t>
      </w:r>
      <w:r w:rsidR="00DA0CE9" w:rsidRPr="00F94985">
        <w:t>, na informatizáciu spoločnosti a na služby verejnej správy pre občana.</w:t>
      </w:r>
    </w:p>
    <w:p w:rsidR="00F94985" w:rsidRDefault="00F94985" w:rsidP="00FA68EF">
      <w:pPr>
        <w:pStyle w:val="Normlnywebov"/>
        <w:ind w:firstLine="720"/>
        <w:jc w:val="both"/>
      </w:pPr>
    </w:p>
    <w:p w:rsidR="00F94985" w:rsidRDefault="00F94985" w:rsidP="00FA68EF">
      <w:pPr>
        <w:pStyle w:val="Normlnywebov"/>
        <w:ind w:firstLine="720"/>
        <w:jc w:val="both"/>
      </w:pPr>
    </w:p>
    <w:p w:rsidR="00F94985" w:rsidRDefault="00F94985" w:rsidP="00FA68EF">
      <w:pPr>
        <w:pStyle w:val="Normlnywebov"/>
        <w:ind w:firstLine="720"/>
        <w:jc w:val="both"/>
      </w:pPr>
    </w:p>
    <w:p w:rsidR="00F94985" w:rsidRDefault="00F94985" w:rsidP="00FA68EF">
      <w:pPr>
        <w:pStyle w:val="Normlnywebov"/>
        <w:ind w:firstLine="720"/>
        <w:jc w:val="both"/>
      </w:pPr>
    </w:p>
    <w:p w:rsidR="00F94985" w:rsidRDefault="00F94985" w:rsidP="00FA68EF">
      <w:pPr>
        <w:pStyle w:val="Normlnywebov"/>
        <w:ind w:firstLine="720"/>
        <w:jc w:val="both"/>
      </w:pPr>
    </w:p>
    <w:p w:rsidR="00F94985" w:rsidRDefault="00F94985" w:rsidP="00FA68EF">
      <w:pPr>
        <w:pStyle w:val="Normlnywebov"/>
        <w:ind w:firstLine="720"/>
        <w:jc w:val="both"/>
      </w:pPr>
    </w:p>
    <w:p w:rsidR="00F94985" w:rsidRDefault="00F94985" w:rsidP="00FA68EF">
      <w:pPr>
        <w:pStyle w:val="Normlnywebov"/>
        <w:ind w:firstLine="720"/>
        <w:jc w:val="both"/>
      </w:pPr>
    </w:p>
    <w:p w:rsidR="00DA0CE9" w:rsidRDefault="00DA0CE9" w:rsidP="00DA0C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94985">
        <w:rPr>
          <w:b/>
          <w:bCs/>
          <w:sz w:val="28"/>
          <w:szCs w:val="28"/>
        </w:rPr>
        <w:lastRenderedPageBreak/>
        <w:t>Doložka vybraných vplyvov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DA0CE9" w:rsidRPr="00F94985" w:rsidTr="00253806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b/>
                <w:bCs/>
              </w:rPr>
            </w:pPr>
            <w:r w:rsidRPr="00F94985">
              <w:rPr>
                <w:rFonts w:ascii="Times New Roman" w:hAnsi="Times New Roman"/>
                <w:b/>
                <w:bCs/>
              </w:rPr>
              <w:t>  1.  Základné údaje</w:t>
            </w:r>
          </w:p>
        </w:tc>
      </w:tr>
      <w:tr w:rsidR="00DA0CE9" w:rsidRPr="00F94985" w:rsidTr="00253806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b/>
                <w:bCs/>
              </w:rPr>
            </w:pPr>
            <w:r w:rsidRPr="00F94985">
              <w:rPr>
                <w:rFonts w:ascii="Times New Roman" w:hAnsi="Times New Roman"/>
                <w:b/>
                <w:bCs/>
              </w:rPr>
              <w:t>  Názov materiálu</w:t>
            </w:r>
          </w:p>
        </w:tc>
      </w:tr>
      <w:tr w:rsidR="00DA0CE9" w:rsidRPr="00F94985" w:rsidTr="00253806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>Návrh zákona, ktorým sa mení a dopĺňa zákon č. 50/1976 Zb. o územnom plánovaní a stavebnom poriadku (stavebný zákon) v znení neskorších predpisov</w:t>
            </w:r>
          </w:p>
        </w:tc>
      </w:tr>
      <w:tr w:rsidR="00DA0CE9" w:rsidRPr="00F94985" w:rsidTr="00253806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b/>
                <w:bCs/>
              </w:rPr>
            </w:pPr>
            <w:r w:rsidRPr="00F94985">
              <w:rPr>
                <w:rFonts w:ascii="Times New Roman" w:hAnsi="Times New Roman"/>
                <w:b/>
                <w:bCs/>
              </w:rPr>
              <w:t>  Predkladateľ (a spolupredkladateľ)</w:t>
            </w:r>
          </w:p>
        </w:tc>
      </w:tr>
      <w:tr w:rsidR="00DA0CE9" w:rsidRPr="00F94985" w:rsidTr="00253806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DA0CE9" w:rsidRPr="00F94985" w:rsidRDefault="00DA0CE9" w:rsidP="00C15AF0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>Poslan</w:t>
            </w:r>
            <w:r w:rsidR="00C15AF0">
              <w:rPr>
                <w:rFonts w:ascii="Times New Roman" w:hAnsi="Times New Roman"/>
                <w:sz w:val="20"/>
                <w:szCs w:val="20"/>
              </w:rPr>
              <w:t>c</w:t>
            </w:r>
            <w:r w:rsidR="00DC27EE">
              <w:rPr>
                <w:rFonts w:ascii="Times New Roman" w:hAnsi="Times New Roman"/>
                <w:sz w:val="20"/>
                <w:szCs w:val="20"/>
              </w:rPr>
              <w:t>i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 Národnej rady Slovenskej republiky</w:t>
            </w:r>
            <w:r w:rsidR="00DC27EE">
              <w:rPr>
                <w:rFonts w:ascii="Times New Roman" w:hAnsi="Times New Roman"/>
                <w:sz w:val="20"/>
                <w:szCs w:val="20"/>
              </w:rPr>
              <w:t xml:space="preserve"> Jaroslav Baška, Dušan Bublavý, Peter Šuca</w:t>
            </w:r>
          </w:p>
        </w:tc>
      </w:tr>
      <w:tr w:rsidR="00DA0CE9" w:rsidRPr="00F94985" w:rsidTr="00253806"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A0CE9" w:rsidRPr="00F94985" w:rsidRDefault="00DA0CE9" w:rsidP="00E708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4985">
              <w:rPr>
                <w:rFonts w:ascii="Times New Roman" w:hAnsi="Times New Roman"/>
                <w:b/>
                <w:bCs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> </w:t>
            </w:r>
            <w:r w:rsidRPr="00F94985">
              <w:rPr>
                <w:rFonts w:ascii="Times New Roman" w:hAnsi="Times New Roman"/>
                <w:sz w:val="28"/>
                <w:szCs w:val="28"/>
              </w:rPr>
              <w:t>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>  Materiál nelegislatívnej povahy</w:t>
            </w:r>
          </w:p>
        </w:tc>
      </w:tr>
      <w:tr w:rsidR="00DA0CE9" w:rsidRPr="00F94985" w:rsidTr="00253806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> </w:t>
            </w:r>
            <w:r w:rsidR="00F94985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  Materiál legislatívnej povahy </w:t>
            </w:r>
          </w:p>
        </w:tc>
      </w:tr>
      <w:tr w:rsidR="00DA0CE9" w:rsidRPr="00F94985" w:rsidTr="00253806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> </w:t>
            </w:r>
            <w:r w:rsidRPr="00F94985">
              <w:rPr>
                <w:rFonts w:ascii="Times New Roman" w:hAnsi="Times New Roman"/>
                <w:sz w:val="28"/>
                <w:szCs w:val="28"/>
              </w:rPr>
              <w:t>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  Transpozícia práva EÚ </w:t>
            </w:r>
          </w:p>
        </w:tc>
      </w:tr>
      <w:tr w:rsidR="00DA0CE9" w:rsidRPr="00F94985" w:rsidTr="00E7081A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CE9" w:rsidRPr="00F94985" w:rsidTr="00E7081A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b/>
                <w:bCs/>
              </w:rPr>
            </w:pPr>
            <w:r w:rsidRPr="00F94985">
              <w:rPr>
                <w:rFonts w:ascii="Times New Roman" w:hAnsi="Times New Roman"/>
                <w:b/>
                <w:bCs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DA0CE9" w:rsidRPr="00F94985" w:rsidRDefault="00136408" w:rsidP="00E708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Materiál nebol predmetom PPK</w:t>
            </w:r>
            <w:r w:rsidR="00DA0CE9" w:rsidRPr="00F949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A0CE9" w:rsidRPr="00F94985" w:rsidTr="00E7081A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b/>
                <w:bCs/>
              </w:rPr>
            </w:pPr>
            <w:r w:rsidRPr="00F94985">
              <w:rPr>
                <w:rFonts w:ascii="Times New Roman" w:hAnsi="Times New Roman"/>
                <w:b/>
                <w:bCs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DA0CE9" w:rsidRPr="00F94985" w:rsidRDefault="00136408" w:rsidP="00E708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Materiál nebol predmetom MPK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A0CE9" w:rsidRPr="00F94985" w:rsidTr="00E7081A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b/>
                <w:bCs/>
              </w:rPr>
            </w:pPr>
            <w:r w:rsidRPr="00F94985">
              <w:rPr>
                <w:rFonts w:ascii="Times New Roman" w:hAnsi="Times New Roman"/>
                <w:b/>
                <w:bCs/>
              </w:rPr>
              <w:t>  Predpokladaný termín predloženia na Rokovanie vlády</w:t>
            </w:r>
            <w:r w:rsidRPr="00F94985">
              <w:rPr>
                <w:rFonts w:ascii="Times New Roman" w:hAnsi="Times New Roman"/>
                <w:b/>
                <w:bCs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DA0CE9" w:rsidRPr="00F94985" w:rsidRDefault="00136408" w:rsidP="001364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Materiál nebol predkladaný na rokovanie vlády Slovenskej republiky </w:t>
            </w:r>
          </w:p>
        </w:tc>
      </w:tr>
    </w:tbl>
    <w:p w:rsidR="00DA0CE9" w:rsidRPr="00F94985" w:rsidRDefault="00DA0CE9" w:rsidP="00DA0C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A0CE9" w:rsidRPr="00F94985" w:rsidTr="004E2FA4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b/>
                <w:bCs/>
              </w:rPr>
            </w:pPr>
            <w:r w:rsidRPr="00F94985">
              <w:rPr>
                <w:rFonts w:ascii="Times New Roman" w:hAnsi="Times New Roman"/>
                <w:b/>
                <w:bCs/>
              </w:rPr>
              <w:t>  2.  Definícia problému</w:t>
            </w:r>
          </w:p>
        </w:tc>
      </w:tr>
      <w:tr w:rsidR="00DA0CE9" w:rsidRPr="00F94985" w:rsidTr="004E2FA4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DA0CE9" w:rsidRPr="00F94985" w:rsidRDefault="00DA0CE9" w:rsidP="00072282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 xml:space="preserve">Stavby, ktoré slúžia na plnenie úloh </w:t>
            </w:r>
            <w:r w:rsidR="00136408" w:rsidRPr="00136408">
              <w:rPr>
                <w:rFonts w:ascii="Times New Roman" w:hAnsi="Times New Roman"/>
                <w:sz w:val="20"/>
                <w:szCs w:val="20"/>
              </w:rPr>
              <w:t>prezidenta Slovenskej republiky, predsedu Národnej rady Slovenskej republiky alebo predsedu vlády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 Slovenskej republiky podliehajú osobitným režimovým opatreniam</w:t>
            </w:r>
            <w:r w:rsidR="00072282">
              <w:rPr>
                <w:rFonts w:ascii="Times New Roman" w:hAnsi="Times New Roman"/>
                <w:sz w:val="20"/>
                <w:szCs w:val="20"/>
              </w:rPr>
              <w:t>, a to predovšetkým z dôvodu, že ide o troch najvyšších ústavných činiteľov štátu.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 Je preto dôvodné, aby</w:t>
            </w:r>
            <w:r w:rsidR="00072282">
              <w:rPr>
                <w:rFonts w:ascii="Times New Roman" w:hAnsi="Times New Roman"/>
                <w:sz w:val="20"/>
                <w:szCs w:val="20"/>
              </w:rPr>
              <w:t xml:space="preserve"> sa tieto stavby  považovali za stavby 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282">
              <w:rPr>
                <w:rFonts w:ascii="Times New Roman" w:hAnsi="Times New Roman"/>
                <w:sz w:val="20"/>
                <w:szCs w:val="20"/>
              </w:rPr>
              <w:t>pre bezpečnosť štátu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.   </w:t>
            </w:r>
          </w:p>
        </w:tc>
      </w:tr>
      <w:tr w:rsidR="00DA0CE9" w:rsidRPr="00F94985" w:rsidTr="004E2FA4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b/>
                <w:bCs/>
              </w:rPr>
            </w:pPr>
            <w:r w:rsidRPr="00F94985">
              <w:rPr>
                <w:rFonts w:ascii="Times New Roman" w:hAnsi="Times New Roman"/>
                <w:b/>
                <w:bCs/>
              </w:rPr>
              <w:t>  3.  Ciele a výsledný stav</w:t>
            </w:r>
          </w:p>
        </w:tc>
      </w:tr>
      <w:tr w:rsidR="00DA0CE9" w:rsidRPr="00F94985" w:rsidTr="004E2FA4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>Vykonávanie pôsobnosti stavebného úradu Ministerstvom vnútra Slovenskej republiky pri stavbách slúžia</w:t>
            </w:r>
            <w:r w:rsidR="00253806">
              <w:rPr>
                <w:rFonts w:ascii="Times New Roman" w:hAnsi="Times New Roman"/>
                <w:sz w:val="20"/>
                <w:szCs w:val="20"/>
              </w:rPr>
              <w:t>cich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 na plnenie úloh </w:t>
            </w:r>
            <w:r w:rsidR="00136408" w:rsidRPr="00136408">
              <w:rPr>
                <w:rFonts w:ascii="Times New Roman" w:hAnsi="Times New Roman"/>
                <w:sz w:val="20"/>
                <w:szCs w:val="20"/>
              </w:rPr>
              <w:t>prezidenta Slovenskej republiky, predsedu Národnej rady Slovenskej republiky alebo predsedu vlády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 Slovenskej republiky.</w:t>
            </w:r>
          </w:p>
        </w:tc>
      </w:tr>
      <w:tr w:rsidR="00DA0CE9" w:rsidRPr="00F94985" w:rsidTr="004E2FA4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b/>
                <w:bCs/>
              </w:rPr>
            </w:pPr>
            <w:r w:rsidRPr="00F94985">
              <w:rPr>
                <w:rFonts w:ascii="Times New Roman" w:hAnsi="Times New Roman"/>
                <w:b/>
                <w:bCs/>
              </w:rPr>
              <w:t>  4.  Dotknuté subjekty</w:t>
            </w:r>
          </w:p>
        </w:tc>
      </w:tr>
      <w:tr w:rsidR="00DA0CE9" w:rsidRPr="00F94985" w:rsidTr="004E2FA4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>Ministerstvo vnútra Slovenskej republiky.</w:t>
            </w:r>
          </w:p>
        </w:tc>
      </w:tr>
      <w:tr w:rsidR="00DA0CE9" w:rsidRPr="00F94985" w:rsidTr="004E2FA4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b/>
                <w:bCs/>
              </w:rPr>
            </w:pPr>
            <w:r w:rsidRPr="00F94985">
              <w:rPr>
                <w:rFonts w:ascii="Times New Roman" w:hAnsi="Times New Roman"/>
                <w:b/>
                <w:bCs/>
              </w:rPr>
              <w:t>  5.  Alternatívne riešenia</w:t>
            </w:r>
          </w:p>
        </w:tc>
      </w:tr>
      <w:tr w:rsidR="00DA0CE9" w:rsidRPr="00F94985" w:rsidTr="004E2FA4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>Nepredkladajú sa.</w:t>
            </w:r>
          </w:p>
        </w:tc>
      </w:tr>
      <w:tr w:rsidR="00DA0CE9" w:rsidRPr="00F94985" w:rsidTr="004E2FA4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b/>
                <w:bCs/>
              </w:rPr>
            </w:pPr>
            <w:r w:rsidRPr="00F94985">
              <w:rPr>
                <w:rFonts w:ascii="Times New Roman" w:hAnsi="Times New Roman"/>
                <w:b/>
                <w:bCs/>
              </w:rPr>
              <w:t>  6.  Vykonávacie predpisy</w:t>
            </w:r>
          </w:p>
        </w:tc>
      </w:tr>
      <w:tr w:rsidR="00DA0CE9" w:rsidRPr="00F94985" w:rsidTr="004E2FA4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>Predpokladá sa prijatie/zmena vykonávacích predpisov?                          </w:t>
            </w:r>
            <w:r w:rsidRPr="00F94985">
              <w:rPr>
                <w:rFonts w:ascii="Times New Roman" w:hAnsi="Times New Roman"/>
                <w:sz w:val="28"/>
                <w:szCs w:val="28"/>
              </w:rPr>
              <w:t>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   Áno            </w:t>
            </w:r>
            <w:r w:rsidR="00225D94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>  Nie</w:t>
            </w:r>
          </w:p>
        </w:tc>
      </w:tr>
      <w:tr w:rsidR="00DA0CE9" w:rsidRPr="00F94985" w:rsidTr="004E2FA4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b/>
                <w:bCs/>
              </w:rPr>
            </w:pPr>
            <w:r w:rsidRPr="00F94985">
              <w:rPr>
                <w:rFonts w:ascii="Times New Roman" w:hAnsi="Times New Roman"/>
                <w:b/>
                <w:bCs/>
              </w:rPr>
              <w:t xml:space="preserve">  7.  Transpozícia práva EÚ </w:t>
            </w:r>
          </w:p>
        </w:tc>
      </w:tr>
      <w:tr w:rsidR="00DA0CE9" w:rsidRPr="00F94985" w:rsidTr="004E2FA4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lastRenderedPageBreak/>
              <w:t>nie</w:t>
            </w:r>
          </w:p>
        </w:tc>
      </w:tr>
      <w:tr w:rsidR="00DA0CE9" w:rsidRPr="00F94985" w:rsidTr="004E2FA4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b/>
                <w:bCs/>
              </w:rPr>
            </w:pPr>
            <w:r w:rsidRPr="00F94985">
              <w:rPr>
                <w:rFonts w:ascii="Times New Roman" w:hAnsi="Times New Roman"/>
                <w:b/>
                <w:bCs/>
              </w:rPr>
              <w:t>  8.  Preskúmanie účelnosti**</w:t>
            </w:r>
          </w:p>
        </w:tc>
      </w:tr>
      <w:tr w:rsidR="00DA0CE9" w:rsidRPr="00F94985" w:rsidTr="004E2FA4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DA0CE9" w:rsidRPr="00F94985" w:rsidRDefault="00DA0CE9" w:rsidP="00DA0C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DA0CE9" w:rsidRPr="00F94985" w:rsidRDefault="00DA0CE9" w:rsidP="00DA0CE9">
      <w:pPr>
        <w:ind w:left="142" w:hanging="142"/>
        <w:rPr>
          <w:rFonts w:ascii="Times New Roman" w:hAnsi="Times New Roman"/>
          <w:sz w:val="20"/>
          <w:szCs w:val="20"/>
        </w:rPr>
      </w:pPr>
      <w:r w:rsidRPr="00F94985">
        <w:rPr>
          <w:rFonts w:ascii="Times New Roman" w:hAnsi="Times New Roman"/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DA0CE9" w:rsidRPr="00F94985" w:rsidRDefault="00DA0CE9" w:rsidP="00DA0CE9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F94985">
        <w:rPr>
          <w:sz w:val="20"/>
          <w:szCs w:val="20"/>
        </w:rPr>
        <w:t>** nepovinné</w:t>
      </w:r>
    </w:p>
    <w:p w:rsidR="00DA0CE9" w:rsidRPr="00F94985" w:rsidRDefault="00DA0CE9" w:rsidP="00DA0C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DA0CE9" w:rsidRPr="00F94985" w:rsidTr="00E7081A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4985">
              <w:rPr>
                <w:rFonts w:ascii="Times New Roman" w:hAnsi="Times New Roman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DA0CE9" w:rsidRPr="00F94985" w:rsidTr="00E7081A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rozpočet verejnej správy</w:t>
            </w:r>
            <w:r w:rsidRPr="00F94985">
              <w:rPr>
                <w:rFonts w:ascii="Times New Roman" w:hAnsi="Times New Roman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F94985">
              <w:rPr>
                <w:rFonts w:ascii="Times New Roman" w:hAnsi="Times New Roman"/>
                <w:sz w:val="28"/>
                <w:szCs w:val="28"/>
              </w:rPr>
              <w:t>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> </w:t>
            </w:r>
            <w:r w:rsidR="00F9498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94985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F94985">
              <w:rPr>
                <w:rFonts w:ascii="Times New Roman" w:hAnsi="Times New Roman"/>
                <w:sz w:val="28"/>
                <w:szCs w:val="28"/>
              </w:rPr>
              <w:t>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 w:rsidR="00DA0CE9" w:rsidRPr="00F94985" w:rsidTr="00E7081A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F94985">
              <w:rPr>
                <w:rFonts w:ascii="Times New Roman" w:hAnsi="Times New Roman"/>
                <w:sz w:val="28"/>
                <w:szCs w:val="28"/>
              </w:rPr>
              <w:t>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> </w:t>
            </w:r>
            <w:r w:rsidR="00F9498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94985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    </w:t>
            </w:r>
            <w:r w:rsidR="00F94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F94985">
              <w:rPr>
                <w:rFonts w:ascii="Times New Roman" w:hAnsi="Times New Roman"/>
                <w:sz w:val="28"/>
                <w:szCs w:val="28"/>
              </w:rPr>
              <w:t>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   Čiastočne</w:t>
            </w:r>
          </w:p>
        </w:tc>
      </w:tr>
      <w:tr w:rsidR="00DA0CE9" w:rsidRPr="00F94985" w:rsidTr="00E7081A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podnikateľské prostredie</w:t>
            </w:r>
            <w:r w:rsidRPr="00F94985">
              <w:rPr>
                <w:rFonts w:ascii="Times New Roman" w:hAnsi="Times New Roman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F94985">
              <w:rPr>
                <w:rFonts w:ascii="Times New Roman" w:hAnsi="Times New Roman"/>
                <w:sz w:val="28"/>
                <w:szCs w:val="28"/>
              </w:rPr>
              <w:t>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> </w:t>
            </w:r>
            <w:r w:rsidR="00F9498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94985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F94985">
              <w:rPr>
                <w:rFonts w:ascii="Times New Roman" w:hAnsi="Times New Roman"/>
                <w:sz w:val="28"/>
                <w:szCs w:val="28"/>
              </w:rPr>
              <w:t>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 w:rsidR="00DA0CE9" w:rsidRPr="00F94985" w:rsidTr="00E7081A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F94985">
              <w:rPr>
                <w:rFonts w:ascii="Times New Roman" w:hAnsi="Times New Roman"/>
                <w:sz w:val="28"/>
                <w:szCs w:val="28"/>
              </w:rPr>
              <w:t>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> </w:t>
            </w:r>
            <w:r w:rsidR="00F9498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94985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F94985">
              <w:rPr>
                <w:rFonts w:ascii="Times New Roman" w:hAnsi="Times New Roman"/>
                <w:sz w:val="28"/>
                <w:szCs w:val="28"/>
              </w:rPr>
              <w:t>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 w:rsidR="00DA0CE9" w:rsidRPr="00F94985" w:rsidTr="00E7081A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F94985">
              <w:rPr>
                <w:rFonts w:ascii="Times New Roman" w:hAnsi="Times New Roman"/>
                <w:sz w:val="28"/>
                <w:szCs w:val="28"/>
              </w:rPr>
              <w:t>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> </w:t>
            </w:r>
            <w:r w:rsidR="00F9498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94985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F94985">
              <w:rPr>
                <w:rFonts w:ascii="Times New Roman" w:hAnsi="Times New Roman"/>
                <w:sz w:val="28"/>
                <w:szCs w:val="28"/>
              </w:rPr>
              <w:t>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 w:rsidR="00DA0CE9" w:rsidRPr="00F94985" w:rsidTr="00E7081A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> </w:t>
            </w:r>
            <w:r w:rsidR="00330E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4985">
              <w:rPr>
                <w:rFonts w:ascii="Times New Roman" w:hAnsi="Times New Roman"/>
                <w:sz w:val="28"/>
                <w:szCs w:val="28"/>
              </w:rPr>
              <w:t>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> </w:t>
            </w:r>
            <w:r w:rsidR="00F9498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94985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    </w:t>
            </w:r>
            <w:r w:rsidR="00F94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F94985">
              <w:rPr>
                <w:rFonts w:ascii="Times New Roman" w:hAnsi="Times New Roman"/>
                <w:sz w:val="28"/>
                <w:szCs w:val="28"/>
              </w:rPr>
              <w:t>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 w:rsidR="00DA0CE9" w:rsidRPr="00F94985" w:rsidTr="00E7081A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F94985">
              <w:rPr>
                <w:rFonts w:ascii="Times New Roman" w:hAnsi="Times New Roman"/>
                <w:sz w:val="28"/>
                <w:szCs w:val="28"/>
              </w:rPr>
              <w:t>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> </w:t>
            </w:r>
            <w:r w:rsidR="00F9498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94985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    </w:t>
            </w:r>
            <w:r w:rsidR="00F94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F94985">
              <w:rPr>
                <w:rFonts w:ascii="Times New Roman" w:hAnsi="Times New Roman"/>
                <w:sz w:val="28"/>
                <w:szCs w:val="28"/>
              </w:rPr>
              <w:t>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 w:rsidR="00DA0CE9" w:rsidRPr="00F94985" w:rsidTr="00E7081A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služby pre občana z toho</w:t>
            </w:r>
            <w:r w:rsidRPr="00F94985">
              <w:rPr>
                <w:rFonts w:ascii="Times New Roman" w:hAnsi="Times New Roman"/>
                <w:sz w:val="20"/>
                <w:szCs w:val="20"/>
              </w:rPr>
              <w:br/>
              <w:t>    vplyvy služieb verejnej správy na občana</w:t>
            </w:r>
            <w:r w:rsidRPr="00F94985">
              <w:rPr>
                <w:rFonts w:ascii="Times New Roman" w:hAnsi="Times New Roman"/>
                <w:sz w:val="20"/>
                <w:szCs w:val="20"/>
              </w:rPr>
              <w:br/>
              <w:t>    vplyvy na procesy služieb vo verejnej</w:t>
            </w:r>
            <w:r w:rsidRPr="00F94985">
              <w:rPr>
                <w:rFonts w:ascii="Times New Roman" w:hAnsi="Times New Roman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F94985">
              <w:rPr>
                <w:rFonts w:ascii="Times New Roman" w:hAnsi="Times New Roman"/>
                <w:sz w:val="28"/>
                <w:szCs w:val="28"/>
              </w:rPr>
              <w:t>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CE9" w:rsidRPr="00F94985" w:rsidRDefault="00F94985" w:rsidP="00E708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Wingdings 2" w:hAnsi="Wingdings 2" w:cs="Times"/>
                <w:sz w:val="20"/>
                <w:szCs w:val="20"/>
              </w:rPr>
              <w:t>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DA0CE9" w:rsidRPr="00F94985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F94985">
              <w:rPr>
                <w:rFonts w:ascii="Times New Roman" w:hAnsi="Times New Roman"/>
                <w:sz w:val="28"/>
                <w:szCs w:val="28"/>
              </w:rPr>
              <w:t>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 w:rsidR="00DA0CE9" w:rsidRPr="00F94985" w:rsidTr="00E7081A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F94985">
              <w:rPr>
                <w:rFonts w:ascii="Times New Roman" w:hAnsi="Times New Roman"/>
                <w:sz w:val="28"/>
                <w:szCs w:val="28"/>
              </w:rPr>
              <w:t>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CE9" w:rsidRPr="00F94985" w:rsidRDefault="00F94985" w:rsidP="00E708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Wingdings 2" w:hAnsi="Wingdings 2" w:cs="Times"/>
                <w:sz w:val="20"/>
                <w:szCs w:val="20"/>
              </w:rPr>
              <w:t>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Wingdings 2" w:hAnsi="Wingdings 2" w:cs="Times"/>
                <w:sz w:val="20"/>
                <w:szCs w:val="20"/>
              </w:rPr>
              <w:t></w:t>
            </w:r>
            <w:r w:rsidR="00DA0CE9" w:rsidRPr="00F94985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F94985">
              <w:rPr>
                <w:rFonts w:ascii="Times New Roman" w:hAnsi="Times New Roman"/>
                <w:sz w:val="28"/>
                <w:szCs w:val="28"/>
              </w:rPr>
              <w:t>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</w:tbl>
    <w:p w:rsidR="00DA0CE9" w:rsidRPr="00F94985" w:rsidRDefault="00DA0CE9" w:rsidP="00DA0CE9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DA0CE9" w:rsidRPr="00F94985" w:rsidRDefault="00DA0CE9" w:rsidP="00DA0C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A0CE9" w:rsidRPr="00F94985" w:rsidTr="00E7081A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b/>
                <w:bCs/>
              </w:rPr>
            </w:pPr>
            <w:r w:rsidRPr="00F94985">
              <w:rPr>
                <w:rFonts w:ascii="Times New Roman" w:hAnsi="Times New Roman"/>
                <w:b/>
                <w:bCs/>
              </w:rPr>
              <w:t>  10.  Poznámky</w:t>
            </w:r>
          </w:p>
        </w:tc>
      </w:tr>
      <w:tr w:rsidR="00DA0CE9" w:rsidRPr="00F94985" w:rsidTr="00E7081A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CE9" w:rsidRPr="00F94985" w:rsidTr="00E7081A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b/>
                <w:bCs/>
              </w:rPr>
            </w:pPr>
            <w:r w:rsidRPr="00F94985">
              <w:rPr>
                <w:rFonts w:ascii="Times New Roman" w:hAnsi="Times New Roman"/>
                <w:b/>
                <w:bCs/>
              </w:rPr>
              <w:t>  11.  Kontakt na spracovateľa</w:t>
            </w:r>
          </w:p>
        </w:tc>
      </w:tr>
      <w:tr w:rsidR="00DA0CE9" w:rsidRPr="00F94985" w:rsidTr="00E7081A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DA0CE9" w:rsidRPr="00F94985" w:rsidRDefault="00C15AF0" w:rsidP="00E7081A">
            <w:pPr>
              <w:rPr>
                <w:rFonts w:ascii="Times New Roman" w:hAnsi="Times New Roman"/>
                <w:sz w:val="20"/>
                <w:szCs w:val="20"/>
              </w:rPr>
            </w:pPr>
            <w:r w:rsidRPr="00C15AF0">
              <w:rPr>
                <w:rFonts w:ascii="Times New Roman" w:hAnsi="Times New Roman"/>
                <w:sz w:val="20"/>
                <w:szCs w:val="20"/>
              </w:rPr>
              <w:t>jaroslav_baska@nrsr.sk</w:t>
            </w:r>
          </w:p>
        </w:tc>
      </w:tr>
      <w:tr w:rsidR="00DA0CE9" w:rsidRPr="00F94985" w:rsidTr="00E7081A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b/>
                <w:bCs/>
              </w:rPr>
            </w:pPr>
            <w:r w:rsidRPr="00F94985">
              <w:rPr>
                <w:rFonts w:ascii="Times New Roman" w:hAnsi="Times New Roman"/>
                <w:b/>
                <w:bCs/>
              </w:rPr>
              <w:t>  12.  Zdroje</w:t>
            </w:r>
          </w:p>
        </w:tc>
      </w:tr>
      <w:tr w:rsidR="00DA0CE9" w:rsidRPr="00F94985" w:rsidTr="00E7081A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A0CE9" w:rsidRPr="00F94985" w:rsidTr="00E7081A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DA0CE9" w:rsidRPr="00F94985" w:rsidRDefault="00DA0CE9" w:rsidP="00E7081A">
            <w:pPr>
              <w:rPr>
                <w:rFonts w:ascii="Times New Roman" w:hAnsi="Times New Roman"/>
                <w:b/>
                <w:bCs/>
              </w:rPr>
            </w:pPr>
            <w:r w:rsidRPr="00F94985">
              <w:rPr>
                <w:rFonts w:ascii="Times New Roman" w:hAnsi="Times New Roman"/>
                <w:b/>
                <w:bCs/>
              </w:rPr>
              <w:t>  13.  Stanovisko Komisie pre posudzovanie vybraných vplyvov z PPK</w:t>
            </w:r>
          </w:p>
        </w:tc>
      </w:tr>
      <w:tr w:rsidR="00DA0CE9" w:rsidRPr="00F94985" w:rsidTr="00E7081A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DA0CE9" w:rsidRPr="00F94985" w:rsidRDefault="00DA0CE9" w:rsidP="004E2FA4">
            <w:pPr>
              <w:rPr>
                <w:rFonts w:ascii="Times New Roman" w:hAnsi="Times New Roman"/>
                <w:sz w:val="20"/>
                <w:szCs w:val="20"/>
              </w:rPr>
            </w:pPr>
            <w:r w:rsidRPr="00F94985">
              <w:rPr>
                <w:rFonts w:ascii="Times New Roman" w:hAnsi="Times New Roman"/>
                <w:sz w:val="20"/>
                <w:szCs w:val="20"/>
              </w:rPr>
              <w:t>Mat</w:t>
            </w:r>
            <w:r w:rsidR="004E2FA4">
              <w:rPr>
                <w:rFonts w:ascii="Times New Roman" w:hAnsi="Times New Roman"/>
                <w:sz w:val="20"/>
                <w:szCs w:val="20"/>
              </w:rPr>
              <w:t>e</w:t>
            </w:r>
            <w:r w:rsidRPr="00F94985">
              <w:rPr>
                <w:rFonts w:ascii="Times New Roman" w:hAnsi="Times New Roman"/>
                <w:sz w:val="20"/>
                <w:szCs w:val="20"/>
              </w:rPr>
              <w:t>riál nebol predmetom PPK.</w:t>
            </w:r>
          </w:p>
        </w:tc>
      </w:tr>
    </w:tbl>
    <w:p w:rsidR="00F94985" w:rsidRPr="00F94985" w:rsidRDefault="00F94985" w:rsidP="00F94985">
      <w:pPr>
        <w:jc w:val="center"/>
        <w:rPr>
          <w:rFonts w:ascii="Times New Roman" w:hAnsi="Times New Roman"/>
          <w:b/>
          <w:caps/>
          <w:spacing w:val="30"/>
          <w:sz w:val="25"/>
          <w:szCs w:val="25"/>
        </w:rPr>
      </w:pPr>
      <w:r w:rsidRPr="00F94985">
        <w:rPr>
          <w:rFonts w:ascii="Times New Roman" w:hAnsi="Times New Roman"/>
          <w:b/>
          <w:caps/>
          <w:spacing w:val="30"/>
          <w:sz w:val="25"/>
          <w:szCs w:val="25"/>
        </w:rPr>
        <w:lastRenderedPageBreak/>
        <w:t>Doložka zlučiteľnosti</w:t>
      </w:r>
    </w:p>
    <w:p w:rsidR="00F94985" w:rsidRPr="00F94985" w:rsidRDefault="00F94985" w:rsidP="00F94985">
      <w:pPr>
        <w:jc w:val="center"/>
        <w:rPr>
          <w:rFonts w:ascii="Times New Roman" w:hAnsi="Times New Roman"/>
          <w:b/>
          <w:sz w:val="25"/>
          <w:szCs w:val="25"/>
        </w:rPr>
      </w:pPr>
      <w:r w:rsidRPr="00F94985">
        <w:rPr>
          <w:rFonts w:ascii="Times New Roman" w:hAnsi="Times New Roman"/>
          <w:b/>
          <w:sz w:val="25"/>
          <w:szCs w:val="25"/>
        </w:rPr>
        <w:t>návrhu zákona s právom Európskej únie</w:t>
      </w:r>
    </w:p>
    <w:p w:rsidR="00F94985" w:rsidRPr="00F94985" w:rsidRDefault="00F94985" w:rsidP="00F94985">
      <w:pPr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F94985" w:rsidRPr="00F94985" w:rsidTr="00E7081A">
        <w:tc>
          <w:tcPr>
            <w:tcW w:w="404" w:type="dxa"/>
          </w:tcPr>
          <w:p w:rsidR="00F94985" w:rsidRPr="00F94985" w:rsidRDefault="00F94985" w:rsidP="00E7081A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F94985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:rsidR="00F94985" w:rsidRPr="00F94985" w:rsidRDefault="00F94985" w:rsidP="00E7081A">
            <w:pPr>
              <w:tabs>
                <w:tab w:val="left" w:pos="360"/>
              </w:tabs>
            </w:pPr>
            <w:r w:rsidRPr="00F94985">
              <w:rPr>
                <w:b/>
                <w:sz w:val="25"/>
                <w:szCs w:val="25"/>
              </w:rPr>
              <w:t>Navrhovateľ zákona:</w:t>
            </w:r>
            <w:r w:rsidRPr="00F94985">
              <w:rPr>
                <w:sz w:val="25"/>
                <w:szCs w:val="25"/>
              </w:rPr>
              <w:t xml:space="preserve"> </w:t>
            </w:r>
            <w:r w:rsidR="00C15AF0">
              <w:t>P</w:t>
            </w:r>
            <w:r w:rsidRPr="00F94985">
              <w:t>oslan</w:t>
            </w:r>
            <w:r w:rsidR="00C15AF0">
              <w:t>c</w:t>
            </w:r>
            <w:r w:rsidR="00DC27EE">
              <w:t>i</w:t>
            </w:r>
            <w:r w:rsidRPr="00F94985">
              <w:t xml:space="preserve"> Národnej rady Slovenskej republiky</w:t>
            </w:r>
            <w:r w:rsidR="00DC27EE">
              <w:t xml:space="preserve"> Jaroslav Baška, Dušan Bublavý, Peter Šuca</w:t>
            </w:r>
            <w:bookmarkStart w:id="0" w:name="_GoBack"/>
            <w:bookmarkEnd w:id="0"/>
          </w:p>
          <w:p w:rsidR="00F94985" w:rsidRPr="00F94985" w:rsidRDefault="00F94985" w:rsidP="00E7081A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F94985" w:rsidRPr="00F94985" w:rsidTr="00E7081A">
        <w:tc>
          <w:tcPr>
            <w:tcW w:w="404" w:type="dxa"/>
          </w:tcPr>
          <w:p w:rsidR="00F94985" w:rsidRPr="00F94985" w:rsidRDefault="00F94985" w:rsidP="00E7081A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F94985" w:rsidRPr="00F94985" w:rsidRDefault="00F94985" w:rsidP="00E7081A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F94985" w:rsidRPr="00F94985" w:rsidTr="00E7081A">
        <w:tc>
          <w:tcPr>
            <w:tcW w:w="404" w:type="dxa"/>
          </w:tcPr>
          <w:p w:rsidR="00F94985" w:rsidRPr="00F94985" w:rsidRDefault="00F94985" w:rsidP="00E7081A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F94985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:rsidR="00136408" w:rsidRDefault="00F94985" w:rsidP="00E7081A">
            <w:pPr>
              <w:tabs>
                <w:tab w:val="left" w:pos="426"/>
              </w:tabs>
              <w:jc w:val="both"/>
              <w:rPr>
                <w:shd w:val="clear" w:color="auto" w:fill="FFFFFF"/>
              </w:rPr>
            </w:pPr>
            <w:r w:rsidRPr="00F94985">
              <w:rPr>
                <w:b/>
                <w:sz w:val="25"/>
                <w:szCs w:val="25"/>
              </w:rPr>
              <w:t>Názov návrhu zákona:</w:t>
            </w:r>
            <w:r w:rsidRPr="00F94985">
              <w:rPr>
                <w:sz w:val="25"/>
                <w:szCs w:val="25"/>
              </w:rPr>
              <w:t xml:space="preserve"> </w:t>
            </w:r>
            <w:r w:rsidRPr="00F94985">
              <w:t xml:space="preserve">Návrh zákona, ktorým sa mení a dopĺňa zákon č. </w:t>
            </w:r>
            <w:r w:rsidRPr="00F94985">
              <w:rPr>
                <w:shd w:val="clear" w:color="auto" w:fill="FFFFFF"/>
              </w:rPr>
              <w:t xml:space="preserve">50/1976 Zb. o </w:t>
            </w:r>
          </w:p>
          <w:p w:rsidR="00F94985" w:rsidRPr="00F94985" w:rsidRDefault="00F94985" w:rsidP="00E7081A">
            <w:pPr>
              <w:tabs>
                <w:tab w:val="left" w:pos="426"/>
              </w:tabs>
              <w:jc w:val="both"/>
            </w:pPr>
            <w:r w:rsidRPr="00F94985">
              <w:rPr>
                <w:shd w:val="clear" w:color="auto" w:fill="FFFFFF"/>
              </w:rPr>
              <w:t xml:space="preserve">územnom plánovaní a stavebnom poriadku (stavebný zákon) v znení </w:t>
            </w:r>
            <w:r w:rsidRPr="00F94985">
              <w:t>neskorších predpisov</w:t>
            </w:r>
          </w:p>
          <w:p w:rsidR="00F94985" w:rsidRPr="00F94985" w:rsidRDefault="00F94985" w:rsidP="00E7081A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F94985" w:rsidRPr="00F94985" w:rsidTr="00E7081A">
        <w:tc>
          <w:tcPr>
            <w:tcW w:w="404" w:type="dxa"/>
          </w:tcPr>
          <w:p w:rsidR="00F94985" w:rsidRPr="00F94985" w:rsidRDefault="00F94985" w:rsidP="00E7081A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F94985" w:rsidRPr="00F94985" w:rsidRDefault="00F94985" w:rsidP="00E7081A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F94985" w:rsidRPr="00F94985" w:rsidTr="00E7081A">
        <w:tc>
          <w:tcPr>
            <w:tcW w:w="404" w:type="dxa"/>
          </w:tcPr>
          <w:p w:rsidR="00F94985" w:rsidRPr="00F94985" w:rsidRDefault="00F94985" w:rsidP="00E7081A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F94985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:rsidR="00F94985" w:rsidRPr="00F94985" w:rsidRDefault="00F94985" w:rsidP="00E7081A">
            <w:pPr>
              <w:tabs>
                <w:tab w:val="left" w:pos="360"/>
              </w:tabs>
              <w:rPr>
                <w:b/>
                <w:bCs/>
                <w:sz w:val="25"/>
                <w:szCs w:val="25"/>
              </w:rPr>
            </w:pPr>
            <w:r w:rsidRPr="00F94985">
              <w:rPr>
                <w:b/>
                <w:bCs/>
                <w:sz w:val="25"/>
                <w:szCs w:val="25"/>
              </w:rPr>
              <w:t>Predmet návrhu zákona nie je upravený v práve Európskej únie</w:t>
            </w:r>
          </w:p>
          <w:p w:rsidR="00F94985" w:rsidRPr="00F94985" w:rsidRDefault="00F94985" w:rsidP="00E7081A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</w:p>
          <w:p w:rsidR="00F94985" w:rsidRPr="00F94985" w:rsidRDefault="00F94985" w:rsidP="00E7081A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F94985" w:rsidRPr="00F94985" w:rsidTr="00E7081A">
        <w:tc>
          <w:tcPr>
            <w:tcW w:w="404" w:type="dxa"/>
          </w:tcPr>
          <w:p w:rsidR="00F94985" w:rsidRPr="00F94985" w:rsidRDefault="00F94985" w:rsidP="00E7081A">
            <w:pPr>
              <w:tabs>
                <w:tab w:val="left" w:pos="360"/>
              </w:tabs>
              <w:rPr>
                <w:b/>
              </w:rPr>
            </w:pPr>
            <w:r w:rsidRPr="00F94985">
              <w:rPr>
                <w:b/>
              </w:rPr>
              <w:t xml:space="preserve">4. </w:t>
            </w:r>
          </w:p>
        </w:tc>
        <w:tc>
          <w:tcPr>
            <w:tcW w:w="9627" w:type="dxa"/>
          </w:tcPr>
          <w:p w:rsidR="00F94985" w:rsidRPr="00F94985" w:rsidRDefault="00F94985" w:rsidP="00E7081A">
            <w:pPr>
              <w:tabs>
                <w:tab w:val="left" w:pos="360"/>
              </w:tabs>
              <w:rPr>
                <w:b/>
                <w:bCs/>
                <w:sz w:val="25"/>
                <w:szCs w:val="25"/>
              </w:rPr>
            </w:pPr>
            <w:r w:rsidRPr="00F94985">
              <w:rPr>
                <w:b/>
                <w:bCs/>
                <w:sz w:val="25"/>
                <w:szCs w:val="25"/>
              </w:rPr>
              <w:t>Záväzky Slovenskej republiky vo vzťahu k Európskej únii:</w:t>
            </w:r>
          </w:p>
          <w:p w:rsidR="00F94985" w:rsidRPr="00F94985" w:rsidRDefault="00F94985" w:rsidP="00E7081A">
            <w:pPr>
              <w:tabs>
                <w:tab w:val="left" w:pos="360"/>
              </w:tabs>
              <w:rPr>
                <w:b/>
                <w:bCs/>
                <w:sz w:val="23"/>
                <w:szCs w:val="23"/>
              </w:rPr>
            </w:pPr>
          </w:p>
          <w:p w:rsidR="00F94985" w:rsidRDefault="00F94985" w:rsidP="00F94985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94985">
              <w:rPr>
                <w:rFonts w:ascii="Times New Roman" w:hAnsi="Times New Roman"/>
              </w:rPr>
              <w:t>Bezpredmetné  vzhľadom na vnútroštátny charakter návrhu zákona</w:t>
            </w:r>
          </w:p>
          <w:p w:rsidR="004E2FA4" w:rsidRPr="00F94985" w:rsidRDefault="004E2FA4" w:rsidP="004E2FA4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4985" w:rsidRPr="00F94985" w:rsidTr="00E7081A">
        <w:tc>
          <w:tcPr>
            <w:tcW w:w="404" w:type="dxa"/>
          </w:tcPr>
          <w:p w:rsidR="00F94985" w:rsidRPr="00F94985" w:rsidRDefault="00F94985" w:rsidP="00E7081A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:rsidR="00F94985" w:rsidRPr="00F94985" w:rsidRDefault="00F94985" w:rsidP="00E7081A">
            <w:pPr>
              <w:tabs>
                <w:tab w:val="left" w:pos="360"/>
              </w:tabs>
              <w:rPr>
                <w:b/>
                <w:bCs/>
                <w:sz w:val="25"/>
                <w:szCs w:val="25"/>
              </w:rPr>
            </w:pPr>
          </w:p>
        </w:tc>
      </w:tr>
    </w:tbl>
    <w:p w:rsidR="00F94985" w:rsidRPr="00F94985" w:rsidRDefault="00F94985" w:rsidP="00F94985">
      <w:pPr>
        <w:tabs>
          <w:tab w:val="left" w:pos="360"/>
        </w:tabs>
        <w:jc w:val="both"/>
        <w:rPr>
          <w:rFonts w:ascii="Times New Roman" w:hAnsi="Times New Roman"/>
          <w:b/>
          <w:bCs/>
          <w:sz w:val="25"/>
          <w:szCs w:val="25"/>
        </w:rPr>
      </w:pPr>
      <w:r w:rsidRPr="00F94985">
        <w:rPr>
          <w:rFonts w:ascii="Times New Roman" w:hAnsi="Times New Roman"/>
          <w:b/>
          <w:bCs/>
          <w:sz w:val="25"/>
          <w:szCs w:val="25"/>
        </w:rPr>
        <w:t xml:space="preserve">5. </w:t>
      </w:r>
      <w:r w:rsidRPr="00F94985">
        <w:rPr>
          <w:rFonts w:ascii="Times New Roman" w:hAnsi="Times New Roman"/>
          <w:b/>
          <w:bCs/>
          <w:sz w:val="25"/>
          <w:szCs w:val="25"/>
        </w:rPr>
        <w:tab/>
      </w:r>
      <w:r w:rsidRPr="00F94985">
        <w:rPr>
          <w:rFonts w:ascii="Times New Roman" w:hAnsi="Times New Roman"/>
          <w:b/>
          <w:sz w:val="25"/>
          <w:szCs w:val="25"/>
        </w:rPr>
        <w:t>Návrh zákona je zlučiteľný s právom Európskej únie:</w:t>
      </w:r>
    </w:p>
    <w:p w:rsidR="00F94985" w:rsidRPr="00F94985" w:rsidRDefault="00F94985" w:rsidP="00F94985">
      <w:pPr>
        <w:pStyle w:val="Default"/>
        <w:rPr>
          <w:color w:val="auto"/>
          <w:sz w:val="23"/>
          <w:szCs w:val="23"/>
        </w:rPr>
      </w:pPr>
    </w:p>
    <w:p w:rsidR="00F94985" w:rsidRPr="00F94985" w:rsidRDefault="00F94985" w:rsidP="00F94985">
      <w:pPr>
        <w:pStyle w:val="Default"/>
        <w:ind w:firstLine="708"/>
      </w:pPr>
      <w:r w:rsidRPr="00F94985">
        <w:t>-      Bezpredmetné  vzhľadom na vnútroštátny charakter návrhu zákona</w:t>
      </w:r>
    </w:p>
    <w:p w:rsidR="00F94985" w:rsidRPr="00F94985" w:rsidRDefault="00F94985" w:rsidP="00F94985">
      <w:pPr>
        <w:pStyle w:val="Default"/>
        <w:ind w:firstLine="708"/>
      </w:pPr>
    </w:p>
    <w:p w:rsidR="00F94985" w:rsidRPr="00F94985" w:rsidRDefault="00F94985" w:rsidP="00F94985">
      <w:pPr>
        <w:pStyle w:val="Default"/>
        <w:ind w:firstLine="708"/>
        <w:rPr>
          <w:color w:val="auto"/>
          <w:sz w:val="23"/>
          <w:szCs w:val="23"/>
        </w:rPr>
      </w:pPr>
    </w:p>
    <w:p w:rsidR="00992725" w:rsidRPr="00F94985" w:rsidRDefault="00992725" w:rsidP="00992725">
      <w:pPr>
        <w:rPr>
          <w:rFonts w:ascii="Times New Roman" w:hAnsi="Times New Roman"/>
          <w:b/>
          <w:sz w:val="24"/>
          <w:szCs w:val="24"/>
        </w:rPr>
      </w:pPr>
      <w:r w:rsidRPr="00F94985">
        <w:rPr>
          <w:rFonts w:ascii="Times New Roman" w:hAnsi="Times New Roman"/>
          <w:b/>
          <w:sz w:val="24"/>
          <w:szCs w:val="24"/>
        </w:rPr>
        <w:br w:type="page"/>
      </w:r>
    </w:p>
    <w:p w:rsidR="00992725" w:rsidRPr="00F94985" w:rsidRDefault="00992725" w:rsidP="00992725">
      <w:pPr>
        <w:spacing w:after="0"/>
        <w:rPr>
          <w:rFonts w:ascii="Times New Roman" w:hAnsi="Times New Roman"/>
          <w:b/>
          <w:sz w:val="24"/>
          <w:szCs w:val="24"/>
        </w:rPr>
      </w:pPr>
      <w:r w:rsidRPr="00F94985">
        <w:rPr>
          <w:rFonts w:ascii="Times New Roman" w:hAnsi="Times New Roman"/>
          <w:b/>
          <w:sz w:val="24"/>
          <w:szCs w:val="24"/>
        </w:rPr>
        <w:lastRenderedPageBreak/>
        <w:t xml:space="preserve">B. Osobitná časť </w:t>
      </w:r>
    </w:p>
    <w:p w:rsidR="00992725" w:rsidRPr="00F94985" w:rsidRDefault="00992725" w:rsidP="0099272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A1D79" w:rsidRPr="007A1D79" w:rsidRDefault="00992725" w:rsidP="00992725">
      <w:pPr>
        <w:spacing w:after="0"/>
        <w:rPr>
          <w:rFonts w:ascii="Times New Roman" w:hAnsi="Times New Roman"/>
          <w:b/>
          <w:sz w:val="24"/>
          <w:szCs w:val="24"/>
        </w:rPr>
      </w:pPr>
      <w:r w:rsidRPr="007A1D79">
        <w:rPr>
          <w:rFonts w:ascii="Times New Roman" w:hAnsi="Times New Roman"/>
          <w:b/>
          <w:sz w:val="24"/>
          <w:szCs w:val="24"/>
        </w:rPr>
        <w:t>K čl. I</w:t>
      </w:r>
    </w:p>
    <w:p w:rsidR="007A1D79" w:rsidRPr="007A1D79" w:rsidRDefault="007A1D79" w:rsidP="009927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92725" w:rsidRPr="007A1D79" w:rsidRDefault="007A1D79" w:rsidP="00992725">
      <w:pPr>
        <w:spacing w:after="0"/>
        <w:rPr>
          <w:rFonts w:ascii="Times New Roman" w:hAnsi="Times New Roman"/>
          <w:b/>
          <w:sz w:val="24"/>
          <w:szCs w:val="24"/>
        </w:rPr>
      </w:pPr>
      <w:r w:rsidRPr="007A1D79">
        <w:rPr>
          <w:rFonts w:ascii="Times New Roman" w:hAnsi="Times New Roman"/>
          <w:b/>
          <w:sz w:val="24"/>
          <w:szCs w:val="24"/>
        </w:rPr>
        <w:t>K bodu 1</w:t>
      </w:r>
      <w:r w:rsidR="00992725" w:rsidRPr="007A1D79">
        <w:rPr>
          <w:rFonts w:ascii="Times New Roman" w:hAnsi="Times New Roman"/>
          <w:b/>
          <w:sz w:val="24"/>
          <w:szCs w:val="24"/>
        </w:rPr>
        <w:t xml:space="preserve"> </w:t>
      </w:r>
    </w:p>
    <w:p w:rsidR="00923D8B" w:rsidRDefault="00164B35" w:rsidP="00164B35">
      <w:pPr>
        <w:pStyle w:val="Normlnywebov"/>
        <w:spacing w:after="0"/>
        <w:ind w:firstLine="708"/>
        <w:jc w:val="both"/>
      </w:pPr>
      <w:r>
        <w:t xml:space="preserve">V § </w:t>
      </w:r>
      <w:r w:rsidR="00072282">
        <w:t>139b</w:t>
      </w:r>
      <w:r>
        <w:t xml:space="preserve"> </w:t>
      </w:r>
      <w:r w:rsidR="00072282">
        <w:t xml:space="preserve">ods. 10 </w:t>
      </w:r>
      <w:r w:rsidR="002B5C71">
        <w:t xml:space="preserve">sa navrhuje rozšírenie pojmu </w:t>
      </w:r>
      <w:r w:rsidR="00072282">
        <w:t>„</w:t>
      </w:r>
      <w:r w:rsidR="00072282" w:rsidRPr="00072282">
        <w:t>stavby pre bezpečnosť štátu</w:t>
      </w:r>
      <w:r w:rsidR="00072282">
        <w:t xml:space="preserve">“ o </w:t>
      </w:r>
      <w:r>
        <w:t xml:space="preserve">stavby </w:t>
      </w:r>
      <w:r w:rsidRPr="00F94985">
        <w:t>slúžiac</w:t>
      </w:r>
      <w:r>
        <w:t>e</w:t>
      </w:r>
      <w:r w:rsidRPr="00F94985">
        <w:t xml:space="preserve"> na plnenie úloh </w:t>
      </w:r>
      <w:r w:rsidR="00136408" w:rsidRPr="00F94985">
        <w:t>prezidenta Slovenskej republiky</w:t>
      </w:r>
      <w:r w:rsidR="00136408">
        <w:t>,</w:t>
      </w:r>
      <w:r w:rsidR="00136408" w:rsidRPr="00F94985">
        <w:t xml:space="preserve"> </w:t>
      </w:r>
      <w:r w:rsidRPr="00F94985">
        <w:t>predsedu Národnej rady Slovenskej republiky a</w:t>
      </w:r>
      <w:r w:rsidR="00F05F32">
        <w:t>lebo</w:t>
      </w:r>
      <w:r w:rsidRPr="00F94985">
        <w:t> predsedu vlády Slovenskej republiky</w:t>
      </w:r>
      <w:r>
        <w:t>. Ide o stavby, v ktorých je potrebné dodržiavať osobitné režimové opatrenia</w:t>
      </w:r>
      <w:r w:rsidRPr="00F94985">
        <w:t xml:space="preserve"> </w:t>
      </w:r>
      <w:r w:rsidR="002B5C71">
        <w:t>ohľadom ich bezpečnosti, keďže slúžia na plnenie úloh najvyšších ústavných činiteľov.</w:t>
      </w:r>
      <w:r w:rsidR="00923D8B">
        <w:t xml:space="preserve">  </w:t>
      </w:r>
    </w:p>
    <w:p w:rsidR="00992725" w:rsidRPr="007A1D79" w:rsidRDefault="00992725" w:rsidP="009927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92725" w:rsidRPr="007A1D79" w:rsidRDefault="00992725" w:rsidP="009927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1D79">
        <w:rPr>
          <w:rFonts w:ascii="Times New Roman" w:hAnsi="Times New Roman"/>
          <w:b/>
          <w:sz w:val="24"/>
          <w:szCs w:val="24"/>
        </w:rPr>
        <w:t>K</w:t>
      </w:r>
      <w:r w:rsidR="007A1D79">
        <w:rPr>
          <w:rFonts w:ascii="Times New Roman" w:hAnsi="Times New Roman"/>
          <w:b/>
          <w:sz w:val="24"/>
          <w:szCs w:val="24"/>
        </w:rPr>
        <w:t> </w:t>
      </w:r>
      <w:r w:rsidRPr="007A1D79">
        <w:rPr>
          <w:rFonts w:ascii="Times New Roman" w:hAnsi="Times New Roman"/>
          <w:b/>
          <w:sz w:val="24"/>
          <w:szCs w:val="24"/>
        </w:rPr>
        <w:t>bodu</w:t>
      </w:r>
      <w:r w:rsidR="007A1D79">
        <w:rPr>
          <w:rFonts w:ascii="Times New Roman" w:hAnsi="Times New Roman"/>
          <w:b/>
          <w:sz w:val="24"/>
          <w:szCs w:val="24"/>
        </w:rPr>
        <w:t xml:space="preserve"> 2</w:t>
      </w:r>
    </w:p>
    <w:p w:rsidR="004C6C74" w:rsidRPr="007A1D79" w:rsidRDefault="004C6C74" w:rsidP="008E76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C6C74" w:rsidRPr="007A1D79" w:rsidRDefault="00D52839" w:rsidP="004C6C74">
      <w:pPr>
        <w:keepNext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Navrhovaným p</w:t>
      </w:r>
      <w:r w:rsidR="004C6C74" w:rsidRPr="007A1D79">
        <w:rPr>
          <w:rFonts w:ascii="Times New Roman" w:hAnsi="Times New Roman"/>
          <w:sz w:val="24"/>
          <w:szCs w:val="24"/>
        </w:rPr>
        <w:t xml:space="preserve">rechodným ustanovením sa upravuje pôsobnosť </w:t>
      </w:r>
      <w:r w:rsidR="004C6C74" w:rsidRPr="00F94985">
        <w:rPr>
          <w:rFonts w:ascii="Times New Roman" w:hAnsi="Times New Roman"/>
        </w:rPr>
        <w:t>Ministerstv</w:t>
      </w:r>
      <w:r w:rsidR="006D248D">
        <w:rPr>
          <w:rFonts w:ascii="Times New Roman" w:hAnsi="Times New Roman"/>
        </w:rPr>
        <w:t>a</w:t>
      </w:r>
      <w:r w:rsidR="004C6C74" w:rsidRPr="00F94985">
        <w:rPr>
          <w:rFonts w:ascii="Times New Roman" w:hAnsi="Times New Roman"/>
        </w:rPr>
        <w:t xml:space="preserve"> vnútra Slovenskej republiky</w:t>
      </w:r>
      <w:r w:rsidR="004C6C74" w:rsidRPr="007A1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ako stavebného úradu v</w:t>
      </w:r>
      <w:r w:rsidR="004C6C74" w:rsidRPr="007A1D79">
        <w:rPr>
          <w:rFonts w:ascii="Times New Roman" w:hAnsi="Times New Roman"/>
          <w:sz w:val="24"/>
          <w:szCs w:val="24"/>
        </w:rPr>
        <w:t xml:space="preserve"> konania</w:t>
      </w:r>
      <w:r>
        <w:rPr>
          <w:rFonts w:ascii="Times New Roman" w:hAnsi="Times New Roman"/>
          <w:sz w:val="24"/>
          <w:szCs w:val="24"/>
        </w:rPr>
        <w:t>ch</w:t>
      </w:r>
      <w:r w:rsidR="004C6C74" w:rsidRPr="007A1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8A46F9">
        <w:rPr>
          <w:rFonts w:ascii="Times New Roman" w:hAnsi="Times New Roman"/>
          <w:sz w:val="24"/>
          <w:szCs w:val="24"/>
        </w:rPr>
        <w:t>stavbách slúži</w:t>
      </w:r>
      <w:r>
        <w:rPr>
          <w:rFonts w:ascii="Times New Roman" w:hAnsi="Times New Roman"/>
          <w:sz w:val="24"/>
          <w:szCs w:val="24"/>
        </w:rPr>
        <w:t xml:space="preserve">acich na plnenie úloh </w:t>
      </w:r>
      <w:r w:rsidR="00136408" w:rsidRPr="008A46F9">
        <w:rPr>
          <w:rFonts w:ascii="Times New Roman" w:hAnsi="Times New Roman"/>
          <w:sz w:val="24"/>
          <w:szCs w:val="24"/>
        </w:rPr>
        <w:t>prezidenta Slovenskej republiky</w:t>
      </w:r>
      <w:r w:rsidR="00136408">
        <w:rPr>
          <w:rFonts w:ascii="Times New Roman" w:hAnsi="Times New Roman"/>
          <w:sz w:val="24"/>
          <w:szCs w:val="24"/>
        </w:rPr>
        <w:t>,</w:t>
      </w:r>
      <w:r w:rsidR="00136408" w:rsidRPr="008A4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predsedu N</w:t>
      </w:r>
      <w:r w:rsidRPr="008A46F9">
        <w:rPr>
          <w:rFonts w:ascii="Times New Roman" w:hAnsi="Times New Roman"/>
          <w:sz w:val="24"/>
          <w:szCs w:val="24"/>
        </w:rPr>
        <w:t>árodnej rady Slovenskej republiky a</w:t>
      </w:r>
      <w:r w:rsidR="00F05F32">
        <w:rPr>
          <w:rFonts w:ascii="Times New Roman" w:hAnsi="Times New Roman"/>
          <w:sz w:val="24"/>
          <w:szCs w:val="24"/>
        </w:rPr>
        <w:t>lebo</w:t>
      </w:r>
      <w:r w:rsidRPr="008A46F9">
        <w:rPr>
          <w:rFonts w:ascii="Times New Roman" w:hAnsi="Times New Roman"/>
          <w:sz w:val="24"/>
          <w:szCs w:val="24"/>
        </w:rPr>
        <w:t xml:space="preserve"> predsedu vlády</w:t>
      </w:r>
      <w:r w:rsidRPr="007A1D79">
        <w:rPr>
          <w:rFonts w:ascii="Times New Roman" w:hAnsi="Times New Roman"/>
          <w:sz w:val="24"/>
          <w:szCs w:val="24"/>
        </w:rPr>
        <w:t xml:space="preserve"> </w:t>
      </w:r>
      <w:r w:rsidR="0030307F" w:rsidRPr="008A46F9">
        <w:rPr>
          <w:rFonts w:ascii="Times New Roman" w:hAnsi="Times New Roman"/>
          <w:sz w:val="24"/>
          <w:szCs w:val="24"/>
        </w:rPr>
        <w:t>Slovenskej republiky</w:t>
      </w:r>
      <w:r w:rsidR="0030307F" w:rsidRPr="007A1D79">
        <w:rPr>
          <w:rFonts w:ascii="Times New Roman" w:hAnsi="Times New Roman"/>
          <w:sz w:val="24"/>
          <w:szCs w:val="24"/>
        </w:rPr>
        <w:t xml:space="preserve"> </w:t>
      </w:r>
      <w:r w:rsidR="004C6C74" w:rsidRPr="007A1D79">
        <w:rPr>
          <w:rFonts w:ascii="Times New Roman" w:hAnsi="Times New Roman"/>
          <w:sz w:val="24"/>
          <w:szCs w:val="24"/>
        </w:rPr>
        <w:t>začat</w:t>
      </w:r>
      <w:r>
        <w:rPr>
          <w:rFonts w:ascii="Times New Roman" w:hAnsi="Times New Roman"/>
          <w:sz w:val="24"/>
          <w:szCs w:val="24"/>
        </w:rPr>
        <w:t>ých</w:t>
      </w:r>
      <w:r w:rsidR="004C6C74" w:rsidRPr="007A1D79">
        <w:rPr>
          <w:rFonts w:ascii="Times New Roman" w:hAnsi="Times New Roman"/>
          <w:sz w:val="24"/>
          <w:szCs w:val="24"/>
        </w:rPr>
        <w:t xml:space="preserve"> a právoplatne neukončen</w:t>
      </w:r>
      <w:r>
        <w:rPr>
          <w:rFonts w:ascii="Times New Roman" w:hAnsi="Times New Roman"/>
          <w:sz w:val="24"/>
          <w:szCs w:val="24"/>
        </w:rPr>
        <w:t>ých</w:t>
      </w:r>
      <w:r w:rsidR="004C6C74" w:rsidRPr="007A1D79">
        <w:rPr>
          <w:rFonts w:ascii="Times New Roman" w:hAnsi="Times New Roman"/>
          <w:sz w:val="24"/>
          <w:szCs w:val="24"/>
        </w:rPr>
        <w:t xml:space="preserve"> do nadobudnutia účinnosti tohto zákona. </w:t>
      </w:r>
    </w:p>
    <w:p w:rsidR="008E7637" w:rsidRPr="007A1D79" w:rsidRDefault="008E7637" w:rsidP="009927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E7637" w:rsidRPr="007A1D79" w:rsidRDefault="008E7637" w:rsidP="009927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92725" w:rsidRDefault="00992725" w:rsidP="009927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1D79">
        <w:rPr>
          <w:rFonts w:ascii="Times New Roman" w:hAnsi="Times New Roman"/>
          <w:b/>
          <w:sz w:val="24"/>
          <w:szCs w:val="24"/>
        </w:rPr>
        <w:t>K čl. II</w:t>
      </w:r>
    </w:p>
    <w:p w:rsidR="0030307F" w:rsidRPr="007A1D79" w:rsidRDefault="0030307F" w:rsidP="009927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92725" w:rsidRPr="007A1D79" w:rsidRDefault="00992725" w:rsidP="007A1D79">
      <w:pPr>
        <w:spacing w:after="0"/>
        <w:ind w:firstLine="709"/>
        <w:jc w:val="both"/>
        <w:rPr>
          <w:rFonts w:ascii="Times New Roman" w:hAnsi="Times New Roman"/>
        </w:rPr>
      </w:pPr>
      <w:r w:rsidRPr="007A1D79">
        <w:rPr>
          <w:rFonts w:ascii="Times New Roman" w:hAnsi="Times New Roman"/>
          <w:sz w:val="24"/>
          <w:szCs w:val="24"/>
        </w:rPr>
        <w:t xml:space="preserve">Ustanovuje sa účinnosť zákona tak, aby </w:t>
      </w:r>
      <w:r w:rsidR="004C6C74">
        <w:rPr>
          <w:rFonts w:ascii="Times New Roman" w:hAnsi="Times New Roman"/>
          <w:sz w:val="24"/>
          <w:szCs w:val="24"/>
        </w:rPr>
        <w:t>reflektovala predpokladanú dĺžku</w:t>
      </w:r>
      <w:r w:rsidRPr="007A1D79">
        <w:rPr>
          <w:rFonts w:ascii="Times New Roman" w:hAnsi="Times New Roman"/>
          <w:sz w:val="24"/>
          <w:szCs w:val="24"/>
        </w:rPr>
        <w:t xml:space="preserve"> procesu prerokúvania a schvaľovania zákonov Národnou radou Slovenskej republiky.</w:t>
      </w:r>
    </w:p>
    <w:p w:rsidR="00AA692C" w:rsidRPr="00F94985" w:rsidRDefault="00AA692C" w:rsidP="00992725">
      <w:pPr>
        <w:spacing w:after="0" w:line="240" w:lineRule="auto"/>
        <w:rPr>
          <w:rFonts w:ascii="Times New Roman" w:hAnsi="Times New Roman"/>
        </w:rPr>
      </w:pPr>
    </w:p>
    <w:sectPr w:rsidR="00AA692C" w:rsidRPr="00F94985" w:rsidSect="00F9498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38" w:rsidRDefault="00186C38" w:rsidP="00F94985">
      <w:pPr>
        <w:spacing w:after="0" w:line="240" w:lineRule="auto"/>
      </w:pPr>
      <w:r>
        <w:separator/>
      </w:r>
    </w:p>
  </w:endnote>
  <w:endnote w:type="continuationSeparator" w:id="0">
    <w:p w:rsidR="00186C38" w:rsidRDefault="00186C38" w:rsidP="00F9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85" w:rsidRDefault="00F9498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C27EE">
      <w:rPr>
        <w:noProof/>
      </w:rPr>
      <w:t>5</w:t>
    </w:r>
    <w:r>
      <w:fldChar w:fldCharType="end"/>
    </w:r>
  </w:p>
  <w:p w:rsidR="00F94985" w:rsidRDefault="00F949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38" w:rsidRDefault="00186C38" w:rsidP="00F94985">
      <w:pPr>
        <w:spacing w:after="0" w:line="240" w:lineRule="auto"/>
      </w:pPr>
      <w:r>
        <w:separator/>
      </w:r>
    </w:p>
  </w:footnote>
  <w:footnote w:type="continuationSeparator" w:id="0">
    <w:p w:rsidR="00186C38" w:rsidRDefault="00186C38" w:rsidP="00F94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0635A"/>
    <w:multiLevelType w:val="hybridMultilevel"/>
    <w:tmpl w:val="04AA30BC"/>
    <w:lvl w:ilvl="0" w:tplc="241ED6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5424F"/>
    <w:multiLevelType w:val="hybridMultilevel"/>
    <w:tmpl w:val="B76ACB70"/>
    <w:lvl w:ilvl="0" w:tplc="642C49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25"/>
    <w:rsid w:val="00000253"/>
    <w:rsid w:val="0002219A"/>
    <w:rsid w:val="00032ACC"/>
    <w:rsid w:val="00066846"/>
    <w:rsid w:val="00072282"/>
    <w:rsid w:val="00072D06"/>
    <w:rsid w:val="00131B32"/>
    <w:rsid w:val="00136408"/>
    <w:rsid w:val="001422E0"/>
    <w:rsid w:val="00164B35"/>
    <w:rsid w:val="00186C38"/>
    <w:rsid w:val="001A517F"/>
    <w:rsid w:val="001B584E"/>
    <w:rsid w:val="001C0FFE"/>
    <w:rsid w:val="00225D94"/>
    <w:rsid w:val="00253806"/>
    <w:rsid w:val="0028042F"/>
    <w:rsid w:val="002B5C71"/>
    <w:rsid w:val="002C07B8"/>
    <w:rsid w:val="002D6557"/>
    <w:rsid w:val="002E0627"/>
    <w:rsid w:val="0030307F"/>
    <w:rsid w:val="00304983"/>
    <w:rsid w:val="0032118A"/>
    <w:rsid w:val="00330EE1"/>
    <w:rsid w:val="0048604F"/>
    <w:rsid w:val="004C6C74"/>
    <w:rsid w:val="004E2FA4"/>
    <w:rsid w:val="004F595F"/>
    <w:rsid w:val="005B622F"/>
    <w:rsid w:val="00635C68"/>
    <w:rsid w:val="00674043"/>
    <w:rsid w:val="006D248D"/>
    <w:rsid w:val="006D75BA"/>
    <w:rsid w:val="006D79F4"/>
    <w:rsid w:val="00707761"/>
    <w:rsid w:val="007651D1"/>
    <w:rsid w:val="007A1D79"/>
    <w:rsid w:val="008153A5"/>
    <w:rsid w:val="008442F3"/>
    <w:rsid w:val="00847ED7"/>
    <w:rsid w:val="00852E26"/>
    <w:rsid w:val="008A46F9"/>
    <w:rsid w:val="008E7637"/>
    <w:rsid w:val="0090561C"/>
    <w:rsid w:val="00923D8B"/>
    <w:rsid w:val="00992725"/>
    <w:rsid w:val="009A2F08"/>
    <w:rsid w:val="009A4AB8"/>
    <w:rsid w:val="009A7EE2"/>
    <w:rsid w:val="009B3D22"/>
    <w:rsid w:val="009C3870"/>
    <w:rsid w:val="00A33B16"/>
    <w:rsid w:val="00A86E2A"/>
    <w:rsid w:val="00AA692C"/>
    <w:rsid w:val="00B06366"/>
    <w:rsid w:val="00B90213"/>
    <w:rsid w:val="00BA2329"/>
    <w:rsid w:val="00BC5B15"/>
    <w:rsid w:val="00BE1CD8"/>
    <w:rsid w:val="00C15AF0"/>
    <w:rsid w:val="00C46DCA"/>
    <w:rsid w:val="00C61B44"/>
    <w:rsid w:val="00C8010B"/>
    <w:rsid w:val="00D02C93"/>
    <w:rsid w:val="00D52839"/>
    <w:rsid w:val="00DA0CE9"/>
    <w:rsid w:val="00DC27EE"/>
    <w:rsid w:val="00DF4F68"/>
    <w:rsid w:val="00E0688A"/>
    <w:rsid w:val="00E61F19"/>
    <w:rsid w:val="00E7081A"/>
    <w:rsid w:val="00E8481B"/>
    <w:rsid w:val="00EA25D7"/>
    <w:rsid w:val="00EE7D57"/>
    <w:rsid w:val="00F05F32"/>
    <w:rsid w:val="00F35325"/>
    <w:rsid w:val="00F94985"/>
    <w:rsid w:val="00F95903"/>
    <w:rsid w:val="00FA68EF"/>
    <w:rsid w:val="00FD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BB385"/>
  <w14:defaultImageDpi w14:val="0"/>
  <w15:docId w15:val="{A9C7F518-32C6-4A48-B302-FAB1A95D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2725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992725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992725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Zkladntext">
    <w:name w:val="Body Text"/>
    <w:basedOn w:val="Normlny"/>
    <w:link w:val="ZkladntextChar"/>
    <w:uiPriority w:val="99"/>
    <w:unhideWhenUsed/>
    <w:rsid w:val="00992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92725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92725"/>
    <w:rPr>
      <w:rFonts w:ascii="Calibri" w:hAnsi="Calibri"/>
    </w:rPr>
  </w:style>
  <w:style w:type="character" w:styleId="Hypertextovprepojenie">
    <w:name w:val="Hyperlink"/>
    <w:basedOn w:val="Predvolenpsmoodseku"/>
    <w:uiPriority w:val="99"/>
    <w:unhideWhenUsed/>
    <w:rsid w:val="00C46DCA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46DCA"/>
    <w:rPr>
      <w:rFonts w:cs="Times New Roman"/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A68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815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99"/>
    <w:unhideWhenUsed/>
    <w:rsid w:val="00F94985"/>
    <w:pPr>
      <w:spacing w:after="0" w:line="240" w:lineRule="auto"/>
    </w:pPr>
    <w:rPr>
      <w:rFonts w:ascii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9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94985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F9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F94985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2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2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6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A91E9-E47B-42B5-B9CF-3EE96ABC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5466</Characters>
  <Application>Microsoft Office Word</Application>
  <DocSecurity>0</DocSecurity>
  <Lines>45</Lines>
  <Paragraphs>12</Paragraphs>
  <ScaleCrop>false</ScaleCrop>
  <Company>Kancelaria NRSR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Rohaľ Peter</dc:creator>
  <cp:keywords/>
  <dc:description/>
  <cp:lastModifiedBy>dtp</cp:lastModifiedBy>
  <cp:revision>2</cp:revision>
  <cp:lastPrinted>2018-11-09T10:13:00Z</cp:lastPrinted>
  <dcterms:created xsi:type="dcterms:W3CDTF">2018-11-09T10:14:00Z</dcterms:created>
  <dcterms:modified xsi:type="dcterms:W3CDTF">2018-11-09T10:14:00Z</dcterms:modified>
</cp:coreProperties>
</file>