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E5" w:rsidRDefault="00963DE5" w:rsidP="00065D6B">
      <w:pPr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bookmarkStart w:id="0" w:name="_GoBack"/>
      <w:bookmarkEnd w:id="0"/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FD52B2" w:rsidRDefault="00BB30C7" w:rsidP="007D2128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7D2128" w:rsidRPr="00844441">
        <w:rPr>
          <w:rFonts w:eastAsia="Times New Roman" w:cs="Times New Roman"/>
          <w:kern w:val="0"/>
          <w:lang w:eastAsia="en-US" w:bidi="ar-SA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</w:t>
      </w:r>
    </w:p>
    <w:p w:rsidR="007D2128" w:rsidRDefault="007D2128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9446B5" w:rsidRPr="00000576" w:rsidRDefault="009446B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6859B1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5D59E8" w:rsidRDefault="006859B1" w:rsidP="00C16709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</w:t>
      </w:r>
      <w:r w:rsidR="00065D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nepredpokladá </w:t>
      </w:r>
      <w:r w:rsidR="005D59E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negatívne vplyvy na rozpočet verejnej správy v súvislosti s vydávaním a doručovaním </w:t>
      </w:r>
      <w:r w:rsidR="00065D6B">
        <w:rPr>
          <w:rFonts w:ascii="Times New Roman" w:hAnsi="Times New Roman" w:cs="Times New Roman"/>
          <w:color w:val="000000"/>
          <w:sz w:val="24"/>
          <w:szCs w:val="24"/>
          <w:lang w:val="sk-SK"/>
        </w:rPr>
        <w:t>záväzných stanovísk, pretože inšpektorát práce bude môcť požadovať úhradu materiálnych nákladov.</w:t>
      </w:r>
      <w:r w:rsidR="00065D6B" w:rsidRPr="00065D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65D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Rovnako platí, že pokiaľ inšpektoráty práce nebudú musieť iniciovať konanie pre porušenie aspoň niektorých prípadov dnešného porušovania minimálnych mzdových nárokov, ich personálne kapacity budú môcť byť použité inde. </w:t>
      </w:r>
      <w:r w:rsidR="005D59E8">
        <w:rPr>
          <w:rFonts w:ascii="Times New Roman" w:hAnsi="Times New Roman" w:cs="Times New Roman"/>
          <w:color w:val="000000"/>
          <w:sz w:val="24"/>
          <w:szCs w:val="24"/>
          <w:lang w:val="sk-SK"/>
        </w:rPr>
        <w:t>Na druhej strane, predpokladané zvýšené dodržiavanie minimálnych mzdových nárokov by malo pozitívne vplyvy, pretože pri pracovnom mieste patriacemu k vyššiemu stupňu náročnosti práce dochádza k zvýšenému výberu daní a odvodov.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160969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135169" w:rsidRDefault="00135169">
      <w:pPr>
        <w:widowControl/>
        <w:suppressAutoHyphens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80295">
        <w:rPr>
          <w:rFonts w:eastAsia="Times New Roman" w:cs="Times New Roman"/>
          <w:lang w:eastAsia="en-US" w:bidi="ar-SA"/>
        </w:rPr>
        <w:t>c</w:t>
      </w:r>
      <w:r w:rsidR="00AE0C40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03C33">
        <w:rPr>
          <w:rFonts w:eastAsia="Times New Roman" w:cs="Times New Roman"/>
          <w:lang w:eastAsia="en-US" w:bidi="ar-SA"/>
        </w:rPr>
        <w:t>Miroslav Beblavý</w:t>
      </w:r>
      <w:r w:rsidR="007D2128">
        <w:rPr>
          <w:rFonts w:eastAsia="Times New Roman" w:cs="Times New Roman"/>
          <w:lang w:eastAsia="en-US" w:bidi="ar-SA"/>
        </w:rPr>
        <w:t xml:space="preserve">, </w:t>
      </w:r>
      <w:r w:rsidR="00ED0855">
        <w:rPr>
          <w:rFonts w:eastAsia="Times New Roman" w:cs="Times New Roman"/>
          <w:lang w:eastAsia="en-US" w:bidi="ar-SA"/>
        </w:rPr>
        <w:t xml:space="preserve">Viera Dubačová, </w:t>
      </w:r>
      <w:r w:rsidR="006638B1">
        <w:rPr>
          <w:rFonts w:eastAsia="Times New Roman" w:cs="Times New Roman"/>
          <w:lang w:eastAsia="en-US" w:bidi="ar-SA"/>
        </w:rPr>
        <w:t>Jozef Mihál</w:t>
      </w:r>
      <w:r w:rsidR="007D2128">
        <w:rPr>
          <w:rFonts w:eastAsia="Times New Roman" w:cs="Times New Roman"/>
          <w:lang w:eastAsia="en-US" w:bidi="ar-SA"/>
        </w:rPr>
        <w:t xml:space="preserve"> a 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D52B2" w:rsidRDefault="001128E2" w:rsidP="007D212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7D2128" w:rsidRPr="00844441">
        <w:rPr>
          <w:rFonts w:eastAsia="Times New Roman" w:cs="Times New Roman"/>
          <w:kern w:val="0"/>
          <w:lang w:eastAsia="en-US" w:bidi="ar-SA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</w:t>
      </w:r>
      <w:r w:rsidR="007D2128">
        <w:rPr>
          <w:rFonts w:eastAsia="Times New Roman" w:cs="Times New Roman"/>
          <w:kern w:val="0"/>
          <w:lang w:eastAsia="en-US" w:bidi="ar-SA"/>
        </w:rPr>
        <w:t>.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RDefault="008D47D8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RDefault="008D47D8" w:rsidP="00135169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:rsidR="009446B5" w:rsidRDefault="009446B5" w:rsidP="00135169">
      <w:pPr>
        <w:jc w:val="both"/>
        <w:rPr>
          <w:rFonts w:cs="Times New Roman"/>
        </w:rPr>
      </w:pPr>
    </w:p>
    <w:p w:rsidR="009446B5" w:rsidRPr="00BF6BBA" w:rsidRDefault="009446B5" w:rsidP="009446B5"/>
    <w:p w:rsidR="009446B5" w:rsidRDefault="009446B5" w:rsidP="00135169">
      <w:pPr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F7" w:rsidRDefault="00D064F7" w:rsidP="0090548E">
      <w:r>
        <w:separator/>
      </w:r>
    </w:p>
  </w:endnote>
  <w:endnote w:type="continuationSeparator" w:id="0">
    <w:p w:rsidR="00D064F7" w:rsidRDefault="00D064F7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F7" w:rsidRDefault="00D064F7" w:rsidP="0090548E">
      <w:r>
        <w:separator/>
      </w:r>
    </w:p>
  </w:footnote>
  <w:footnote w:type="continuationSeparator" w:id="0">
    <w:p w:rsidR="00D064F7" w:rsidRDefault="00D064F7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1FA2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5F5B"/>
    <w:rsid w:val="003968A7"/>
    <w:rsid w:val="00397539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2128"/>
    <w:rsid w:val="007D6F6A"/>
    <w:rsid w:val="007E17C6"/>
    <w:rsid w:val="007E3D61"/>
    <w:rsid w:val="007E4594"/>
    <w:rsid w:val="007E71A4"/>
    <w:rsid w:val="007F3D73"/>
    <w:rsid w:val="007F6748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14E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064F7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0855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5938-A30C-4174-AF2A-E74C763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2018-11-09T10:11:00Z</dcterms:created>
  <dcterms:modified xsi:type="dcterms:W3CDTF">2018-11-09T10:11:00Z</dcterms:modified>
</cp:coreProperties>
</file>