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 dopĺňa zákon č. 125/2006 Z. z. </w:t>
      </w:r>
      <w:r w:rsidRPr="00155B9A">
        <w:rPr>
          <w:rFonts w:eastAsia="Times New Roman" w:cs="Times New Roman"/>
          <w:b/>
          <w:bCs/>
          <w:kern w:val="0"/>
          <w:lang w:eastAsia="sk-SK" w:bidi="ar-SA"/>
        </w:rPr>
        <w:t>o inšpekcii práce a o zmene a doplnení zákona č. 82/2005 Z. z. o nelegálnej práci a nelegálnom zamestnávaní a o zmene a doplnení niektorých zákonov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 v znení neskorších predpisov a ktorým sa mení a dopĺňa zákon č. </w:t>
      </w:r>
      <w:r w:rsidRPr="00155B9A">
        <w:rPr>
          <w:rFonts w:eastAsia="Times New Roman" w:cs="Times New Roman"/>
          <w:b/>
          <w:bCs/>
          <w:kern w:val="0"/>
          <w:lang w:eastAsia="sk-SK" w:bidi="ar-SA"/>
        </w:rPr>
        <w:t>5/2004 Z. z.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Pr="00155B9A">
        <w:rPr>
          <w:rFonts w:eastAsia="Times New Roman" w:cs="Times New Roman"/>
          <w:b/>
          <w:bCs/>
          <w:kern w:val="0"/>
          <w:lang w:eastAsia="sk-SK" w:bidi="ar-SA"/>
        </w:rPr>
        <w:t>o službách zamestnanosti a o zmene a doplnení niektorých zákonov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 v znení neskorších predpisov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3D1EFB" w:rsidRDefault="003D1EFB" w:rsidP="003D1EF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3D1EFB" w:rsidRPr="005317E9" w:rsidRDefault="003D1EFB" w:rsidP="003D1EFB">
      <w:pPr>
        <w:jc w:val="center"/>
        <w:rPr>
          <w:rFonts w:cs="Times New Roman"/>
          <w:b/>
        </w:rPr>
      </w:pPr>
      <w:r w:rsidRPr="005317E9">
        <w:rPr>
          <w:rFonts w:cs="Times New Roman"/>
          <w:b/>
        </w:rPr>
        <w:t>Čl. I</w:t>
      </w:r>
    </w:p>
    <w:p w:rsidR="003D1EFB" w:rsidRPr="005317E9" w:rsidRDefault="003D1EFB" w:rsidP="003D1EFB">
      <w:pPr>
        <w:jc w:val="both"/>
        <w:rPr>
          <w:rFonts w:cs="Times New Roman"/>
        </w:rPr>
      </w:pPr>
      <w:r w:rsidRPr="005317E9">
        <w:rPr>
          <w:rFonts w:cs="Times New Roman"/>
        </w:rPr>
        <w:tab/>
      </w:r>
    </w:p>
    <w:p w:rsidR="003D1EFB" w:rsidRDefault="003D1EFB" w:rsidP="003D1EFB">
      <w:pPr>
        <w:ind w:firstLine="708"/>
        <w:jc w:val="both"/>
        <w:rPr>
          <w:rFonts w:cs="Times New Roman"/>
        </w:rPr>
      </w:pPr>
      <w:r w:rsidRPr="005317E9">
        <w:rPr>
          <w:rFonts w:cs="Times New Roman"/>
        </w:rPr>
        <w:t>Zákon č. 125/2006 Z. z. o inšpekcii práce a o zmene a doplnení zákona č. 82/2005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zákona č. 154/2013 Z. z., zákona č. 308/2013 Z. z., zákona č. 307/2014 Z. z., zákona č. 128/2015 Z</w:t>
      </w:r>
      <w:r>
        <w:rPr>
          <w:rFonts w:cs="Times New Roman"/>
        </w:rPr>
        <w:t>. z., zákona č. 351/2015 Z. z.,</w:t>
      </w:r>
      <w:r w:rsidRPr="005317E9">
        <w:rPr>
          <w:rFonts w:cs="Times New Roman"/>
        </w:rPr>
        <w:t xml:space="preserve"> zákona č. 440/2015 Z. z. </w:t>
      </w:r>
      <w:r>
        <w:rPr>
          <w:rFonts w:cs="Times New Roman"/>
        </w:rPr>
        <w:t xml:space="preserve">a zákona č. 82/2017 Z. z. </w:t>
      </w:r>
      <w:r w:rsidRPr="005317E9">
        <w:rPr>
          <w:rFonts w:cs="Times New Roman"/>
        </w:rPr>
        <w:t>sa mení a dopĺňa takto:</w:t>
      </w:r>
    </w:p>
    <w:p w:rsidR="003D1EFB" w:rsidRDefault="003D1EFB" w:rsidP="003D1EFB">
      <w:pPr>
        <w:ind w:firstLine="708"/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1. § 4 sa dopĺňa písm. k), ktoré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„k) ustanovuje všeobecne záväzným právnym predpisom stupeň náročnosti práce pre pracovné miesto uvedené v národnej sústave povolaní,</w:t>
      </w:r>
      <w:r w:rsidRPr="00973A54">
        <w:rPr>
          <w:rFonts w:cs="Times New Roman"/>
          <w:vertAlign w:val="superscript"/>
        </w:rPr>
        <w:t>10a</w:t>
      </w:r>
      <w:r>
        <w:rPr>
          <w:rFonts w:cs="Times New Roman"/>
        </w:rPr>
        <w:t>) pri ktorom povinnosť priradiť stupeň náročnosti práce vyplýva z osobitného predpisu.</w:t>
      </w:r>
      <w:r w:rsidRPr="00973A54">
        <w:rPr>
          <w:rFonts w:cs="Times New Roman"/>
          <w:vertAlign w:val="superscript"/>
        </w:rPr>
        <w:t>10b</w:t>
      </w:r>
      <w:r>
        <w:rPr>
          <w:rFonts w:cs="Times New Roman"/>
        </w:rPr>
        <w:t>)“.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Poznámky pod čiarou k odkazom 10a) a 10b) znejú: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 xml:space="preserve">„10a) § 35a zákona č. 5/2004 Z. z. </w:t>
      </w:r>
      <w:r w:rsidRPr="00973A54">
        <w:rPr>
          <w:rFonts w:cs="Times New Roman"/>
        </w:rPr>
        <w:t>o službách zamestnanosti a o zmene a doplnení niektorých zákonov</w:t>
      </w:r>
      <w:r>
        <w:rPr>
          <w:rFonts w:cs="Times New Roman"/>
        </w:rPr>
        <w:t>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10b) § 120 ods. 3 Zákonníka práce.“.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2. V § 7 ods. 3 sa za písm. s) vkladá nové písm. t), ktoré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„t) vydáva záväzné stanovisko k uplatneniu minimálnych mzdových nárokov podľa § 7b,“.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Doterajšie písm. t) sa označuje ako písm. u).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3. Za § 7a sa vkladá § 7b, ktorý vrátane nadpisu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center"/>
        <w:rPr>
          <w:rFonts w:cs="Times New Roman"/>
        </w:rPr>
      </w:pPr>
      <w:r>
        <w:rPr>
          <w:rFonts w:cs="Times New Roman"/>
        </w:rPr>
        <w:t>„§ 7b</w:t>
      </w:r>
    </w:p>
    <w:p w:rsidR="003D1EFB" w:rsidRDefault="003D1EFB" w:rsidP="003D1EFB">
      <w:pPr>
        <w:jc w:val="center"/>
        <w:rPr>
          <w:rFonts w:cs="Times New Roman"/>
        </w:rPr>
      </w:pPr>
      <w:r>
        <w:rPr>
          <w:rFonts w:cs="Times New Roman"/>
        </w:rPr>
        <w:t>Záväzné stanovisko k uplatneniu minimálnych mzdových nárokov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 w:rsidRPr="00F05CC8">
        <w:rPr>
          <w:rFonts w:cs="Times New Roman"/>
        </w:rPr>
        <w:t xml:space="preserve">(1) </w:t>
      </w:r>
      <w:r>
        <w:rPr>
          <w:rFonts w:cs="Times New Roman"/>
        </w:rPr>
        <w:t>Inšpektorát práce poskytuje záväzné stanovisko k uplatneniu minimálnych mzdových nárokov</w:t>
      </w:r>
      <w:r w:rsidRPr="005317E9">
        <w:rPr>
          <w:rFonts w:cs="Times New Roman"/>
          <w:vertAlign w:val="superscript"/>
        </w:rPr>
        <w:t>18j</w:t>
      </w:r>
      <w:r>
        <w:rPr>
          <w:rFonts w:cs="Times New Roman"/>
        </w:rPr>
        <w:t>) subjektu, ktorého práva alebo právom chránené záujmy môžu byť nesprávnym uplatnením minimálnych mzdových nárokov dotknuté (ďalej len „oprávnený subjekt“).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(2) Za oprávnený subjekt sa považuje najmä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a) zamestnávateľ,</w:t>
      </w: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b) fyzická osoba, ktorá je podnikateľom a nie je zamestnávateľom,</w:t>
      </w: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c) zamestnanec,</w:t>
      </w: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d) zástupcovia zamestnancov.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 xml:space="preserve">(3) Záväzné stanovisko k uplatneniu minimálnych mzdových nárokov poskytuje inšpektorát práce na základe písomnej žiadosti alebo </w:t>
      </w:r>
      <w:r w:rsidRPr="003D3BC8">
        <w:rPr>
          <w:rFonts w:cs="Times New Roman"/>
        </w:rPr>
        <w:t>žiadosti podanej elektronickými prostriedkami podpísanej zaručený</w:t>
      </w:r>
      <w:r>
        <w:rPr>
          <w:rFonts w:cs="Times New Roman"/>
        </w:rPr>
        <w:t>m elektronickým podpisom.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Pr="00AC6C3A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(4</w:t>
      </w:r>
      <w:r w:rsidRPr="00FF3F2F">
        <w:rPr>
          <w:rFonts w:cs="Times New Roman"/>
        </w:rPr>
        <w:t xml:space="preserve">) </w:t>
      </w:r>
      <w:r>
        <w:rPr>
          <w:rFonts w:cs="Times New Roman"/>
        </w:rPr>
        <w:t xml:space="preserve">Žiadosť o záväzné stanovisko k uplatneniu minimálnych mzdových nárokov musí obsahovať kópiu pracovnej zmluvy alebo dokument, ktorý obsahuje </w:t>
      </w:r>
      <w:r w:rsidRPr="000B3716">
        <w:rPr>
          <w:rFonts w:cs="Times New Roman"/>
        </w:rPr>
        <w:t>náležitosti pracovnej zmluvy</w:t>
      </w:r>
      <w:r>
        <w:rPr>
          <w:rFonts w:cs="Times New Roman"/>
        </w:rPr>
        <w:t xml:space="preserve">. Oprávnený subjekt uvedie v žiadosti aj vyjadrenie k stupňu náročnosti práce priradenému k pracovnému miestu, ktorého sa pracovná zmluva alebo dokument týka. Žiadosť nemusí obsahovať </w:t>
      </w:r>
      <w:r w:rsidRPr="00AC6C3A">
        <w:rPr>
          <w:rFonts w:cs="Times New Roman"/>
        </w:rPr>
        <w:t>identifikačné údaje zamestnávateľa</w:t>
      </w:r>
      <w:r>
        <w:rPr>
          <w:rFonts w:cs="Times New Roman"/>
        </w:rPr>
        <w:t>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Pr="00FF3F2F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(5</w:t>
      </w:r>
      <w:r w:rsidRPr="00FF3F2F">
        <w:rPr>
          <w:rFonts w:cs="Times New Roman"/>
        </w:rPr>
        <w:t xml:space="preserve">) Ak žiadosť </w:t>
      </w:r>
      <w:r>
        <w:rPr>
          <w:rFonts w:cs="Times New Roman"/>
        </w:rPr>
        <w:t xml:space="preserve">oprávneného subjektu </w:t>
      </w:r>
      <w:r w:rsidRPr="00FF3F2F">
        <w:rPr>
          <w:rFonts w:cs="Times New Roman"/>
        </w:rPr>
        <w:t xml:space="preserve">neobsahuje </w:t>
      </w:r>
      <w:r>
        <w:rPr>
          <w:rFonts w:cs="Times New Roman"/>
        </w:rPr>
        <w:t xml:space="preserve">dokumentáciu podľa odseku 4, inšpektorát práce </w:t>
      </w:r>
      <w:r w:rsidRPr="00FF3F2F">
        <w:rPr>
          <w:rFonts w:cs="Times New Roman"/>
        </w:rPr>
        <w:t xml:space="preserve">vyzve </w:t>
      </w:r>
      <w:r>
        <w:rPr>
          <w:rFonts w:cs="Times New Roman"/>
        </w:rPr>
        <w:t xml:space="preserve">oprávnený </w:t>
      </w:r>
      <w:r w:rsidRPr="00FF3F2F">
        <w:rPr>
          <w:rFonts w:cs="Times New Roman"/>
        </w:rPr>
        <w:t xml:space="preserve">subjekt v lehote do </w:t>
      </w:r>
      <w:r>
        <w:rPr>
          <w:rFonts w:cs="Times New Roman"/>
        </w:rPr>
        <w:t xml:space="preserve">ôsmich </w:t>
      </w:r>
      <w:r w:rsidRPr="00FF3F2F">
        <w:rPr>
          <w:rFonts w:cs="Times New Roman"/>
        </w:rPr>
        <w:t xml:space="preserve">pracovných dní od doručenia žiadosti, aby v lehote do ôsmich pracovných dní od doručenia výzvy doplnil svoje podanie v požadovanom rozsahu. Ak </w:t>
      </w:r>
      <w:r>
        <w:rPr>
          <w:rFonts w:cs="Times New Roman"/>
        </w:rPr>
        <w:t xml:space="preserve">oprávnený </w:t>
      </w:r>
      <w:r w:rsidRPr="00FF3F2F">
        <w:rPr>
          <w:rFonts w:cs="Times New Roman"/>
        </w:rPr>
        <w:t xml:space="preserve">subjekt výzve </w:t>
      </w:r>
      <w:r>
        <w:rPr>
          <w:rFonts w:cs="Times New Roman"/>
        </w:rPr>
        <w:t xml:space="preserve">inšpektorátu práce </w:t>
      </w:r>
      <w:r w:rsidRPr="00FF3F2F">
        <w:rPr>
          <w:rFonts w:cs="Times New Roman"/>
        </w:rPr>
        <w:t>nevyhovie v plnom rozsahu a v určenej lehote, považuje sa táto žiadosť za nepodanú a</w:t>
      </w:r>
      <w:r>
        <w:rPr>
          <w:rFonts w:cs="Times New Roman"/>
        </w:rPr>
        <w:t xml:space="preserve"> inšpektorát práce </w:t>
      </w:r>
      <w:r w:rsidRPr="00FF3F2F">
        <w:rPr>
          <w:rFonts w:cs="Times New Roman"/>
        </w:rPr>
        <w:t>oznámi túto skutočnosť</w:t>
      </w:r>
      <w:r>
        <w:rPr>
          <w:rFonts w:cs="Times New Roman"/>
        </w:rPr>
        <w:t xml:space="preserve"> oprávnenému </w:t>
      </w:r>
      <w:r w:rsidRPr="00FF3F2F">
        <w:rPr>
          <w:rFonts w:cs="Times New Roman"/>
        </w:rPr>
        <w:t>subjektu.</w:t>
      </w:r>
    </w:p>
    <w:p w:rsidR="003D1EFB" w:rsidRPr="00FF3F2F" w:rsidRDefault="003D1EFB" w:rsidP="003D1EFB">
      <w:pPr>
        <w:jc w:val="both"/>
        <w:rPr>
          <w:rFonts w:cs="Times New Roman"/>
        </w:rPr>
      </w:pPr>
    </w:p>
    <w:p w:rsidR="005502C5" w:rsidRPr="005502C5" w:rsidRDefault="003D1EFB" w:rsidP="005502C5">
      <w:pPr>
        <w:jc w:val="both"/>
        <w:rPr>
          <w:rFonts w:cs="Times New Roman"/>
        </w:rPr>
      </w:pPr>
      <w:r>
        <w:rPr>
          <w:rFonts w:cs="Times New Roman"/>
        </w:rPr>
        <w:t xml:space="preserve">(6) Inšpektorát práce </w:t>
      </w:r>
      <w:r w:rsidRPr="00FF3F2F">
        <w:rPr>
          <w:rFonts w:cs="Times New Roman"/>
        </w:rPr>
        <w:t xml:space="preserve">vydá </w:t>
      </w:r>
      <w:r>
        <w:rPr>
          <w:rFonts w:cs="Times New Roman"/>
        </w:rPr>
        <w:t xml:space="preserve">oprávnenému subjektu </w:t>
      </w:r>
      <w:r w:rsidRPr="00FF3F2F">
        <w:rPr>
          <w:rFonts w:cs="Times New Roman"/>
        </w:rPr>
        <w:t>záväzné stanovisko</w:t>
      </w:r>
      <w:r>
        <w:rPr>
          <w:rFonts w:cs="Times New Roman"/>
        </w:rPr>
        <w:t xml:space="preserve"> k uplatneniu minimálnych mzdových nárokov</w:t>
      </w:r>
      <w:r w:rsidRPr="00FF3F2F">
        <w:rPr>
          <w:rFonts w:cs="Times New Roman"/>
        </w:rPr>
        <w:t xml:space="preserve"> v</w:t>
      </w:r>
      <w:r>
        <w:rPr>
          <w:rFonts w:cs="Times New Roman"/>
        </w:rPr>
        <w:t> </w:t>
      </w:r>
      <w:r w:rsidRPr="00FF3F2F">
        <w:rPr>
          <w:rFonts w:cs="Times New Roman"/>
        </w:rPr>
        <w:t>lehote</w:t>
      </w:r>
      <w:r>
        <w:rPr>
          <w:rFonts w:cs="Times New Roman"/>
        </w:rPr>
        <w:t xml:space="preserve"> ôsmich pracovných dní </w:t>
      </w:r>
      <w:r w:rsidRPr="00FF3F2F">
        <w:rPr>
          <w:rFonts w:cs="Times New Roman"/>
        </w:rPr>
        <w:t>od doručenia žiadosti alebo od jej doplnenia</w:t>
      </w:r>
      <w:r>
        <w:rPr>
          <w:rFonts w:cs="Times New Roman"/>
        </w:rPr>
        <w:t xml:space="preserve"> na základe výzvy podľa odseku 5</w:t>
      </w:r>
      <w:r w:rsidRPr="00FF3F2F">
        <w:rPr>
          <w:rFonts w:cs="Times New Roman"/>
        </w:rPr>
        <w:t>.</w:t>
      </w:r>
      <w:r w:rsidR="005502C5">
        <w:rPr>
          <w:rFonts w:cs="Times New Roman"/>
        </w:rPr>
        <w:t xml:space="preserve"> Záväzné stanovisko obsahuje najmä stupeň náročnosti práce daného pracovného miesta a sumu </w:t>
      </w:r>
      <w:r w:rsidR="005502C5" w:rsidRPr="005502C5">
        <w:rPr>
          <w:rFonts w:cs="Times New Roman"/>
        </w:rPr>
        <w:t xml:space="preserve">minimálneho mzdového nároku ustanoveného pre stupeň </w:t>
      </w:r>
      <w:r w:rsidR="005502C5">
        <w:rPr>
          <w:rFonts w:cs="Times New Roman"/>
        </w:rPr>
        <w:t xml:space="preserve">náročnosti práce </w:t>
      </w:r>
      <w:r w:rsidR="005502C5" w:rsidRPr="005502C5">
        <w:rPr>
          <w:rFonts w:cs="Times New Roman"/>
        </w:rPr>
        <w:t xml:space="preserve">patriaci </w:t>
      </w:r>
      <w:r w:rsidR="005502C5">
        <w:rPr>
          <w:rFonts w:cs="Times New Roman"/>
        </w:rPr>
        <w:t xml:space="preserve">danému </w:t>
      </w:r>
      <w:r w:rsidR="005502C5" w:rsidRPr="005502C5">
        <w:rPr>
          <w:rFonts w:cs="Times New Roman"/>
        </w:rPr>
        <w:t>pracovnému miestu.</w:t>
      </w:r>
    </w:p>
    <w:p w:rsidR="005502C5" w:rsidRPr="005502C5" w:rsidRDefault="005502C5" w:rsidP="005502C5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(7</w:t>
      </w:r>
      <w:r w:rsidRPr="00FF3F2F">
        <w:rPr>
          <w:rFonts w:cs="Times New Roman"/>
        </w:rPr>
        <w:t xml:space="preserve">) Záväzné stanovisko je záväzné pre </w:t>
      </w:r>
      <w:r>
        <w:rPr>
          <w:rFonts w:cs="Times New Roman"/>
        </w:rPr>
        <w:t>inšpektorát práce, ktorý ho vydal</w:t>
      </w:r>
      <w:r w:rsidRPr="00FF3F2F">
        <w:rPr>
          <w:rFonts w:cs="Times New Roman"/>
        </w:rPr>
        <w:t xml:space="preserve">. Záväzné stanovisko </w:t>
      </w:r>
      <w:r>
        <w:rPr>
          <w:rFonts w:cs="Times New Roman"/>
        </w:rPr>
        <w:t xml:space="preserve">inšpektorát práce </w:t>
      </w:r>
      <w:r w:rsidRPr="00FF3F2F">
        <w:rPr>
          <w:rFonts w:cs="Times New Roman"/>
        </w:rPr>
        <w:t>nezaväzuje</w:t>
      </w:r>
      <w:r>
        <w:rPr>
          <w:rFonts w:cs="Times New Roman"/>
        </w:rPr>
        <w:t xml:space="preserve">, </w:t>
      </w:r>
      <w:r w:rsidRPr="00FF3F2F">
        <w:rPr>
          <w:rFonts w:cs="Times New Roman"/>
        </w:rPr>
        <w:t>ak sa preukáže, že rozhodujúce skutočnosti, na základe ktorých bolo záväzné stanovisko vydané, nie sú splnené, alebo ak záv</w:t>
      </w:r>
      <w:r>
        <w:rPr>
          <w:rFonts w:cs="Times New Roman"/>
        </w:rPr>
        <w:t>äzné stanovisko stratilo účinky.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Pr="00FF3F2F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 xml:space="preserve">(8) </w:t>
      </w:r>
      <w:r w:rsidRPr="00FF3F2F">
        <w:rPr>
          <w:rFonts w:cs="Times New Roman"/>
        </w:rPr>
        <w:t>Záväzné stanovisko stráca účinky</w:t>
      </w:r>
    </w:p>
    <w:p w:rsidR="003D1EFB" w:rsidRPr="00FF3F2F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 w:rsidRPr="00FF3F2F">
        <w:rPr>
          <w:rFonts w:cs="Times New Roman"/>
        </w:rPr>
        <w:t>a) dňom nadobudnutia účinnosti zmeny právnej úpravy, na základe ktorej bolo záväzné stanovisko vydané,</w:t>
      </w:r>
    </w:p>
    <w:p w:rsidR="003D1EFB" w:rsidRPr="00FF3F2F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b) ako vo veci právoplatne rozhodol Národný inšpektorát práce,</w:t>
      </w: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Pr="00FF3F2F">
        <w:rPr>
          <w:rFonts w:cs="Times New Roman"/>
        </w:rPr>
        <w:t>) ak vo veci právoplatne rozhodol súd.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(9</w:t>
      </w:r>
      <w:r w:rsidRPr="00922E4C">
        <w:rPr>
          <w:rFonts w:cs="Times New Roman"/>
        </w:rPr>
        <w:t xml:space="preserve">) Ak </w:t>
      </w:r>
      <w:r>
        <w:rPr>
          <w:rFonts w:cs="Times New Roman"/>
        </w:rPr>
        <w:t xml:space="preserve">oprávnený subjekt so záväzným stanoviskom nesúhlasí, môže proti nemu podať </w:t>
      </w:r>
      <w:r>
        <w:rPr>
          <w:rFonts w:cs="Times New Roman"/>
        </w:rPr>
        <w:lastRenderedPageBreak/>
        <w:t>námietku Národnému inšpektorátu práce do ôsmich pracovných dní od jeho doručenia. Národný inšpektorát práce námietku posúdi do ôsmich pracovných dní od jej doručenia a záväzné stanovisko zmení, ak sú na to dôvody</w:t>
      </w:r>
      <w:r w:rsidRPr="00922E4C">
        <w:rPr>
          <w:rFonts w:cs="Times New Roman"/>
        </w:rPr>
        <w:t xml:space="preserve">; o neopodstatnenosti námietky zašle </w:t>
      </w:r>
      <w:r>
        <w:rPr>
          <w:rFonts w:cs="Times New Roman"/>
        </w:rPr>
        <w:t xml:space="preserve">oprávnenému </w:t>
      </w:r>
      <w:r w:rsidRPr="00922E4C">
        <w:rPr>
          <w:rFonts w:cs="Times New Roman"/>
        </w:rPr>
        <w:t>subjektu oznámenie.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(10) Ak inšpektorát práce zistí v súvislosti so žiadosťou o vydanie záväzného stanoviska porušenie pracovnoprávnych predpisov, ktoré upravujú minimálne mzdové nároky, inšpekciu práce možno vykonať len na základe podnetu podľa § 7 ods. 8 písm. c).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 xml:space="preserve">(11) Záväzné stanovisko sa vydáva bezplatne </w:t>
      </w:r>
      <w:r w:rsidRPr="00C242F9">
        <w:rPr>
          <w:rFonts w:cs="Times New Roman"/>
        </w:rPr>
        <w:t xml:space="preserve">s výnimkou úhrady vo výške, ktorá nesmie prekročiť výšku materiálnych nákladov spojených so zhotovením kópií, so zadovážením technických nosičov a s </w:t>
      </w:r>
      <w:r>
        <w:rPr>
          <w:rFonts w:cs="Times New Roman"/>
        </w:rPr>
        <w:t>odoslaním informácie oprávnenému subjektu. Úhrada</w:t>
      </w:r>
      <w:r w:rsidRPr="00C242F9">
        <w:rPr>
          <w:rFonts w:cs="Times New Roman"/>
        </w:rPr>
        <w:t xml:space="preserve"> </w:t>
      </w:r>
      <w:r>
        <w:rPr>
          <w:rFonts w:cs="Times New Roman"/>
        </w:rPr>
        <w:t xml:space="preserve">je </w:t>
      </w:r>
      <w:r w:rsidRPr="00C242F9">
        <w:rPr>
          <w:rFonts w:cs="Times New Roman"/>
        </w:rPr>
        <w:t>príjm</w:t>
      </w:r>
      <w:r>
        <w:rPr>
          <w:rFonts w:cs="Times New Roman"/>
        </w:rPr>
        <w:t>om príslušného orgánu štátnej správy v oblasti inšpekcie práce.“.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Poznámka pod čiarou k odkazu 18j)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„18j) § 120 Zákonníka práce.“.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4. Za § 22b sa vkladá § 22c, ktorý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center"/>
        <w:rPr>
          <w:rFonts w:cs="Times New Roman"/>
        </w:rPr>
      </w:pPr>
      <w:r>
        <w:rPr>
          <w:rFonts w:cs="Times New Roman"/>
        </w:rPr>
        <w:t>„§ 22c</w:t>
      </w:r>
    </w:p>
    <w:p w:rsidR="003D1EFB" w:rsidRDefault="003D1EFB" w:rsidP="003D1EFB">
      <w:pPr>
        <w:jc w:val="center"/>
        <w:rPr>
          <w:rFonts w:cs="Times New Roman"/>
        </w:rPr>
      </w:pPr>
      <w:r>
        <w:rPr>
          <w:rFonts w:cs="Times New Roman"/>
        </w:rPr>
        <w:t>Prechodné ustanovenie k úpravám účinným od 1. mája 2019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ind w:firstLine="708"/>
        <w:jc w:val="both"/>
        <w:rPr>
          <w:rFonts w:cs="Times New Roman"/>
        </w:rPr>
      </w:pPr>
      <w:r>
        <w:rPr>
          <w:rFonts w:cs="Times New Roman"/>
        </w:rPr>
        <w:t>Ministerstvo vydá všeobecne záväzný právny predpis podľa § 4 písm. k) do 31. mája 2019.“.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center"/>
        <w:rPr>
          <w:rFonts w:cs="Times New Roman"/>
          <w:b/>
        </w:rPr>
      </w:pPr>
      <w:r w:rsidRPr="00121FA2">
        <w:rPr>
          <w:rFonts w:cs="Times New Roman"/>
          <w:b/>
        </w:rPr>
        <w:t>Čl. II</w:t>
      </w:r>
    </w:p>
    <w:p w:rsidR="003D1EFB" w:rsidRDefault="003D1EFB" w:rsidP="003D1EFB">
      <w:pPr>
        <w:rPr>
          <w:rFonts w:cs="Times New Roman"/>
          <w:b/>
        </w:rPr>
      </w:pPr>
    </w:p>
    <w:p w:rsidR="003D1EFB" w:rsidRPr="00121FA2" w:rsidRDefault="003D1EFB" w:rsidP="003D1EFB">
      <w:pPr>
        <w:ind w:firstLine="708"/>
        <w:jc w:val="both"/>
        <w:rPr>
          <w:rFonts w:cs="Times New Roman"/>
        </w:rPr>
      </w:pPr>
      <w:r w:rsidRPr="00121FA2">
        <w:rPr>
          <w:rFonts w:cs="Times New Roman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82/2017 Z. z., zákona č. 57/2018 Z. z., zákona č. 63/2018 Z. z., zákona č. 64/2018 </w:t>
      </w:r>
      <w:r>
        <w:rPr>
          <w:rFonts w:cs="Times New Roman"/>
        </w:rPr>
        <w:t>Z. z., zákona č. 108/2018 Z. z.,</w:t>
      </w:r>
      <w:r w:rsidRPr="00121FA2">
        <w:rPr>
          <w:rFonts w:cs="Times New Roman"/>
        </w:rPr>
        <w:t xml:space="preserve"> zákona č. 112/2018 Z. z. </w:t>
      </w:r>
      <w:r>
        <w:rPr>
          <w:rFonts w:cs="Times New Roman"/>
        </w:rPr>
        <w:t xml:space="preserve">a zákona č. 177/2018 Z. z. </w:t>
      </w:r>
      <w:r w:rsidRPr="00121FA2">
        <w:rPr>
          <w:rFonts w:cs="Times New Roman"/>
        </w:rPr>
        <w:t xml:space="preserve">sa </w:t>
      </w:r>
      <w:r>
        <w:rPr>
          <w:rFonts w:cs="Times New Roman"/>
        </w:rPr>
        <w:t xml:space="preserve">mení a </w:t>
      </w:r>
      <w:r w:rsidRPr="00121FA2">
        <w:rPr>
          <w:rFonts w:cs="Times New Roman"/>
        </w:rPr>
        <w:t>dopĺňa takto: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V § 35a sa za odsek 2 vkladá nový odsek 3, ktorý znie: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„(3)</w:t>
      </w:r>
      <w:r w:rsidRPr="005F22DE">
        <w:rPr>
          <w:rFonts w:cs="Times New Roman"/>
        </w:rPr>
        <w:t xml:space="preserve"> </w:t>
      </w:r>
      <w:r>
        <w:rPr>
          <w:rFonts w:cs="Times New Roman"/>
        </w:rPr>
        <w:t xml:space="preserve">K pracovnému miestu uvedenému v národnej sústave povolaní ministerstvo priradí stupeň náročnosti práce v súlade so </w:t>
      </w:r>
      <w:r w:rsidRPr="005F22DE">
        <w:rPr>
          <w:rFonts w:cs="Times New Roman"/>
        </w:rPr>
        <w:t>všeobecne záväzným právnym predpisom vy</w:t>
      </w:r>
      <w:r>
        <w:rPr>
          <w:rFonts w:cs="Times New Roman"/>
        </w:rPr>
        <w:t>daným podľa osobitného predpisu</w:t>
      </w:r>
      <w:r w:rsidRPr="009266F3">
        <w:rPr>
          <w:rFonts w:cs="Times New Roman"/>
          <w:vertAlign w:val="superscript"/>
        </w:rPr>
        <w:t xml:space="preserve">40) </w:t>
      </w:r>
      <w:r>
        <w:rPr>
          <w:rFonts w:cs="Times New Roman"/>
        </w:rPr>
        <w:t>a príslušné sadzby</w:t>
      </w:r>
      <w:r w:rsidRPr="005F22DE">
        <w:rPr>
          <w:rFonts w:cs="Times New Roman"/>
        </w:rPr>
        <w:t xml:space="preserve"> minimálneho mzdového nároku</w:t>
      </w:r>
      <w:r>
        <w:rPr>
          <w:rFonts w:cs="Times New Roman"/>
        </w:rPr>
        <w:t>.</w:t>
      </w:r>
      <w:r w:rsidRPr="009266F3">
        <w:rPr>
          <w:rFonts w:cs="Times New Roman"/>
          <w:vertAlign w:val="superscript"/>
        </w:rPr>
        <w:t>41)</w:t>
      </w:r>
      <w:r>
        <w:rPr>
          <w:rFonts w:cs="Times New Roman"/>
        </w:rPr>
        <w:t>“.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Doterajší odsek 3 sa označuje ako odsek 4.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Poznámky pod čiarou k odkazom 40) a 41) znejú: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„40) § 4 písm. k) z</w:t>
      </w:r>
      <w:r w:rsidRPr="009266F3">
        <w:rPr>
          <w:rFonts w:cs="Times New Roman"/>
        </w:rPr>
        <w:t>ákon</w:t>
      </w:r>
      <w:r>
        <w:rPr>
          <w:rFonts w:cs="Times New Roman"/>
        </w:rPr>
        <w:t>a</w:t>
      </w:r>
      <w:r w:rsidRPr="009266F3">
        <w:rPr>
          <w:rFonts w:cs="Times New Roman"/>
        </w:rPr>
        <w:t xml:space="preserve"> č. 125/2006 Z. z. o inšpekcii práce a o zmene a doplnení zákona č. 82/2005 Z. z. o nelegálnej práci a nelegálnom zamestnávaní a o zmene a doplnení niektorých zákon</w:t>
      </w:r>
      <w:r>
        <w:rPr>
          <w:rFonts w:cs="Times New Roman"/>
        </w:rPr>
        <w:t>ov v znení zákona č. ... /2019 Z. z.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jc w:val="both"/>
        <w:rPr>
          <w:rFonts w:cs="Times New Roman"/>
        </w:rPr>
      </w:pPr>
      <w:r>
        <w:rPr>
          <w:rFonts w:cs="Times New Roman"/>
        </w:rPr>
        <w:t>41) § 120 Zákonníka práce.“.</w:t>
      </w:r>
    </w:p>
    <w:p w:rsidR="003D1EFB" w:rsidRPr="00FF3F2F" w:rsidRDefault="003D1EFB" w:rsidP="003D1EFB">
      <w:pPr>
        <w:jc w:val="both"/>
        <w:rPr>
          <w:rFonts w:cs="Times New Roman"/>
        </w:rPr>
      </w:pPr>
    </w:p>
    <w:p w:rsidR="003D1EFB" w:rsidRPr="005F22DE" w:rsidRDefault="003D1EFB" w:rsidP="003D1EFB">
      <w:pPr>
        <w:jc w:val="center"/>
        <w:rPr>
          <w:rFonts w:cs="Times New Roman"/>
          <w:b/>
        </w:rPr>
      </w:pPr>
      <w:r w:rsidRPr="005F22DE">
        <w:rPr>
          <w:rFonts w:cs="Times New Roman"/>
          <w:b/>
        </w:rPr>
        <w:t>Čl. III</w:t>
      </w:r>
    </w:p>
    <w:p w:rsidR="003D1EFB" w:rsidRDefault="003D1EFB" w:rsidP="003D1EFB">
      <w:pPr>
        <w:jc w:val="both"/>
        <w:rPr>
          <w:rFonts w:cs="Times New Roman"/>
        </w:rPr>
      </w:pPr>
    </w:p>
    <w:p w:rsidR="003D1EFB" w:rsidRDefault="003D1EFB" w:rsidP="003D1EFB">
      <w:pPr>
        <w:ind w:firstLine="708"/>
        <w:jc w:val="both"/>
        <w:rPr>
          <w:rFonts w:cs="Times New Roman"/>
        </w:rPr>
      </w:pPr>
      <w:r>
        <w:rPr>
          <w:rFonts w:cs="Times New Roman"/>
        </w:rPr>
        <w:t>Tento zákon nadobúda účinnosť 1. mája 2019 okrem čl. II, ktorý nadobúda účinnosť 1. júna 2019.</w:t>
      </w:r>
    </w:p>
    <w:p w:rsidR="003D1EFB" w:rsidRPr="00FF3F2F" w:rsidRDefault="003D1EFB" w:rsidP="003D1EFB">
      <w:pPr>
        <w:jc w:val="both"/>
        <w:rPr>
          <w:rFonts w:cs="Times New Roman"/>
        </w:rPr>
      </w:pPr>
    </w:p>
    <w:p w:rsidR="003D1EFB" w:rsidRPr="00FF3F2F" w:rsidRDefault="003D1EFB" w:rsidP="003D1EFB">
      <w:pPr>
        <w:jc w:val="both"/>
        <w:rPr>
          <w:rFonts w:cs="Times New Roman"/>
        </w:rPr>
      </w:pPr>
    </w:p>
    <w:p w:rsidR="003D1EFB" w:rsidRPr="002F27EB" w:rsidRDefault="003D1EFB" w:rsidP="003D1EFB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D7984" w:rsidRDefault="00FD7984" w:rsidP="00FD7984">
      <w:pPr>
        <w:rPr>
          <w:rFonts w:cs="Times New Roman"/>
        </w:rPr>
      </w:pPr>
    </w:p>
    <w:p w:rsidR="00FD7984" w:rsidRPr="003826F6" w:rsidRDefault="00FD7984" w:rsidP="00FD7984">
      <w:pPr>
        <w:rPr>
          <w:rFonts w:cs="Times New Roman"/>
        </w:rPr>
      </w:pPr>
    </w:p>
    <w:p w:rsidR="00FD7984" w:rsidRPr="003826F6" w:rsidRDefault="00FD7984" w:rsidP="00FD7984"/>
    <w:p w:rsidR="009507F6" w:rsidRPr="009507F6" w:rsidRDefault="009507F6" w:rsidP="009507F6"/>
    <w:p w:rsidR="002F27EB" w:rsidRPr="002F27EB" w:rsidRDefault="002F27EB" w:rsidP="002F27EB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47A8E" w:rsidRDefault="00847A8E" w:rsidP="005D0785">
      <w:pPr>
        <w:widowControl/>
        <w:suppressAutoHyphens w:val="0"/>
        <w:spacing w:line="276" w:lineRule="auto"/>
        <w:jc w:val="both"/>
      </w:pPr>
      <w:bookmarkStart w:id="0" w:name="_GoBack"/>
      <w:bookmarkEnd w:id="0"/>
    </w:p>
    <w:sectPr w:rsidR="00847A8E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40" w:rsidRDefault="00427B40" w:rsidP="0090548E">
      <w:r>
        <w:separator/>
      </w:r>
    </w:p>
  </w:endnote>
  <w:endnote w:type="continuationSeparator" w:id="0">
    <w:p w:rsidR="00427B40" w:rsidRDefault="00427B40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40" w:rsidRDefault="00427B40" w:rsidP="0090548E">
      <w:r>
        <w:separator/>
      </w:r>
    </w:p>
  </w:footnote>
  <w:footnote w:type="continuationSeparator" w:id="0">
    <w:p w:rsidR="00427B40" w:rsidRDefault="00427B40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1FA2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5F5B"/>
    <w:rsid w:val="003968A7"/>
    <w:rsid w:val="00397539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27B40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785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2128"/>
    <w:rsid w:val="007D6F6A"/>
    <w:rsid w:val="007E17C6"/>
    <w:rsid w:val="007E3D61"/>
    <w:rsid w:val="007E4594"/>
    <w:rsid w:val="007E71A4"/>
    <w:rsid w:val="007F3D73"/>
    <w:rsid w:val="007F6748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44C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0855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02974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FD6F-3431-4203-84E5-71D3DECA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2018-11-09T10:10:00Z</dcterms:created>
  <dcterms:modified xsi:type="dcterms:W3CDTF">2018-11-09T10:10:00Z</dcterms:modified>
</cp:coreProperties>
</file>