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23" w:rsidRPr="00C60123" w:rsidRDefault="00C60123" w:rsidP="00C60123">
      <w:pPr>
        <w:autoSpaceDE w:val="0"/>
        <w:autoSpaceDN w:val="0"/>
        <w:adjustRightInd w:val="0"/>
        <w:ind w:right="-432"/>
        <w:jc w:val="center"/>
        <w:rPr>
          <w:rFonts w:ascii="Times New Roman" w:hAnsi="Times New Roman"/>
          <w:b/>
          <w:bCs/>
          <w:sz w:val="24"/>
          <w:szCs w:val="24"/>
          <w:lang w:eastAsia="en-US"/>
        </w:rPr>
      </w:pPr>
      <w:bookmarkStart w:id="0" w:name="_GoBack"/>
      <w:bookmarkEnd w:id="0"/>
      <w:r w:rsidRPr="00C60123">
        <w:rPr>
          <w:rFonts w:ascii="Times New Roman" w:hAnsi="Times New Roman"/>
          <w:b/>
          <w:bCs/>
          <w:sz w:val="24"/>
          <w:szCs w:val="24"/>
          <w:lang w:eastAsia="en-US"/>
        </w:rPr>
        <w:t>NÁRODNÁ  RADA  SLOVENSKEJ  REPUBLIKY</w:t>
      </w:r>
    </w:p>
    <w:p w:rsidR="00C60123" w:rsidRPr="00C60123" w:rsidRDefault="00C60123" w:rsidP="00C60123">
      <w:pPr>
        <w:autoSpaceDE w:val="0"/>
        <w:autoSpaceDN w:val="0"/>
        <w:adjustRightInd w:val="0"/>
        <w:spacing w:after="0" w:line="240" w:lineRule="auto"/>
        <w:ind w:right="-432"/>
        <w:jc w:val="center"/>
        <w:rPr>
          <w:rFonts w:ascii="Times New Roman" w:hAnsi="Times New Roman"/>
          <w:b/>
          <w:bCs/>
          <w:sz w:val="24"/>
          <w:szCs w:val="24"/>
          <w:lang w:eastAsia="en-US"/>
        </w:rPr>
      </w:pPr>
      <w:r w:rsidRPr="00C60123">
        <w:rPr>
          <w:rFonts w:ascii="Times New Roman" w:hAnsi="Times New Roman"/>
          <w:b/>
          <w:bCs/>
          <w:sz w:val="24"/>
          <w:szCs w:val="24"/>
          <w:lang w:eastAsia="en-US"/>
        </w:rPr>
        <w:t>VII. volebné obdobie</w:t>
      </w:r>
    </w:p>
    <w:p w:rsidR="00C60123" w:rsidRPr="00C60123" w:rsidRDefault="00C60123" w:rsidP="00C60123">
      <w:pPr>
        <w:autoSpaceDE w:val="0"/>
        <w:autoSpaceDN w:val="0"/>
        <w:adjustRightInd w:val="0"/>
        <w:spacing w:after="0" w:line="240" w:lineRule="auto"/>
        <w:ind w:right="-432"/>
        <w:jc w:val="center"/>
        <w:rPr>
          <w:rFonts w:ascii="Times New Roman" w:hAnsi="Times New Roman"/>
          <w:sz w:val="24"/>
          <w:szCs w:val="24"/>
          <w:lang w:eastAsia="en-US"/>
        </w:rPr>
      </w:pPr>
    </w:p>
    <w:p w:rsidR="00C60123" w:rsidRPr="00C60123" w:rsidRDefault="00C60123" w:rsidP="00C60123">
      <w:pPr>
        <w:autoSpaceDE w:val="0"/>
        <w:autoSpaceDN w:val="0"/>
        <w:adjustRightInd w:val="0"/>
        <w:spacing w:after="0" w:line="240" w:lineRule="auto"/>
        <w:ind w:right="-432"/>
        <w:jc w:val="center"/>
        <w:rPr>
          <w:rFonts w:ascii="Times New Roman" w:hAnsi="Times New Roman"/>
          <w:b/>
          <w:bCs/>
          <w:sz w:val="24"/>
          <w:szCs w:val="24"/>
          <w:lang w:eastAsia="en-US"/>
        </w:rPr>
      </w:pPr>
    </w:p>
    <w:p w:rsidR="00C60123" w:rsidRPr="00C60123" w:rsidRDefault="00C60123" w:rsidP="00C60123">
      <w:pPr>
        <w:autoSpaceDE w:val="0"/>
        <w:autoSpaceDN w:val="0"/>
        <w:adjustRightInd w:val="0"/>
        <w:spacing w:after="0" w:line="240" w:lineRule="auto"/>
        <w:ind w:right="-432"/>
        <w:jc w:val="center"/>
        <w:rPr>
          <w:rFonts w:ascii="Times New Roman" w:hAnsi="Times New Roman"/>
          <w:b/>
          <w:bCs/>
          <w:sz w:val="24"/>
          <w:szCs w:val="24"/>
          <w:lang w:eastAsia="en-US"/>
        </w:rPr>
      </w:pPr>
    </w:p>
    <w:p w:rsidR="00C60123" w:rsidRPr="00C60123" w:rsidRDefault="00C60123" w:rsidP="00C60123">
      <w:pPr>
        <w:autoSpaceDE w:val="0"/>
        <w:autoSpaceDN w:val="0"/>
        <w:adjustRightInd w:val="0"/>
        <w:spacing w:after="0" w:line="240" w:lineRule="auto"/>
        <w:ind w:right="-432"/>
        <w:jc w:val="center"/>
        <w:rPr>
          <w:rFonts w:ascii="Times New Roman" w:hAnsi="Times New Roman"/>
          <w:b/>
          <w:bCs/>
          <w:sz w:val="24"/>
          <w:szCs w:val="24"/>
          <w:lang w:eastAsia="en-US"/>
        </w:rPr>
      </w:pPr>
      <w:r w:rsidRPr="00C60123">
        <w:rPr>
          <w:rFonts w:ascii="Times New Roman" w:hAnsi="Times New Roman"/>
          <w:b/>
          <w:bCs/>
          <w:sz w:val="24"/>
          <w:szCs w:val="24"/>
          <w:lang w:eastAsia="en-US"/>
        </w:rPr>
        <w:t>Návrh</w:t>
      </w:r>
    </w:p>
    <w:p w:rsidR="00C60123" w:rsidRPr="00C60123" w:rsidRDefault="00C60123" w:rsidP="00C60123">
      <w:pPr>
        <w:autoSpaceDE w:val="0"/>
        <w:autoSpaceDN w:val="0"/>
        <w:adjustRightInd w:val="0"/>
        <w:spacing w:after="0" w:line="240" w:lineRule="auto"/>
        <w:ind w:right="-432"/>
        <w:jc w:val="center"/>
        <w:rPr>
          <w:rFonts w:ascii="Times New Roman" w:hAnsi="Times New Roman"/>
          <w:b/>
          <w:bCs/>
          <w:sz w:val="24"/>
          <w:szCs w:val="24"/>
          <w:lang w:eastAsia="en-US"/>
        </w:rPr>
      </w:pPr>
    </w:p>
    <w:p w:rsidR="00C60123" w:rsidRPr="00C60123" w:rsidRDefault="00C60123" w:rsidP="00C60123">
      <w:pPr>
        <w:autoSpaceDE w:val="0"/>
        <w:autoSpaceDN w:val="0"/>
        <w:adjustRightInd w:val="0"/>
        <w:spacing w:after="0" w:line="240" w:lineRule="auto"/>
        <w:ind w:right="-432"/>
        <w:jc w:val="center"/>
        <w:rPr>
          <w:rFonts w:ascii="Times New Roman" w:hAnsi="Times New Roman"/>
          <w:b/>
          <w:bCs/>
          <w:sz w:val="24"/>
          <w:szCs w:val="24"/>
          <w:lang w:eastAsia="en-US"/>
        </w:rPr>
      </w:pPr>
      <w:r w:rsidRPr="00C60123">
        <w:rPr>
          <w:rFonts w:ascii="Times New Roman" w:hAnsi="Times New Roman"/>
          <w:b/>
          <w:bCs/>
          <w:sz w:val="24"/>
          <w:szCs w:val="24"/>
          <w:lang w:eastAsia="en-US"/>
        </w:rPr>
        <w:t>ZÁKON</w:t>
      </w:r>
    </w:p>
    <w:p w:rsidR="00C60123" w:rsidRPr="00C60123" w:rsidRDefault="00C60123" w:rsidP="00C60123">
      <w:pPr>
        <w:autoSpaceDE w:val="0"/>
        <w:autoSpaceDN w:val="0"/>
        <w:adjustRightInd w:val="0"/>
        <w:spacing w:after="0" w:line="240" w:lineRule="auto"/>
        <w:ind w:right="-432"/>
        <w:jc w:val="center"/>
        <w:rPr>
          <w:rFonts w:ascii="Times New Roman" w:hAnsi="Times New Roman"/>
          <w:b/>
          <w:bCs/>
          <w:sz w:val="24"/>
          <w:szCs w:val="24"/>
          <w:lang w:eastAsia="en-US"/>
        </w:rPr>
      </w:pPr>
    </w:p>
    <w:p w:rsidR="00C60123" w:rsidRPr="00C60123" w:rsidRDefault="00C60123" w:rsidP="00C60123">
      <w:pPr>
        <w:autoSpaceDE w:val="0"/>
        <w:autoSpaceDN w:val="0"/>
        <w:adjustRightInd w:val="0"/>
        <w:spacing w:after="0" w:line="240" w:lineRule="auto"/>
        <w:ind w:right="-432"/>
        <w:jc w:val="center"/>
        <w:rPr>
          <w:rFonts w:ascii="Times New Roman" w:hAnsi="Times New Roman"/>
          <w:sz w:val="24"/>
          <w:szCs w:val="24"/>
          <w:lang w:eastAsia="en-US"/>
        </w:rPr>
      </w:pPr>
      <w:r w:rsidRPr="00C60123">
        <w:rPr>
          <w:rFonts w:ascii="Times New Roman" w:hAnsi="Times New Roman"/>
          <w:sz w:val="24"/>
          <w:szCs w:val="24"/>
          <w:lang w:eastAsia="en-US"/>
        </w:rPr>
        <w:t>z ....... 2019,</w:t>
      </w:r>
    </w:p>
    <w:p w:rsidR="00C60123" w:rsidRPr="00C60123" w:rsidRDefault="00C60123" w:rsidP="00C60123">
      <w:pPr>
        <w:autoSpaceDE w:val="0"/>
        <w:autoSpaceDN w:val="0"/>
        <w:adjustRightInd w:val="0"/>
        <w:spacing w:after="0" w:line="240" w:lineRule="auto"/>
        <w:ind w:right="-432"/>
        <w:jc w:val="center"/>
        <w:rPr>
          <w:rFonts w:ascii="Times New Roman" w:hAnsi="Times New Roman"/>
          <w:sz w:val="24"/>
          <w:szCs w:val="24"/>
          <w:lang w:eastAsia="en-US"/>
        </w:rPr>
      </w:pPr>
    </w:p>
    <w:p w:rsidR="00C60123" w:rsidRPr="00C60123" w:rsidRDefault="00C60123" w:rsidP="00C60123">
      <w:pPr>
        <w:autoSpaceDE w:val="0"/>
        <w:autoSpaceDN w:val="0"/>
        <w:adjustRightInd w:val="0"/>
        <w:spacing w:after="0" w:line="240" w:lineRule="auto"/>
        <w:ind w:right="-432"/>
        <w:jc w:val="center"/>
        <w:rPr>
          <w:rFonts w:ascii="Times New Roman" w:hAnsi="Times New Roman"/>
          <w:b/>
          <w:bCs/>
          <w:sz w:val="24"/>
          <w:szCs w:val="24"/>
          <w:lang w:eastAsia="en-US"/>
        </w:rPr>
      </w:pPr>
      <w:r w:rsidRPr="00C60123">
        <w:rPr>
          <w:rFonts w:ascii="Times New Roman" w:hAnsi="Times New Roman"/>
          <w:b/>
          <w:bCs/>
          <w:sz w:val="24"/>
          <w:szCs w:val="24"/>
          <w:lang w:eastAsia="en-US"/>
        </w:rPr>
        <w:t>ktorým sa mení a dopĺňa zákon č. 40/1964 Zb. Občiansky zákonník v znení neskorších predpisov a ktorým sa menia a dopĺňajú niektoré zákony</w:t>
      </w:r>
    </w:p>
    <w:p w:rsidR="00C60123" w:rsidRPr="00C60123" w:rsidRDefault="00C60123" w:rsidP="00C60123">
      <w:pPr>
        <w:autoSpaceDE w:val="0"/>
        <w:autoSpaceDN w:val="0"/>
        <w:adjustRightInd w:val="0"/>
        <w:spacing w:after="0" w:line="360" w:lineRule="auto"/>
        <w:ind w:right="-432" w:firstLine="708"/>
        <w:jc w:val="both"/>
        <w:rPr>
          <w:rFonts w:ascii="Times New Roman" w:hAnsi="Times New Roman"/>
          <w:sz w:val="24"/>
          <w:szCs w:val="24"/>
          <w:lang w:eastAsia="en-US"/>
        </w:rPr>
      </w:pP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r w:rsidRPr="00C60123">
        <w:rPr>
          <w:rFonts w:ascii="Times New Roman" w:hAnsi="Times New Roman"/>
          <w:sz w:val="24"/>
          <w:szCs w:val="24"/>
          <w:lang w:eastAsia="en-US"/>
        </w:rPr>
        <w:t>Národná rada Slovenskej republiky sa uzniesla na tomto zákone:</w:t>
      </w:r>
    </w:p>
    <w:p w:rsidR="00C60123" w:rsidRPr="00C60123" w:rsidRDefault="00C60123" w:rsidP="00C60123">
      <w:pPr>
        <w:autoSpaceDE w:val="0"/>
        <w:autoSpaceDN w:val="0"/>
        <w:adjustRightInd w:val="0"/>
        <w:spacing w:after="0" w:line="360" w:lineRule="auto"/>
        <w:ind w:right="-432"/>
        <w:jc w:val="center"/>
        <w:rPr>
          <w:rFonts w:ascii="Times New Roman" w:hAnsi="Times New Roman"/>
          <w:b/>
          <w:bCs/>
          <w:sz w:val="24"/>
          <w:szCs w:val="24"/>
          <w:lang w:eastAsia="en-US"/>
        </w:rPr>
      </w:pPr>
    </w:p>
    <w:p w:rsidR="00C60123" w:rsidRPr="00C60123" w:rsidRDefault="00C60123" w:rsidP="00C60123">
      <w:pPr>
        <w:autoSpaceDE w:val="0"/>
        <w:autoSpaceDN w:val="0"/>
        <w:adjustRightInd w:val="0"/>
        <w:spacing w:after="0" w:line="360" w:lineRule="auto"/>
        <w:ind w:right="-432"/>
        <w:jc w:val="center"/>
        <w:rPr>
          <w:rFonts w:ascii="Times New Roman" w:hAnsi="Times New Roman"/>
          <w:b/>
          <w:bCs/>
          <w:sz w:val="24"/>
          <w:szCs w:val="24"/>
          <w:lang w:eastAsia="en-US"/>
        </w:rPr>
      </w:pPr>
      <w:r w:rsidRPr="00C60123">
        <w:rPr>
          <w:rFonts w:ascii="Times New Roman" w:hAnsi="Times New Roman"/>
          <w:b/>
          <w:bCs/>
          <w:sz w:val="24"/>
          <w:szCs w:val="24"/>
          <w:lang w:eastAsia="en-US"/>
        </w:rPr>
        <w:t>Čl. I</w:t>
      </w: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p>
    <w:p w:rsidR="00C60123" w:rsidRPr="00C60123" w:rsidRDefault="00C60123" w:rsidP="00C60123">
      <w:pPr>
        <w:autoSpaceDE w:val="0"/>
        <w:autoSpaceDN w:val="0"/>
        <w:adjustRightInd w:val="0"/>
        <w:spacing w:after="0" w:line="360" w:lineRule="auto"/>
        <w:ind w:right="-432" w:firstLine="708"/>
        <w:jc w:val="both"/>
        <w:rPr>
          <w:rFonts w:ascii="Times New Roman" w:hAnsi="Times New Roman"/>
          <w:sz w:val="24"/>
          <w:szCs w:val="24"/>
          <w:lang w:eastAsia="en-US"/>
        </w:rPr>
      </w:pPr>
      <w:r w:rsidRPr="00C60123">
        <w:rPr>
          <w:rFonts w:ascii="Times New Roman" w:hAnsi="Times New Roman"/>
          <w:sz w:val="24"/>
          <w:szCs w:val="24"/>
          <w:lang w:eastAsia="en-US"/>
        </w:rPr>
        <w:t xml:space="preserve">Zákon č. 40/1964 Zb. Občiansky zákonník v znení zákona č. 35/1965 Zb.,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w:t>
      </w:r>
      <w:r w:rsidRPr="00C60123">
        <w:rPr>
          <w:rFonts w:ascii="Times New Roman" w:hAnsi="Times New Roman"/>
          <w:sz w:val="24"/>
          <w:szCs w:val="24"/>
          <w:lang w:eastAsia="en-US"/>
        </w:rPr>
        <w:lastRenderedPageBreak/>
        <w:t>č. 91/2016 Z. z., zákona č. 125/2016 Z. z., zákona č. 170/2018 Z. z. a zákona č. 213/2018 Z. z. sa mení a dopĺňa takto:</w:t>
      </w:r>
    </w:p>
    <w:p w:rsidR="00C60123" w:rsidRPr="00C60123" w:rsidRDefault="00C60123" w:rsidP="00C60123">
      <w:pPr>
        <w:autoSpaceDE w:val="0"/>
        <w:autoSpaceDN w:val="0"/>
        <w:adjustRightInd w:val="0"/>
        <w:spacing w:after="0" w:line="360" w:lineRule="auto"/>
        <w:ind w:right="-432"/>
        <w:jc w:val="center"/>
        <w:rPr>
          <w:rFonts w:ascii="Times New Roman" w:hAnsi="Times New Roman"/>
          <w:b/>
          <w:sz w:val="24"/>
          <w:szCs w:val="24"/>
          <w:lang w:eastAsia="en-US"/>
        </w:rPr>
      </w:pPr>
    </w:p>
    <w:p w:rsidR="00C60123" w:rsidRPr="00C60123" w:rsidRDefault="00C60123" w:rsidP="00C60123">
      <w:pPr>
        <w:autoSpaceDE w:val="0"/>
        <w:autoSpaceDN w:val="0"/>
        <w:adjustRightInd w:val="0"/>
        <w:spacing w:after="0" w:line="360" w:lineRule="auto"/>
        <w:ind w:right="-432"/>
        <w:rPr>
          <w:rFonts w:ascii="Times New Roman" w:hAnsi="Times New Roman"/>
          <w:b/>
          <w:sz w:val="24"/>
          <w:szCs w:val="24"/>
          <w:lang w:eastAsia="en-US"/>
        </w:rPr>
      </w:pPr>
    </w:p>
    <w:p w:rsidR="00C60123" w:rsidRPr="00C60123" w:rsidRDefault="00C60123" w:rsidP="00C60123">
      <w:pPr>
        <w:numPr>
          <w:ilvl w:val="0"/>
          <w:numId w:val="7"/>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Za § 54 sa vkladá šiesta hlava s názvom: „ZMLUVA O SPONZORSTVE“.</w:t>
      </w:r>
    </w:p>
    <w:p w:rsidR="00C60123" w:rsidRPr="00C60123" w:rsidRDefault="00C60123" w:rsidP="00C60123">
      <w:pPr>
        <w:numPr>
          <w:ilvl w:val="0"/>
          <w:numId w:val="7"/>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Za § 54 sa vkladajú § 55 až § 57, ktoré znejú:</w:t>
      </w:r>
    </w:p>
    <w:p w:rsidR="00C60123" w:rsidRPr="00C60123" w:rsidRDefault="00C60123" w:rsidP="00C60123">
      <w:pPr>
        <w:autoSpaceDE w:val="0"/>
        <w:autoSpaceDN w:val="0"/>
        <w:adjustRightInd w:val="0"/>
        <w:spacing w:after="0" w:line="360" w:lineRule="auto"/>
        <w:ind w:right="-432"/>
        <w:jc w:val="center"/>
        <w:rPr>
          <w:rFonts w:ascii="Times New Roman" w:hAnsi="Times New Roman"/>
          <w:b/>
          <w:sz w:val="24"/>
          <w:szCs w:val="24"/>
          <w:lang w:eastAsia="en-US"/>
        </w:rPr>
      </w:pP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r w:rsidRPr="00C60123">
        <w:rPr>
          <w:rFonts w:ascii="Times New Roman" w:hAnsi="Times New Roman"/>
          <w:sz w:val="24"/>
          <w:szCs w:val="24"/>
          <w:lang w:eastAsia="en-US"/>
        </w:rPr>
        <w:t>„§ 55</w:t>
      </w: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r w:rsidRPr="00C60123">
        <w:rPr>
          <w:rFonts w:ascii="Times New Roman" w:hAnsi="Times New Roman"/>
          <w:sz w:val="24"/>
          <w:szCs w:val="24"/>
          <w:lang w:eastAsia="en-US"/>
        </w:rPr>
        <w:t>Sponzorstvo</w:t>
      </w:r>
    </w:p>
    <w:p w:rsidR="00C60123" w:rsidRPr="00C60123" w:rsidRDefault="00C60123" w:rsidP="00C60123">
      <w:pPr>
        <w:autoSpaceDE w:val="0"/>
        <w:autoSpaceDN w:val="0"/>
        <w:adjustRightInd w:val="0"/>
        <w:spacing w:after="0" w:line="360" w:lineRule="auto"/>
        <w:ind w:right="-432"/>
        <w:jc w:val="both"/>
        <w:rPr>
          <w:rFonts w:ascii="Times New Roman" w:hAnsi="Times New Roman"/>
          <w:b/>
          <w:sz w:val="24"/>
          <w:szCs w:val="24"/>
          <w:lang w:eastAsia="en-US"/>
        </w:rPr>
      </w:pPr>
    </w:p>
    <w:p w:rsidR="00C60123" w:rsidRPr="00C60123" w:rsidRDefault="00C60123" w:rsidP="00C60123">
      <w:pPr>
        <w:numPr>
          <w:ilvl w:val="0"/>
          <w:numId w:val="2"/>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Sponzorstvo na účely tohto zákona je plnenie poskytnuté sponzorom na priame alebo nepriame peňažné plnenie (ďalej len „sponzorský príspevok“) neziskovým organizáciám, občianskym združeniam, nadáciám alebo neinvestičným fondom (ďalej len „sponzorovaný“) alebo na činnosti, ktorú sponzorovaný vykonáva.</w:t>
      </w:r>
    </w:p>
    <w:p w:rsidR="00C60123" w:rsidRPr="00C60123" w:rsidRDefault="00C60123" w:rsidP="00C60123">
      <w:pPr>
        <w:numPr>
          <w:ilvl w:val="0"/>
          <w:numId w:val="2"/>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Sponzorstvo je plnenie poskytnuté iba na verejno-prospešný účel.</w:t>
      </w:r>
    </w:p>
    <w:p w:rsidR="00C60123" w:rsidRPr="00C60123" w:rsidRDefault="00C60123" w:rsidP="00C60123">
      <w:pPr>
        <w:numPr>
          <w:ilvl w:val="0"/>
          <w:numId w:val="2"/>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Sponzorstvom sa rozumie iba plnenie na základe sponzorskej zmluvy, za podmienok v nej určených a na vopred dohnutú dobu, nie dlhšiu ako jeden rok.</w:t>
      </w:r>
    </w:p>
    <w:p w:rsidR="00C60123" w:rsidRPr="00C60123" w:rsidRDefault="00C60123" w:rsidP="00C60123">
      <w:pPr>
        <w:numPr>
          <w:ilvl w:val="0"/>
          <w:numId w:val="2"/>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Sponzorský príspevok musí byť poskytovaný spôsobom takým, aby nedošlo k vzniku konfliktu záujmov medzi sponzorom a sponzorovaným v čase čerpania sponzorského príspevku, to najmä z hľadiska ich príbuzenských, pracovnoprávnych a iných vzťahov.</w:t>
      </w:r>
    </w:p>
    <w:p w:rsidR="00C60123" w:rsidRPr="00C60123" w:rsidRDefault="00C60123" w:rsidP="00C60123">
      <w:pPr>
        <w:numPr>
          <w:ilvl w:val="0"/>
          <w:numId w:val="2"/>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Sponzorský príspevok nemôže byť poskytnutý z verejných prostriedkov.</w:t>
      </w:r>
    </w:p>
    <w:p w:rsidR="00C60123" w:rsidRPr="00C60123" w:rsidRDefault="00C60123" w:rsidP="00C60123">
      <w:pPr>
        <w:numPr>
          <w:ilvl w:val="0"/>
          <w:numId w:val="2"/>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Výška sponzorského príspevku nemôže byť vyššia ako 15 000 eur za jeden kalendárny rok.</w:t>
      </w:r>
    </w:p>
    <w:p w:rsidR="00C60123" w:rsidRPr="00C60123" w:rsidRDefault="00C60123" w:rsidP="00C60123">
      <w:pPr>
        <w:numPr>
          <w:ilvl w:val="0"/>
          <w:numId w:val="2"/>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 so sponzorovaným môže uzavrieť len jednu zmluvu o sponzorstve za jeden kalendárny rok.</w:t>
      </w:r>
    </w:p>
    <w:p w:rsidR="00C60123" w:rsidRPr="00C60123" w:rsidRDefault="00C60123" w:rsidP="00C60123">
      <w:pPr>
        <w:autoSpaceDE w:val="0"/>
        <w:autoSpaceDN w:val="0"/>
        <w:adjustRightInd w:val="0"/>
        <w:spacing w:after="0" w:line="360" w:lineRule="auto"/>
        <w:ind w:right="-432"/>
        <w:jc w:val="center"/>
        <w:rPr>
          <w:rFonts w:ascii="Times New Roman" w:hAnsi="Times New Roman"/>
          <w:b/>
          <w:sz w:val="24"/>
          <w:szCs w:val="24"/>
          <w:lang w:eastAsia="en-US"/>
        </w:rPr>
      </w:pP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r w:rsidRPr="00C60123">
        <w:rPr>
          <w:rFonts w:ascii="Times New Roman" w:hAnsi="Times New Roman"/>
          <w:sz w:val="24"/>
          <w:szCs w:val="24"/>
          <w:lang w:eastAsia="en-US"/>
        </w:rPr>
        <w:t>§ 56</w:t>
      </w: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r w:rsidRPr="00C60123">
        <w:rPr>
          <w:rFonts w:ascii="Times New Roman" w:hAnsi="Times New Roman"/>
          <w:sz w:val="24"/>
          <w:szCs w:val="24"/>
          <w:lang w:eastAsia="en-US"/>
        </w:rPr>
        <w:t>Zmluva o sponzorstve</w:t>
      </w:r>
    </w:p>
    <w:p w:rsidR="00C60123" w:rsidRPr="00C60123" w:rsidRDefault="00C60123" w:rsidP="00C60123">
      <w:pPr>
        <w:autoSpaceDE w:val="0"/>
        <w:autoSpaceDN w:val="0"/>
        <w:adjustRightInd w:val="0"/>
        <w:spacing w:after="0" w:line="360" w:lineRule="auto"/>
        <w:ind w:right="-432"/>
        <w:jc w:val="both"/>
        <w:rPr>
          <w:rFonts w:ascii="Times New Roman" w:hAnsi="Times New Roman"/>
          <w:sz w:val="24"/>
          <w:szCs w:val="24"/>
          <w:lang w:eastAsia="en-US"/>
        </w:rPr>
      </w:pPr>
      <w:r w:rsidRPr="00C60123">
        <w:rPr>
          <w:rFonts w:ascii="Times New Roman" w:hAnsi="Times New Roman"/>
          <w:sz w:val="24"/>
          <w:szCs w:val="24"/>
          <w:lang w:eastAsia="en-US"/>
        </w:rPr>
        <w:t xml:space="preserve">  </w:t>
      </w:r>
    </w:p>
    <w:p w:rsidR="00C60123" w:rsidRPr="00C60123" w:rsidRDefault="00C60123" w:rsidP="00C60123">
      <w:pPr>
        <w:numPr>
          <w:ilvl w:val="0"/>
          <w:numId w:val="3"/>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Zmluvou o sponzorstve sa sponzor zaväzuje poskytnúť sponzorský príspevok sponzorovanému a sponzorovaný sa zaväzuje využiť sponzorský príspevok na dohodnutý účel súvisiaci s vykonávanou činnosťou.</w:t>
      </w:r>
    </w:p>
    <w:p w:rsidR="00C60123" w:rsidRPr="00C60123" w:rsidRDefault="00C60123" w:rsidP="00C60123">
      <w:pPr>
        <w:numPr>
          <w:ilvl w:val="0"/>
          <w:numId w:val="3"/>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lastRenderedPageBreak/>
        <w:t>Účelom sponzorského príspevku nesmie byť mzda, ani úhrada nákladov na osobnú potrebu</w:t>
      </w:r>
      <w:r>
        <w:rPr>
          <w:rFonts w:ascii="Times New Roman" w:hAnsi="Times New Roman"/>
          <w:sz w:val="24"/>
          <w:szCs w:val="24"/>
          <w:lang w:eastAsia="en-US"/>
        </w:rPr>
        <w:t xml:space="preserve"> sponzorovaného,</w:t>
      </w:r>
      <w:r w:rsidRPr="00C60123">
        <w:rPr>
          <w:rFonts w:ascii="Times New Roman" w:hAnsi="Times New Roman"/>
          <w:sz w:val="24"/>
          <w:szCs w:val="24"/>
          <w:lang w:eastAsia="en-US"/>
        </w:rPr>
        <w:t xml:space="preserve"> nesúvisiacich s vykonávaním dohodnutého účelu.</w:t>
      </w:r>
    </w:p>
    <w:p w:rsidR="00C60123" w:rsidRPr="00C60123" w:rsidRDefault="00C60123" w:rsidP="00C60123">
      <w:pPr>
        <w:numPr>
          <w:ilvl w:val="0"/>
          <w:numId w:val="3"/>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Sponzorovaný môže uvádzať názov alebo obchodné meno, sídlo, logo sponzora alebo logo jeho výrobku v spojení s účelom, na ktorý bolo sponzorský príspevok poskytnutý. Náklady na uvádzanie sponzora nesmú presiahnuť 10 % hodnoty sponzorského príspevku.</w:t>
      </w:r>
    </w:p>
    <w:p w:rsidR="00C60123" w:rsidRPr="00C60123" w:rsidRDefault="00C60123" w:rsidP="00C60123">
      <w:pPr>
        <w:numPr>
          <w:ilvl w:val="0"/>
          <w:numId w:val="3"/>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Zmluva o sponzorstve sa uzatvára v písomnej forme a musí obsahovať čestné vyhlásenie sponzora o tom, že</w:t>
      </w:r>
      <w:r>
        <w:rPr>
          <w:rFonts w:ascii="Times New Roman" w:hAnsi="Times New Roman"/>
          <w:sz w:val="24"/>
          <w:szCs w:val="24"/>
          <w:lang w:eastAsia="en-US"/>
        </w:rPr>
        <w:t>:</w:t>
      </w:r>
    </w:p>
    <w:p w:rsidR="00C60123" w:rsidRPr="00C60123" w:rsidRDefault="00C60123" w:rsidP="00C60123">
      <w:pPr>
        <w:numPr>
          <w:ilvl w:val="0"/>
          <w:numId w:val="9"/>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 má vysporiadané finančné vzťahy so štátnym rozpočtom,</w:t>
      </w:r>
    </w:p>
    <w:p w:rsidR="00C60123" w:rsidRPr="00C60123" w:rsidRDefault="00C60123" w:rsidP="00C60123">
      <w:pPr>
        <w:numPr>
          <w:ilvl w:val="0"/>
          <w:numId w:val="9"/>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voči sponzorovi nie je vedené konkurzné konanie, nie je v konkurze, v reštrukturalizácii a nebol proti nemu zamietnutý návrh na vyhlásenie konkurzu pre nedostatok majetku a</w:t>
      </w:r>
    </w:p>
    <w:p w:rsidR="00C60123" w:rsidRPr="00C60123" w:rsidRDefault="00C60123" w:rsidP="00C60123">
      <w:pPr>
        <w:numPr>
          <w:ilvl w:val="0"/>
          <w:numId w:val="9"/>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 nemá evidované nedoplatky poistného na zdravotné poistenie, sociálne poistenie a príspevkov na starobné dôchodkové sporenie.</w:t>
      </w:r>
    </w:p>
    <w:p w:rsidR="00C60123" w:rsidRPr="00C60123" w:rsidRDefault="00C60123" w:rsidP="00C60123">
      <w:pPr>
        <w:numPr>
          <w:ilvl w:val="0"/>
          <w:numId w:val="3"/>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 je oprávnený od zmluvy o sponzorstve odstúpiť, ak sponzorovaný používa sponzorský príspevok v rozpore s dohodnutým účelom.</w:t>
      </w:r>
    </w:p>
    <w:p w:rsidR="00C60123" w:rsidRPr="00C60123" w:rsidRDefault="00C60123" w:rsidP="00C60123">
      <w:pPr>
        <w:numPr>
          <w:ilvl w:val="0"/>
          <w:numId w:val="3"/>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Zmluvu o sponzorstve, jej zmeny a doplnenia sponzorovaný zašle v listinnej alebo elektronickej podobe Úradu vlády Slovenskej republiky, najneskôr do 30 dní odo dňa jej podpisu oboma zmluvnými stranami. Úrad vlády Slovenskej republiky následne zverejní túto zmluvu o sponzorstve v Centrálnom registri zmlúv.</w:t>
      </w:r>
    </w:p>
    <w:p w:rsidR="00C60123" w:rsidRPr="00C60123" w:rsidRDefault="00C60123" w:rsidP="00C60123">
      <w:pPr>
        <w:numPr>
          <w:ilvl w:val="0"/>
          <w:numId w:val="3"/>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Ak sponzorský príspevok nebol použitý do konca obdobia, na ktoré bola zmluva o sponzorstve uzavretá, alebo ak nebol použitý v súlade s dohodnutým účelom, je sponzorovaný povinný vrátiť sponzorovi nevyčerpanú sumu sponzorského príspevku alebo sumu, ktorá bola použitá v rozpore s dohodnutým účelom.</w:t>
      </w:r>
    </w:p>
    <w:p w:rsidR="00C60123" w:rsidRPr="00C60123" w:rsidRDefault="00C60123" w:rsidP="00C60123">
      <w:pPr>
        <w:numPr>
          <w:ilvl w:val="0"/>
          <w:numId w:val="3"/>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Sponzor má právo žiadať informácie o použití sponzorského príspevku a doklady preukazujúce použitie sponzorského príspevku a sponzorovaný je povinný mu ich bezodkladne poskytnúť.</w:t>
      </w: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r w:rsidRPr="00C60123">
        <w:rPr>
          <w:rFonts w:ascii="Times New Roman" w:hAnsi="Times New Roman"/>
          <w:sz w:val="24"/>
          <w:szCs w:val="24"/>
          <w:lang w:eastAsia="en-US"/>
        </w:rPr>
        <w:t>§ 57</w:t>
      </w:r>
    </w:p>
    <w:p w:rsidR="00C60123" w:rsidRPr="00C60123" w:rsidRDefault="00C60123" w:rsidP="00C60123">
      <w:pPr>
        <w:autoSpaceDE w:val="0"/>
        <w:autoSpaceDN w:val="0"/>
        <w:adjustRightInd w:val="0"/>
        <w:spacing w:after="0" w:line="360" w:lineRule="auto"/>
        <w:ind w:right="-432"/>
        <w:jc w:val="both"/>
        <w:rPr>
          <w:rFonts w:ascii="Times New Roman" w:hAnsi="Times New Roman"/>
          <w:b/>
          <w:sz w:val="24"/>
          <w:szCs w:val="24"/>
          <w:lang w:eastAsia="en-US"/>
        </w:rPr>
      </w:pPr>
    </w:p>
    <w:p w:rsidR="00C60123" w:rsidRPr="00C60123" w:rsidRDefault="00C60123" w:rsidP="00C60123">
      <w:pPr>
        <w:numPr>
          <w:ilvl w:val="0"/>
          <w:numId w:val="6"/>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Ustanovenia § 55 a § 56 sa nevzťahujú na zmluvu o sponzorstve v športe podľa osobitného právneho predpisu.“</w:t>
      </w:r>
    </w:p>
    <w:p w:rsidR="00C60123" w:rsidRPr="00C60123" w:rsidRDefault="00C60123" w:rsidP="00C60123">
      <w:pPr>
        <w:autoSpaceDE w:val="0"/>
        <w:autoSpaceDN w:val="0"/>
        <w:adjustRightInd w:val="0"/>
        <w:spacing w:after="0" w:line="360" w:lineRule="auto"/>
        <w:ind w:right="-432"/>
        <w:jc w:val="both"/>
        <w:rPr>
          <w:rFonts w:ascii="Times New Roman" w:hAnsi="Times New Roman"/>
          <w:sz w:val="24"/>
          <w:szCs w:val="24"/>
          <w:lang w:eastAsia="en-US"/>
        </w:rPr>
      </w:pPr>
    </w:p>
    <w:p w:rsidR="00C60123" w:rsidRPr="00C60123" w:rsidRDefault="00C60123" w:rsidP="00C60123">
      <w:pPr>
        <w:autoSpaceDE w:val="0"/>
        <w:autoSpaceDN w:val="0"/>
        <w:adjustRightInd w:val="0"/>
        <w:spacing w:after="0" w:line="360" w:lineRule="auto"/>
        <w:ind w:right="-432"/>
        <w:jc w:val="center"/>
        <w:rPr>
          <w:rFonts w:ascii="Times New Roman" w:hAnsi="Times New Roman"/>
          <w:b/>
          <w:sz w:val="24"/>
          <w:szCs w:val="24"/>
          <w:lang w:eastAsia="en-US"/>
        </w:rPr>
      </w:pPr>
      <w:r w:rsidRPr="00C60123">
        <w:rPr>
          <w:rFonts w:ascii="Times New Roman" w:hAnsi="Times New Roman"/>
          <w:b/>
          <w:sz w:val="24"/>
          <w:szCs w:val="24"/>
          <w:lang w:eastAsia="en-US"/>
        </w:rPr>
        <w:t>Čl. II</w:t>
      </w:r>
    </w:p>
    <w:p w:rsidR="00C60123" w:rsidRPr="00C60123" w:rsidRDefault="00C60123" w:rsidP="00C60123">
      <w:pPr>
        <w:autoSpaceDE w:val="0"/>
        <w:autoSpaceDN w:val="0"/>
        <w:adjustRightInd w:val="0"/>
        <w:spacing w:after="0" w:line="360" w:lineRule="auto"/>
        <w:ind w:right="-432"/>
        <w:jc w:val="both"/>
        <w:rPr>
          <w:rFonts w:ascii="Times New Roman" w:hAnsi="Times New Roman"/>
          <w:sz w:val="24"/>
          <w:szCs w:val="24"/>
          <w:lang w:eastAsia="en-US"/>
        </w:rPr>
      </w:pPr>
    </w:p>
    <w:p w:rsidR="00C60123" w:rsidRPr="00C60123" w:rsidRDefault="00C60123" w:rsidP="00E129E7">
      <w:pPr>
        <w:autoSpaceDE w:val="0"/>
        <w:autoSpaceDN w:val="0"/>
        <w:adjustRightInd w:val="0"/>
        <w:spacing w:after="0" w:line="360" w:lineRule="auto"/>
        <w:ind w:right="-432" w:firstLine="720"/>
        <w:jc w:val="both"/>
        <w:rPr>
          <w:rFonts w:ascii="Times New Roman" w:hAnsi="Times New Roman"/>
          <w:sz w:val="24"/>
          <w:szCs w:val="24"/>
          <w:lang w:eastAsia="en-US"/>
        </w:rPr>
      </w:pPr>
      <w:r w:rsidRPr="00C60123">
        <w:rPr>
          <w:rFonts w:ascii="Times New Roman" w:hAnsi="Times New Roman"/>
          <w:sz w:val="24"/>
          <w:szCs w:val="24"/>
          <w:lang w:eastAsia="en-US"/>
        </w:rPr>
        <w:t>Zákon č. 595/2003 Z. z. o dani z príjmov v znení zákona č. 43/2004 Z. z., zákona č. 177/2004 Z. z., zákona č. 191/2004 Z. z., zákona č. 391/2004 Z. z., zákona č.538/2004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335/2017 Z. z., zákona č. 57/2018 Z. z., zákona č. 63/2018 Z. z.,  zákona č. 209/2018 Z. z. a zákona č. 213/2018 Z. z. sa mení a dopĺňa takto:</w:t>
      </w:r>
    </w:p>
    <w:p w:rsidR="00C60123" w:rsidRPr="00C60123" w:rsidRDefault="00C60123" w:rsidP="00C60123">
      <w:pPr>
        <w:autoSpaceDE w:val="0"/>
        <w:autoSpaceDN w:val="0"/>
        <w:adjustRightInd w:val="0"/>
        <w:spacing w:after="0" w:line="360" w:lineRule="auto"/>
        <w:ind w:right="-432"/>
        <w:jc w:val="both"/>
        <w:rPr>
          <w:rFonts w:ascii="Times New Roman" w:hAnsi="Times New Roman"/>
          <w:sz w:val="24"/>
          <w:szCs w:val="24"/>
          <w:lang w:eastAsia="en-US"/>
        </w:rPr>
      </w:pPr>
    </w:p>
    <w:p w:rsidR="00C60123" w:rsidRPr="00C60123" w:rsidRDefault="00C60123" w:rsidP="00C60123">
      <w:pPr>
        <w:numPr>
          <w:ilvl w:val="0"/>
          <w:numId w:val="8"/>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V § 13 ods. 1 sa dopĺňa písm. h), ktoré znie: „na základe zmluvy o sponzorstve.</w:t>
      </w:r>
      <w:r w:rsidRPr="00C60123">
        <w:rPr>
          <w:rFonts w:ascii="Times New Roman" w:hAnsi="Times New Roman"/>
          <w:sz w:val="24"/>
          <w:szCs w:val="24"/>
          <w:vertAlign w:val="superscript"/>
          <w:lang w:eastAsia="en-US"/>
        </w:rPr>
        <w:t>29b)</w:t>
      </w:r>
      <w:r w:rsidRPr="00C60123">
        <w:rPr>
          <w:rFonts w:ascii="Times New Roman" w:hAnsi="Times New Roman"/>
          <w:sz w:val="24"/>
          <w:szCs w:val="24"/>
          <w:lang w:eastAsia="en-US"/>
        </w:rPr>
        <w:t>“</w:t>
      </w:r>
    </w:p>
    <w:p w:rsidR="00167755" w:rsidRDefault="00C60123" w:rsidP="00C60123">
      <w:pPr>
        <w:numPr>
          <w:ilvl w:val="0"/>
          <w:numId w:val="8"/>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 17 ods. 3 písm. k) sa mení a dopĺňa: „príjem na základe zmluvy o sponzorstve v športe alebo na základe zmluvy o sponzorstve</w:t>
      </w:r>
      <w:r w:rsidRPr="00C60123">
        <w:rPr>
          <w:rFonts w:ascii="Times New Roman" w:hAnsi="Times New Roman"/>
          <w:sz w:val="24"/>
          <w:szCs w:val="24"/>
          <w:vertAlign w:val="superscript"/>
          <w:lang w:eastAsia="en-US"/>
        </w:rPr>
        <w:t>29b)</w:t>
      </w:r>
      <w:r w:rsidRPr="00C60123">
        <w:rPr>
          <w:rFonts w:ascii="Times New Roman" w:hAnsi="Times New Roman"/>
          <w:sz w:val="24"/>
          <w:szCs w:val="24"/>
          <w:lang w:eastAsia="en-US"/>
        </w:rPr>
        <w:t xml:space="preserve"> u daňovníka, ktorý účtuje v sústave jednoduchého účtovníctva alebo, ktorý vedie daňovú evidenciu podľa § 6 ods. 11 v zdaňovacom období, v ktorom ho prijal, ak nebol použitý na úhradu daňových výdavkov; </w:t>
      </w:r>
    </w:p>
    <w:p w:rsidR="00167755" w:rsidRDefault="00167755" w:rsidP="00167755">
      <w:pPr>
        <w:autoSpaceDE w:val="0"/>
        <w:autoSpaceDN w:val="0"/>
        <w:adjustRightInd w:val="0"/>
        <w:spacing w:after="0" w:line="360" w:lineRule="auto"/>
        <w:ind w:left="1210" w:right="-432"/>
        <w:contextualSpacing/>
        <w:jc w:val="both"/>
        <w:rPr>
          <w:rFonts w:ascii="Times New Roman" w:hAnsi="Times New Roman"/>
          <w:sz w:val="24"/>
          <w:szCs w:val="24"/>
          <w:lang w:eastAsia="en-US"/>
        </w:rPr>
      </w:pPr>
    </w:p>
    <w:p w:rsidR="00167755" w:rsidRPr="00C60123" w:rsidRDefault="00167755" w:rsidP="00167755">
      <w:pPr>
        <w:autoSpaceDE w:val="0"/>
        <w:autoSpaceDN w:val="0"/>
        <w:adjustRightInd w:val="0"/>
        <w:spacing w:after="0" w:line="360" w:lineRule="auto"/>
        <w:ind w:left="1210"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____________________________</w:t>
      </w:r>
    </w:p>
    <w:p w:rsidR="00167755" w:rsidRPr="00167755" w:rsidRDefault="00167755" w:rsidP="00167755">
      <w:pPr>
        <w:rPr>
          <w:rFonts w:ascii="Times New Roman" w:hAnsi="Times New Roman"/>
          <w:sz w:val="20"/>
          <w:szCs w:val="20"/>
          <w:lang w:eastAsia="en-US"/>
        </w:rPr>
      </w:pPr>
      <w:r w:rsidRPr="00C60123">
        <w:rPr>
          <w:rFonts w:ascii="Times New Roman" w:hAnsi="Times New Roman"/>
          <w:sz w:val="20"/>
          <w:szCs w:val="20"/>
          <w:vertAlign w:val="superscript"/>
          <w:lang w:eastAsia="en-US"/>
        </w:rPr>
        <w:t xml:space="preserve">                       29b)</w:t>
      </w:r>
      <w:r w:rsidRPr="00C60123">
        <w:rPr>
          <w:rFonts w:ascii="Times New Roman" w:hAnsi="Times New Roman"/>
          <w:sz w:val="20"/>
          <w:szCs w:val="20"/>
          <w:lang w:eastAsia="en-US"/>
        </w:rPr>
        <w:t xml:space="preserve"> - § 56 zákona č. 40/1964 Zb. Občianskeho zákonníka v znení neskorších predpisov</w:t>
      </w:r>
    </w:p>
    <w:p w:rsidR="00167755" w:rsidRDefault="00167755" w:rsidP="00167755">
      <w:pPr>
        <w:autoSpaceDE w:val="0"/>
        <w:autoSpaceDN w:val="0"/>
        <w:adjustRightInd w:val="0"/>
        <w:spacing w:after="0" w:line="360" w:lineRule="auto"/>
        <w:ind w:left="1210" w:right="-432"/>
        <w:contextualSpacing/>
        <w:jc w:val="both"/>
        <w:rPr>
          <w:rFonts w:ascii="Times New Roman" w:hAnsi="Times New Roman"/>
          <w:sz w:val="24"/>
          <w:szCs w:val="24"/>
          <w:lang w:eastAsia="en-US"/>
        </w:rPr>
      </w:pPr>
    </w:p>
    <w:p w:rsidR="00C60123" w:rsidRPr="00C60123" w:rsidRDefault="00C60123" w:rsidP="00167755">
      <w:pPr>
        <w:autoSpaceDE w:val="0"/>
        <w:autoSpaceDN w:val="0"/>
        <w:adjustRightInd w:val="0"/>
        <w:spacing w:after="0" w:line="360" w:lineRule="auto"/>
        <w:ind w:left="1210"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tieto príjmy nepoužité na úhradu daňových výdavkov sú zahrnované do základu dane</w:t>
      </w:r>
    </w:p>
    <w:p w:rsidR="00C60123" w:rsidRPr="00C60123" w:rsidRDefault="00C60123" w:rsidP="00C60123">
      <w:pPr>
        <w:numPr>
          <w:ilvl w:val="1"/>
          <w:numId w:val="8"/>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postupne vo výške odpisov majetku nadobudnutého z týchto príjmov alebo v pomernej časti zodpovedajúcej výške použitého príjmu na obstaranie odpisovaného majetku,</w:t>
      </w:r>
    </w:p>
    <w:p w:rsidR="00C60123" w:rsidRPr="00C60123" w:rsidRDefault="00C60123" w:rsidP="00C60123">
      <w:pPr>
        <w:numPr>
          <w:ilvl w:val="1"/>
          <w:numId w:val="8"/>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v období čerpania sponzorského, ak tieto príjmy nesúvisia s výdavkom účtovaným v zdaňovacom období, v ktorom boli prijaté“.</w:t>
      </w:r>
    </w:p>
    <w:p w:rsidR="00C60123" w:rsidRPr="00C60123" w:rsidRDefault="00C60123" w:rsidP="00C60123">
      <w:pPr>
        <w:numPr>
          <w:ilvl w:val="0"/>
          <w:numId w:val="8"/>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 17 ods. 3 písm. l) sa mení a dopĺňa: „príjem (výnos) na základe zmluvy o sponzorstve v športe, alebo na základe zmluvy o sponzorstve</w:t>
      </w:r>
      <w:r w:rsidRPr="00C60123">
        <w:rPr>
          <w:rFonts w:ascii="Times New Roman" w:hAnsi="Times New Roman"/>
          <w:sz w:val="24"/>
          <w:szCs w:val="24"/>
          <w:vertAlign w:val="superscript"/>
          <w:lang w:eastAsia="en-US"/>
        </w:rPr>
        <w:t>29b)</w:t>
      </w:r>
      <w:r w:rsidRPr="00C60123">
        <w:rPr>
          <w:rFonts w:ascii="Times New Roman" w:hAnsi="Times New Roman"/>
          <w:sz w:val="24"/>
          <w:szCs w:val="24"/>
          <w:lang w:eastAsia="en-US"/>
        </w:rPr>
        <w:t xml:space="preserve"> použitý na obstaranie odpisovaného hmotného majetku v zdaňovacom období, v ktorom bolo o ňom účtované vo výnosoch podľa osobitného predpisu; toto sponzorské alebo sponzorský príspevok sa zahrnie do základu dane počas doby odpisovania tohto majetku podľa § 26 a vo výške odpisu podľa § 27 alebo § 28 alebo v pomernej časti zodpovedajúcej výške použitého príjmu na obstaranie tohto majetku“.</w:t>
      </w:r>
    </w:p>
    <w:p w:rsidR="00C60123" w:rsidRPr="00C60123" w:rsidRDefault="00C60123" w:rsidP="00C60123">
      <w:pPr>
        <w:numPr>
          <w:ilvl w:val="0"/>
          <w:numId w:val="8"/>
        </w:numPr>
        <w:autoSpaceDE w:val="0"/>
        <w:autoSpaceDN w:val="0"/>
        <w:adjustRightInd w:val="0"/>
        <w:spacing w:after="0" w:line="360" w:lineRule="auto"/>
        <w:ind w:right="-432"/>
        <w:contextualSpacing/>
        <w:jc w:val="both"/>
        <w:rPr>
          <w:rFonts w:ascii="Times New Roman" w:hAnsi="Times New Roman"/>
          <w:sz w:val="24"/>
          <w:szCs w:val="24"/>
          <w:lang w:eastAsia="en-US"/>
        </w:rPr>
      </w:pPr>
      <w:r w:rsidRPr="00C60123">
        <w:rPr>
          <w:rFonts w:ascii="Times New Roman" w:hAnsi="Times New Roman"/>
          <w:sz w:val="24"/>
          <w:szCs w:val="24"/>
          <w:lang w:eastAsia="en-US"/>
        </w:rPr>
        <w:t>§ 17 ods. 19 písm. h) sa mení a dopĺňa: „výdavky (náklady) na sponzorské u sponzora na základe zmluvy o sponzorstve v športe alebo výdavky (náklady) na sponzorský príspevok na základe zmluvy o sponzorstve</w:t>
      </w:r>
      <w:r w:rsidRPr="00C60123">
        <w:rPr>
          <w:rFonts w:ascii="Times New Roman" w:hAnsi="Times New Roman"/>
          <w:sz w:val="24"/>
          <w:szCs w:val="24"/>
          <w:vertAlign w:val="superscript"/>
          <w:lang w:eastAsia="en-US"/>
        </w:rPr>
        <w:t>29b)</w:t>
      </w:r>
      <w:r w:rsidRPr="00C60123">
        <w:rPr>
          <w:rFonts w:ascii="Times New Roman" w:hAnsi="Times New Roman"/>
          <w:sz w:val="24"/>
          <w:szCs w:val="24"/>
          <w:lang w:eastAsia="en-US"/>
        </w:rPr>
        <w:t xml:space="preserve"> poskytnuté počas obdobia trvania zmluvy o sponzorstve v športe alebo na základe zmluvy o sponzorstve</w:t>
      </w:r>
      <w:r w:rsidRPr="00C60123">
        <w:rPr>
          <w:rFonts w:ascii="Times New Roman" w:hAnsi="Times New Roman"/>
          <w:sz w:val="24"/>
          <w:szCs w:val="24"/>
          <w:vertAlign w:val="superscript"/>
          <w:lang w:eastAsia="en-US"/>
        </w:rPr>
        <w:t>29b)</w:t>
      </w:r>
      <w:r w:rsidRPr="00C60123">
        <w:rPr>
          <w:rFonts w:ascii="Times New Roman" w:hAnsi="Times New Roman"/>
          <w:sz w:val="24"/>
          <w:szCs w:val="24"/>
          <w:lang w:eastAsia="en-US"/>
        </w:rPr>
        <w:t xml:space="preserve"> v rozsahu podľa jeho skutočného použitia v príslušnom zdaňovacom období, ak v príslušnom zdaňovacom období sponzor vykáže kladný základ dane; za výdavky (náklady) na sponzorské sa nepovažuje poskytnutie sponzorského pre športovca okrem športového reprezentanta“.</w:t>
      </w:r>
    </w:p>
    <w:p w:rsidR="00C60123" w:rsidRPr="00C60123" w:rsidRDefault="00C60123" w:rsidP="00C60123">
      <w:pPr>
        <w:autoSpaceDE w:val="0"/>
        <w:autoSpaceDN w:val="0"/>
        <w:adjustRightInd w:val="0"/>
        <w:spacing w:after="0" w:line="360" w:lineRule="auto"/>
        <w:ind w:right="-432"/>
        <w:jc w:val="both"/>
        <w:rPr>
          <w:rFonts w:ascii="Times New Roman" w:hAnsi="Times New Roman"/>
          <w:b/>
          <w:bCs/>
          <w:sz w:val="24"/>
          <w:szCs w:val="24"/>
          <w:lang w:eastAsia="en-US"/>
        </w:rPr>
      </w:pPr>
    </w:p>
    <w:p w:rsidR="00C60123" w:rsidRPr="00C60123" w:rsidRDefault="00C60123" w:rsidP="00C60123">
      <w:pPr>
        <w:autoSpaceDE w:val="0"/>
        <w:autoSpaceDN w:val="0"/>
        <w:adjustRightInd w:val="0"/>
        <w:spacing w:after="0" w:line="360" w:lineRule="auto"/>
        <w:ind w:right="-432"/>
        <w:jc w:val="center"/>
        <w:rPr>
          <w:rFonts w:ascii="Times New Roman" w:hAnsi="Times New Roman"/>
          <w:b/>
          <w:bCs/>
          <w:sz w:val="24"/>
          <w:szCs w:val="24"/>
          <w:lang w:eastAsia="en-US"/>
        </w:rPr>
      </w:pPr>
      <w:r w:rsidRPr="00C60123">
        <w:rPr>
          <w:rFonts w:ascii="Times New Roman" w:hAnsi="Times New Roman"/>
          <w:b/>
          <w:bCs/>
          <w:sz w:val="24"/>
          <w:szCs w:val="24"/>
          <w:lang w:eastAsia="en-US"/>
        </w:rPr>
        <w:t>Čl. III</w:t>
      </w:r>
    </w:p>
    <w:p w:rsidR="00C60123" w:rsidRPr="00C60123" w:rsidRDefault="00C60123" w:rsidP="00C60123">
      <w:pPr>
        <w:autoSpaceDE w:val="0"/>
        <w:autoSpaceDN w:val="0"/>
        <w:adjustRightInd w:val="0"/>
        <w:spacing w:after="0" w:line="360" w:lineRule="auto"/>
        <w:ind w:right="-432"/>
        <w:jc w:val="both"/>
        <w:rPr>
          <w:rFonts w:ascii="Times New Roman" w:hAnsi="Times New Roman"/>
          <w:sz w:val="24"/>
          <w:szCs w:val="24"/>
          <w:lang w:eastAsia="en-US"/>
        </w:rPr>
      </w:pPr>
    </w:p>
    <w:p w:rsidR="00C60123" w:rsidRPr="00C60123" w:rsidRDefault="00C60123" w:rsidP="00C60123">
      <w:pPr>
        <w:autoSpaceDE w:val="0"/>
        <w:autoSpaceDN w:val="0"/>
        <w:adjustRightInd w:val="0"/>
        <w:spacing w:after="0" w:line="360" w:lineRule="auto"/>
        <w:ind w:right="-432"/>
        <w:jc w:val="center"/>
        <w:rPr>
          <w:rFonts w:ascii="Times New Roman" w:hAnsi="Times New Roman"/>
          <w:sz w:val="24"/>
          <w:szCs w:val="24"/>
          <w:lang w:eastAsia="en-US"/>
        </w:rPr>
      </w:pPr>
      <w:r w:rsidRPr="00C60123">
        <w:rPr>
          <w:rFonts w:ascii="Times New Roman" w:hAnsi="Times New Roman"/>
          <w:sz w:val="24"/>
          <w:szCs w:val="24"/>
          <w:lang w:eastAsia="en-US"/>
        </w:rPr>
        <w:t>Tento zákon nadobúda účinnosť 1. apríla 2019.</w:t>
      </w:r>
    </w:p>
    <w:p w:rsidR="00BC4E85" w:rsidRDefault="00BC4E85"/>
    <w:sectPr w:rsidR="00BC4E8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855"/>
    <w:multiLevelType w:val="hybridMultilevel"/>
    <w:tmpl w:val="9E8E4C66"/>
    <w:lvl w:ilvl="0" w:tplc="041B000F">
      <w:start w:val="1"/>
      <w:numFmt w:val="decimal"/>
      <w:lvlText w:val="%1."/>
      <w:lvlJc w:val="left"/>
      <w:pPr>
        <w:ind w:left="1210" w:hanging="360"/>
      </w:pPr>
      <w:rPr>
        <w:rFonts w:cs="Times New Roman" w:hint="default"/>
      </w:rPr>
    </w:lvl>
    <w:lvl w:ilvl="1" w:tplc="041B0019">
      <w:start w:val="1"/>
      <w:numFmt w:val="lowerLetter"/>
      <w:lvlText w:val="%2."/>
      <w:lvlJc w:val="left"/>
      <w:pPr>
        <w:ind w:left="1930" w:hanging="360"/>
      </w:pPr>
      <w:rPr>
        <w:rFonts w:cs="Times New Roman"/>
      </w:rPr>
    </w:lvl>
    <w:lvl w:ilvl="2" w:tplc="041B001B" w:tentative="1">
      <w:start w:val="1"/>
      <w:numFmt w:val="lowerRoman"/>
      <w:lvlText w:val="%3."/>
      <w:lvlJc w:val="right"/>
      <w:pPr>
        <w:ind w:left="2650" w:hanging="180"/>
      </w:pPr>
      <w:rPr>
        <w:rFonts w:cs="Times New Roman"/>
      </w:rPr>
    </w:lvl>
    <w:lvl w:ilvl="3" w:tplc="041B000F" w:tentative="1">
      <w:start w:val="1"/>
      <w:numFmt w:val="decimal"/>
      <w:lvlText w:val="%4."/>
      <w:lvlJc w:val="left"/>
      <w:pPr>
        <w:ind w:left="3370" w:hanging="360"/>
      </w:pPr>
      <w:rPr>
        <w:rFonts w:cs="Times New Roman"/>
      </w:rPr>
    </w:lvl>
    <w:lvl w:ilvl="4" w:tplc="041B0019" w:tentative="1">
      <w:start w:val="1"/>
      <w:numFmt w:val="lowerLetter"/>
      <w:lvlText w:val="%5."/>
      <w:lvlJc w:val="left"/>
      <w:pPr>
        <w:ind w:left="4090" w:hanging="360"/>
      </w:pPr>
      <w:rPr>
        <w:rFonts w:cs="Times New Roman"/>
      </w:rPr>
    </w:lvl>
    <w:lvl w:ilvl="5" w:tplc="041B001B" w:tentative="1">
      <w:start w:val="1"/>
      <w:numFmt w:val="lowerRoman"/>
      <w:lvlText w:val="%6."/>
      <w:lvlJc w:val="right"/>
      <w:pPr>
        <w:ind w:left="4810" w:hanging="180"/>
      </w:pPr>
      <w:rPr>
        <w:rFonts w:cs="Times New Roman"/>
      </w:rPr>
    </w:lvl>
    <w:lvl w:ilvl="6" w:tplc="041B000F" w:tentative="1">
      <w:start w:val="1"/>
      <w:numFmt w:val="decimal"/>
      <w:lvlText w:val="%7."/>
      <w:lvlJc w:val="left"/>
      <w:pPr>
        <w:ind w:left="5530" w:hanging="360"/>
      </w:pPr>
      <w:rPr>
        <w:rFonts w:cs="Times New Roman"/>
      </w:rPr>
    </w:lvl>
    <w:lvl w:ilvl="7" w:tplc="041B0019" w:tentative="1">
      <w:start w:val="1"/>
      <w:numFmt w:val="lowerLetter"/>
      <w:lvlText w:val="%8."/>
      <w:lvlJc w:val="left"/>
      <w:pPr>
        <w:ind w:left="6250" w:hanging="360"/>
      </w:pPr>
      <w:rPr>
        <w:rFonts w:cs="Times New Roman"/>
      </w:rPr>
    </w:lvl>
    <w:lvl w:ilvl="8" w:tplc="041B001B" w:tentative="1">
      <w:start w:val="1"/>
      <w:numFmt w:val="lowerRoman"/>
      <w:lvlText w:val="%9."/>
      <w:lvlJc w:val="right"/>
      <w:pPr>
        <w:ind w:left="6970" w:hanging="180"/>
      </w:pPr>
      <w:rPr>
        <w:rFonts w:cs="Times New Roman"/>
      </w:rPr>
    </w:lvl>
  </w:abstractNum>
  <w:abstractNum w:abstractNumId="1" w15:restartNumberingAfterBreak="0">
    <w:nsid w:val="2B3B3237"/>
    <w:multiLevelType w:val="hybridMultilevel"/>
    <w:tmpl w:val="2C1C825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785"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66A3896"/>
    <w:multiLevelType w:val="hybridMultilevel"/>
    <w:tmpl w:val="CE7C0A9A"/>
    <w:lvl w:ilvl="0" w:tplc="C91CD8E6">
      <w:start w:val="1"/>
      <w:numFmt w:val="decimal"/>
      <w:lvlText w:val="(%1)"/>
      <w:lvlJc w:val="left"/>
      <w:pPr>
        <w:ind w:left="360" w:hanging="360"/>
      </w:pPr>
      <w:rPr>
        <w:rFonts w:cs="Times New Roman" w:hint="default"/>
      </w:rPr>
    </w:lvl>
    <w:lvl w:ilvl="1" w:tplc="3638820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36EE79E3"/>
    <w:multiLevelType w:val="hybridMultilevel"/>
    <w:tmpl w:val="B18E444C"/>
    <w:lvl w:ilvl="0" w:tplc="041B000F">
      <w:start w:val="1"/>
      <w:numFmt w:val="decimal"/>
      <w:lvlText w:val="%1."/>
      <w:lvlJc w:val="left"/>
      <w:pPr>
        <w:ind w:left="1210" w:hanging="360"/>
      </w:pPr>
      <w:rPr>
        <w:rFonts w:cs="Times New Roman"/>
      </w:rPr>
    </w:lvl>
    <w:lvl w:ilvl="1" w:tplc="041B0019" w:tentative="1">
      <w:start w:val="1"/>
      <w:numFmt w:val="lowerLetter"/>
      <w:lvlText w:val="%2."/>
      <w:lvlJc w:val="left"/>
      <w:pPr>
        <w:ind w:left="1930" w:hanging="360"/>
      </w:pPr>
      <w:rPr>
        <w:rFonts w:cs="Times New Roman"/>
      </w:rPr>
    </w:lvl>
    <w:lvl w:ilvl="2" w:tplc="041B001B" w:tentative="1">
      <w:start w:val="1"/>
      <w:numFmt w:val="lowerRoman"/>
      <w:lvlText w:val="%3."/>
      <w:lvlJc w:val="right"/>
      <w:pPr>
        <w:ind w:left="2650" w:hanging="180"/>
      </w:pPr>
      <w:rPr>
        <w:rFonts w:cs="Times New Roman"/>
      </w:rPr>
    </w:lvl>
    <w:lvl w:ilvl="3" w:tplc="041B000F" w:tentative="1">
      <w:start w:val="1"/>
      <w:numFmt w:val="decimal"/>
      <w:lvlText w:val="%4."/>
      <w:lvlJc w:val="left"/>
      <w:pPr>
        <w:ind w:left="3370" w:hanging="360"/>
      </w:pPr>
      <w:rPr>
        <w:rFonts w:cs="Times New Roman"/>
      </w:rPr>
    </w:lvl>
    <w:lvl w:ilvl="4" w:tplc="041B0019" w:tentative="1">
      <w:start w:val="1"/>
      <w:numFmt w:val="lowerLetter"/>
      <w:lvlText w:val="%5."/>
      <w:lvlJc w:val="left"/>
      <w:pPr>
        <w:ind w:left="4090" w:hanging="360"/>
      </w:pPr>
      <w:rPr>
        <w:rFonts w:cs="Times New Roman"/>
      </w:rPr>
    </w:lvl>
    <w:lvl w:ilvl="5" w:tplc="041B001B" w:tentative="1">
      <w:start w:val="1"/>
      <w:numFmt w:val="lowerRoman"/>
      <w:lvlText w:val="%6."/>
      <w:lvlJc w:val="right"/>
      <w:pPr>
        <w:ind w:left="4810" w:hanging="180"/>
      </w:pPr>
      <w:rPr>
        <w:rFonts w:cs="Times New Roman"/>
      </w:rPr>
    </w:lvl>
    <w:lvl w:ilvl="6" w:tplc="041B000F" w:tentative="1">
      <w:start w:val="1"/>
      <w:numFmt w:val="decimal"/>
      <w:lvlText w:val="%7."/>
      <w:lvlJc w:val="left"/>
      <w:pPr>
        <w:ind w:left="5530" w:hanging="360"/>
      </w:pPr>
      <w:rPr>
        <w:rFonts w:cs="Times New Roman"/>
      </w:rPr>
    </w:lvl>
    <w:lvl w:ilvl="7" w:tplc="041B0019" w:tentative="1">
      <w:start w:val="1"/>
      <w:numFmt w:val="lowerLetter"/>
      <w:lvlText w:val="%8."/>
      <w:lvlJc w:val="left"/>
      <w:pPr>
        <w:ind w:left="6250" w:hanging="360"/>
      </w:pPr>
      <w:rPr>
        <w:rFonts w:cs="Times New Roman"/>
      </w:rPr>
    </w:lvl>
    <w:lvl w:ilvl="8" w:tplc="041B001B" w:tentative="1">
      <w:start w:val="1"/>
      <w:numFmt w:val="lowerRoman"/>
      <w:lvlText w:val="%9."/>
      <w:lvlJc w:val="right"/>
      <w:pPr>
        <w:ind w:left="6970" w:hanging="180"/>
      </w:pPr>
      <w:rPr>
        <w:rFonts w:cs="Times New Roman"/>
      </w:rPr>
    </w:lvl>
  </w:abstractNum>
  <w:abstractNum w:abstractNumId="4" w15:restartNumberingAfterBreak="0">
    <w:nsid w:val="447F0D1B"/>
    <w:multiLevelType w:val="hybridMultilevel"/>
    <w:tmpl w:val="F6F494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A2F2C98"/>
    <w:multiLevelType w:val="hybridMultilevel"/>
    <w:tmpl w:val="104C8384"/>
    <w:lvl w:ilvl="0" w:tplc="041B0017">
      <w:start w:val="1"/>
      <w:numFmt w:val="lowerLetter"/>
      <w:lvlText w:val="%1)"/>
      <w:lvlJc w:val="left"/>
      <w:pPr>
        <w:ind w:left="1210" w:hanging="360"/>
      </w:pPr>
      <w:rPr>
        <w:rFonts w:cs="Times New Roman"/>
      </w:rPr>
    </w:lvl>
    <w:lvl w:ilvl="1" w:tplc="041B0019" w:tentative="1">
      <w:start w:val="1"/>
      <w:numFmt w:val="lowerLetter"/>
      <w:lvlText w:val="%2."/>
      <w:lvlJc w:val="left"/>
      <w:pPr>
        <w:ind w:left="1930" w:hanging="360"/>
      </w:pPr>
      <w:rPr>
        <w:rFonts w:cs="Times New Roman"/>
      </w:rPr>
    </w:lvl>
    <w:lvl w:ilvl="2" w:tplc="041B001B" w:tentative="1">
      <w:start w:val="1"/>
      <w:numFmt w:val="lowerRoman"/>
      <w:lvlText w:val="%3."/>
      <w:lvlJc w:val="right"/>
      <w:pPr>
        <w:ind w:left="2650" w:hanging="180"/>
      </w:pPr>
      <w:rPr>
        <w:rFonts w:cs="Times New Roman"/>
      </w:rPr>
    </w:lvl>
    <w:lvl w:ilvl="3" w:tplc="041B000F" w:tentative="1">
      <w:start w:val="1"/>
      <w:numFmt w:val="decimal"/>
      <w:lvlText w:val="%4."/>
      <w:lvlJc w:val="left"/>
      <w:pPr>
        <w:ind w:left="3370" w:hanging="360"/>
      </w:pPr>
      <w:rPr>
        <w:rFonts w:cs="Times New Roman"/>
      </w:rPr>
    </w:lvl>
    <w:lvl w:ilvl="4" w:tplc="041B0019" w:tentative="1">
      <w:start w:val="1"/>
      <w:numFmt w:val="lowerLetter"/>
      <w:lvlText w:val="%5."/>
      <w:lvlJc w:val="left"/>
      <w:pPr>
        <w:ind w:left="4090" w:hanging="360"/>
      </w:pPr>
      <w:rPr>
        <w:rFonts w:cs="Times New Roman"/>
      </w:rPr>
    </w:lvl>
    <w:lvl w:ilvl="5" w:tplc="041B001B" w:tentative="1">
      <w:start w:val="1"/>
      <w:numFmt w:val="lowerRoman"/>
      <w:lvlText w:val="%6."/>
      <w:lvlJc w:val="right"/>
      <w:pPr>
        <w:ind w:left="4810" w:hanging="180"/>
      </w:pPr>
      <w:rPr>
        <w:rFonts w:cs="Times New Roman"/>
      </w:rPr>
    </w:lvl>
    <w:lvl w:ilvl="6" w:tplc="041B000F" w:tentative="1">
      <w:start w:val="1"/>
      <w:numFmt w:val="decimal"/>
      <w:lvlText w:val="%7."/>
      <w:lvlJc w:val="left"/>
      <w:pPr>
        <w:ind w:left="5530" w:hanging="360"/>
      </w:pPr>
      <w:rPr>
        <w:rFonts w:cs="Times New Roman"/>
      </w:rPr>
    </w:lvl>
    <w:lvl w:ilvl="7" w:tplc="041B0019" w:tentative="1">
      <w:start w:val="1"/>
      <w:numFmt w:val="lowerLetter"/>
      <w:lvlText w:val="%8."/>
      <w:lvlJc w:val="left"/>
      <w:pPr>
        <w:ind w:left="6250" w:hanging="360"/>
      </w:pPr>
      <w:rPr>
        <w:rFonts w:cs="Times New Roman"/>
      </w:rPr>
    </w:lvl>
    <w:lvl w:ilvl="8" w:tplc="041B001B" w:tentative="1">
      <w:start w:val="1"/>
      <w:numFmt w:val="lowerRoman"/>
      <w:lvlText w:val="%9."/>
      <w:lvlJc w:val="right"/>
      <w:pPr>
        <w:ind w:left="6970" w:hanging="180"/>
      </w:pPr>
      <w:rPr>
        <w:rFonts w:cs="Times New Roman"/>
      </w:rPr>
    </w:lvl>
  </w:abstractNum>
  <w:abstractNum w:abstractNumId="6" w15:restartNumberingAfterBreak="0">
    <w:nsid w:val="4EFB28D3"/>
    <w:multiLevelType w:val="hybridMultilevel"/>
    <w:tmpl w:val="AFFA96FE"/>
    <w:lvl w:ilvl="0" w:tplc="C91CD8E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60915D0A"/>
    <w:multiLevelType w:val="hybridMultilevel"/>
    <w:tmpl w:val="5C1E646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45C6649"/>
    <w:multiLevelType w:val="hybridMultilevel"/>
    <w:tmpl w:val="A73A076C"/>
    <w:lvl w:ilvl="0" w:tplc="C91CD8E6">
      <w:start w:val="1"/>
      <w:numFmt w:val="decimal"/>
      <w:lvlText w:val="(%1)"/>
      <w:lvlJc w:val="left"/>
      <w:pPr>
        <w:ind w:left="501" w:hanging="360"/>
      </w:pPr>
      <w:rPr>
        <w:rFonts w:cs="Times New Roman" w:hint="default"/>
      </w:rPr>
    </w:lvl>
    <w:lvl w:ilvl="1" w:tplc="041B0019" w:tentative="1">
      <w:start w:val="1"/>
      <w:numFmt w:val="lowerLetter"/>
      <w:lvlText w:val="%2."/>
      <w:lvlJc w:val="left"/>
      <w:pPr>
        <w:ind w:left="1221" w:hanging="360"/>
      </w:pPr>
      <w:rPr>
        <w:rFonts w:cs="Times New Roman"/>
      </w:rPr>
    </w:lvl>
    <w:lvl w:ilvl="2" w:tplc="041B001B" w:tentative="1">
      <w:start w:val="1"/>
      <w:numFmt w:val="lowerRoman"/>
      <w:lvlText w:val="%3."/>
      <w:lvlJc w:val="right"/>
      <w:pPr>
        <w:ind w:left="1941" w:hanging="180"/>
      </w:pPr>
      <w:rPr>
        <w:rFonts w:cs="Times New Roman"/>
      </w:rPr>
    </w:lvl>
    <w:lvl w:ilvl="3" w:tplc="041B000F" w:tentative="1">
      <w:start w:val="1"/>
      <w:numFmt w:val="decimal"/>
      <w:lvlText w:val="%4."/>
      <w:lvlJc w:val="left"/>
      <w:pPr>
        <w:ind w:left="2661" w:hanging="360"/>
      </w:pPr>
      <w:rPr>
        <w:rFonts w:cs="Times New Roman"/>
      </w:rPr>
    </w:lvl>
    <w:lvl w:ilvl="4" w:tplc="041B0019" w:tentative="1">
      <w:start w:val="1"/>
      <w:numFmt w:val="lowerLetter"/>
      <w:lvlText w:val="%5."/>
      <w:lvlJc w:val="left"/>
      <w:pPr>
        <w:ind w:left="3381" w:hanging="360"/>
      </w:pPr>
      <w:rPr>
        <w:rFonts w:cs="Times New Roman"/>
      </w:rPr>
    </w:lvl>
    <w:lvl w:ilvl="5" w:tplc="041B001B" w:tentative="1">
      <w:start w:val="1"/>
      <w:numFmt w:val="lowerRoman"/>
      <w:lvlText w:val="%6."/>
      <w:lvlJc w:val="right"/>
      <w:pPr>
        <w:ind w:left="4101" w:hanging="180"/>
      </w:pPr>
      <w:rPr>
        <w:rFonts w:cs="Times New Roman"/>
      </w:rPr>
    </w:lvl>
    <w:lvl w:ilvl="6" w:tplc="041B000F" w:tentative="1">
      <w:start w:val="1"/>
      <w:numFmt w:val="decimal"/>
      <w:lvlText w:val="%7."/>
      <w:lvlJc w:val="left"/>
      <w:pPr>
        <w:ind w:left="4821" w:hanging="360"/>
      </w:pPr>
      <w:rPr>
        <w:rFonts w:cs="Times New Roman"/>
      </w:rPr>
    </w:lvl>
    <w:lvl w:ilvl="7" w:tplc="041B0019" w:tentative="1">
      <w:start w:val="1"/>
      <w:numFmt w:val="lowerLetter"/>
      <w:lvlText w:val="%8."/>
      <w:lvlJc w:val="left"/>
      <w:pPr>
        <w:ind w:left="5541" w:hanging="360"/>
      </w:pPr>
      <w:rPr>
        <w:rFonts w:cs="Times New Roman"/>
      </w:rPr>
    </w:lvl>
    <w:lvl w:ilvl="8" w:tplc="041B001B" w:tentative="1">
      <w:start w:val="1"/>
      <w:numFmt w:val="lowerRoman"/>
      <w:lvlText w:val="%9."/>
      <w:lvlJc w:val="right"/>
      <w:pPr>
        <w:ind w:left="6261" w:hanging="180"/>
      </w:pPr>
      <w:rPr>
        <w:rFonts w:cs="Times New Roman"/>
      </w:rPr>
    </w:lvl>
  </w:abstractNum>
  <w:num w:numId="1">
    <w:abstractNumId w:val="7"/>
  </w:num>
  <w:num w:numId="2">
    <w:abstractNumId w:val="8"/>
  </w:num>
  <w:num w:numId="3">
    <w:abstractNumId w:val="2"/>
  </w:num>
  <w:num w:numId="4">
    <w:abstractNumId w:val="1"/>
  </w:num>
  <w:num w:numId="5">
    <w:abstractNumId w:val="3"/>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87C"/>
    <w:rsid w:val="00167755"/>
    <w:rsid w:val="00404BF9"/>
    <w:rsid w:val="008A430F"/>
    <w:rsid w:val="00BC4E85"/>
    <w:rsid w:val="00C60123"/>
    <w:rsid w:val="00D0387C"/>
    <w:rsid w:val="00E129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3F67FB-74AC-4101-BDB1-F3269B14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8033</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Dubačová, Viera (asistent)</dc:creator>
  <cp:keywords/>
  <dc:description/>
  <cp:lastModifiedBy>Gašparíková, Jarmila</cp:lastModifiedBy>
  <cp:revision>2</cp:revision>
  <dcterms:created xsi:type="dcterms:W3CDTF">2018-11-09T13:24:00Z</dcterms:created>
  <dcterms:modified xsi:type="dcterms:W3CDTF">2018-11-09T13:24:00Z</dcterms:modified>
</cp:coreProperties>
</file>