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45" w:rsidRDefault="00CD2D45" w:rsidP="00CD2D45">
      <w:pPr>
        <w:pageBreakBefore/>
        <w:spacing w:after="0" w:line="200" w:lineRule="atLeast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caps/>
          <w:spacing w:val="30"/>
          <w:sz w:val="24"/>
          <w:szCs w:val="24"/>
        </w:rPr>
        <w:t>Doložka zlučiteľnosti</w:t>
      </w:r>
    </w:p>
    <w:p w:rsidR="00CD2D45" w:rsidRDefault="00CD2D45" w:rsidP="00CD2D45">
      <w:pPr>
        <w:spacing w:after="0" w:line="200" w:lineRule="atLeast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návrhu zákona s právom Európskej únie </w:t>
      </w:r>
    </w:p>
    <w:p w:rsidR="00CD2D45" w:rsidRDefault="00CD2D45" w:rsidP="00CD2D45">
      <w:pPr>
        <w:spacing w:after="0" w:line="200" w:lineRule="atLeast"/>
        <w:rPr>
          <w:rFonts w:ascii="Book Antiqua" w:hAnsi="Book Antiqua" w:cs="Book Antiqua"/>
          <w:sz w:val="24"/>
          <w:szCs w:val="24"/>
        </w:rPr>
      </w:pPr>
    </w:p>
    <w:p w:rsidR="00CD2D45" w:rsidRDefault="00CD2D45" w:rsidP="00CD2D45">
      <w:pPr>
        <w:spacing w:after="0" w:line="200" w:lineRule="atLeast"/>
        <w:rPr>
          <w:rFonts w:ascii="Book Antiqua" w:hAnsi="Book Antiqua" w:cs="Book Antiqua"/>
        </w:rPr>
      </w:pPr>
    </w:p>
    <w:p w:rsidR="00CD2D45" w:rsidRDefault="00CD2D45" w:rsidP="00CD2D45">
      <w:pPr>
        <w:spacing w:after="60" w:line="200" w:lineRule="atLeast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1.</w:t>
      </w:r>
      <w:r>
        <w:rPr>
          <w:rFonts w:ascii="Book Antiqua" w:hAnsi="Book Antiqua" w:cs="Book Antiqua"/>
          <w:b/>
          <w:bCs/>
        </w:rPr>
        <w:tab/>
        <w:t>Predkladateľ právneho predpisu:</w:t>
      </w:r>
      <w:r>
        <w:rPr>
          <w:rFonts w:ascii="Book Antiqua" w:hAnsi="Book Antiqua" w:cs="Book Antiqua"/>
        </w:rPr>
        <w:t xml:space="preserve"> </w:t>
      </w:r>
    </w:p>
    <w:p w:rsidR="00CD2D45" w:rsidRDefault="00F171F2" w:rsidP="00CD2D45">
      <w:pPr>
        <w:spacing w:after="0" w:line="200" w:lineRule="atLeast"/>
        <w:ind w:left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Poslanci</w:t>
      </w:r>
      <w:r w:rsidR="00CD2D45">
        <w:rPr>
          <w:rFonts w:ascii="Book Antiqua" w:hAnsi="Book Antiqua" w:cs="Book Antiqua"/>
        </w:rPr>
        <w:t xml:space="preserve"> Národnej rady Slovenskej republiky Marian Kotleba, Milan Uhrík</w:t>
      </w:r>
      <w:r w:rsidR="00320309">
        <w:rPr>
          <w:rFonts w:ascii="Book Antiqua" w:hAnsi="Book Antiqua" w:cs="Book Antiqua"/>
        </w:rPr>
        <w:t>, Rastislav Schlosár, Ján Mora, Natália Grausová</w:t>
      </w:r>
    </w:p>
    <w:p w:rsidR="00CD2D45" w:rsidRDefault="00CD2D45" w:rsidP="00CD2D45">
      <w:pPr>
        <w:tabs>
          <w:tab w:val="left" w:pos="360"/>
        </w:tabs>
        <w:spacing w:after="0" w:line="200" w:lineRule="atLeast"/>
        <w:ind w:left="36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 </w:t>
      </w:r>
    </w:p>
    <w:p w:rsidR="00CD2D45" w:rsidRDefault="00CD2D45" w:rsidP="00CD2D45">
      <w:pPr>
        <w:spacing w:after="60" w:line="200" w:lineRule="atLeast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2.</w:t>
      </w:r>
      <w:r>
        <w:rPr>
          <w:rFonts w:ascii="Book Antiqua" w:hAnsi="Book Antiqua" w:cs="Book Antiqua"/>
          <w:b/>
          <w:bCs/>
        </w:rPr>
        <w:tab/>
        <w:t>Názov návrhu právneho predpisu:</w:t>
      </w:r>
      <w:r>
        <w:rPr>
          <w:rFonts w:ascii="Book Antiqua" w:hAnsi="Book Antiqua" w:cs="Book Antiqua"/>
        </w:rPr>
        <w:t xml:space="preserve"> </w:t>
      </w:r>
    </w:p>
    <w:p w:rsidR="00CD2D45" w:rsidRDefault="00CD2D45" w:rsidP="00CD2D45">
      <w:pPr>
        <w:spacing w:after="0" w:line="200" w:lineRule="atLeast"/>
        <w:ind w:left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Návrh zákona, ktorým sa mení a dopĺňa zákon</w:t>
      </w:r>
      <w:r w:rsidR="00320309">
        <w:rPr>
          <w:rFonts w:ascii="Book Antiqua" w:hAnsi="Book Antiqua" w:cs="Book Antiqua"/>
        </w:rPr>
        <w:t xml:space="preserve"> č.</w:t>
      </w:r>
      <w:r>
        <w:rPr>
          <w:rFonts w:ascii="Book Antiqua" w:hAnsi="Book Antiqua" w:cs="Book Antiqua"/>
        </w:rPr>
        <w:t xml:space="preserve"> </w:t>
      </w:r>
      <w:r w:rsidR="00320309">
        <w:rPr>
          <w:rFonts w:ascii="Book Antiqua" w:hAnsi="Book Antiqua" w:cs="Book Antiqua"/>
        </w:rPr>
        <w:t>36</w:t>
      </w:r>
      <w:r w:rsidR="00CF06D4" w:rsidRPr="00CF06D4">
        <w:rPr>
          <w:rFonts w:ascii="Book Antiqua" w:hAnsi="Book Antiqua" w:cs="Book Antiqua"/>
        </w:rPr>
        <w:t>/</w:t>
      </w:r>
      <w:r w:rsidR="00320309">
        <w:rPr>
          <w:rFonts w:ascii="Book Antiqua" w:hAnsi="Book Antiqua" w:cs="Book Antiqua"/>
        </w:rPr>
        <w:t>2005 Z. z</w:t>
      </w:r>
      <w:r w:rsidR="00CF06D4" w:rsidRPr="00CF06D4">
        <w:rPr>
          <w:rFonts w:ascii="Book Antiqua" w:hAnsi="Book Antiqua" w:cs="Book Antiqua"/>
        </w:rPr>
        <w:t xml:space="preserve">. o </w:t>
      </w:r>
      <w:r w:rsidR="00320309">
        <w:rPr>
          <w:rFonts w:ascii="Book Antiqua" w:hAnsi="Book Antiqua" w:cs="Book Antiqua"/>
        </w:rPr>
        <w:t>rodine</w:t>
      </w:r>
      <w:r w:rsidR="00320309" w:rsidRPr="00320309">
        <w:rPr>
          <w:rFonts w:ascii="Book Antiqua" w:hAnsi="Book Antiqua"/>
          <w:color w:val="000000" w:themeColor="text1"/>
        </w:rPr>
        <w:t xml:space="preserve"> </w:t>
      </w:r>
      <w:r w:rsidR="00320309" w:rsidRPr="000640B5">
        <w:rPr>
          <w:rFonts w:ascii="Book Antiqua" w:hAnsi="Book Antiqua"/>
          <w:color w:val="000000" w:themeColor="text1"/>
        </w:rPr>
        <w:t>a o zmene a doplnení niektorých zákonov</w:t>
      </w:r>
      <w:r>
        <w:rPr>
          <w:rFonts w:ascii="Book Antiqua" w:hAnsi="Book Antiqua" w:cs="Book Antiqua"/>
        </w:rPr>
        <w:t xml:space="preserve"> v znení neskorších predpisov.</w:t>
      </w:r>
    </w:p>
    <w:p w:rsidR="00CD2D45" w:rsidRDefault="00CD2D45" w:rsidP="00CD2D45">
      <w:pPr>
        <w:spacing w:after="0" w:line="200" w:lineRule="atLeast"/>
        <w:jc w:val="both"/>
        <w:rPr>
          <w:rFonts w:ascii="Book Antiqua" w:hAnsi="Book Antiqua" w:cs="Book Antiqua"/>
        </w:rPr>
      </w:pPr>
    </w:p>
    <w:p w:rsidR="00CD2D45" w:rsidRDefault="00CD2D45" w:rsidP="00CD2D45">
      <w:pPr>
        <w:spacing w:after="60" w:line="200" w:lineRule="atLeast"/>
        <w:ind w:left="360" w:hanging="360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>3.</w:t>
      </w:r>
      <w:r>
        <w:rPr>
          <w:rFonts w:ascii="Book Antiqua" w:hAnsi="Book Antiqua" w:cs="Book Antiqua"/>
          <w:b/>
          <w:bCs/>
        </w:rPr>
        <w:tab/>
        <w:t>Predmet návrhu právneho predpisu:</w:t>
      </w:r>
    </w:p>
    <w:p w:rsidR="00CD2D45" w:rsidRPr="00A87037" w:rsidRDefault="00CD2D45" w:rsidP="00CD2D45">
      <w:pPr>
        <w:spacing w:after="0" w:line="200" w:lineRule="atLeast"/>
        <w:ind w:left="360" w:hanging="360"/>
        <w:rPr>
          <w:rFonts w:ascii="Book Antiqua" w:hAnsi="Book Antiqua" w:cs="Book Antiqua"/>
          <w:bCs/>
        </w:rPr>
      </w:pPr>
      <w:r w:rsidRPr="00A87037">
        <w:rPr>
          <w:rFonts w:ascii="Book Antiqua" w:hAnsi="Book Antiqua" w:cs="Book Antiqua"/>
          <w:bCs/>
        </w:rPr>
        <w:tab/>
        <w:t>a) nie je upravený v primárnom práve Európskej únie</w:t>
      </w:r>
    </w:p>
    <w:p w:rsidR="00CD2D45" w:rsidRPr="00A87037" w:rsidRDefault="00CD2D45" w:rsidP="00CD2D45">
      <w:pPr>
        <w:spacing w:after="0" w:line="200" w:lineRule="atLeast"/>
        <w:ind w:left="360" w:hanging="360"/>
        <w:rPr>
          <w:rFonts w:ascii="Book Antiqua" w:hAnsi="Book Antiqua" w:cs="Book Antiqua"/>
          <w:bCs/>
        </w:rPr>
      </w:pPr>
      <w:r w:rsidRPr="00A87037">
        <w:rPr>
          <w:rFonts w:ascii="Book Antiqua" w:hAnsi="Book Antiqua" w:cs="Book Antiqua"/>
          <w:bCs/>
        </w:rPr>
        <w:tab/>
        <w:t>b) nie je upravený v sekundárnom práve Európskej únie</w:t>
      </w:r>
    </w:p>
    <w:p w:rsidR="00CD2D45" w:rsidRPr="00A87037" w:rsidRDefault="00CD2D45" w:rsidP="00CD2D45">
      <w:pPr>
        <w:spacing w:after="0" w:line="200" w:lineRule="atLeast"/>
        <w:ind w:left="360" w:hanging="360"/>
        <w:rPr>
          <w:rFonts w:ascii="Book Antiqua" w:hAnsi="Book Antiqua" w:cs="Book Antiqua"/>
        </w:rPr>
      </w:pPr>
      <w:r w:rsidRPr="00A87037">
        <w:rPr>
          <w:rFonts w:ascii="Book Antiqua" w:hAnsi="Book Antiqua" w:cs="Book Antiqua"/>
          <w:bCs/>
        </w:rPr>
        <w:tab/>
        <w:t>c) nie je obsiahnutý v judikatúre Súdneho dvora Európskej únie</w:t>
      </w:r>
    </w:p>
    <w:p w:rsidR="00CD2D45" w:rsidRDefault="00CD2D45" w:rsidP="00CD2D45">
      <w:pPr>
        <w:jc w:val="both"/>
        <w:rPr>
          <w:rFonts w:ascii="Book Antiqua" w:hAnsi="Book Antiqua" w:cs="Book Antiqua"/>
        </w:rPr>
      </w:pPr>
    </w:p>
    <w:p w:rsidR="00CD2D45" w:rsidRDefault="00CD2D45" w:rsidP="00CD2D45">
      <w:pPr>
        <w:jc w:val="both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</w:rPr>
        <w:t>Vyjadrenie k bodom 4. a 5. je irelevantné, keďže predmet návrhu zákona nie je upravený v práve Európskej únie.</w:t>
      </w:r>
    </w:p>
    <w:p w:rsidR="00CD2D45" w:rsidRDefault="00CD2D45" w:rsidP="00CD2D45">
      <w:pPr>
        <w:pStyle w:val="Normlnweb1"/>
        <w:pageBreakBefore/>
        <w:spacing w:before="0"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lastRenderedPageBreak/>
        <w:t>Doložka vybraných vplyvov</w:t>
      </w:r>
    </w:p>
    <w:p w:rsidR="00CD2D45" w:rsidRDefault="00CD2D45" w:rsidP="00CD2D45">
      <w:pPr>
        <w:pStyle w:val="Normlnweb1"/>
        <w:spacing w:before="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sz w:val="28"/>
          <w:szCs w:val="28"/>
        </w:rPr>
        <w:t> 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 </w:t>
      </w:r>
    </w:p>
    <w:p w:rsidR="00CD2D45" w:rsidRDefault="00CD2D45" w:rsidP="00CD2D45">
      <w:pPr>
        <w:spacing w:after="0" w:line="200" w:lineRule="atLeast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 xml:space="preserve">A.1. Názov materiálu: </w:t>
      </w:r>
      <w:r w:rsidR="00320309">
        <w:rPr>
          <w:rFonts w:ascii="Book Antiqua" w:hAnsi="Book Antiqua" w:cs="Book Antiqua"/>
        </w:rPr>
        <w:t>Návrh zákona, ktorým sa mení a dopĺňa zákon č. 36</w:t>
      </w:r>
      <w:r w:rsidR="00320309" w:rsidRPr="00CF06D4">
        <w:rPr>
          <w:rFonts w:ascii="Book Antiqua" w:hAnsi="Book Antiqua" w:cs="Book Antiqua"/>
        </w:rPr>
        <w:t>/</w:t>
      </w:r>
      <w:r w:rsidR="00320309">
        <w:rPr>
          <w:rFonts w:ascii="Book Antiqua" w:hAnsi="Book Antiqua" w:cs="Book Antiqua"/>
        </w:rPr>
        <w:t>2005 Z. z</w:t>
      </w:r>
      <w:r w:rsidR="00320309" w:rsidRPr="00CF06D4">
        <w:rPr>
          <w:rFonts w:ascii="Book Antiqua" w:hAnsi="Book Antiqua" w:cs="Book Antiqua"/>
        </w:rPr>
        <w:t xml:space="preserve">. o </w:t>
      </w:r>
      <w:r w:rsidR="00320309">
        <w:rPr>
          <w:rFonts w:ascii="Book Antiqua" w:hAnsi="Book Antiqua" w:cs="Book Antiqua"/>
        </w:rPr>
        <w:t>rodine</w:t>
      </w:r>
      <w:r w:rsidR="00320309" w:rsidRPr="00320309">
        <w:rPr>
          <w:rFonts w:ascii="Book Antiqua" w:hAnsi="Book Antiqua"/>
          <w:color w:val="000000" w:themeColor="text1"/>
        </w:rPr>
        <w:t xml:space="preserve"> </w:t>
      </w:r>
      <w:r w:rsidR="00320309">
        <w:rPr>
          <w:rFonts w:ascii="Book Antiqua" w:hAnsi="Book Antiqua"/>
          <w:color w:val="000000" w:themeColor="text1"/>
        </w:rPr>
        <w:br/>
      </w:r>
      <w:r w:rsidR="00320309" w:rsidRPr="000640B5">
        <w:rPr>
          <w:rFonts w:ascii="Book Antiqua" w:hAnsi="Book Antiqua"/>
          <w:color w:val="000000" w:themeColor="text1"/>
        </w:rPr>
        <w:t>a o zmene a doplnení niektorých zákonov</w:t>
      </w:r>
      <w:r w:rsidR="00320309">
        <w:rPr>
          <w:rFonts w:ascii="Book Antiqua" w:hAnsi="Book Antiqua" w:cs="Book Antiqua"/>
        </w:rPr>
        <w:t xml:space="preserve"> v znení neskorších predpisov</w:t>
      </w:r>
      <w:r>
        <w:rPr>
          <w:rFonts w:ascii="Book Antiqua" w:hAnsi="Book Antiqua" w:cs="Book Antiqua"/>
        </w:rPr>
        <w:t>.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</w:rPr>
      </w:pP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        Termín začatia a ukončenia PPK: </w:t>
      </w:r>
      <w:r>
        <w:rPr>
          <w:rFonts w:ascii="Book Antiqua" w:hAnsi="Book Antiqua" w:cs="Book Antiqua"/>
          <w:bCs/>
        </w:rPr>
        <w:t>bezpredmetné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A.2. Vplyvy: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 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021"/>
        <w:gridCol w:w="1536"/>
        <w:gridCol w:w="1536"/>
        <w:gridCol w:w="1537"/>
      </w:tblGrid>
      <w:tr w:rsidR="00CD2D45" w:rsidTr="00C501ED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 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Pozitívne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  <w:r>
              <w:rPr>
                <w:rFonts w:ascii="Book Antiqua" w:hAnsi="Book Antiqua" w:cs="Book Antiqua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Žiadne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</w:pPr>
            <w:r>
              <w:rPr>
                <w:rFonts w:ascii="Book Antiqua" w:hAnsi="Book Antiqua" w:cs="Book Antiqua"/>
              </w:rPr>
              <w:t>Negatívne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</w:p>
        </w:tc>
      </w:tr>
      <w:tr w:rsidR="00CD2D45" w:rsidTr="00C501ED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320309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  <w:r w:rsidRPr="001E4624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</w:pPr>
          </w:p>
        </w:tc>
      </w:tr>
      <w:tr w:rsidR="00CD2D45" w:rsidTr="00C501ED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D2D45" w:rsidTr="00C501ED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3, Sociálne vplyvy </w:t>
            </w:r>
          </w:p>
          <w:p w:rsidR="00CD2D45" w:rsidRDefault="00CF06D4" w:rsidP="00C501ED">
            <w:pPr>
              <w:pStyle w:val="Normlnweb1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– vplyvy</w:t>
            </w:r>
            <w:r w:rsidR="00CD2D45">
              <w:rPr>
                <w:rFonts w:ascii="Book Antiqua" w:hAnsi="Book Antiqua" w:cs="Book Antiqua"/>
                <w:sz w:val="20"/>
                <w:szCs w:val="20"/>
              </w:rPr>
              <w:t xml:space="preserve"> na hospodárenie obyvateľstva,</w:t>
            </w:r>
          </w:p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 sociálnu exklúziu,</w:t>
            </w:r>
          </w:p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 rovnosť príležitostí a rodovú rovnosť a vplyvy na zamestnanosť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F06D4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D2D45" w:rsidTr="00C501ED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 w:rsidR="00CD2D45" w:rsidTr="00C501ED"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D2D45" w:rsidRDefault="00CD2D45" w:rsidP="00C501ED">
            <w:pPr>
              <w:pStyle w:val="Normlnweb1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D2D45" w:rsidRDefault="00CF06D4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2D45" w:rsidRDefault="00CD2D45" w:rsidP="00C501ED">
            <w:pPr>
              <w:pStyle w:val="Normlnweb1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  <w:sz w:val="16"/>
          <w:szCs w:val="16"/>
        </w:rPr>
      </w:pP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  <w:b/>
          <w:bCs/>
          <w:sz w:val="16"/>
          <w:szCs w:val="16"/>
        </w:rPr>
        <w:t>*</w:t>
      </w:r>
      <w:r>
        <w:rPr>
          <w:rFonts w:ascii="Book Antiqua" w:hAnsi="Book Antiqua" w:cs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16"/>
          <w:szCs w:val="16"/>
        </w:rPr>
        <w:t> 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 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A.3. Poznámky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</w:rPr>
      </w:pPr>
    </w:p>
    <w:p w:rsidR="00CD2D45" w:rsidRDefault="00D9591B" w:rsidP="00CD2D45">
      <w:pPr>
        <w:pStyle w:val="Normlnweb1"/>
        <w:spacing w:before="0" w:after="0"/>
        <w:jc w:val="both"/>
        <w:rPr>
          <w:rFonts w:ascii="Book Antiqua" w:hAnsi="Book Antiqua" w:cs="Book Antiqua"/>
          <w:color w:val="FF0000"/>
        </w:rPr>
      </w:pPr>
      <w:r>
        <w:rPr>
          <w:rFonts w:ascii="Book Antiqua" w:hAnsi="Book Antiqua" w:cs="Book Antiqua"/>
        </w:rPr>
        <w:t>Očakáva sa pozitívny sociálny vplyv na obyvateľstvo prostredníctvom posilnenia postavenia tradičnej rodiny.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color w:val="FF0000"/>
        </w:rPr>
        <w:t> 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</w:rPr>
        <w:t>A.4. Alternatívne riešenia</w:t>
      </w:r>
    </w:p>
    <w:p w:rsidR="00CD2D45" w:rsidRDefault="00CD2D45" w:rsidP="00CD2D45">
      <w:pPr>
        <w:pStyle w:val="Normlnweb1"/>
        <w:spacing w:before="0" w:after="0"/>
        <w:ind w:left="141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CD2D45" w:rsidRDefault="00CF06D4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Nepredkladajú sa.</w:t>
      </w:r>
    </w:p>
    <w:p w:rsidR="00CD2D45" w:rsidRDefault="00CD2D45" w:rsidP="00CD2D45">
      <w:pPr>
        <w:pStyle w:val="Normlnweb1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A.5. Stanovisko gestorov </w:t>
      </w:r>
    </w:p>
    <w:p w:rsidR="00CD2D45" w:rsidRDefault="00CD2D45" w:rsidP="00CD2D45">
      <w:pPr>
        <w:pStyle w:val="Normlnweb1"/>
        <w:spacing w:before="0" w:after="0"/>
        <w:rPr>
          <w:rFonts w:ascii="Book Antiqua" w:hAnsi="Book Antiqua" w:cs="Book Antiqua"/>
          <w:b/>
          <w:bCs/>
        </w:rPr>
      </w:pPr>
    </w:p>
    <w:p w:rsidR="00CD2D45" w:rsidRDefault="00CD2D45" w:rsidP="00CD2D45">
      <w:pPr>
        <w:pStyle w:val="Normlnweb1"/>
        <w:spacing w:before="0" w:after="0"/>
        <w:jc w:val="both"/>
      </w:pPr>
      <w:r>
        <w:rPr>
          <w:rFonts w:ascii="Book Antiqua" w:hAnsi="Book Antiqua" w:cs="Book Antiqua"/>
          <w:bCs/>
        </w:rPr>
        <w:t>Návrh zákona bol zaslaný na posúdenie Ministerstvu financií SR. Stanovisko ministerstva tvorí prílohu predkladaného návrhu zákona.</w:t>
      </w:r>
      <w:r>
        <w:rPr>
          <w:rFonts w:ascii="Book Antiqua" w:hAnsi="Book Antiqua" w:cs="Book Antiqua"/>
        </w:rPr>
        <w:t> </w:t>
      </w:r>
    </w:p>
    <w:p w:rsidR="00265C56" w:rsidRPr="00CD2D45" w:rsidRDefault="00265C56" w:rsidP="00CD2D45"/>
    <w:sectPr w:rsidR="00265C56" w:rsidRPr="00CD2D45" w:rsidSect="00771C80">
      <w:pgSz w:w="11906" w:h="16838"/>
      <w:pgMar w:top="1134" w:right="1134" w:bottom="1134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238B"/>
    <w:rsid w:val="00011AEB"/>
    <w:rsid w:val="00024802"/>
    <w:rsid w:val="00040665"/>
    <w:rsid w:val="000640B5"/>
    <w:rsid w:val="000B2FAE"/>
    <w:rsid w:val="000C47C6"/>
    <w:rsid w:val="000E6793"/>
    <w:rsid w:val="00114D93"/>
    <w:rsid w:val="00126CC1"/>
    <w:rsid w:val="00161D81"/>
    <w:rsid w:val="001632E7"/>
    <w:rsid w:val="001C329B"/>
    <w:rsid w:val="001E4624"/>
    <w:rsid w:val="001F16FA"/>
    <w:rsid w:val="00235CBF"/>
    <w:rsid w:val="00265C56"/>
    <w:rsid w:val="00274466"/>
    <w:rsid w:val="00287412"/>
    <w:rsid w:val="002A67CA"/>
    <w:rsid w:val="00317A3B"/>
    <w:rsid w:val="00320309"/>
    <w:rsid w:val="00334AA1"/>
    <w:rsid w:val="00350B12"/>
    <w:rsid w:val="00377562"/>
    <w:rsid w:val="00422E02"/>
    <w:rsid w:val="0042757B"/>
    <w:rsid w:val="00462133"/>
    <w:rsid w:val="004A0D70"/>
    <w:rsid w:val="004D2B56"/>
    <w:rsid w:val="004F09B2"/>
    <w:rsid w:val="005226EF"/>
    <w:rsid w:val="005E3ACF"/>
    <w:rsid w:val="00634B93"/>
    <w:rsid w:val="006524C7"/>
    <w:rsid w:val="006728FA"/>
    <w:rsid w:val="006974DD"/>
    <w:rsid w:val="006C1AE0"/>
    <w:rsid w:val="006E461B"/>
    <w:rsid w:val="0075375E"/>
    <w:rsid w:val="00770F2B"/>
    <w:rsid w:val="00771C80"/>
    <w:rsid w:val="00774B9F"/>
    <w:rsid w:val="00786005"/>
    <w:rsid w:val="00812F93"/>
    <w:rsid w:val="00820496"/>
    <w:rsid w:val="008977E9"/>
    <w:rsid w:val="008B5E0B"/>
    <w:rsid w:val="008D4FF3"/>
    <w:rsid w:val="00914DA3"/>
    <w:rsid w:val="00923346"/>
    <w:rsid w:val="00925DC1"/>
    <w:rsid w:val="0098178F"/>
    <w:rsid w:val="00A215B8"/>
    <w:rsid w:val="00A740AB"/>
    <w:rsid w:val="00A87037"/>
    <w:rsid w:val="00AC1244"/>
    <w:rsid w:val="00B105A0"/>
    <w:rsid w:val="00B5595C"/>
    <w:rsid w:val="00B845D6"/>
    <w:rsid w:val="00C501ED"/>
    <w:rsid w:val="00C5238B"/>
    <w:rsid w:val="00C84EED"/>
    <w:rsid w:val="00CD2D45"/>
    <w:rsid w:val="00CF06D4"/>
    <w:rsid w:val="00D3747D"/>
    <w:rsid w:val="00D63EA2"/>
    <w:rsid w:val="00D6790F"/>
    <w:rsid w:val="00D70F0C"/>
    <w:rsid w:val="00D9591B"/>
    <w:rsid w:val="00E16C32"/>
    <w:rsid w:val="00E24988"/>
    <w:rsid w:val="00E92958"/>
    <w:rsid w:val="00E93C27"/>
    <w:rsid w:val="00EA1E00"/>
    <w:rsid w:val="00EC3DE4"/>
    <w:rsid w:val="00F16FD9"/>
    <w:rsid w:val="00F171F2"/>
    <w:rsid w:val="00F34106"/>
    <w:rsid w:val="00F4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web1">
    <w:name w:val="Normální (web)1"/>
    <w:basedOn w:val="Normln"/>
    <w:rsid w:val="00CD2D45"/>
    <w:pPr>
      <w:widowControl w:val="0"/>
      <w:spacing w:before="100" w:after="100" w:line="200" w:lineRule="atLeas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3446-F637-489E-A3C3-D9B6F2FD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</cp:lastModifiedBy>
  <cp:revision>2</cp:revision>
  <cp:lastPrinted>2016-09-23T10:26:00Z</cp:lastPrinted>
  <dcterms:created xsi:type="dcterms:W3CDTF">2018-11-08T21:31:00Z</dcterms:created>
  <dcterms:modified xsi:type="dcterms:W3CDTF">2018-11-08T21:31:00Z</dcterms:modified>
</cp:coreProperties>
</file>