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9.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12.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3.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4.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5.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6.xml" ContentType="application/vnd.openxmlformats-officedocument.drawingml.chart+xml"/>
  <Override PartName="/word/charts/chart17.xml" ContentType="application/vnd.openxmlformats-officedocument.drawingml.chart+xml"/>
  <Override PartName="/word/theme/themeOverride1.xml" ContentType="application/vnd.openxmlformats-officedocument.themeOverride+xml"/>
  <Override PartName="/word/charts/chart18.xml" ContentType="application/vnd.openxmlformats-officedocument.drawingml.chart+xml"/>
  <Override PartName="/word/theme/themeOverride2.xml" ContentType="application/vnd.openxmlformats-officedocument.themeOverride+xml"/>
  <Override PartName="/word/charts/chart1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2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2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2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2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24.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25.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6.xml" ContentType="application/vnd.openxmlformats-officedocument.drawingml.chart+xml"/>
  <Override PartName="/word/theme/themeOverride3.xml" ContentType="application/vnd.openxmlformats-officedocument.themeOverride+xml"/>
  <Override PartName="/word/charts/chart27.xml" ContentType="application/vnd.openxmlformats-officedocument.drawingml.chart+xml"/>
  <Override PartName="/word/theme/themeOverride4.xml" ContentType="application/vnd.openxmlformats-officedocument.themeOverride+xml"/>
  <Override PartName="/word/charts/chart28.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5.xml" ContentType="application/vnd.openxmlformats-officedocument.themeOverride+xml"/>
  <Override PartName="/word/charts/chart29.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611" w:rsidRPr="00C65CAA" w:rsidRDefault="00D23611" w:rsidP="00256AF8">
      <w:pPr>
        <w:pStyle w:val="Hlavika"/>
        <w:tabs>
          <w:tab w:val="right" w:pos="0"/>
          <w:tab w:val="center" w:pos="9356"/>
        </w:tabs>
        <w:spacing w:before="100" w:after="100"/>
        <w:jc w:val="center"/>
        <w:rPr>
          <w:rFonts w:ascii="Arial Narrow" w:hAnsi="Arial Narrow"/>
          <w:b/>
          <w:spacing w:val="40"/>
        </w:rPr>
      </w:pPr>
      <w:r w:rsidRPr="00C65CAA">
        <w:rPr>
          <w:rFonts w:ascii="Arial Narrow" w:hAnsi="Arial Narrow"/>
          <w:b/>
          <w:spacing w:val="40"/>
        </w:rPr>
        <w:t>NAJVYŠŠÍ KONTROLNÝ ÚRAD</w:t>
      </w:r>
    </w:p>
    <w:p w:rsidR="00D23611" w:rsidRPr="00C65CAA" w:rsidRDefault="00D23611" w:rsidP="00256AF8">
      <w:pPr>
        <w:pStyle w:val="Hlavika"/>
        <w:tabs>
          <w:tab w:val="right" w:pos="0"/>
          <w:tab w:val="center" w:pos="9356"/>
        </w:tabs>
        <w:spacing w:before="100" w:after="100"/>
        <w:jc w:val="center"/>
        <w:rPr>
          <w:rFonts w:ascii="Arial Narrow" w:hAnsi="Arial Narrow"/>
          <w:b/>
          <w:spacing w:val="40"/>
        </w:rPr>
      </w:pPr>
      <w:r w:rsidRPr="00C65CAA">
        <w:rPr>
          <w:rFonts w:ascii="Arial Narrow" w:hAnsi="Arial Narrow"/>
          <w:b/>
          <w:spacing w:val="40"/>
        </w:rPr>
        <w:t>SLOVENSKEJ REPUBLIKY</w:t>
      </w:r>
    </w:p>
    <w:p w:rsidR="00D23611" w:rsidRPr="00C65CAA" w:rsidRDefault="00D23611" w:rsidP="00256AF8">
      <w:pPr>
        <w:spacing w:before="100" w:after="100"/>
        <w:jc w:val="center"/>
        <w:rPr>
          <w:rFonts w:ascii="Arial Narrow" w:hAnsi="Arial Narrow"/>
        </w:rPr>
      </w:pPr>
    </w:p>
    <w:p w:rsidR="00D23611" w:rsidRPr="00C65CAA" w:rsidRDefault="00D23611" w:rsidP="00256AF8">
      <w:pPr>
        <w:spacing w:before="100" w:after="100"/>
        <w:jc w:val="center"/>
        <w:rPr>
          <w:rFonts w:ascii="Arial Narrow" w:hAnsi="Arial Narrow"/>
        </w:rPr>
      </w:pPr>
    </w:p>
    <w:p w:rsidR="00D23611" w:rsidRPr="00C65CAA" w:rsidRDefault="00D23611" w:rsidP="00256AF8">
      <w:pPr>
        <w:spacing w:before="100" w:after="100"/>
        <w:ind w:left="1416"/>
        <w:rPr>
          <w:rFonts w:ascii="Arial Narrow" w:hAnsi="Arial Narrow"/>
        </w:rPr>
      </w:pPr>
      <w:r w:rsidRPr="00C65CAA">
        <w:rPr>
          <w:rFonts w:ascii="Arial Narrow" w:hAnsi="Arial Narrow"/>
        </w:rPr>
        <w:tab/>
      </w:r>
      <w:r w:rsidRPr="00C65CAA">
        <w:rPr>
          <w:rFonts w:ascii="Arial Narrow" w:hAnsi="Arial Narrow"/>
        </w:rPr>
        <w:tab/>
      </w:r>
      <w:r w:rsidRPr="00C65CAA">
        <w:rPr>
          <w:rFonts w:ascii="Arial Narrow" w:hAnsi="Arial Narrow"/>
        </w:rPr>
        <w:tab/>
      </w:r>
      <w:r w:rsidRPr="00C65CAA">
        <w:rPr>
          <w:rFonts w:ascii="Arial Narrow" w:hAnsi="Arial Narrow"/>
        </w:rPr>
        <w:tab/>
      </w:r>
      <w:r w:rsidRPr="00C65CAA">
        <w:rPr>
          <w:rFonts w:ascii="Arial Narrow" w:hAnsi="Arial Narrow"/>
        </w:rPr>
        <w:tab/>
      </w:r>
      <w:r w:rsidRPr="00C65CAA">
        <w:rPr>
          <w:rFonts w:ascii="Arial Narrow" w:hAnsi="Arial Narrow"/>
        </w:rPr>
        <w:tab/>
      </w:r>
      <w:r w:rsidRPr="00C65CAA">
        <w:rPr>
          <w:rFonts w:ascii="Arial Narrow" w:hAnsi="Arial Narrow"/>
        </w:rPr>
        <w:tab/>
      </w:r>
    </w:p>
    <w:p w:rsidR="00D23611" w:rsidRPr="00C65CAA" w:rsidRDefault="00D23611" w:rsidP="00256AF8">
      <w:pPr>
        <w:tabs>
          <w:tab w:val="left" w:pos="2335"/>
        </w:tabs>
        <w:spacing w:before="100" w:after="100"/>
        <w:rPr>
          <w:rFonts w:ascii="Arial Narrow" w:hAnsi="Arial Narrow"/>
        </w:rPr>
      </w:pPr>
    </w:p>
    <w:p w:rsidR="00D23611" w:rsidRPr="00C65CAA" w:rsidRDefault="00D23611" w:rsidP="00256AF8">
      <w:pPr>
        <w:tabs>
          <w:tab w:val="left" w:pos="2335"/>
        </w:tabs>
        <w:spacing w:before="100" w:after="100"/>
        <w:rPr>
          <w:rFonts w:ascii="Arial Narrow" w:hAnsi="Arial Narrow"/>
        </w:rPr>
      </w:pPr>
    </w:p>
    <w:p w:rsidR="00D23611" w:rsidRPr="00C65CAA" w:rsidRDefault="00D23611" w:rsidP="00256AF8">
      <w:pPr>
        <w:tabs>
          <w:tab w:val="left" w:pos="2335"/>
        </w:tabs>
        <w:spacing w:before="100" w:after="100"/>
        <w:rPr>
          <w:rFonts w:ascii="Arial Narrow" w:hAnsi="Arial Narrow"/>
        </w:rPr>
      </w:pPr>
      <w:r w:rsidRPr="00C65CAA">
        <w:rPr>
          <w:rFonts w:ascii="Arial Narrow" w:hAnsi="Arial Narrow"/>
          <w:noProof/>
        </w:rPr>
        <w:drawing>
          <wp:anchor distT="0" distB="0" distL="114300" distR="114300" simplePos="0" relativeHeight="251659264" behindDoc="0" locked="0" layoutInCell="1" allowOverlap="1">
            <wp:simplePos x="0" y="0"/>
            <wp:positionH relativeFrom="margin">
              <wp:posOffset>1193165</wp:posOffset>
            </wp:positionH>
            <wp:positionV relativeFrom="margin">
              <wp:posOffset>1250315</wp:posOffset>
            </wp:positionV>
            <wp:extent cx="3600450" cy="2657475"/>
            <wp:effectExtent l="0" t="0" r="0" b="9525"/>
            <wp:wrapSquare wrapText="bothSides"/>
            <wp:docPr id="27" name="Obrázok 27" descr="Popis: Popis: logo8x9_nadokumenty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6" descr="Popis: Popis: logo8x9_nadokumenty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450" cy="2657475"/>
                    </a:xfrm>
                    <a:prstGeom prst="rect">
                      <a:avLst/>
                    </a:prstGeom>
                    <a:noFill/>
                  </pic:spPr>
                </pic:pic>
              </a:graphicData>
            </a:graphic>
          </wp:anchor>
        </w:drawing>
      </w:r>
    </w:p>
    <w:p w:rsidR="00D23611" w:rsidRPr="00C65CAA" w:rsidRDefault="00D23611" w:rsidP="00256AF8">
      <w:pPr>
        <w:tabs>
          <w:tab w:val="left" w:pos="2335"/>
        </w:tabs>
        <w:spacing w:before="100" w:after="100"/>
        <w:rPr>
          <w:rFonts w:ascii="Arial Narrow" w:hAnsi="Arial Narrow"/>
        </w:rPr>
      </w:pPr>
    </w:p>
    <w:p w:rsidR="00D23611" w:rsidRPr="00C65CAA" w:rsidRDefault="00D23611" w:rsidP="00256AF8">
      <w:pPr>
        <w:tabs>
          <w:tab w:val="left" w:pos="2335"/>
        </w:tabs>
        <w:spacing w:before="100" w:after="100"/>
        <w:rPr>
          <w:rFonts w:ascii="Arial Narrow" w:hAnsi="Arial Narrow"/>
        </w:rPr>
      </w:pPr>
    </w:p>
    <w:p w:rsidR="00D23611" w:rsidRPr="00C65CAA" w:rsidRDefault="00D23611" w:rsidP="00256AF8">
      <w:pPr>
        <w:tabs>
          <w:tab w:val="left" w:pos="2335"/>
        </w:tabs>
        <w:spacing w:before="100" w:after="100"/>
        <w:rPr>
          <w:rFonts w:ascii="Arial Narrow" w:hAnsi="Arial Narrow"/>
        </w:rPr>
      </w:pPr>
    </w:p>
    <w:p w:rsidR="00D23611" w:rsidRPr="00C65CAA" w:rsidRDefault="00D23611" w:rsidP="00256AF8">
      <w:pPr>
        <w:tabs>
          <w:tab w:val="left" w:pos="2335"/>
        </w:tabs>
        <w:spacing w:before="100" w:after="100"/>
        <w:rPr>
          <w:rFonts w:ascii="Arial Narrow" w:hAnsi="Arial Narrow"/>
        </w:rPr>
      </w:pPr>
    </w:p>
    <w:p w:rsidR="00D23611" w:rsidRPr="00C65CAA" w:rsidRDefault="00D23611" w:rsidP="00256AF8">
      <w:pPr>
        <w:tabs>
          <w:tab w:val="left" w:pos="2335"/>
        </w:tabs>
        <w:spacing w:before="100" w:after="100"/>
        <w:rPr>
          <w:rFonts w:ascii="Arial Narrow" w:hAnsi="Arial Narrow"/>
        </w:rPr>
      </w:pPr>
    </w:p>
    <w:p w:rsidR="00D23611" w:rsidRPr="00C65CAA" w:rsidRDefault="00D23611" w:rsidP="00256AF8">
      <w:pPr>
        <w:tabs>
          <w:tab w:val="left" w:pos="2335"/>
        </w:tabs>
        <w:spacing w:before="100" w:after="100"/>
        <w:rPr>
          <w:rFonts w:ascii="Arial Narrow" w:hAnsi="Arial Narrow"/>
        </w:rPr>
      </w:pPr>
    </w:p>
    <w:p w:rsidR="00D23611" w:rsidRPr="00C65CAA" w:rsidRDefault="00D23611" w:rsidP="00256AF8">
      <w:pPr>
        <w:spacing w:before="100" w:after="100"/>
        <w:rPr>
          <w:rFonts w:ascii="Arial Narrow" w:hAnsi="Arial Narrow"/>
          <w:b/>
        </w:rPr>
      </w:pPr>
    </w:p>
    <w:p w:rsidR="00D23611" w:rsidRPr="00C65CAA" w:rsidRDefault="00D23611" w:rsidP="00256AF8">
      <w:pPr>
        <w:spacing w:before="100" w:after="100"/>
        <w:jc w:val="center"/>
        <w:rPr>
          <w:rFonts w:ascii="Arial Narrow" w:hAnsi="Arial Narrow"/>
          <w:b/>
        </w:rPr>
      </w:pPr>
    </w:p>
    <w:p w:rsidR="00D23611" w:rsidRPr="00C65CAA" w:rsidRDefault="00D23611" w:rsidP="00256AF8">
      <w:pPr>
        <w:spacing w:before="100" w:after="100"/>
        <w:jc w:val="center"/>
        <w:rPr>
          <w:rFonts w:ascii="Arial Narrow" w:hAnsi="Arial Narrow"/>
          <w:b/>
        </w:rPr>
      </w:pPr>
    </w:p>
    <w:p w:rsidR="00D23611" w:rsidRPr="00C65CAA" w:rsidRDefault="00D23611" w:rsidP="00256AF8">
      <w:pPr>
        <w:spacing w:before="100" w:after="100"/>
        <w:jc w:val="center"/>
        <w:rPr>
          <w:rFonts w:ascii="Arial Narrow" w:hAnsi="Arial Narrow"/>
          <w:b/>
        </w:rPr>
      </w:pPr>
    </w:p>
    <w:p w:rsidR="00D23611" w:rsidRPr="00C65CAA" w:rsidRDefault="00D23611" w:rsidP="00256AF8">
      <w:pPr>
        <w:spacing w:before="100" w:after="100"/>
        <w:jc w:val="center"/>
        <w:rPr>
          <w:rFonts w:ascii="Arial Narrow" w:hAnsi="Arial Narrow"/>
          <w:b/>
        </w:rPr>
      </w:pPr>
    </w:p>
    <w:p w:rsidR="00D23611" w:rsidRPr="00C65CAA" w:rsidRDefault="00D23611" w:rsidP="00256AF8">
      <w:pPr>
        <w:spacing w:before="100" w:after="100"/>
        <w:jc w:val="center"/>
        <w:rPr>
          <w:rFonts w:ascii="Arial Narrow" w:hAnsi="Arial Narrow"/>
          <w:b/>
        </w:rPr>
      </w:pPr>
    </w:p>
    <w:p w:rsidR="00D23611" w:rsidRPr="00C65CAA" w:rsidRDefault="00D23611" w:rsidP="00256AF8">
      <w:pPr>
        <w:spacing w:before="100" w:after="100"/>
        <w:jc w:val="center"/>
        <w:rPr>
          <w:rFonts w:ascii="Arial Narrow" w:hAnsi="Arial Narrow"/>
          <w:b/>
        </w:rPr>
      </w:pPr>
    </w:p>
    <w:p w:rsidR="00D23611" w:rsidRPr="00C65CAA" w:rsidRDefault="00D23611" w:rsidP="00256AF8">
      <w:pPr>
        <w:spacing w:before="100" w:after="100"/>
        <w:jc w:val="center"/>
        <w:rPr>
          <w:rFonts w:ascii="Arial Narrow" w:hAnsi="Arial Narrow"/>
          <w:b/>
        </w:rPr>
      </w:pPr>
    </w:p>
    <w:p w:rsidR="00D23611" w:rsidRPr="00C65CAA" w:rsidRDefault="00D23611" w:rsidP="00256AF8">
      <w:pPr>
        <w:tabs>
          <w:tab w:val="center" w:pos="4678"/>
          <w:tab w:val="left" w:pos="6453"/>
        </w:tabs>
        <w:spacing w:before="100" w:after="100"/>
        <w:ind w:left="284"/>
        <w:jc w:val="center"/>
        <w:outlineLvl w:val="4"/>
        <w:rPr>
          <w:rFonts w:ascii="Arial Narrow" w:hAnsi="Arial Narrow"/>
          <w:bCs/>
          <w:iCs/>
          <w:sz w:val="28"/>
          <w:szCs w:val="28"/>
        </w:rPr>
      </w:pPr>
      <w:r w:rsidRPr="00C65CAA">
        <w:rPr>
          <w:rFonts w:ascii="Arial Narrow" w:hAnsi="Arial Narrow"/>
          <w:b/>
          <w:bCs/>
          <w:iCs/>
          <w:sz w:val="28"/>
          <w:szCs w:val="28"/>
        </w:rPr>
        <w:t>S t a n o v i s k o</w:t>
      </w:r>
    </w:p>
    <w:p w:rsidR="00D23611" w:rsidRPr="00C65CAA" w:rsidRDefault="00D23611" w:rsidP="00256AF8">
      <w:pPr>
        <w:spacing w:before="100" w:after="100"/>
        <w:jc w:val="center"/>
        <w:rPr>
          <w:rFonts w:ascii="Arial Narrow" w:hAnsi="Arial Narrow"/>
          <w:b/>
          <w:sz w:val="28"/>
        </w:rPr>
      </w:pPr>
    </w:p>
    <w:p w:rsidR="00D23611" w:rsidRPr="00C65CAA" w:rsidRDefault="00D23611" w:rsidP="00256AF8">
      <w:pPr>
        <w:spacing w:before="100" w:after="100"/>
        <w:jc w:val="center"/>
        <w:rPr>
          <w:rFonts w:ascii="Arial Narrow" w:hAnsi="Arial Narrow"/>
          <w:b/>
          <w:sz w:val="28"/>
        </w:rPr>
      </w:pPr>
      <w:r w:rsidRPr="00C65CAA">
        <w:rPr>
          <w:rFonts w:ascii="Arial Narrow" w:hAnsi="Arial Narrow"/>
          <w:b/>
          <w:sz w:val="28"/>
        </w:rPr>
        <w:t xml:space="preserve">Najvyššieho kontrolného úradu Slovenskej republiky </w:t>
      </w:r>
    </w:p>
    <w:p w:rsidR="00D23611" w:rsidRPr="00C65CAA" w:rsidRDefault="00D23611" w:rsidP="00256AF8">
      <w:pPr>
        <w:spacing w:before="100" w:after="100"/>
        <w:jc w:val="center"/>
        <w:rPr>
          <w:rFonts w:ascii="Arial Narrow" w:hAnsi="Arial Narrow"/>
          <w:b/>
          <w:sz w:val="28"/>
        </w:rPr>
      </w:pPr>
      <w:r w:rsidRPr="00C65CAA">
        <w:rPr>
          <w:rFonts w:ascii="Arial Narrow" w:hAnsi="Arial Narrow"/>
          <w:b/>
          <w:sz w:val="28"/>
        </w:rPr>
        <w:t>k návr</w:t>
      </w:r>
      <w:r w:rsidR="0047702E" w:rsidRPr="00C65CAA">
        <w:rPr>
          <w:rFonts w:ascii="Arial Narrow" w:hAnsi="Arial Narrow"/>
          <w:b/>
          <w:sz w:val="28"/>
        </w:rPr>
        <w:t>hu štátneho rozpočtu na rok 2019</w:t>
      </w:r>
    </w:p>
    <w:p w:rsidR="00D23611" w:rsidRPr="00C65CAA" w:rsidRDefault="00D23611" w:rsidP="00256AF8">
      <w:pPr>
        <w:pBdr>
          <w:top w:val="single" w:sz="8" w:space="1" w:color="auto"/>
        </w:pBdr>
        <w:spacing w:before="100" w:after="100"/>
        <w:rPr>
          <w:rFonts w:ascii="Arial Narrow" w:hAnsi="Arial Narrow"/>
        </w:rPr>
      </w:pPr>
    </w:p>
    <w:p w:rsidR="00D23611" w:rsidRPr="00C65CAA" w:rsidRDefault="00D23611" w:rsidP="00256AF8">
      <w:pPr>
        <w:spacing w:before="100" w:after="100"/>
        <w:rPr>
          <w:rFonts w:ascii="Arial Narrow" w:hAnsi="Arial Narrow"/>
        </w:rPr>
      </w:pPr>
    </w:p>
    <w:p w:rsidR="00D23611" w:rsidRPr="00C65CAA" w:rsidRDefault="00D23611" w:rsidP="00256AF8">
      <w:pPr>
        <w:spacing w:before="100" w:after="100"/>
        <w:rPr>
          <w:rFonts w:ascii="Arial Narrow" w:hAnsi="Arial Narrow"/>
        </w:rPr>
      </w:pPr>
    </w:p>
    <w:p w:rsidR="00D23611" w:rsidRPr="00C65CAA" w:rsidRDefault="00D23611" w:rsidP="00256AF8">
      <w:pPr>
        <w:spacing w:before="100" w:after="100"/>
        <w:rPr>
          <w:rFonts w:ascii="Arial Narrow" w:hAnsi="Arial Narrow"/>
        </w:rPr>
      </w:pPr>
    </w:p>
    <w:p w:rsidR="00D23611" w:rsidRPr="00C65CAA" w:rsidRDefault="00D23611" w:rsidP="00256AF8">
      <w:pPr>
        <w:spacing w:before="100" w:after="100"/>
        <w:rPr>
          <w:rFonts w:ascii="Arial Narrow" w:hAnsi="Arial Narrow"/>
        </w:rPr>
      </w:pPr>
    </w:p>
    <w:p w:rsidR="00D23611" w:rsidRPr="00C65CAA" w:rsidRDefault="00D23611" w:rsidP="00256AF8">
      <w:pPr>
        <w:spacing w:before="100" w:after="100"/>
        <w:jc w:val="center"/>
        <w:rPr>
          <w:rFonts w:ascii="Arial Narrow" w:hAnsi="Arial Narrow"/>
          <w:b/>
        </w:rPr>
      </w:pPr>
      <w:r w:rsidRPr="00C65CAA">
        <w:rPr>
          <w:rFonts w:ascii="Arial Narrow" w:hAnsi="Arial Narrow"/>
          <w:b/>
        </w:rPr>
        <w:t>Bratislava</w:t>
      </w:r>
      <w:r w:rsidR="003A76DC" w:rsidRPr="00C65CAA">
        <w:rPr>
          <w:rFonts w:ascii="Arial Narrow" w:hAnsi="Arial Narrow"/>
          <w:b/>
        </w:rPr>
        <w:t>,</w:t>
      </w:r>
      <w:r w:rsidRPr="00C65CAA">
        <w:rPr>
          <w:rFonts w:ascii="Arial Narrow" w:hAnsi="Arial Narrow"/>
          <w:b/>
        </w:rPr>
        <w:t xml:space="preserve"> november</w:t>
      </w:r>
      <w:r w:rsidR="0047702E" w:rsidRPr="00C65CAA">
        <w:rPr>
          <w:rFonts w:ascii="Arial Narrow" w:hAnsi="Arial Narrow"/>
          <w:b/>
        </w:rPr>
        <w:t xml:space="preserve"> 2018</w:t>
      </w:r>
    </w:p>
    <w:p w:rsidR="00D23611" w:rsidRPr="00C65CAA" w:rsidRDefault="00D23611" w:rsidP="00256AF8">
      <w:pPr>
        <w:pStyle w:val="Nadpis1"/>
        <w:spacing w:before="100" w:after="100"/>
        <w:rPr>
          <w:rFonts w:ascii="Arial Narrow" w:hAnsi="Arial Narrow"/>
          <w:sz w:val="22"/>
          <w:szCs w:val="22"/>
        </w:rPr>
      </w:pPr>
      <w:r w:rsidRPr="00C65CAA">
        <w:rPr>
          <w:rFonts w:ascii="Arial Narrow" w:hAnsi="Arial Narrow"/>
          <w:sz w:val="22"/>
          <w:szCs w:val="22"/>
        </w:rPr>
        <w:br w:type="page"/>
      </w:r>
    </w:p>
    <w:p w:rsidR="00D23611" w:rsidRPr="00C65CAA" w:rsidRDefault="003A76DC" w:rsidP="00256AF8">
      <w:pPr>
        <w:spacing w:before="100" w:after="100"/>
        <w:rPr>
          <w:rFonts w:ascii="Arial Narrow" w:hAnsi="Arial Narrow"/>
          <w:b/>
          <w:bCs/>
          <w:sz w:val="22"/>
          <w:szCs w:val="22"/>
        </w:rPr>
      </w:pPr>
      <w:r w:rsidRPr="00C65CAA">
        <w:rPr>
          <w:rFonts w:ascii="Arial Narrow" w:hAnsi="Arial Narrow"/>
          <w:b/>
          <w:bCs/>
          <w:sz w:val="22"/>
          <w:szCs w:val="22"/>
        </w:rPr>
        <w:lastRenderedPageBreak/>
        <w:t>Zoznam použitých skratiek a skrátených pomenovaní</w:t>
      </w:r>
    </w:p>
    <w:p w:rsidR="00055944" w:rsidRPr="00C65CAA" w:rsidRDefault="00055944" w:rsidP="00055944">
      <w:pPr>
        <w:rPr>
          <w:rFonts w:ascii="Arial Narrow" w:hAnsi="Arial Narrow"/>
          <w:bCs/>
          <w:sz w:val="22"/>
          <w:szCs w:val="22"/>
        </w:rPr>
      </w:pPr>
      <w:r w:rsidRPr="00C65CAA">
        <w:rPr>
          <w:rFonts w:ascii="Arial Narrow" w:hAnsi="Arial Narrow"/>
          <w:b/>
          <w:bCs/>
          <w:sz w:val="22"/>
          <w:szCs w:val="22"/>
        </w:rPr>
        <w:t>AOTP</w:t>
      </w:r>
      <w:r w:rsidRPr="00C65CAA">
        <w:rPr>
          <w:rFonts w:ascii="Arial Narrow" w:hAnsi="Arial Narrow"/>
          <w:bCs/>
          <w:sz w:val="22"/>
          <w:szCs w:val="22"/>
        </w:rPr>
        <w:t xml:space="preserve"> – aktívne opatrenia trhu práce</w:t>
      </w:r>
    </w:p>
    <w:p w:rsidR="00055944" w:rsidRPr="00C65CAA" w:rsidRDefault="00055944" w:rsidP="00055944">
      <w:pPr>
        <w:rPr>
          <w:rFonts w:ascii="Arial Narrow" w:hAnsi="Arial Narrow"/>
          <w:sz w:val="22"/>
          <w:szCs w:val="22"/>
        </w:rPr>
      </w:pPr>
      <w:r w:rsidRPr="00C65CAA">
        <w:rPr>
          <w:rFonts w:ascii="Arial Narrow" w:hAnsi="Arial Narrow"/>
          <w:b/>
          <w:bCs/>
          <w:sz w:val="22"/>
          <w:szCs w:val="22"/>
        </w:rPr>
        <w:t>b. c.</w:t>
      </w:r>
      <w:r w:rsidRPr="00C65CAA">
        <w:rPr>
          <w:rFonts w:ascii="Arial Narrow" w:hAnsi="Arial Narrow"/>
          <w:sz w:val="22"/>
          <w:szCs w:val="22"/>
        </w:rPr>
        <w:t xml:space="preserve"> – bežné ceny</w:t>
      </w:r>
    </w:p>
    <w:p w:rsidR="00055944" w:rsidRPr="00C65CAA" w:rsidRDefault="00055944" w:rsidP="00055944">
      <w:pPr>
        <w:rPr>
          <w:rFonts w:ascii="Arial Narrow" w:hAnsi="Arial Narrow"/>
          <w:sz w:val="22"/>
          <w:szCs w:val="22"/>
        </w:rPr>
      </w:pPr>
      <w:r w:rsidRPr="00C65CAA">
        <w:rPr>
          <w:rFonts w:ascii="Arial Narrow" w:hAnsi="Arial Narrow"/>
          <w:b/>
          <w:sz w:val="22"/>
          <w:szCs w:val="22"/>
        </w:rPr>
        <w:t>DPFO</w:t>
      </w:r>
      <w:r w:rsidRPr="00C65CAA">
        <w:rPr>
          <w:rFonts w:ascii="Arial Narrow" w:hAnsi="Arial Narrow"/>
          <w:sz w:val="22"/>
          <w:szCs w:val="22"/>
        </w:rPr>
        <w:t xml:space="preserve"> – daň z príjmu fyzických osôb</w:t>
      </w:r>
    </w:p>
    <w:p w:rsidR="00375B44" w:rsidRPr="00C65CAA" w:rsidRDefault="00375B44" w:rsidP="00055944">
      <w:pPr>
        <w:rPr>
          <w:rFonts w:ascii="Arial Narrow" w:hAnsi="Arial Narrow"/>
          <w:b/>
          <w:sz w:val="22"/>
          <w:szCs w:val="22"/>
        </w:rPr>
      </w:pPr>
      <w:r w:rsidRPr="00C65CAA">
        <w:rPr>
          <w:rFonts w:ascii="Arial Narrow" w:hAnsi="Arial Narrow"/>
          <w:b/>
          <w:sz w:val="22"/>
          <w:szCs w:val="22"/>
        </w:rPr>
        <w:t xml:space="preserve">DPPO </w:t>
      </w:r>
      <w:r w:rsidRPr="00C65CAA">
        <w:rPr>
          <w:rFonts w:ascii="Arial Narrow" w:hAnsi="Arial Narrow"/>
          <w:sz w:val="22"/>
          <w:szCs w:val="22"/>
        </w:rPr>
        <w:t>– daň z príjmu právnických osôb</w:t>
      </w:r>
    </w:p>
    <w:p w:rsidR="00055944" w:rsidRPr="00C65CAA" w:rsidRDefault="00055944" w:rsidP="00055944">
      <w:pPr>
        <w:rPr>
          <w:rFonts w:ascii="Arial Narrow" w:hAnsi="Arial Narrow"/>
          <w:bCs/>
          <w:sz w:val="22"/>
          <w:szCs w:val="22"/>
        </w:rPr>
      </w:pPr>
      <w:r w:rsidRPr="00C65CAA">
        <w:rPr>
          <w:rFonts w:ascii="Arial Narrow" w:hAnsi="Arial Narrow"/>
          <w:b/>
          <w:bCs/>
          <w:sz w:val="22"/>
          <w:szCs w:val="22"/>
        </w:rPr>
        <w:t>EK</w:t>
      </w:r>
      <w:r w:rsidRPr="00C65CAA">
        <w:rPr>
          <w:rFonts w:ascii="Arial Narrow" w:hAnsi="Arial Narrow"/>
          <w:bCs/>
          <w:sz w:val="22"/>
          <w:szCs w:val="22"/>
        </w:rPr>
        <w:t xml:space="preserve"> – Európska komisia</w:t>
      </w:r>
    </w:p>
    <w:p w:rsidR="00055944" w:rsidRPr="00C65CAA" w:rsidRDefault="00055944" w:rsidP="00055944">
      <w:pPr>
        <w:jc w:val="both"/>
        <w:rPr>
          <w:rFonts w:ascii="Arial Narrow" w:hAnsi="Arial Narrow"/>
          <w:sz w:val="22"/>
          <w:szCs w:val="22"/>
        </w:rPr>
      </w:pPr>
      <w:r w:rsidRPr="00C65CAA">
        <w:rPr>
          <w:rFonts w:ascii="Arial Narrow" w:hAnsi="Arial Narrow"/>
          <w:b/>
          <w:bCs/>
          <w:sz w:val="22"/>
          <w:szCs w:val="22"/>
        </w:rPr>
        <w:t>ESA 2010</w:t>
      </w:r>
      <w:r w:rsidRPr="00C65CAA">
        <w:rPr>
          <w:rFonts w:ascii="Arial Narrow" w:hAnsi="Arial Narrow"/>
          <w:sz w:val="22"/>
          <w:szCs w:val="22"/>
        </w:rPr>
        <w:t xml:space="preserve"> – Európsky systém národných a regionálnych účtov</w:t>
      </w:r>
    </w:p>
    <w:p w:rsidR="00055944" w:rsidRPr="00C65CAA" w:rsidRDefault="00055944" w:rsidP="00055944">
      <w:pPr>
        <w:rPr>
          <w:rFonts w:ascii="Arial Narrow" w:hAnsi="Arial Narrow"/>
          <w:sz w:val="22"/>
          <w:szCs w:val="22"/>
        </w:rPr>
      </w:pPr>
      <w:r w:rsidRPr="00C65CAA">
        <w:rPr>
          <w:rFonts w:ascii="Arial Narrow" w:hAnsi="Arial Narrow"/>
          <w:b/>
          <w:bCs/>
          <w:sz w:val="22"/>
          <w:szCs w:val="22"/>
        </w:rPr>
        <w:t>EÚ</w:t>
      </w:r>
      <w:r w:rsidRPr="00C65CAA">
        <w:rPr>
          <w:rFonts w:ascii="Arial Narrow" w:hAnsi="Arial Narrow"/>
          <w:sz w:val="22"/>
          <w:szCs w:val="22"/>
        </w:rPr>
        <w:t xml:space="preserve"> – Európska únia</w:t>
      </w:r>
    </w:p>
    <w:p w:rsidR="00055944" w:rsidRPr="00C65CAA" w:rsidRDefault="00055944" w:rsidP="00055944">
      <w:pPr>
        <w:rPr>
          <w:rFonts w:ascii="Arial Narrow" w:hAnsi="Arial Narrow"/>
          <w:bCs/>
          <w:sz w:val="22"/>
          <w:szCs w:val="22"/>
        </w:rPr>
      </w:pPr>
      <w:r w:rsidRPr="00C65CAA">
        <w:rPr>
          <w:rFonts w:ascii="Arial Narrow" w:hAnsi="Arial Narrow"/>
          <w:b/>
          <w:sz w:val="22"/>
          <w:szCs w:val="22"/>
        </w:rPr>
        <w:t xml:space="preserve">Eurostat – </w:t>
      </w:r>
      <w:r w:rsidRPr="00C65CAA">
        <w:rPr>
          <w:rFonts w:ascii="Arial Narrow" w:hAnsi="Arial Narrow"/>
          <w:sz w:val="22"/>
          <w:szCs w:val="22"/>
        </w:rPr>
        <w:t>Štatistický úrad Európskeho spoločenstva</w:t>
      </w:r>
    </w:p>
    <w:p w:rsidR="00055944" w:rsidRPr="00C65CAA" w:rsidRDefault="00055944" w:rsidP="00055944">
      <w:pPr>
        <w:rPr>
          <w:rFonts w:ascii="Arial Narrow" w:hAnsi="Arial Narrow"/>
          <w:b/>
          <w:bCs/>
          <w:sz w:val="22"/>
          <w:szCs w:val="22"/>
        </w:rPr>
      </w:pPr>
      <w:r w:rsidRPr="00C65CAA">
        <w:rPr>
          <w:rFonts w:ascii="Arial Narrow" w:hAnsi="Arial Narrow"/>
          <w:b/>
          <w:bCs/>
          <w:sz w:val="22"/>
          <w:szCs w:val="22"/>
        </w:rPr>
        <w:t xml:space="preserve">EŠIF – </w:t>
      </w:r>
      <w:r w:rsidRPr="00C65CAA">
        <w:rPr>
          <w:rFonts w:ascii="Arial Narrow" w:hAnsi="Arial Narrow"/>
          <w:bCs/>
          <w:sz w:val="22"/>
          <w:szCs w:val="22"/>
        </w:rPr>
        <w:t>Európske štrukturálne a investičné fondy</w:t>
      </w:r>
    </w:p>
    <w:p w:rsidR="00055944" w:rsidRPr="00C65CAA" w:rsidRDefault="00055944" w:rsidP="00055944">
      <w:pPr>
        <w:rPr>
          <w:rFonts w:ascii="Arial Narrow" w:hAnsi="Arial Narrow"/>
          <w:sz w:val="22"/>
          <w:szCs w:val="22"/>
        </w:rPr>
      </w:pPr>
      <w:r w:rsidRPr="00C65CAA">
        <w:rPr>
          <w:rFonts w:ascii="Arial Narrow" w:hAnsi="Arial Narrow"/>
          <w:b/>
          <w:bCs/>
          <w:sz w:val="22"/>
          <w:szCs w:val="22"/>
        </w:rPr>
        <w:t>HDP</w:t>
      </w:r>
      <w:r w:rsidRPr="00C65CAA">
        <w:rPr>
          <w:rFonts w:ascii="Arial Narrow" w:hAnsi="Arial Narrow"/>
          <w:sz w:val="22"/>
          <w:szCs w:val="22"/>
        </w:rPr>
        <w:t xml:space="preserve"> – hrubý domáci produkt</w:t>
      </w:r>
    </w:p>
    <w:p w:rsidR="00055944" w:rsidRPr="00C65CAA" w:rsidRDefault="00055944" w:rsidP="00055944">
      <w:pPr>
        <w:rPr>
          <w:rFonts w:ascii="Arial Narrow" w:hAnsi="Arial Narrow"/>
          <w:sz w:val="22"/>
          <w:szCs w:val="22"/>
        </w:rPr>
      </w:pPr>
      <w:r w:rsidRPr="00C65CAA">
        <w:rPr>
          <w:rFonts w:ascii="Arial Narrow" w:hAnsi="Arial Narrow"/>
          <w:b/>
          <w:sz w:val="22"/>
          <w:szCs w:val="22"/>
        </w:rPr>
        <w:t>IFP</w:t>
      </w:r>
      <w:r w:rsidRPr="00C65CAA">
        <w:rPr>
          <w:rFonts w:ascii="Arial Narrow" w:hAnsi="Arial Narrow"/>
          <w:sz w:val="22"/>
          <w:szCs w:val="22"/>
        </w:rPr>
        <w:t xml:space="preserve"> – Inštitút finančnej politiky</w:t>
      </w:r>
    </w:p>
    <w:p w:rsidR="00055944" w:rsidRPr="00C65CAA" w:rsidRDefault="00055944" w:rsidP="00055944">
      <w:pPr>
        <w:rPr>
          <w:rFonts w:ascii="Arial Narrow" w:hAnsi="Arial Narrow"/>
          <w:sz w:val="22"/>
          <w:szCs w:val="22"/>
        </w:rPr>
      </w:pPr>
      <w:r w:rsidRPr="00C65CAA">
        <w:rPr>
          <w:rFonts w:ascii="Arial Narrow" w:hAnsi="Arial Narrow"/>
          <w:b/>
          <w:sz w:val="22"/>
          <w:szCs w:val="22"/>
        </w:rPr>
        <w:t>JAVYS</w:t>
      </w:r>
      <w:r w:rsidRPr="00C65CAA">
        <w:rPr>
          <w:rFonts w:ascii="Arial Narrow" w:hAnsi="Arial Narrow"/>
          <w:sz w:val="22"/>
          <w:szCs w:val="22"/>
        </w:rPr>
        <w:t xml:space="preserve"> – Jadrová a vyraďovacia spoločnosť</w:t>
      </w:r>
      <w:r w:rsidR="003A76DC" w:rsidRPr="00C65CAA">
        <w:rPr>
          <w:rFonts w:ascii="Arial Narrow" w:hAnsi="Arial Narrow"/>
          <w:sz w:val="22"/>
          <w:szCs w:val="22"/>
        </w:rPr>
        <w:t>,</w:t>
      </w:r>
      <w:r w:rsidRPr="00C65CAA">
        <w:rPr>
          <w:rFonts w:ascii="Arial Narrow" w:hAnsi="Arial Narrow"/>
          <w:sz w:val="22"/>
          <w:szCs w:val="22"/>
        </w:rPr>
        <w:t xml:space="preserve"> a. s.</w:t>
      </w:r>
    </w:p>
    <w:p w:rsidR="00055944" w:rsidRPr="00C65CAA" w:rsidRDefault="00055944" w:rsidP="00055944">
      <w:pPr>
        <w:rPr>
          <w:rFonts w:ascii="Arial Narrow" w:hAnsi="Arial Narrow"/>
          <w:sz w:val="22"/>
          <w:szCs w:val="22"/>
        </w:rPr>
      </w:pPr>
      <w:r w:rsidRPr="00C65CAA">
        <w:rPr>
          <w:rFonts w:ascii="Arial Narrow" w:hAnsi="Arial Narrow"/>
          <w:b/>
          <w:bCs/>
          <w:sz w:val="22"/>
          <w:szCs w:val="22"/>
        </w:rPr>
        <w:t xml:space="preserve">m. j. – </w:t>
      </w:r>
      <w:r w:rsidRPr="00C65CAA">
        <w:rPr>
          <w:rFonts w:ascii="Arial Narrow" w:hAnsi="Arial Narrow"/>
          <w:sz w:val="22"/>
          <w:szCs w:val="22"/>
        </w:rPr>
        <w:t>merná jednotka</w:t>
      </w:r>
    </w:p>
    <w:p w:rsidR="00055944" w:rsidRPr="00C65CAA" w:rsidRDefault="00055944" w:rsidP="00055944">
      <w:pPr>
        <w:rPr>
          <w:rFonts w:ascii="Arial Narrow" w:hAnsi="Arial Narrow"/>
          <w:sz w:val="22"/>
          <w:szCs w:val="22"/>
        </w:rPr>
      </w:pPr>
      <w:r w:rsidRPr="00C65CAA">
        <w:rPr>
          <w:rFonts w:ascii="Arial Narrow" w:hAnsi="Arial Narrow"/>
          <w:b/>
          <w:sz w:val="22"/>
          <w:szCs w:val="22"/>
        </w:rPr>
        <w:t>MDV SR</w:t>
      </w:r>
      <w:r w:rsidRPr="00C65CAA">
        <w:rPr>
          <w:rFonts w:ascii="Arial Narrow" w:hAnsi="Arial Narrow"/>
          <w:sz w:val="22"/>
          <w:szCs w:val="22"/>
        </w:rPr>
        <w:t xml:space="preserve"> – Ministerstvo dopravy a výstavby SR</w:t>
      </w:r>
    </w:p>
    <w:p w:rsidR="00055944" w:rsidRPr="00C65CAA" w:rsidRDefault="00055944" w:rsidP="00055944">
      <w:pPr>
        <w:rPr>
          <w:rFonts w:ascii="Arial Narrow" w:hAnsi="Arial Narrow"/>
          <w:bCs/>
          <w:sz w:val="22"/>
          <w:szCs w:val="22"/>
        </w:rPr>
      </w:pPr>
      <w:r w:rsidRPr="00C65CAA">
        <w:rPr>
          <w:rFonts w:ascii="Arial Narrow" w:hAnsi="Arial Narrow"/>
          <w:b/>
          <w:bCs/>
          <w:sz w:val="22"/>
          <w:szCs w:val="22"/>
        </w:rPr>
        <w:t xml:space="preserve">MF SR </w:t>
      </w:r>
      <w:r w:rsidRPr="00C65CAA">
        <w:rPr>
          <w:rFonts w:ascii="Arial Narrow" w:hAnsi="Arial Narrow"/>
          <w:bCs/>
          <w:sz w:val="22"/>
          <w:szCs w:val="22"/>
        </w:rPr>
        <w:softHyphen/>
        <w:t xml:space="preserve"> Ministerstvo financií SR</w:t>
      </w:r>
    </w:p>
    <w:p w:rsidR="00055944" w:rsidRPr="00C65CAA" w:rsidRDefault="00055944" w:rsidP="00055944">
      <w:pPr>
        <w:rPr>
          <w:rFonts w:ascii="Arial Narrow" w:hAnsi="Arial Narrow"/>
          <w:sz w:val="22"/>
          <w:szCs w:val="22"/>
        </w:rPr>
      </w:pPr>
      <w:r w:rsidRPr="00C65CAA">
        <w:rPr>
          <w:rFonts w:ascii="Arial Narrow" w:hAnsi="Arial Narrow"/>
          <w:b/>
          <w:bCs/>
          <w:sz w:val="22"/>
          <w:szCs w:val="22"/>
        </w:rPr>
        <w:t xml:space="preserve">MPRV SR </w:t>
      </w:r>
      <w:r w:rsidRPr="00C65CAA">
        <w:rPr>
          <w:rFonts w:ascii="Arial Narrow" w:hAnsi="Arial Narrow"/>
          <w:sz w:val="22"/>
          <w:szCs w:val="22"/>
        </w:rPr>
        <w:t>– Ministerstvo pôdohospodárstva a rozvoja vidieka SR</w:t>
      </w:r>
    </w:p>
    <w:p w:rsidR="00055944" w:rsidRPr="00C65CAA" w:rsidRDefault="00055944" w:rsidP="00055944">
      <w:pPr>
        <w:rPr>
          <w:rFonts w:ascii="Arial Narrow" w:hAnsi="Arial Narrow"/>
          <w:bCs/>
          <w:sz w:val="22"/>
          <w:szCs w:val="22"/>
        </w:rPr>
      </w:pPr>
      <w:r w:rsidRPr="00C65CAA">
        <w:rPr>
          <w:rFonts w:ascii="Arial Narrow" w:hAnsi="Arial Narrow"/>
          <w:b/>
          <w:bCs/>
          <w:sz w:val="22"/>
          <w:szCs w:val="22"/>
        </w:rPr>
        <w:t>MPSVR SR</w:t>
      </w:r>
      <w:r w:rsidRPr="00C65CAA">
        <w:rPr>
          <w:rFonts w:ascii="Arial Narrow" w:hAnsi="Arial Narrow"/>
          <w:bCs/>
          <w:sz w:val="22"/>
          <w:szCs w:val="22"/>
        </w:rPr>
        <w:t xml:space="preserve"> – Ministerstvo práce, sociálnych vecí a rodiny SR</w:t>
      </w:r>
    </w:p>
    <w:p w:rsidR="00055944" w:rsidRPr="00C65CAA" w:rsidRDefault="00055944" w:rsidP="00055944">
      <w:pPr>
        <w:rPr>
          <w:rFonts w:ascii="Arial Narrow" w:hAnsi="Arial Narrow"/>
          <w:bCs/>
          <w:sz w:val="22"/>
          <w:szCs w:val="22"/>
        </w:rPr>
      </w:pPr>
      <w:r w:rsidRPr="00C65CAA">
        <w:rPr>
          <w:rFonts w:ascii="Arial Narrow" w:hAnsi="Arial Narrow"/>
          <w:b/>
          <w:bCs/>
          <w:sz w:val="22"/>
          <w:szCs w:val="22"/>
        </w:rPr>
        <w:t>MŠVVS SR</w:t>
      </w:r>
      <w:r w:rsidRPr="00C65CAA">
        <w:rPr>
          <w:rFonts w:ascii="Arial Narrow" w:hAnsi="Arial Narrow"/>
          <w:bCs/>
          <w:sz w:val="22"/>
          <w:szCs w:val="22"/>
        </w:rPr>
        <w:t xml:space="preserve"> – Ministerstvo školstva, vedy, výskumu a športu SR</w:t>
      </w:r>
    </w:p>
    <w:p w:rsidR="00055944" w:rsidRPr="00C65CAA" w:rsidRDefault="00055944" w:rsidP="00055944">
      <w:pPr>
        <w:rPr>
          <w:rFonts w:ascii="Arial Narrow" w:hAnsi="Arial Narrow"/>
          <w:bCs/>
          <w:sz w:val="22"/>
          <w:szCs w:val="22"/>
        </w:rPr>
      </w:pPr>
      <w:r w:rsidRPr="00C65CAA">
        <w:rPr>
          <w:rFonts w:ascii="Arial Narrow" w:hAnsi="Arial Narrow"/>
          <w:b/>
          <w:bCs/>
          <w:sz w:val="22"/>
          <w:szCs w:val="22"/>
        </w:rPr>
        <w:t>MV SR</w:t>
      </w:r>
      <w:r w:rsidRPr="00C65CAA">
        <w:rPr>
          <w:rFonts w:ascii="Arial Narrow" w:hAnsi="Arial Narrow"/>
          <w:bCs/>
          <w:sz w:val="22"/>
          <w:szCs w:val="22"/>
        </w:rPr>
        <w:t xml:space="preserve"> – Ministerstvo vnútra SR</w:t>
      </w:r>
    </w:p>
    <w:p w:rsidR="00055944" w:rsidRPr="00C65CAA" w:rsidRDefault="00055944" w:rsidP="00055944">
      <w:pPr>
        <w:rPr>
          <w:rFonts w:ascii="Arial Narrow" w:hAnsi="Arial Narrow"/>
          <w:bCs/>
          <w:sz w:val="22"/>
          <w:szCs w:val="22"/>
        </w:rPr>
      </w:pPr>
      <w:r w:rsidRPr="00C65CAA">
        <w:rPr>
          <w:rFonts w:ascii="Arial Narrow" w:hAnsi="Arial Narrow"/>
          <w:b/>
          <w:bCs/>
          <w:sz w:val="22"/>
          <w:szCs w:val="22"/>
        </w:rPr>
        <w:t>MZ SR</w:t>
      </w:r>
      <w:r w:rsidRPr="00C65CAA">
        <w:rPr>
          <w:rFonts w:ascii="Arial Narrow" w:hAnsi="Arial Narrow"/>
          <w:bCs/>
          <w:sz w:val="22"/>
          <w:szCs w:val="22"/>
        </w:rPr>
        <w:t xml:space="preserve"> – Ministerstvo zdravotníctva SR</w:t>
      </w:r>
    </w:p>
    <w:p w:rsidR="00055944" w:rsidRPr="00C65CAA" w:rsidRDefault="00055944" w:rsidP="00055944">
      <w:pPr>
        <w:rPr>
          <w:rFonts w:ascii="Arial Narrow" w:hAnsi="Arial Narrow"/>
          <w:bCs/>
          <w:sz w:val="22"/>
          <w:szCs w:val="22"/>
        </w:rPr>
      </w:pPr>
      <w:r w:rsidRPr="00C65CAA">
        <w:rPr>
          <w:rFonts w:ascii="Arial Narrow" w:hAnsi="Arial Narrow"/>
          <w:b/>
          <w:bCs/>
          <w:sz w:val="22"/>
          <w:szCs w:val="22"/>
        </w:rPr>
        <w:t>MŽP SR</w:t>
      </w:r>
      <w:r w:rsidRPr="00C65CAA">
        <w:rPr>
          <w:rFonts w:ascii="Arial Narrow" w:hAnsi="Arial Narrow"/>
          <w:bCs/>
          <w:sz w:val="22"/>
          <w:szCs w:val="22"/>
        </w:rPr>
        <w:t xml:space="preserve"> – Ministerstvo životného prostredia SR</w:t>
      </w:r>
    </w:p>
    <w:p w:rsidR="00055944" w:rsidRPr="00C65CAA" w:rsidRDefault="00055944" w:rsidP="00055944">
      <w:pPr>
        <w:rPr>
          <w:rFonts w:ascii="Arial Narrow" w:hAnsi="Arial Narrow"/>
          <w:sz w:val="22"/>
          <w:szCs w:val="22"/>
        </w:rPr>
      </w:pPr>
      <w:r w:rsidRPr="00C65CAA">
        <w:rPr>
          <w:rFonts w:ascii="Arial Narrow" w:hAnsi="Arial Narrow"/>
          <w:b/>
          <w:bCs/>
          <w:sz w:val="22"/>
          <w:szCs w:val="22"/>
        </w:rPr>
        <w:t>NKÚ SR</w:t>
      </w:r>
      <w:r w:rsidRPr="00C65CAA">
        <w:rPr>
          <w:rFonts w:ascii="Arial Narrow" w:hAnsi="Arial Narrow"/>
          <w:sz w:val="22"/>
          <w:szCs w:val="22"/>
        </w:rPr>
        <w:t xml:space="preserve"> – Najvyšší kontrolný úrad SR</w:t>
      </w:r>
    </w:p>
    <w:p w:rsidR="00055944" w:rsidRPr="00C65CAA" w:rsidRDefault="00055944" w:rsidP="00055944">
      <w:pPr>
        <w:rPr>
          <w:rFonts w:ascii="Arial Narrow" w:hAnsi="Arial Narrow"/>
          <w:sz w:val="22"/>
          <w:szCs w:val="22"/>
        </w:rPr>
      </w:pPr>
      <w:r w:rsidRPr="00C65CAA">
        <w:rPr>
          <w:rFonts w:ascii="Arial Narrow" w:hAnsi="Arial Narrow"/>
          <w:b/>
          <w:sz w:val="22"/>
          <w:szCs w:val="22"/>
        </w:rPr>
        <w:t xml:space="preserve">NR SR – </w:t>
      </w:r>
      <w:r w:rsidRPr="00C65CAA">
        <w:rPr>
          <w:rFonts w:ascii="Arial Narrow" w:hAnsi="Arial Narrow"/>
          <w:sz w:val="22"/>
          <w:szCs w:val="22"/>
        </w:rPr>
        <w:t>Národná rada SR</w:t>
      </w:r>
    </w:p>
    <w:p w:rsidR="00055944" w:rsidRPr="00C65CAA" w:rsidRDefault="00055944" w:rsidP="00055944">
      <w:pPr>
        <w:rPr>
          <w:rFonts w:ascii="Arial Narrow" w:hAnsi="Arial Narrow"/>
          <w:sz w:val="22"/>
          <w:szCs w:val="22"/>
        </w:rPr>
      </w:pPr>
      <w:r w:rsidRPr="00C65CAA">
        <w:rPr>
          <w:rFonts w:ascii="Arial Narrow" w:hAnsi="Arial Narrow"/>
          <w:b/>
          <w:sz w:val="22"/>
          <w:szCs w:val="22"/>
        </w:rPr>
        <w:t>OP</w:t>
      </w:r>
      <w:r w:rsidRPr="00C65CAA">
        <w:rPr>
          <w:rFonts w:ascii="Arial Narrow" w:hAnsi="Arial Narrow"/>
          <w:sz w:val="22"/>
          <w:szCs w:val="22"/>
        </w:rPr>
        <w:t xml:space="preserve"> – operačný program</w:t>
      </w:r>
    </w:p>
    <w:p w:rsidR="00055944" w:rsidRPr="00C65CAA" w:rsidRDefault="00055944" w:rsidP="00055944">
      <w:pPr>
        <w:rPr>
          <w:rFonts w:ascii="Arial Narrow" w:hAnsi="Arial Narrow"/>
          <w:sz w:val="22"/>
          <w:szCs w:val="22"/>
        </w:rPr>
      </w:pPr>
      <w:r w:rsidRPr="00C65CAA">
        <w:rPr>
          <w:rFonts w:ascii="Arial Narrow" w:hAnsi="Arial Narrow"/>
          <w:b/>
          <w:sz w:val="22"/>
          <w:szCs w:val="22"/>
        </w:rPr>
        <w:t xml:space="preserve">p. b. – </w:t>
      </w:r>
      <w:r w:rsidRPr="00C65CAA">
        <w:rPr>
          <w:rFonts w:ascii="Arial Narrow" w:hAnsi="Arial Narrow"/>
          <w:sz w:val="22"/>
          <w:szCs w:val="22"/>
        </w:rPr>
        <w:t>percentuálny bod</w:t>
      </w:r>
    </w:p>
    <w:p w:rsidR="00055944" w:rsidRPr="00C65CAA" w:rsidRDefault="00055944" w:rsidP="00055944">
      <w:pPr>
        <w:rPr>
          <w:rFonts w:ascii="Arial Narrow" w:hAnsi="Arial Narrow"/>
          <w:sz w:val="22"/>
          <w:szCs w:val="22"/>
        </w:rPr>
      </w:pPr>
      <w:r w:rsidRPr="00C65CAA">
        <w:rPr>
          <w:rFonts w:ascii="Arial Narrow" w:hAnsi="Arial Narrow"/>
          <w:b/>
          <w:bCs/>
          <w:sz w:val="22"/>
          <w:szCs w:val="22"/>
        </w:rPr>
        <w:t>RVS</w:t>
      </w:r>
      <w:r w:rsidRPr="00C65CAA">
        <w:rPr>
          <w:rFonts w:ascii="Arial Narrow" w:hAnsi="Arial Narrow"/>
          <w:sz w:val="22"/>
          <w:szCs w:val="22"/>
        </w:rPr>
        <w:t xml:space="preserve"> – rozpočet verejnej správy</w:t>
      </w:r>
    </w:p>
    <w:p w:rsidR="00055944" w:rsidRPr="00C65CAA" w:rsidRDefault="00055944" w:rsidP="00055944">
      <w:pPr>
        <w:rPr>
          <w:rFonts w:ascii="Arial Narrow" w:hAnsi="Arial Narrow"/>
          <w:sz w:val="22"/>
          <w:szCs w:val="22"/>
        </w:rPr>
      </w:pPr>
      <w:r w:rsidRPr="00C65CAA">
        <w:rPr>
          <w:rFonts w:ascii="Arial Narrow" w:hAnsi="Arial Narrow"/>
          <w:b/>
          <w:bCs/>
          <w:sz w:val="22"/>
          <w:szCs w:val="22"/>
        </w:rPr>
        <w:t>s. c.</w:t>
      </w:r>
      <w:r w:rsidRPr="00C65CAA">
        <w:rPr>
          <w:rFonts w:ascii="Arial Narrow" w:hAnsi="Arial Narrow"/>
          <w:sz w:val="22"/>
          <w:szCs w:val="22"/>
        </w:rPr>
        <w:t xml:space="preserve"> – stále ceny</w:t>
      </w:r>
    </w:p>
    <w:p w:rsidR="00055944" w:rsidRPr="00C65CAA" w:rsidRDefault="00055944" w:rsidP="00055944">
      <w:pPr>
        <w:rPr>
          <w:rFonts w:ascii="Arial Narrow" w:hAnsi="Arial Narrow"/>
          <w:sz w:val="22"/>
          <w:szCs w:val="22"/>
        </w:rPr>
      </w:pPr>
      <w:r w:rsidRPr="00C65CAA">
        <w:rPr>
          <w:rFonts w:ascii="Arial Narrow" w:hAnsi="Arial Narrow"/>
          <w:b/>
          <w:bCs/>
          <w:sz w:val="22"/>
          <w:szCs w:val="22"/>
        </w:rPr>
        <w:t>SR</w:t>
      </w:r>
      <w:r w:rsidRPr="00C65CAA">
        <w:rPr>
          <w:rFonts w:ascii="Arial Narrow" w:hAnsi="Arial Narrow"/>
          <w:sz w:val="22"/>
          <w:szCs w:val="22"/>
        </w:rPr>
        <w:t xml:space="preserve"> – Slovenská republika</w:t>
      </w:r>
    </w:p>
    <w:p w:rsidR="00055944" w:rsidRPr="00C65CAA" w:rsidRDefault="00055944" w:rsidP="00055944">
      <w:pPr>
        <w:rPr>
          <w:rFonts w:ascii="Arial Narrow" w:hAnsi="Arial Narrow"/>
          <w:sz w:val="22"/>
          <w:szCs w:val="22"/>
        </w:rPr>
      </w:pPr>
      <w:r w:rsidRPr="00C65CAA">
        <w:rPr>
          <w:rFonts w:ascii="Arial Narrow" w:hAnsi="Arial Narrow"/>
          <w:b/>
          <w:sz w:val="22"/>
          <w:szCs w:val="22"/>
        </w:rPr>
        <w:t>ŠÚ SR</w:t>
      </w:r>
      <w:r w:rsidRPr="00C65CAA">
        <w:rPr>
          <w:rFonts w:ascii="Arial Narrow" w:hAnsi="Arial Narrow"/>
          <w:sz w:val="22"/>
          <w:szCs w:val="22"/>
        </w:rPr>
        <w:t xml:space="preserve"> – Štatistický úrad SR</w:t>
      </w:r>
    </w:p>
    <w:p w:rsidR="00055944" w:rsidRPr="00C65CAA" w:rsidRDefault="00055944" w:rsidP="00055944">
      <w:pPr>
        <w:rPr>
          <w:rFonts w:ascii="Arial Narrow" w:hAnsi="Arial Narrow"/>
          <w:sz w:val="22"/>
          <w:szCs w:val="22"/>
        </w:rPr>
      </w:pPr>
      <w:r w:rsidRPr="00C65CAA">
        <w:rPr>
          <w:rFonts w:ascii="Arial Narrow" w:hAnsi="Arial Narrow"/>
          <w:b/>
          <w:bCs/>
          <w:sz w:val="22"/>
          <w:szCs w:val="22"/>
        </w:rPr>
        <w:t>ŠR</w:t>
      </w:r>
      <w:r w:rsidRPr="00C65CAA">
        <w:rPr>
          <w:rFonts w:ascii="Arial Narrow" w:hAnsi="Arial Narrow"/>
          <w:sz w:val="22"/>
          <w:szCs w:val="22"/>
        </w:rPr>
        <w:t xml:space="preserve"> – štátny rozpočet</w:t>
      </w:r>
    </w:p>
    <w:p w:rsidR="00055944" w:rsidRPr="00C65CAA" w:rsidRDefault="00055944" w:rsidP="00055944">
      <w:pPr>
        <w:rPr>
          <w:rFonts w:ascii="Arial Narrow" w:hAnsi="Arial Narrow"/>
          <w:sz w:val="22"/>
          <w:szCs w:val="22"/>
        </w:rPr>
      </w:pPr>
      <w:r w:rsidRPr="00C65CAA">
        <w:rPr>
          <w:rFonts w:ascii="Arial Narrow" w:hAnsi="Arial Narrow"/>
          <w:b/>
          <w:sz w:val="22"/>
          <w:szCs w:val="22"/>
        </w:rPr>
        <w:t>VPS</w:t>
      </w:r>
      <w:r w:rsidRPr="00C65CAA">
        <w:rPr>
          <w:rFonts w:ascii="Arial Narrow" w:hAnsi="Arial Narrow"/>
          <w:sz w:val="22"/>
          <w:szCs w:val="22"/>
        </w:rPr>
        <w:t xml:space="preserve"> – Všeobecná pokladničná správa</w:t>
      </w:r>
    </w:p>
    <w:p w:rsidR="00055944" w:rsidRPr="00C65CAA" w:rsidRDefault="00055944" w:rsidP="00055944">
      <w:pPr>
        <w:rPr>
          <w:rFonts w:ascii="Arial Narrow" w:hAnsi="Arial Narrow"/>
          <w:sz w:val="22"/>
          <w:szCs w:val="22"/>
        </w:rPr>
      </w:pPr>
      <w:r w:rsidRPr="00C65CAA">
        <w:rPr>
          <w:rFonts w:ascii="Arial Narrow" w:hAnsi="Arial Narrow"/>
          <w:b/>
          <w:bCs/>
          <w:sz w:val="22"/>
          <w:szCs w:val="22"/>
        </w:rPr>
        <w:t>VÚC</w:t>
      </w:r>
      <w:r w:rsidRPr="00C65CAA">
        <w:rPr>
          <w:rFonts w:ascii="Arial Narrow" w:hAnsi="Arial Narrow"/>
          <w:sz w:val="22"/>
          <w:szCs w:val="22"/>
        </w:rPr>
        <w:t xml:space="preserve"> – vyšší územný celok</w:t>
      </w:r>
    </w:p>
    <w:p w:rsidR="00055944" w:rsidRPr="00C65CAA" w:rsidRDefault="00055944" w:rsidP="00055944">
      <w:pPr>
        <w:rPr>
          <w:rFonts w:ascii="Arial Narrow" w:hAnsi="Arial Narrow"/>
          <w:sz w:val="22"/>
          <w:szCs w:val="22"/>
        </w:rPr>
      </w:pPr>
      <w:r w:rsidRPr="00C65CAA">
        <w:rPr>
          <w:rFonts w:ascii="Arial Narrow" w:hAnsi="Arial Narrow"/>
          <w:b/>
          <w:sz w:val="22"/>
          <w:szCs w:val="22"/>
        </w:rPr>
        <w:t xml:space="preserve">V-4 </w:t>
      </w:r>
      <w:r w:rsidRPr="00C65CAA">
        <w:rPr>
          <w:rFonts w:ascii="Arial Narrow" w:hAnsi="Arial Narrow"/>
          <w:sz w:val="22"/>
          <w:szCs w:val="22"/>
        </w:rPr>
        <w:t>– spoločenstvo stredoeurópskych krajín Česka, Maďarska, Poľska a Slovenska</w:t>
      </w:r>
    </w:p>
    <w:p w:rsidR="00055944" w:rsidRPr="00C65CAA" w:rsidRDefault="00055944" w:rsidP="003A76DC">
      <w:pPr>
        <w:rPr>
          <w:rFonts w:ascii="Arial Narrow" w:hAnsi="Arial Narrow"/>
          <w:sz w:val="22"/>
          <w:szCs w:val="22"/>
        </w:rPr>
      </w:pPr>
      <w:r w:rsidRPr="00C65CAA">
        <w:rPr>
          <w:rFonts w:ascii="Arial Narrow" w:hAnsi="Arial Narrow"/>
          <w:b/>
          <w:bCs/>
          <w:sz w:val="22"/>
          <w:szCs w:val="22"/>
        </w:rPr>
        <w:t xml:space="preserve">zákon o NKÚ SR – </w:t>
      </w:r>
      <w:r w:rsidRPr="00C65CAA">
        <w:rPr>
          <w:rFonts w:ascii="Arial Narrow" w:hAnsi="Arial Narrow"/>
          <w:sz w:val="22"/>
          <w:szCs w:val="22"/>
        </w:rPr>
        <w:t>zákon č. 39/1993 Z. z. o Najvyššom kontrolnom úrade Slovenskej republiky v znení neskorších predpisov</w:t>
      </w:r>
    </w:p>
    <w:p w:rsidR="00055944" w:rsidRPr="00C65CAA" w:rsidRDefault="00055944" w:rsidP="003A76DC">
      <w:pPr>
        <w:rPr>
          <w:rFonts w:ascii="Arial Narrow" w:hAnsi="Arial Narrow"/>
          <w:b/>
          <w:bCs/>
          <w:sz w:val="22"/>
          <w:szCs w:val="22"/>
        </w:rPr>
      </w:pPr>
      <w:r w:rsidRPr="00C65CAA">
        <w:rPr>
          <w:rFonts w:ascii="Arial Narrow" w:hAnsi="Arial Narrow"/>
          <w:b/>
          <w:bCs/>
          <w:sz w:val="22"/>
          <w:szCs w:val="22"/>
        </w:rPr>
        <w:t xml:space="preserve">zákon o rozpočtových pravidlách verejnej správy – </w:t>
      </w:r>
      <w:r w:rsidRPr="00C65CAA">
        <w:rPr>
          <w:rFonts w:ascii="Arial Narrow" w:hAnsi="Arial Narrow"/>
          <w:sz w:val="22"/>
          <w:szCs w:val="22"/>
        </w:rPr>
        <w:t>zákon č. 523/2004 Z. z. o rozpočtových pravidlách verejnej správy v znení neskorších predpisov</w:t>
      </w:r>
    </w:p>
    <w:p w:rsidR="00055944" w:rsidRPr="00C65CAA" w:rsidRDefault="00055944" w:rsidP="003A76DC">
      <w:pPr>
        <w:rPr>
          <w:rFonts w:ascii="Arial Narrow" w:hAnsi="Arial Narrow"/>
          <w:sz w:val="22"/>
          <w:szCs w:val="22"/>
        </w:rPr>
      </w:pPr>
      <w:r w:rsidRPr="00C65CAA">
        <w:rPr>
          <w:rFonts w:ascii="Arial Narrow" w:hAnsi="Arial Narrow"/>
          <w:b/>
          <w:bCs/>
          <w:sz w:val="22"/>
          <w:szCs w:val="22"/>
        </w:rPr>
        <w:t xml:space="preserve">zákon o rozpočtových pravidlách územnej samosprávy – </w:t>
      </w:r>
      <w:r w:rsidRPr="00C65CAA">
        <w:rPr>
          <w:rFonts w:ascii="Arial Narrow" w:hAnsi="Arial Narrow"/>
          <w:sz w:val="22"/>
          <w:szCs w:val="22"/>
        </w:rPr>
        <w:t>zákon č. 583/2004 Z. z. o rozpočtových pravidlách územnej samosprávy v znení neskorších predpisov</w:t>
      </w:r>
    </w:p>
    <w:p w:rsidR="00055944" w:rsidRPr="00C65CAA" w:rsidRDefault="00055944" w:rsidP="003A76DC">
      <w:pPr>
        <w:rPr>
          <w:rFonts w:ascii="Arial Narrow" w:hAnsi="Arial Narrow"/>
          <w:sz w:val="22"/>
          <w:szCs w:val="22"/>
        </w:rPr>
      </w:pPr>
      <w:r w:rsidRPr="00C65CAA">
        <w:rPr>
          <w:rFonts w:ascii="Arial Narrow" w:hAnsi="Arial Narrow"/>
          <w:b/>
          <w:bCs/>
          <w:sz w:val="22"/>
          <w:szCs w:val="22"/>
        </w:rPr>
        <w:t xml:space="preserve">zákon o rozpočtovej zodpovednosti – </w:t>
      </w:r>
      <w:r w:rsidRPr="00C65CAA">
        <w:rPr>
          <w:rFonts w:ascii="Arial Narrow" w:hAnsi="Arial Narrow"/>
          <w:bCs/>
          <w:sz w:val="22"/>
          <w:szCs w:val="22"/>
        </w:rPr>
        <w:t>Ústavný</w:t>
      </w:r>
      <w:r w:rsidRPr="00C65CAA">
        <w:rPr>
          <w:rFonts w:ascii="Arial Narrow" w:hAnsi="Arial Narrow"/>
          <w:b/>
          <w:bCs/>
          <w:sz w:val="22"/>
          <w:szCs w:val="22"/>
        </w:rPr>
        <w:t xml:space="preserve"> </w:t>
      </w:r>
      <w:r w:rsidRPr="00C65CAA">
        <w:rPr>
          <w:rFonts w:ascii="Arial Narrow" w:hAnsi="Arial Narrow"/>
          <w:sz w:val="22"/>
          <w:szCs w:val="22"/>
        </w:rPr>
        <w:t>zákon č. 493/2011 Z. z. o rozpočtovej zodpovednosti</w:t>
      </w:r>
    </w:p>
    <w:p w:rsidR="00055944" w:rsidRPr="00C65CAA" w:rsidRDefault="00055944" w:rsidP="003A76DC">
      <w:pPr>
        <w:rPr>
          <w:rFonts w:ascii="Arial Narrow" w:hAnsi="Arial Narrow"/>
          <w:sz w:val="22"/>
          <w:szCs w:val="22"/>
        </w:rPr>
      </w:pPr>
      <w:r w:rsidRPr="00C65CAA">
        <w:rPr>
          <w:rFonts w:ascii="Arial Narrow" w:hAnsi="Arial Narrow"/>
          <w:b/>
          <w:sz w:val="22"/>
          <w:szCs w:val="22"/>
        </w:rPr>
        <w:t>ZSSK</w:t>
      </w:r>
      <w:r w:rsidRPr="00C65CAA">
        <w:rPr>
          <w:rFonts w:ascii="Arial Narrow" w:hAnsi="Arial Narrow"/>
          <w:sz w:val="22"/>
          <w:szCs w:val="22"/>
        </w:rPr>
        <w:t xml:space="preserve"> – Železničná spoločnosť Slovensko, a. s.</w:t>
      </w:r>
    </w:p>
    <w:p w:rsidR="00055944" w:rsidRPr="00C65CAA" w:rsidRDefault="00055944" w:rsidP="003A76DC">
      <w:pPr>
        <w:rPr>
          <w:rFonts w:ascii="Arial Narrow" w:hAnsi="Arial Narrow"/>
          <w:sz w:val="22"/>
          <w:szCs w:val="22"/>
        </w:rPr>
      </w:pPr>
      <w:r w:rsidRPr="00C65CAA">
        <w:rPr>
          <w:rFonts w:ascii="Arial Narrow" w:hAnsi="Arial Narrow"/>
          <w:b/>
          <w:sz w:val="22"/>
          <w:szCs w:val="22"/>
        </w:rPr>
        <w:t>ŽSR</w:t>
      </w:r>
      <w:r w:rsidRPr="00C65CAA">
        <w:rPr>
          <w:rFonts w:ascii="Arial Narrow" w:hAnsi="Arial Narrow"/>
          <w:sz w:val="22"/>
          <w:szCs w:val="22"/>
        </w:rPr>
        <w:t xml:space="preserve"> – Železnice Slovenskej republiky</w:t>
      </w:r>
    </w:p>
    <w:p w:rsidR="00D23611" w:rsidRPr="00C65CAA" w:rsidRDefault="00D23611" w:rsidP="003A76DC">
      <w:pPr>
        <w:spacing w:before="100" w:after="100"/>
        <w:rPr>
          <w:rFonts w:ascii="Arial Narrow" w:hAnsi="Arial Narrow"/>
          <w:bCs/>
          <w:sz w:val="22"/>
          <w:szCs w:val="22"/>
        </w:rPr>
      </w:pPr>
    </w:p>
    <w:p w:rsidR="00D23611" w:rsidRPr="00C65CAA" w:rsidRDefault="00D23611" w:rsidP="00256AF8">
      <w:pPr>
        <w:spacing w:before="100" w:after="100"/>
        <w:rPr>
          <w:rFonts w:ascii="Arial Narrow" w:hAnsi="Arial Narrow"/>
          <w:sz w:val="22"/>
          <w:szCs w:val="22"/>
        </w:rPr>
      </w:pPr>
      <w:r w:rsidRPr="00C65CAA">
        <w:rPr>
          <w:rFonts w:ascii="Arial Narrow" w:hAnsi="Arial Narrow"/>
          <w:sz w:val="22"/>
          <w:szCs w:val="22"/>
        </w:rPr>
        <w:br w:type="page"/>
      </w:r>
    </w:p>
    <w:sdt>
      <w:sdtPr>
        <w:rPr>
          <w:rFonts w:ascii="Arial Narrow" w:eastAsia="Times New Roman" w:hAnsi="Arial Narrow" w:cs="Times New Roman"/>
          <w:b w:val="0"/>
          <w:bCs w:val="0"/>
          <w:color w:val="auto"/>
          <w:sz w:val="24"/>
          <w:szCs w:val="24"/>
          <w:lang w:eastAsia="sk-SK"/>
        </w:rPr>
        <w:id w:val="179789075"/>
        <w:docPartObj>
          <w:docPartGallery w:val="Table of Contents"/>
          <w:docPartUnique/>
        </w:docPartObj>
      </w:sdtPr>
      <w:sdtEndPr>
        <w:rPr>
          <w:sz w:val="22"/>
          <w:szCs w:val="22"/>
        </w:rPr>
      </w:sdtEndPr>
      <w:sdtContent>
        <w:p w:rsidR="00D23611" w:rsidRPr="00C65CAA" w:rsidRDefault="00D23611" w:rsidP="00256AF8">
          <w:pPr>
            <w:pStyle w:val="Hlavikaobsahu"/>
            <w:spacing w:before="100" w:after="100" w:line="240" w:lineRule="auto"/>
            <w:rPr>
              <w:rFonts w:ascii="Arial Narrow" w:hAnsi="Arial Narrow"/>
              <w:sz w:val="24"/>
              <w:szCs w:val="24"/>
            </w:rPr>
          </w:pPr>
          <w:r w:rsidRPr="00C65CAA">
            <w:rPr>
              <w:rFonts w:ascii="Arial Narrow" w:hAnsi="Arial Narrow"/>
              <w:sz w:val="24"/>
              <w:szCs w:val="24"/>
            </w:rPr>
            <w:t>Obsah</w:t>
          </w:r>
        </w:p>
        <w:p w:rsidR="003306A1" w:rsidRPr="003306A1" w:rsidRDefault="00D060A3">
          <w:pPr>
            <w:pStyle w:val="Obsah1"/>
            <w:tabs>
              <w:tab w:val="right" w:pos="9063"/>
            </w:tabs>
            <w:rPr>
              <w:rFonts w:ascii="Arial Narrow" w:eastAsiaTheme="minorEastAsia" w:hAnsi="Arial Narrow" w:cstheme="minorBidi"/>
              <w:b w:val="0"/>
              <w:bCs w:val="0"/>
              <w:noProof/>
              <w:sz w:val="22"/>
              <w:szCs w:val="22"/>
            </w:rPr>
          </w:pPr>
          <w:r w:rsidRPr="00C65CAA">
            <w:rPr>
              <w:rFonts w:ascii="Arial Narrow" w:hAnsi="Arial Narrow"/>
              <w:b w:val="0"/>
              <w:bCs w:val="0"/>
              <w:caps/>
              <w:sz w:val="22"/>
              <w:szCs w:val="22"/>
            </w:rPr>
            <w:fldChar w:fldCharType="begin"/>
          </w:r>
          <w:r w:rsidR="00D23611" w:rsidRPr="00C65CAA">
            <w:rPr>
              <w:rFonts w:ascii="Arial Narrow" w:hAnsi="Arial Narrow"/>
              <w:b w:val="0"/>
              <w:bCs w:val="0"/>
              <w:caps/>
              <w:sz w:val="22"/>
              <w:szCs w:val="22"/>
            </w:rPr>
            <w:instrText xml:space="preserve"> TOC \o "1-3" \h \z \u </w:instrText>
          </w:r>
          <w:r w:rsidRPr="00C65CAA">
            <w:rPr>
              <w:rFonts w:ascii="Arial Narrow" w:hAnsi="Arial Narrow"/>
              <w:b w:val="0"/>
              <w:bCs w:val="0"/>
              <w:caps/>
              <w:sz w:val="22"/>
              <w:szCs w:val="22"/>
            </w:rPr>
            <w:fldChar w:fldCharType="separate"/>
          </w:r>
          <w:hyperlink w:anchor="_Toc529507586" w:history="1">
            <w:r w:rsidR="003306A1" w:rsidRPr="003306A1">
              <w:rPr>
                <w:rStyle w:val="Hypertextovprepojenie"/>
                <w:rFonts w:ascii="Arial Narrow" w:hAnsi="Arial Narrow"/>
                <w:noProof/>
                <w:sz w:val="22"/>
                <w:szCs w:val="22"/>
              </w:rPr>
              <w:t>Stanovisko NKÚ SR k návrhu štátneho rozpočtu na rok 2019</w:t>
            </w:r>
            <w:r w:rsidR="003306A1" w:rsidRPr="003306A1">
              <w:rPr>
                <w:rFonts w:ascii="Arial Narrow" w:hAnsi="Arial Narrow"/>
                <w:noProof/>
                <w:webHidden/>
                <w:sz w:val="22"/>
                <w:szCs w:val="22"/>
              </w:rPr>
              <w:tab/>
            </w:r>
            <w:r w:rsidR="003306A1" w:rsidRPr="003306A1">
              <w:rPr>
                <w:rFonts w:ascii="Arial Narrow" w:hAnsi="Arial Narrow"/>
                <w:noProof/>
                <w:webHidden/>
                <w:sz w:val="22"/>
                <w:szCs w:val="22"/>
              </w:rPr>
              <w:fldChar w:fldCharType="begin"/>
            </w:r>
            <w:r w:rsidR="003306A1" w:rsidRPr="003306A1">
              <w:rPr>
                <w:rFonts w:ascii="Arial Narrow" w:hAnsi="Arial Narrow"/>
                <w:noProof/>
                <w:webHidden/>
                <w:sz w:val="22"/>
                <w:szCs w:val="22"/>
              </w:rPr>
              <w:instrText xml:space="preserve"> PAGEREF _Toc529507586 \h </w:instrText>
            </w:r>
            <w:r w:rsidR="003306A1" w:rsidRPr="003306A1">
              <w:rPr>
                <w:rFonts w:ascii="Arial Narrow" w:hAnsi="Arial Narrow"/>
                <w:noProof/>
                <w:webHidden/>
                <w:sz w:val="22"/>
                <w:szCs w:val="22"/>
              </w:rPr>
            </w:r>
            <w:r w:rsidR="003306A1" w:rsidRPr="003306A1">
              <w:rPr>
                <w:rFonts w:ascii="Arial Narrow" w:hAnsi="Arial Narrow"/>
                <w:noProof/>
                <w:webHidden/>
                <w:sz w:val="22"/>
                <w:szCs w:val="22"/>
              </w:rPr>
              <w:fldChar w:fldCharType="separate"/>
            </w:r>
            <w:r w:rsidR="003306A1" w:rsidRPr="003306A1">
              <w:rPr>
                <w:rFonts w:ascii="Arial Narrow" w:hAnsi="Arial Narrow"/>
                <w:noProof/>
                <w:webHidden/>
                <w:sz w:val="22"/>
                <w:szCs w:val="22"/>
              </w:rPr>
              <w:t>3</w:t>
            </w:r>
            <w:r w:rsidR="003306A1" w:rsidRPr="003306A1">
              <w:rPr>
                <w:rFonts w:ascii="Arial Narrow" w:hAnsi="Arial Narrow"/>
                <w:noProof/>
                <w:webHidden/>
                <w:sz w:val="22"/>
                <w:szCs w:val="22"/>
              </w:rPr>
              <w:fldChar w:fldCharType="end"/>
            </w:r>
          </w:hyperlink>
        </w:p>
        <w:p w:rsidR="003306A1" w:rsidRPr="003306A1" w:rsidRDefault="00346DD2">
          <w:pPr>
            <w:pStyle w:val="Obsah1"/>
            <w:tabs>
              <w:tab w:val="left" w:pos="480"/>
              <w:tab w:val="right" w:pos="9063"/>
            </w:tabs>
            <w:rPr>
              <w:rFonts w:ascii="Arial Narrow" w:eastAsiaTheme="minorEastAsia" w:hAnsi="Arial Narrow" w:cstheme="minorBidi"/>
              <w:b w:val="0"/>
              <w:bCs w:val="0"/>
              <w:noProof/>
              <w:sz w:val="22"/>
              <w:szCs w:val="22"/>
            </w:rPr>
          </w:pPr>
          <w:hyperlink w:anchor="_Toc529507587" w:history="1">
            <w:r w:rsidR="003306A1" w:rsidRPr="003306A1">
              <w:rPr>
                <w:rStyle w:val="Hypertextovprepojenie"/>
                <w:rFonts w:ascii="Arial Narrow" w:hAnsi="Arial Narrow"/>
                <w:noProof/>
                <w:sz w:val="22"/>
                <w:szCs w:val="22"/>
              </w:rPr>
              <w:t>1</w:t>
            </w:r>
            <w:r w:rsidR="003306A1" w:rsidRPr="003306A1">
              <w:rPr>
                <w:rFonts w:ascii="Arial Narrow" w:eastAsiaTheme="minorEastAsia" w:hAnsi="Arial Narrow" w:cstheme="minorBidi"/>
                <w:b w:val="0"/>
                <w:bCs w:val="0"/>
                <w:noProof/>
                <w:sz w:val="22"/>
                <w:szCs w:val="22"/>
              </w:rPr>
              <w:tab/>
            </w:r>
            <w:r w:rsidR="003306A1" w:rsidRPr="003306A1">
              <w:rPr>
                <w:rStyle w:val="Hypertextovprepojenie"/>
                <w:rFonts w:ascii="Arial Narrow" w:hAnsi="Arial Narrow"/>
                <w:noProof/>
                <w:sz w:val="22"/>
                <w:szCs w:val="22"/>
              </w:rPr>
              <w:t>Stanovisko k makroekonomickým rámcom a k prognóze vybraných ukazovateľov ekonomiky v návrhu RVS na roky 2019 až 2021</w:t>
            </w:r>
            <w:r w:rsidR="003306A1" w:rsidRPr="003306A1">
              <w:rPr>
                <w:rFonts w:ascii="Arial Narrow" w:hAnsi="Arial Narrow"/>
                <w:noProof/>
                <w:webHidden/>
                <w:sz w:val="22"/>
                <w:szCs w:val="22"/>
              </w:rPr>
              <w:tab/>
            </w:r>
            <w:r w:rsidR="003306A1" w:rsidRPr="003306A1">
              <w:rPr>
                <w:rFonts w:ascii="Arial Narrow" w:hAnsi="Arial Narrow"/>
                <w:noProof/>
                <w:webHidden/>
                <w:sz w:val="22"/>
                <w:szCs w:val="22"/>
              </w:rPr>
              <w:fldChar w:fldCharType="begin"/>
            </w:r>
            <w:r w:rsidR="003306A1" w:rsidRPr="003306A1">
              <w:rPr>
                <w:rFonts w:ascii="Arial Narrow" w:hAnsi="Arial Narrow"/>
                <w:noProof/>
                <w:webHidden/>
                <w:sz w:val="22"/>
                <w:szCs w:val="22"/>
              </w:rPr>
              <w:instrText xml:space="preserve"> PAGEREF _Toc529507587 \h </w:instrText>
            </w:r>
            <w:r w:rsidR="003306A1" w:rsidRPr="003306A1">
              <w:rPr>
                <w:rFonts w:ascii="Arial Narrow" w:hAnsi="Arial Narrow"/>
                <w:noProof/>
                <w:webHidden/>
                <w:sz w:val="22"/>
                <w:szCs w:val="22"/>
              </w:rPr>
            </w:r>
            <w:r w:rsidR="003306A1" w:rsidRPr="003306A1">
              <w:rPr>
                <w:rFonts w:ascii="Arial Narrow" w:hAnsi="Arial Narrow"/>
                <w:noProof/>
                <w:webHidden/>
                <w:sz w:val="22"/>
                <w:szCs w:val="22"/>
              </w:rPr>
              <w:fldChar w:fldCharType="separate"/>
            </w:r>
            <w:r w:rsidR="003306A1" w:rsidRPr="003306A1">
              <w:rPr>
                <w:rFonts w:ascii="Arial Narrow" w:hAnsi="Arial Narrow"/>
                <w:noProof/>
                <w:webHidden/>
                <w:sz w:val="22"/>
                <w:szCs w:val="22"/>
              </w:rPr>
              <w:t>6</w:t>
            </w:r>
            <w:r w:rsidR="003306A1" w:rsidRPr="003306A1">
              <w:rPr>
                <w:rFonts w:ascii="Arial Narrow" w:hAnsi="Arial Narrow"/>
                <w:noProof/>
                <w:webHidden/>
                <w:sz w:val="22"/>
                <w:szCs w:val="22"/>
              </w:rPr>
              <w:fldChar w:fldCharType="end"/>
            </w:r>
          </w:hyperlink>
        </w:p>
        <w:p w:rsidR="003306A1" w:rsidRPr="003306A1" w:rsidRDefault="00346DD2">
          <w:pPr>
            <w:pStyle w:val="Obsah1"/>
            <w:tabs>
              <w:tab w:val="left" w:pos="480"/>
              <w:tab w:val="right" w:pos="9063"/>
            </w:tabs>
            <w:rPr>
              <w:rFonts w:ascii="Arial Narrow" w:eastAsiaTheme="minorEastAsia" w:hAnsi="Arial Narrow" w:cstheme="minorBidi"/>
              <w:b w:val="0"/>
              <w:bCs w:val="0"/>
              <w:noProof/>
              <w:sz w:val="22"/>
              <w:szCs w:val="22"/>
            </w:rPr>
          </w:pPr>
          <w:hyperlink w:anchor="_Toc529507588" w:history="1">
            <w:r w:rsidR="003306A1" w:rsidRPr="003306A1">
              <w:rPr>
                <w:rStyle w:val="Hypertextovprepojenie"/>
                <w:rFonts w:ascii="Arial Narrow" w:hAnsi="Arial Narrow"/>
                <w:noProof/>
                <w:sz w:val="22"/>
                <w:szCs w:val="22"/>
              </w:rPr>
              <w:t>2</w:t>
            </w:r>
            <w:r w:rsidR="003306A1" w:rsidRPr="003306A1">
              <w:rPr>
                <w:rFonts w:ascii="Arial Narrow" w:eastAsiaTheme="minorEastAsia" w:hAnsi="Arial Narrow" w:cstheme="minorBidi"/>
                <w:b w:val="0"/>
                <w:bCs w:val="0"/>
                <w:noProof/>
                <w:sz w:val="22"/>
                <w:szCs w:val="22"/>
              </w:rPr>
              <w:tab/>
            </w:r>
            <w:r w:rsidR="003306A1" w:rsidRPr="003306A1">
              <w:rPr>
                <w:rStyle w:val="Hypertextovprepojenie"/>
                <w:rFonts w:ascii="Arial Narrow" w:hAnsi="Arial Narrow"/>
                <w:noProof/>
                <w:sz w:val="22"/>
                <w:szCs w:val="22"/>
              </w:rPr>
              <w:t>Stanovisko k východiskovému rámcu RVS na roky 2019 až 2021</w:t>
            </w:r>
            <w:r w:rsidR="003306A1" w:rsidRPr="003306A1">
              <w:rPr>
                <w:rFonts w:ascii="Arial Narrow" w:hAnsi="Arial Narrow"/>
                <w:noProof/>
                <w:webHidden/>
                <w:sz w:val="22"/>
                <w:szCs w:val="22"/>
              </w:rPr>
              <w:tab/>
            </w:r>
            <w:r w:rsidR="003306A1" w:rsidRPr="003306A1">
              <w:rPr>
                <w:rFonts w:ascii="Arial Narrow" w:hAnsi="Arial Narrow"/>
                <w:noProof/>
                <w:webHidden/>
                <w:sz w:val="22"/>
                <w:szCs w:val="22"/>
              </w:rPr>
              <w:fldChar w:fldCharType="begin"/>
            </w:r>
            <w:r w:rsidR="003306A1" w:rsidRPr="003306A1">
              <w:rPr>
                <w:rFonts w:ascii="Arial Narrow" w:hAnsi="Arial Narrow"/>
                <w:noProof/>
                <w:webHidden/>
                <w:sz w:val="22"/>
                <w:szCs w:val="22"/>
              </w:rPr>
              <w:instrText xml:space="preserve"> PAGEREF _Toc529507588 \h </w:instrText>
            </w:r>
            <w:r w:rsidR="003306A1" w:rsidRPr="003306A1">
              <w:rPr>
                <w:rFonts w:ascii="Arial Narrow" w:hAnsi="Arial Narrow"/>
                <w:noProof/>
                <w:webHidden/>
                <w:sz w:val="22"/>
                <w:szCs w:val="22"/>
              </w:rPr>
            </w:r>
            <w:r w:rsidR="003306A1" w:rsidRPr="003306A1">
              <w:rPr>
                <w:rFonts w:ascii="Arial Narrow" w:hAnsi="Arial Narrow"/>
                <w:noProof/>
                <w:webHidden/>
                <w:sz w:val="22"/>
                <w:szCs w:val="22"/>
              </w:rPr>
              <w:fldChar w:fldCharType="separate"/>
            </w:r>
            <w:r w:rsidR="003306A1" w:rsidRPr="003306A1">
              <w:rPr>
                <w:rFonts w:ascii="Arial Narrow" w:hAnsi="Arial Narrow"/>
                <w:noProof/>
                <w:webHidden/>
                <w:sz w:val="22"/>
                <w:szCs w:val="22"/>
              </w:rPr>
              <w:t>7</w:t>
            </w:r>
            <w:r w:rsidR="003306A1" w:rsidRPr="003306A1">
              <w:rPr>
                <w:rFonts w:ascii="Arial Narrow" w:hAnsi="Arial Narrow"/>
                <w:noProof/>
                <w:webHidden/>
                <w:sz w:val="22"/>
                <w:szCs w:val="22"/>
              </w:rPr>
              <w:fldChar w:fldCharType="end"/>
            </w:r>
          </w:hyperlink>
        </w:p>
        <w:p w:rsidR="003306A1" w:rsidRPr="003306A1" w:rsidRDefault="00346DD2">
          <w:pPr>
            <w:pStyle w:val="Obsah2"/>
            <w:tabs>
              <w:tab w:val="left" w:pos="720"/>
              <w:tab w:val="right" w:pos="9063"/>
            </w:tabs>
            <w:rPr>
              <w:rFonts w:ascii="Arial Narrow" w:eastAsiaTheme="minorEastAsia" w:hAnsi="Arial Narrow" w:cstheme="minorBidi"/>
              <w:i w:val="0"/>
              <w:iCs w:val="0"/>
              <w:noProof/>
              <w:sz w:val="22"/>
              <w:szCs w:val="22"/>
            </w:rPr>
          </w:pPr>
          <w:hyperlink w:anchor="_Toc529507589" w:history="1">
            <w:r w:rsidR="003306A1" w:rsidRPr="003306A1">
              <w:rPr>
                <w:rStyle w:val="Hypertextovprepojenie"/>
                <w:rFonts w:ascii="Arial Narrow" w:hAnsi="Arial Narrow"/>
                <w:i w:val="0"/>
                <w:noProof/>
                <w:sz w:val="22"/>
                <w:szCs w:val="22"/>
              </w:rPr>
              <w:t>2.1</w:t>
            </w:r>
            <w:r w:rsidR="003306A1" w:rsidRPr="003306A1">
              <w:rPr>
                <w:rFonts w:ascii="Arial Narrow" w:eastAsiaTheme="minorEastAsia" w:hAnsi="Arial Narrow" w:cstheme="minorBidi"/>
                <w:i w:val="0"/>
                <w:iCs w:val="0"/>
                <w:noProof/>
                <w:sz w:val="22"/>
                <w:szCs w:val="22"/>
              </w:rPr>
              <w:tab/>
            </w:r>
            <w:r w:rsidR="003306A1" w:rsidRPr="003306A1">
              <w:rPr>
                <w:rStyle w:val="Hypertextovprepojenie"/>
                <w:rFonts w:ascii="Arial Narrow" w:hAnsi="Arial Narrow"/>
                <w:i w:val="0"/>
                <w:noProof/>
                <w:sz w:val="22"/>
                <w:szCs w:val="22"/>
              </w:rPr>
              <w:t>Stanovisko k rozpočtovaniu príjmov návrhu RVS na rok 2019</w:t>
            </w:r>
            <w:r w:rsidR="003306A1" w:rsidRPr="003306A1">
              <w:rPr>
                <w:rFonts w:ascii="Arial Narrow" w:hAnsi="Arial Narrow"/>
                <w:i w:val="0"/>
                <w:noProof/>
                <w:webHidden/>
                <w:sz w:val="22"/>
                <w:szCs w:val="22"/>
              </w:rPr>
              <w:tab/>
            </w:r>
            <w:r w:rsidR="003306A1" w:rsidRPr="003306A1">
              <w:rPr>
                <w:rFonts w:ascii="Arial Narrow" w:hAnsi="Arial Narrow"/>
                <w:i w:val="0"/>
                <w:noProof/>
                <w:webHidden/>
                <w:sz w:val="22"/>
                <w:szCs w:val="22"/>
              </w:rPr>
              <w:fldChar w:fldCharType="begin"/>
            </w:r>
            <w:r w:rsidR="003306A1" w:rsidRPr="003306A1">
              <w:rPr>
                <w:rFonts w:ascii="Arial Narrow" w:hAnsi="Arial Narrow"/>
                <w:i w:val="0"/>
                <w:noProof/>
                <w:webHidden/>
                <w:sz w:val="22"/>
                <w:szCs w:val="22"/>
              </w:rPr>
              <w:instrText xml:space="preserve"> PAGEREF _Toc529507589 \h </w:instrText>
            </w:r>
            <w:r w:rsidR="003306A1" w:rsidRPr="003306A1">
              <w:rPr>
                <w:rFonts w:ascii="Arial Narrow" w:hAnsi="Arial Narrow"/>
                <w:i w:val="0"/>
                <w:noProof/>
                <w:webHidden/>
                <w:sz w:val="22"/>
                <w:szCs w:val="22"/>
              </w:rPr>
            </w:r>
            <w:r w:rsidR="003306A1" w:rsidRPr="003306A1">
              <w:rPr>
                <w:rFonts w:ascii="Arial Narrow" w:hAnsi="Arial Narrow"/>
                <w:i w:val="0"/>
                <w:noProof/>
                <w:webHidden/>
                <w:sz w:val="22"/>
                <w:szCs w:val="22"/>
              </w:rPr>
              <w:fldChar w:fldCharType="separate"/>
            </w:r>
            <w:r w:rsidR="003306A1" w:rsidRPr="003306A1">
              <w:rPr>
                <w:rFonts w:ascii="Arial Narrow" w:hAnsi="Arial Narrow"/>
                <w:i w:val="0"/>
                <w:noProof/>
                <w:webHidden/>
                <w:sz w:val="22"/>
                <w:szCs w:val="22"/>
              </w:rPr>
              <w:t>8</w:t>
            </w:r>
            <w:r w:rsidR="003306A1" w:rsidRPr="003306A1">
              <w:rPr>
                <w:rFonts w:ascii="Arial Narrow" w:hAnsi="Arial Narrow"/>
                <w:i w:val="0"/>
                <w:noProof/>
                <w:webHidden/>
                <w:sz w:val="22"/>
                <w:szCs w:val="22"/>
              </w:rPr>
              <w:fldChar w:fldCharType="end"/>
            </w:r>
          </w:hyperlink>
        </w:p>
        <w:p w:rsidR="003306A1" w:rsidRPr="003306A1" w:rsidRDefault="00346DD2">
          <w:pPr>
            <w:pStyle w:val="Obsah2"/>
            <w:tabs>
              <w:tab w:val="left" w:pos="720"/>
              <w:tab w:val="right" w:pos="9063"/>
            </w:tabs>
            <w:rPr>
              <w:rFonts w:ascii="Arial Narrow" w:eastAsiaTheme="minorEastAsia" w:hAnsi="Arial Narrow" w:cstheme="minorBidi"/>
              <w:i w:val="0"/>
              <w:iCs w:val="0"/>
              <w:noProof/>
              <w:sz w:val="22"/>
              <w:szCs w:val="22"/>
            </w:rPr>
          </w:pPr>
          <w:hyperlink w:anchor="_Toc529507590" w:history="1">
            <w:r w:rsidR="003306A1" w:rsidRPr="003306A1">
              <w:rPr>
                <w:rStyle w:val="Hypertextovprepojenie"/>
                <w:rFonts w:ascii="Arial Narrow" w:hAnsi="Arial Narrow"/>
                <w:i w:val="0"/>
                <w:noProof/>
                <w:sz w:val="22"/>
                <w:szCs w:val="22"/>
              </w:rPr>
              <w:t>2.2</w:t>
            </w:r>
            <w:r w:rsidR="003306A1" w:rsidRPr="003306A1">
              <w:rPr>
                <w:rFonts w:ascii="Arial Narrow" w:eastAsiaTheme="minorEastAsia" w:hAnsi="Arial Narrow" w:cstheme="minorBidi"/>
                <w:i w:val="0"/>
                <w:iCs w:val="0"/>
                <w:noProof/>
                <w:sz w:val="22"/>
                <w:szCs w:val="22"/>
              </w:rPr>
              <w:tab/>
            </w:r>
            <w:r w:rsidR="003306A1" w:rsidRPr="003306A1">
              <w:rPr>
                <w:rStyle w:val="Hypertextovprepojenie"/>
                <w:rFonts w:ascii="Arial Narrow" w:hAnsi="Arial Narrow"/>
                <w:i w:val="0"/>
                <w:noProof/>
                <w:sz w:val="22"/>
                <w:szCs w:val="22"/>
              </w:rPr>
              <w:t>Stanovisko k fiškálnemu rámcu návrhu RVS na rok 2019</w:t>
            </w:r>
            <w:r w:rsidR="003306A1" w:rsidRPr="003306A1">
              <w:rPr>
                <w:rFonts w:ascii="Arial Narrow" w:hAnsi="Arial Narrow"/>
                <w:i w:val="0"/>
                <w:noProof/>
                <w:webHidden/>
                <w:sz w:val="22"/>
                <w:szCs w:val="22"/>
              </w:rPr>
              <w:tab/>
            </w:r>
            <w:r w:rsidR="003306A1" w:rsidRPr="003306A1">
              <w:rPr>
                <w:rFonts w:ascii="Arial Narrow" w:hAnsi="Arial Narrow"/>
                <w:i w:val="0"/>
                <w:noProof/>
                <w:webHidden/>
                <w:sz w:val="22"/>
                <w:szCs w:val="22"/>
              </w:rPr>
              <w:fldChar w:fldCharType="begin"/>
            </w:r>
            <w:r w:rsidR="003306A1" w:rsidRPr="003306A1">
              <w:rPr>
                <w:rFonts w:ascii="Arial Narrow" w:hAnsi="Arial Narrow"/>
                <w:i w:val="0"/>
                <w:noProof/>
                <w:webHidden/>
                <w:sz w:val="22"/>
                <w:szCs w:val="22"/>
              </w:rPr>
              <w:instrText xml:space="preserve"> PAGEREF _Toc529507590 \h </w:instrText>
            </w:r>
            <w:r w:rsidR="003306A1" w:rsidRPr="003306A1">
              <w:rPr>
                <w:rFonts w:ascii="Arial Narrow" w:hAnsi="Arial Narrow"/>
                <w:i w:val="0"/>
                <w:noProof/>
                <w:webHidden/>
                <w:sz w:val="22"/>
                <w:szCs w:val="22"/>
              </w:rPr>
            </w:r>
            <w:r w:rsidR="003306A1" w:rsidRPr="003306A1">
              <w:rPr>
                <w:rFonts w:ascii="Arial Narrow" w:hAnsi="Arial Narrow"/>
                <w:i w:val="0"/>
                <w:noProof/>
                <w:webHidden/>
                <w:sz w:val="22"/>
                <w:szCs w:val="22"/>
              </w:rPr>
              <w:fldChar w:fldCharType="separate"/>
            </w:r>
            <w:r w:rsidR="003306A1" w:rsidRPr="003306A1">
              <w:rPr>
                <w:rFonts w:ascii="Arial Narrow" w:hAnsi="Arial Narrow"/>
                <w:i w:val="0"/>
                <w:noProof/>
                <w:webHidden/>
                <w:sz w:val="22"/>
                <w:szCs w:val="22"/>
              </w:rPr>
              <w:t>11</w:t>
            </w:r>
            <w:r w:rsidR="003306A1" w:rsidRPr="003306A1">
              <w:rPr>
                <w:rFonts w:ascii="Arial Narrow" w:hAnsi="Arial Narrow"/>
                <w:i w:val="0"/>
                <w:noProof/>
                <w:webHidden/>
                <w:sz w:val="22"/>
                <w:szCs w:val="22"/>
              </w:rPr>
              <w:fldChar w:fldCharType="end"/>
            </w:r>
          </w:hyperlink>
        </w:p>
        <w:p w:rsidR="003306A1" w:rsidRPr="003306A1" w:rsidRDefault="00346DD2">
          <w:pPr>
            <w:pStyle w:val="Obsah2"/>
            <w:tabs>
              <w:tab w:val="left" w:pos="720"/>
              <w:tab w:val="right" w:pos="9063"/>
            </w:tabs>
            <w:rPr>
              <w:rFonts w:ascii="Arial Narrow" w:eastAsiaTheme="minorEastAsia" w:hAnsi="Arial Narrow" w:cstheme="minorBidi"/>
              <w:i w:val="0"/>
              <w:iCs w:val="0"/>
              <w:noProof/>
              <w:sz w:val="22"/>
              <w:szCs w:val="22"/>
            </w:rPr>
          </w:pPr>
          <w:hyperlink w:anchor="_Toc529507591" w:history="1">
            <w:r w:rsidR="003306A1" w:rsidRPr="003306A1">
              <w:rPr>
                <w:rStyle w:val="Hypertextovprepojenie"/>
                <w:rFonts w:ascii="Arial Narrow" w:hAnsi="Arial Narrow"/>
                <w:i w:val="0"/>
                <w:noProof/>
                <w:sz w:val="22"/>
                <w:szCs w:val="22"/>
              </w:rPr>
              <w:t>2.3</w:t>
            </w:r>
            <w:r w:rsidR="003306A1" w:rsidRPr="003306A1">
              <w:rPr>
                <w:rFonts w:ascii="Arial Narrow" w:eastAsiaTheme="minorEastAsia" w:hAnsi="Arial Narrow" w:cstheme="minorBidi"/>
                <w:i w:val="0"/>
                <w:iCs w:val="0"/>
                <w:noProof/>
                <w:sz w:val="22"/>
                <w:szCs w:val="22"/>
              </w:rPr>
              <w:tab/>
            </w:r>
            <w:r w:rsidR="003306A1" w:rsidRPr="003306A1">
              <w:rPr>
                <w:rStyle w:val="Hypertextovprepojenie"/>
                <w:rFonts w:ascii="Arial Narrow" w:eastAsiaTheme="minorHAnsi" w:hAnsi="Arial Narrow"/>
                <w:i w:val="0"/>
                <w:noProof/>
                <w:sz w:val="22"/>
                <w:szCs w:val="22"/>
                <w:lang w:eastAsia="en-US"/>
              </w:rPr>
              <w:t>Stanovisko k prognóze hrubého dlhu verejnej správy v návrhu RVS na rok 2019</w:t>
            </w:r>
            <w:r w:rsidR="003306A1" w:rsidRPr="003306A1">
              <w:rPr>
                <w:rFonts w:ascii="Arial Narrow" w:hAnsi="Arial Narrow"/>
                <w:i w:val="0"/>
                <w:noProof/>
                <w:webHidden/>
                <w:sz w:val="22"/>
                <w:szCs w:val="22"/>
              </w:rPr>
              <w:tab/>
            </w:r>
            <w:r w:rsidR="003306A1" w:rsidRPr="003306A1">
              <w:rPr>
                <w:rFonts w:ascii="Arial Narrow" w:hAnsi="Arial Narrow"/>
                <w:i w:val="0"/>
                <w:noProof/>
                <w:webHidden/>
                <w:sz w:val="22"/>
                <w:szCs w:val="22"/>
              </w:rPr>
              <w:fldChar w:fldCharType="begin"/>
            </w:r>
            <w:r w:rsidR="003306A1" w:rsidRPr="003306A1">
              <w:rPr>
                <w:rFonts w:ascii="Arial Narrow" w:hAnsi="Arial Narrow"/>
                <w:i w:val="0"/>
                <w:noProof/>
                <w:webHidden/>
                <w:sz w:val="22"/>
                <w:szCs w:val="22"/>
              </w:rPr>
              <w:instrText xml:space="preserve"> PAGEREF _Toc529507591 \h </w:instrText>
            </w:r>
            <w:r w:rsidR="003306A1" w:rsidRPr="003306A1">
              <w:rPr>
                <w:rFonts w:ascii="Arial Narrow" w:hAnsi="Arial Narrow"/>
                <w:i w:val="0"/>
                <w:noProof/>
                <w:webHidden/>
                <w:sz w:val="22"/>
                <w:szCs w:val="22"/>
              </w:rPr>
            </w:r>
            <w:r w:rsidR="003306A1" w:rsidRPr="003306A1">
              <w:rPr>
                <w:rFonts w:ascii="Arial Narrow" w:hAnsi="Arial Narrow"/>
                <w:i w:val="0"/>
                <w:noProof/>
                <w:webHidden/>
                <w:sz w:val="22"/>
                <w:szCs w:val="22"/>
              </w:rPr>
              <w:fldChar w:fldCharType="separate"/>
            </w:r>
            <w:r w:rsidR="003306A1" w:rsidRPr="003306A1">
              <w:rPr>
                <w:rFonts w:ascii="Arial Narrow" w:hAnsi="Arial Narrow"/>
                <w:i w:val="0"/>
                <w:noProof/>
                <w:webHidden/>
                <w:sz w:val="22"/>
                <w:szCs w:val="22"/>
              </w:rPr>
              <w:t>13</w:t>
            </w:r>
            <w:r w:rsidR="003306A1" w:rsidRPr="003306A1">
              <w:rPr>
                <w:rFonts w:ascii="Arial Narrow" w:hAnsi="Arial Narrow"/>
                <w:i w:val="0"/>
                <w:noProof/>
                <w:webHidden/>
                <w:sz w:val="22"/>
                <w:szCs w:val="22"/>
              </w:rPr>
              <w:fldChar w:fldCharType="end"/>
            </w:r>
          </w:hyperlink>
        </w:p>
        <w:p w:rsidR="003306A1" w:rsidRPr="003306A1" w:rsidRDefault="00346DD2">
          <w:pPr>
            <w:pStyle w:val="Obsah1"/>
            <w:tabs>
              <w:tab w:val="left" w:pos="480"/>
              <w:tab w:val="right" w:pos="9063"/>
            </w:tabs>
            <w:rPr>
              <w:rFonts w:ascii="Arial Narrow" w:eastAsiaTheme="minorEastAsia" w:hAnsi="Arial Narrow" w:cstheme="minorBidi"/>
              <w:b w:val="0"/>
              <w:bCs w:val="0"/>
              <w:noProof/>
              <w:sz w:val="22"/>
              <w:szCs w:val="22"/>
            </w:rPr>
          </w:pPr>
          <w:hyperlink w:anchor="_Toc529507592" w:history="1">
            <w:r w:rsidR="003306A1" w:rsidRPr="003306A1">
              <w:rPr>
                <w:rStyle w:val="Hypertextovprepojenie"/>
                <w:rFonts w:ascii="Arial Narrow" w:hAnsi="Arial Narrow"/>
                <w:noProof/>
                <w:sz w:val="22"/>
                <w:szCs w:val="22"/>
              </w:rPr>
              <w:t>3</w:t>
            </w:r>
            <w:r w:rsidR="003306A1" w:rsidRPr="003306A1">
              <w:rPr>
                <w:rFonts w:ascii="Arial Narrow" w:eastAsiaTheme="minorEastAsia" w:hAnsi="Arial Narrow" w:cstheme="minorBidi"/>
                <w:b w:val="0"/>
                <w:bCs w:val="0"/>
                <w:noProof/>
                <w:sz w:val="22"/>
                <w:szCs w:val="22"/>
              </w:rPr>
              <w:tab/>
            </w:r>
            <w:r w:rsidR="003306A1" w:rsidRPr="003306A1">
              <w:rPr>
                <w:rStyle w:val="Hypertextovprepojenie"/>
                <w:rFonts w:ascii="Arial Narrow" w:hAnsi="Arial Narrow"/>
                <w:noProof/>
                <w:sz w:val="22"/>
                <w:szCs w:val="22"/>
              </w:rPr>
              <w:t>Stanovisko NKÚ SR k návrhu ŠR na rok 2019</w:t>
            </w:r>
            <w:r w:rsidR="003306A1" w:rsidRPr="003306A1">
              <w:rPr>
                <w:rFonts w:ascii="Arial Narrow" w:hAnsi="Arial Narrow"/>
                <w:noProof/>
                <w:webHidden/>
                <w:sz w:val="22"/>
                <w:szCs w:val="22"/>
              </w:rPr>
              <w:tab/>
            </w:r>
            <w:r w:rsidR="003306A1" w:rsidRPr="003306A1">
              <w:rPr>
                <w:rFonts w:ascii="Arial Narrow" w:hAnsi="Arial Narrow"/>
                <w:noProof/>
                <w:webHidden/>
                <w:sz w:val="22"/>
                <w:szCs w:val="22"/>
              </w:rPr>
              <w:fldChar w:fldCharType="begin"/>
            </w:r>
            <w:r w:rsidR="003306A1" w:rsidRPr="003306A1">
              <w:rPr>
                <w:rFonts w:ascii="Arial Narrow" w:hAnsi="Arial Narrow"/>
                <w:noProof/>
                <w:webHidden/>
                <w:sz w:val="22"/>
                <w:szCs w:val="22"/>
              </w:rPr>
              <w:instrText xml:space="preserve"> PAGEREF _Toc529507592 \h </w:instrText>
            </w:r>
            <w:r w:rsidR="003306A1" w:rsidRPr="003306A1">
              <w:rPr>
                <w:rFonts w:ascii="Arial Narrow" w:hAnsi="Arial Narrow"/>
                <w:noProof/>
                <w:webHidden/>
                <w:sz w:val="22"/>
                <w:szCs w:val="22"/>
              </w:rPr>
            </w:r>
            <w:r w:rsidR="003306A1" w:rsidRPr="003306A1">
              <w:rPr>
                <w:rFonts w:ascii="Arial Narrow" w:hAnsi="Arial Narrow"/>
                <w:noProof/>
                <w:webHidden/>
                <w:sz w:val="22"/>
                <w:szCs w:val="22"/>
              </w:rPr>
              <w:fldChar w:fldCharType="separate"/>
            </w:r>
            <w:r w:rsidR="003306A1" w:rsidRPr="003306A1">
              <w:rPr>
                <w:rFonts w:ascii="Arial Narrow" w:hAnsi="Arial Narrow"/>
                <w:noProof/>
                <w:webHidden/>
                <w:sz w:val="22"/>
                <w:szCs w:val="22"/>
              </w:rPr>
              <w:t>15</w:t>
            </w:r>
            <w:r w:rsidR="003306A1" w:rsidRPr="003306A1">
              <w:rPr>
                <w:rFonts w:ascii="Arial Narrow" w:hAnsi="Arial Narrow"/>
                <w:noProof/>
                <w:webHidden/>
                <w:sz w:val="22"/>
                <w:szCs w:val="22"/>
              </w:rPr>
              <w:fldChar w:fldCharType="end"/>
            </w:r>
          </w:hyperlink>
        </w:p>
        <w:p w:rsidR="003306A1" w:rsidRPr="003306A1" w:rsidRDefault="00346DD2">
          <w:pPr>
            <w:pStyle w:val="Obsah2"/>
            <w:tabs>
              <w:tab w:val="left" w:pos="720"/>
              <w:tab w:val="right" w:pos="9063"/>
            </w:tabs>
            <w:rPr>
              <w:rFonts w:ascii="Arial Narrow" w:eastAsiaTheme="minorEastAsia" w:hAnsi="Arial Narrow" w:cstheme="minorBidi"/>
              <w:i w:val="0"/>
              <w:iCs w:val="0"/>
              <w:noProof/>
              <w:sz w:val="22"/>
              <w:szCs w:val="22"/>
            </w:rPr>
          </w:pPr>
          <w:hyperlink w:anchor="_Toc529507593" w:history="1">
            <w:r w:rsidR="003306A1" w:rsidRPr="003306A1">
              <w:rPr>
                <w:rStyle w:val="Hypertextovprepojenie"/>
                <w:rFonts w:ascii="Arial Narrow" w:hAnsi="Arial Narrow"/>
                <w:i w:val="0"/>
                <w:noProof/>
                <w:sz w:val="22"/>
                <w:szCs w:val="22"/>
              </w:rPr>
              <w:t>3.1</w:t>
            </w:r>
            <w:r w:rsidR="003306A1" w:rsidRPr="003306A1">
              <w:rPr>
                <w:rFonts w:ascii="Arial Narrow" w:eastAsiaTheme="minorEastAsia" w:hAnsi="Arial Narrow" w:cstheme="minorBidi"/>
                <w:i w:val="0"/>
                <w:iCs w:val="0"/>
                <w:noProof/>
                <w:sz w:val="22"/>
                <w:szCs w:val="22"/>
              </w:rPr>
              <w:tab/>
            </w:r>
            <w:r w:rsidR="003306A1" w:rsidRPr="003306A1">
              <w:rPr>
                <w:rStyle w:val="Hypertextovprepojenie"/>
                <w:rFonts w:ascii="Arial Narrow" w:hAnsi="Arial Narrow"/>
                <w:i w:val="0"/>
                <w:noProof/>
                <w:sz w:val="22"/>
                <w:szCs w:val="22"/>
              </w:rPr>
              <w:t>Stanovisko k súhrnným ukazovateľom návrhu ŠR na rok 2019</w:t>
            </w:r>
            <w:r w:rsidR="003306A1" w:rsidRPr="003306A1">
              <w:rPr>
                <w:rFonts w:ascii="Arial Narrow" w:hAnsi="Arial Narrow"/>
                <w:i w:val="0"/>
                <w:noProof/>
                <w:webHidden/>
                <w:sz w:val="22"/>
                <w:szCs w:val="22"/>
              </w:rPr>
              <w:tab/>
            </w:r>
            <w:r w:rsidR="003306A1" w:rsidRPr="003306A1">
              <w:rPr>
                <w:rFonts w:ascii="Arial Narrow" w:hAnsi="Arial Narrow"/>
                <w:i w:val="0"/>
                <w:noProof/>
                <w:webHidden/>
                <w:sz w:val="22"/>
                <w:szCs w:val="22"/>
              </w:rPr>
              <w:fldChar w:fldCharType="begin"/>
            </w:r>
            <w:r w:rsidR="003306A1" w:rsidRPr="003306A1">
              <w:rPr>
                <w:rFonts w:ascii="Arial Narrow" w:hAnsi="Arial Narrow"/>
                <w:i w:val="0"/>
                <w:noProof/>
                <w:webHidden/>
                <w:sz w:val="22"/>
                <w:szCs w:val="22"/>
              </w:rPr>
              <w:instrText xml:space="preserve"> PAGEREF _Toc529507593 \h </w:instrText>
            </w:r>
            <w:r w:rsidR="003306A1" w:rsidRPr="003306A1">
              <w:rPr>
                <w:rFonts w:ascii="Arial Narrow" w:hAnsi="Arial Narrow"/>
                <w:i w:val="0"/>
                <w:noProof/>
                <w:webHidden/>
                <w:sz w:val="22"/>
                <w:szCs w:val="22"/>
              </w:rPr>
            </w:r>
            <w:r w:rsidR="003306A1" w:rsidRPr="003306A1">
              <w:rPr>
                <w:rFonts w:ascii="Arial Narrow" w:hAnsi="Arial Narrow"/>
                <w:i w:val="0"/>
                <w:noProof/>
                <w:webHidden/>
                <w:sz w:val="22"/>
                <w:szCs w:val="22"/>
              </w:rPr>
              <w:fldChar w:fldCharType="separate"/>
            </w:r>
            <w:r w:rsidR="003306A1" w:rsidRPr="003306A1">
              <w:rPr>
                <w:rFonts w:ascii="Arial Narrow" w:hAnsi="Arial Narrow"/>
                <w:i w:val="0"/>
                <w:noProof/>
                <w:webHidden/>
                <w:sz w:val="22"/>
                <w:szCs w:val="22"/>
              </w:rPr>
              <w:t>15</w:t>
            </w:r>
            <w:r w:rsidR="003306A1" w:rsidRPr="003306A1">
              <w:rPr>
                <w:rFonts w:ascii="Arial Narrow" w:hAnsi="Arial Narrow"/>
                <w:i w:val="0"/>
                <w:noProof/>
                <w:webHidden/>
                <w:sz w:val="22"/>
                <w:szCs w:val="22"/>
              </w:rPr>
              <w:fldChar w:fldCharType="end"/>
            </w:r>
          </w:hyperlink>
        </w:p>
        <w:p w:rsidR="003306A1" w:rsidRPr="003306A1" w:rsidRDefault="00346DD2">
          <w:pPr>
            <w:pStyle w:val="Obsah2"/>
            <w:tabs>
              <w:tab w:val="left" w:pos="720"/>
              <w:tab w:val="right" w:pos="9063"/>
            </w:tabs>
            <w:rPr>
              <w:rFonts w:ascii="Arial Narrow" w:eastAsiaTheme="minorEastAsia" w:hAnsi="Arial Narrow" w:cstheme="minorBidi"/>
              <w:i w:val="0"/>
              <w:iCs w:val="0"/>
              <w:noProof/>
              <w:sz w:val="22"/>
              <w:szCs w:val="22"/>
            </w:rPr>
          </w:pPr>
          <w:hyperlink w:anchor="_Toc529507594" w:history="1">
            <w:r w:rsidR="003306A1" w:rsidRPr="003306A1">
              <w:rPr>
                <w:rStyle w:val="Hypertextovprepojenie"/>
                <w:rFonts w:ascii="Arial Narrow" w:hAnsi="Arial Narrow"/>
                <w:i w:val="0"/>
                <w:noProof/>
                <w:sz w:val="22"/>
                <w:szCs w:val="22"/>
              </w:rPr>
              <w:t>3.2</w:t>
            </w:r>
            <w:r w:rsidR="003306A1" w:rsidRPr="003306A1">
              <w:rPr>
                <w:rFonts w:ascii="Arial Narrow" w:eastAsiaTheme="minorEastAsia" w:hAnsi="Arial Narrow" w:cstheme="minorBidi"/>
                <w:i w:val="0"/>
                <w:iCs w:val="0"/>
                <w:noProof/>
                <w:sz w:val="22"/>
                <w:szCs w:val="22"/>
              </w:rPr>
              <w:tab/>
            </w:r>
            <w:r w:rsidR="003306A1" w:rsidRPr="003306A1">
              <w:rPr>
                <w:rStyle w:val="Hypertextovprepojenie"/>
                <w:rFonts w:ascii="Arial Narrow" w:hAnsi="Arial Narrow"/>
                <w:i w:val="0"/>
                <w:noProof/>
                <w:sz w:val="22"/>
                <w:szCs w:val="22"/>
              </w:rPr>
              <w:t>Stanovisko k návrhom rozpočtov kapitol ŠR na rok 2019</w:t>
            </w:r>
            <w:r w:rsidR="003306A1" w:rsidRPr="003306A1">
              <w:rPr>
                <w:rFonts w:ascii="Arial Narrow" w:hAnsi="Arial Narrow"/>
                <w:i w:val="0"/>
                <w:noProof/>
                <w:webHidden/>
                <w:sz w:val="22"/>
                <w:szCs w:val="22"/>
              </w:rPr>
              <w:tab/>
            </w:r>
            <w:r w:rsidR="003306A1" w:rsidRPr="003306A1">
              <w:rPr>
                <w:rFonts w:ascii="Arial Narrow" w:hAnsi="Arial Narrow"/>
                <w:i w:val="0"/>
                <w:noProof/>
                <w:webHidden/>
                <w:sz w:val="22"/>
                <w:szCs w:val="22"/>
              </w:rPr>
              <w:fldChar w:fldCharType="begin"/>
            </w:r>
            <w:r w:rsidR="003306A1" w:rsidRPr="003306A1">
              <w:rPr>
                <w:rFonts w:ascii="Arial Narrow" w:hAnsi="Arial Narrow"/>
                <w:i w:val="0"/>
                <w:noProof/>
                <w:webHidden/>
                <w:sz w:val="22"/>
                <w:szCs w:val="22"/>
              </w:rPr>
              <w:instrText xml:space="preserve"> PAGEREF _Toc529507594 \h </w:instrText>
            </w:r>
            <w:r w:rsidR="003306A1" w:rsidRPr="003306A1">
              <w:rPr>
                <w:rFonts w:ascii="Arial Narrow" w:hAnsi="Arial Narrow"/>
                <w:i w:val="0"/>
                <w:noProof/>
                <w:webHidden/>
                <w:sz w:val="22"/>
                <w:szCs w:val="22"/>
              </w:rPr>
            </w:r>
            <w:r w:rsidR="003306A1" w:rsidRPr="003306A1">
              <w:rPr>
                <w:rFonts w:ascii="Arial Narrow" w:hAnsi="Arial Narrow"/>
                <w:i w:val="0"/>
                <w:noProof/>
                <w:webHidden/>
                <w:sz w:val="22"/>
                <w:szCs w:val="22"/>
              </w:rPr>
              <w:fldChar w:fldCharType="separate"/>
            </w:r>
            <w:r w:rsidR="003306A1" w:rsidRPr="003306A1">
              <w:rPr>
                <w:rFonts w:ascii="Arial Narrow" w:hAnsi="Arial Narrow"/>
                <w:i w:val="0"/>
                <w:noProof/>
                <w:webHidden/>
                <w:sz w:val="22"/>
                <w:szCs w:val="22"/>
              </w:rPr>
              <w:t>19</w:t>
            </w:r>
            <w:r w:rsidR="003306A1" w:rsidRPr="003306A1">
              <w:rPr>
                <w:rFonts w:ascii="Arial Narrow" w:hAnsi="Arial Narrow"/>
                <w:i w:val="0"/>
                <w:noProof/>
                <w:webHidden/>
                <w:sz w:val="22"/>
                <w:szCs w:val="22"/>
              </w:rPr>
              <w:fldChar w:fldCharType="end"/>
            </w:r>
          </w:hyperlink>
        </w:p>
        <w:p w:rsidR="003306A1" w:rsidRPr="003306A1" w:rsidRDefault="00346DD2">
          <w:pPr>
            <w:pStyle w:val="Obsah3"/>
            <w:tabs>
              <w:tab w:val="left" w:pos="1200"/>
              <w:tab w:val="right" w:pos="9063"/>
            </w:tabs>
            <w:rPr>
              <w:rFonts w:ascii="Arial Narrow" w:eastAsiaTheme="minorEastAsia" w:hAnsi="Arial Narrow" w:cstheme="minorBidi"/>
              <w:noProof/>
              <w:sz w:val="22"/>
              <w:szCs w:val="22"/>
            </w:rPr>
          </w:pPr>
          <w:hyperlink w:anchor="_Toc529507595" w:history="1">
            <w:r w:rsidR="003306A1" w:rsidRPr="003306A1">
              <w:rPr>
                <w:rStyle w:val="Hypertextovprepojenie"/>
                <w:rFonts w:ascii="Arial Narrow" w:hAnsi="Arial Narrow"/>
                <w:noProof/>
                <w:sz w:val="22"/>
                <w:szCs w:val="22"/>
              </w:rPr>
              <w:t>3.2.1</w:t>
            </w:r>
            <w:r w:rsidR="003306A1" w:rsidRPr="003306A1">
              <w:rPr>
                <w:rFonts w:ascii="Arial Narrow" w:eastAsiaTheme="minorEastAsia" w:hAnsi="Arial Narrow" w:cstheme="minorBidi"/>
                <w:noProof/>
                <w:sz w:val="22"/>
                <w:szCs w:val="22"/>
              </w:rPr>
              <w:tab/>
            </w:r>
            <w:r w:rsidR="003306A1" w:rsidRPr="003306A1">
              <w:rPr>
                <w:rStyle w:val="Hypertextovprepojenie"/>
                <w:rFonts w:ascii="Arial Narrow" w:hAnsi="Arial Narrow"/>
                <w:noProof/>
                <w:sz w:val="22"/>
                <w:szCs w:val="22"/>
              </w:rPr>
              <w:t>Stanovisko k príjmom kapitol návrhu ŠR na rok 2019</w:t>
            </w:r>
            <w:r w:rsidR="003306A1" w:rsidRPr="003306A1">
              <w:rPr>
                <w:rFonts w:ascii="Arial Narrow" w:hAnsi="Arial Narrow"/>
                <w:noProof/>
                <w:webHidden/>
                <w:sz w:val="22"/>
                <w:szCs w:val="22"/>
              </w:rPr>
              <w:tab/>
            </w:r>
            <w:r w:rsidR="003306A1" w:rsidRPr="003306A1">
              <w:rPr>
                <w:rFonts w:ascii="Arial Narrow" w:hAnsi="Arial Narrow"/>
                <w:noProof/>
                <w:webHidden/>
                <w:sz w:val="22"/>
                <w:szCs w:val="22"/>
              </w:rPr>
              <w:fldChar w:fldCharType="begin"/>
            </w:r>
            <w:r w:rsidR="003306A1" w:rsidRPr="003306A1">
              <w:rPr>
                <w:rFonts w:ascii="Arial Narrow" w:hAnsi="Arial Narrow"/>
                <w:noProof/>
                <w:webHidden/>
                <w:sz w:val="22"/>
                <w:szCs w:val="22"/>
              </w:rPr>
              <w:instrText xml:space="preserve"> PAGEREF _Toc529507595 \h </w:instrText>
            </w:r>
            <w:r w:rsidR="003306A1" w:rsidRPr="003306A1">
              <w:rPr>
                <w:rFonts w:ascii="Arial Narrow" w:hAnsi="Arial Narrow"/>
                <w:noProof/>
                <w:webHidden/>
                <w:sz w:val="22"/>
                <w:szCs w:val="22"/>
              </w:rPr>
            </w:r>
            <w:r w:rsidR="003306A1" w:rsidRPr="003306A1">
              <w:rPr>
                <w:rFonts w:ascii="Arial Narrow" w:hAnsi="Arial Narrow"/>
                <w:noProof/>
                <w:webHidden/>
                <w:sz w:val="22"/>
                <w:szCs w:val="22"/>
              </w:rPr>
              <w:fldChar w:fldCharType="separate"/>
            </w:r>
            <w:r w:rsidR="003306A1" w:rsidRPr="003306A1">
              <w:rPr>
                <w:rFonts w:ascii="Arial Narrow" w:hAnsi="Arial Narrow"/>
                <w:noProof/>
                <w:webHidden/>
                <w:sz w:val="22"/>
                <w:szCs w:val="22"/>
              </w:rPr>
              <w:t>19</w:t>
            </w:r>
            <w:r w:rsidR="003306A1" w:rsidRPr="003306A1">
              <w:rPr>
                <w:rFonts w:ascii="Arial Narrow" w:hAnsi="Arial Narrow"/>
                <w:noProof/>
                <w:webHidden/>
                <w:sz w:val="22"/>
                <w:szCs w:val="22"/>
              </w:rPr>
              <w:fldChar w:fldCharType="end"/>
            </w:r>
          </w:hyperlink>
        </w:p>
        <w:p w:rsidR="003306A1" w:rsidRPr="003306A1" w:rsidRDefault="00346DD2">
          <w:pPr>
            <w:pStyle w:val="Obsah3"/>
            <w:tabs>
              <w:tab w:val="left" w:pos="1200"/>
              <w:tab w:val="right" w:pos="9063"/>
            </w:tabs>
            <w:rPr>
              <w:rFonts w:ascii="Arial Narrow" w:eastAsiaTheme="minorEastAsia" w:hAnsi="Arial Narrow" w:cstheme="minorBidi"/>
              <w:noProof/>
              <w:sz w:val="22"/>
              <w:szCs w:val="22"/>
            </w:rPr>
          </w:pPr>
          <w:hyperlink w:anchor="_Toc529507596" w:history="1">
            <w:r w:rsidR="003306A1" w:rsidRPr="003306A1">
              <w:rPr>
                <w:rStyle w:val="Hypertextovprepojenie"/>
                <w:rFonts w:ascii="Arial Narrow" w:hAnsi="Arial Narrow"/>
                <w:noProof/>
                <w:sz w:val="22"/>
                <w:szCs w:val="22"/>
              </w:rPr>
              <w:t>3.2.2</w:t>
            </w:r>
            <w:r w:rsidR="003306A1" w:rsidRPr="003306A1">
              <w:rPr>
                <w:rFonts w:ascii="Arial Narrow" w:eastAsiaTheme="minorEastAsia" w:hAnsi="Arial Narrow" w:cstheme="minorBidi"/>
                <w:noProof/>
                <w:sz w:val="22"/>
                <w:szCs w:val="22"/>
              </w:rPr>
              <w:tab/>
            </w:r>
            <w:r w:rsidR="003306A1" w:rsidRPr="003306A1">
              <w:rPr>
                <w:rStyle w:val="Hypertextovprepojenie"/>
                <w:rFonts w:ascii="Arial Narrow" w:hAnsi="Arial Narrow"/>
                <w:noProof/>
                <w:sz w:val="22"/>
                <w:szCs w:val="22"/>
              </w:rPr>
              <w:t>Stanovisko k výdavkom kapitol návrhu ŠR na rok 2019</w:t>
            </w:r>
            <w:r w:rsidR="003306A1" w:rsidRPr="003306A1">
              <w:rPr>
                <w:rFonts w:ascii="Arial Narrow" w:hAnsi="Arial Narrow"/>
                <w:noProof/>
                <w:webHidden/>
                <w:sz w:val="22"/>
                <w:szCs w:val="22"/>
              </w:rPr>
              <w:tab/>
            </w:r>
            <w:r w:rsidR="003306A1" w:rsidRPr="003306A1">
              <w:rPr>
                <w:rFonts w:ascii="Arial Narrow" w:hAnsi="Arial Narrow"/>
                <w:noProof/>
                <w:webHidden/>
                <w:sz w:val="22"/>
                <w:szCs w:val="22"/>
              </w:rPr>
              <w:fldChar w:fldCharType="begin"/>
            </w:r>
            <w:r w:rsidR="003306A1" w:rsidRPr="003306A1">
              <w:rPr>
                <w:rFonts w:ascii="Arial Narrow" w:hAnsi="Arial Narrow"/>
                <w:noProof/>
                <w:webHidden/>
                <w:sz w:val="22"/>
                <w:szCs w:val="22"/>
              </w:rPr>
              <w:instrText xml:space="preserve"> PAGEREF _Toc529507596 \h </w:instrText>
            </w:r>
            <w:r w:rsidR="003306A1" w:rsidRPr="003306A1">
              <w:rPr>
                <w:rFonts w:ascii="Arial Narrow" w:hAnsi="Arial Narrow"/>
                <w:noProof/>
                <w:webHidden/>
                <w:sz w:val="22"/>
                <w:szCs w:val="22"/>
              </w:rPr>
            </w:r>
            <w:r w:rsidR="003306A1" w:rsidRPr="003306A1">
              <w:rPr>
                <w:rFonts w:ascii="Arial Narrow" w:hAnsi="Arial Narrow"/>
                <w:noProof/>
                <w:webHidden/>
                <w:sz w:val="22"/>
                <w:szCs w:val="22"/>
              </w:rPr>
              <w:fldChar w:fldCharType="separate"/>
            </w:r>
            <w:r w:rsidR="003306A1" w:rsidRPr="003306A1">
              <w:rPr>
                <w:rFonts w:ascii="Arial Narrow" w:hAnsi="Arial Narrow"/>
                <w:noProof/>
                <w:webHidden/>
                <w:sz w:val="22"/>
                <w:szCs w:val="22"/>
              </w:rPr>
              <w:t>20</w:t>
            </w:r>
            <w:r w:rsidR="003306A1" w:rsidRPr="003306A1">
              <w:rPr>
                <w:rFonts w:ascii="Arial Narrow" w:hAnsi="Arial Narrow"/>
                <w:noProof/>
                <w:webHidden/>
                <w:sz w:val="22"/>
                <w:szCs w:val="22"/>
              </w:rPr>
              <w:fldChar w:fldCharType="end"/>
            </w:r>
          </w:hyperlink>
        </w:p>
        <w:p w:rsidR="003306A1" w:rsidRPr="003306A1" w:rsidRDefault="00346DD2">
          <w:pPr>
            <w:pStyle w:val="Obsah3"/>
            <w:tabs>
              <w:tab w:val="right" w:pos="9063"/>
            </w:tabs>
            <w:rPr>
              <w:rFonts w:ascii="Arial Narrow" w:eastAsiaTheme="minorEastAsia" w:hAnsi="Arial Narrow" w:cstheme="minorBidi"/>
              <w:noProof/>
              <w:sz w:val="22"/>
              <w:szCs w:val="22"/>
            </w:rPr>
          </w:pPr>
          <w:hyperlink w:anchor="_Toc529507597" w:history="1">
            <w:r w:rsidR="003306A1" w:rsidRPr="003306A1">
              <w:rPr>
                <w:rStyle w:val="Hypertextovprepojenie"/>
                <w:rFonts w:ascii="Arial Narrow" w:hAnsi="Arial Narrow"/>
                <w:noProof/>
                <w:sz w:val="22"/>
                <w:szCs w:val="22"/>
              </w:rPr>
              <w:t>Ministerstvo obrany SR</w:t>
            </w:r>
            <w:r w:rsidR="003306A1" w:rsidRPr="003306A1">
              <w:rPr>
                <w:rFonts w:ascii="Arial Narrow" w:hAnsi="Arial Narrow"/>
                <w:noProof/>
                <w:webHidden/>
                <w:sz w:val="22"/>
                <w:szCs w:val="22"/>
              </w:rPr>
              <w:tab/>
            </w:r>
            <w:r w:rsidR="003306A1" w:rsidRPr="003306A1">
              <w:rPr>
                <w:rFonts w:ascii="Arial Narrow" w:hAnsi="Arial Narrow"/>
                <w:noProof/>
                <w:webHidden/>
                <w:sz w:val="22"/>
                <w:szCs w:val="22"/>
              </w:rPr>
              <w:fldChar w:fldCharType="begin"/>
            </w:r>
            <w:r w:rsidR="003306A1" w:rsidRPr="003306A1">
              <w:rPr>
                <w:rFonts w:ascii="Arial Narrow" w:hAnsi="Arial Narrow"/>
                <w:noProof/>
                <w:webHidden/>
                <w:sz w:val="22"/>
                <w:szCs w:val="22"/>
              </w:rPr>
              <w:instrText xml:space="preserve"> PAGEREF _Toc529507597 \h </w:instrText>
            </w:r>
            <w:r w:rsidR="003306A1" w:rsidRPr="003306A1">
              <w:rPr>
                <w:rFonts w:ascii="Arial Narrow" w:hAnsi="Arial Narrow"/>
                <w:noProof/>
                <w:webHidden/>
                <w:sz w:val="22"/>
                <w:szCs w:val="22"/>
              </w:rPr>
            </w:r>
            <w:r w:rsidR="003306A1" w:rsidRPr="003306A1">
              <w:rPr>
                <w:rFonts w:ascii="Arial Narrow" w:hAnsi="Arial Narrow"/>
                <w:noProof/>
                <w:webHidden/>
                <w:sz w:val="22"/>
                <w:szCs w:val="22"/>
              </w:rPr>
              <w:fldChar w:fldCharType="separate"/>
            </w:r>
            <w:r w:rsidR="003306A1" w:rsidRPr="003306A1">
              <w:rPr>
                <w:rFonts w:ascii="Arial Narrow" w:hAnsi="Arial Narrow"/>
                <w:noProof/>
                <w:webHidden/>
                <w:sz w:val="22"/>
                <w:szCs w:val="22"/>
              </w:rPr>
              <w:t>21</w:t>
            </w:r>
            <w:r w:rsidR="003306A1" w:rsidRPr="003306A1">
              <w:rPr>
                <w:rFonts w:ascii="Arial Narrow" w:hAnsi="Arial Narrow"/>
                <w:noProof/>
                <w:webHidden/>
                <w:sz w:val="22"/>
                <w:szCs w:val="22"/>
              </w:rPr>
              <w:fldChar w:fldCharType="end"/>
            </w:r>
          </w:hyperlink>
        </w:p>
        <w:p w:rsidR="003306A1" w:rsidRPr="003306A1" w:rsidRDefault="00346DD2">
          <w:pPr>
            <w:pStyle w:val="Obsah3"/>
            <w:tabs>
              <w:tab w:val="right" w:pos="9063"/>
            </w:tabs>
            <w:rPr>
              <w:rFonts w:ascii="Arial Narrow" w:eastAsiaTheme="minorEastAsia" w:hAnsi="Arial Narrow" w:cstheme="minorBidi"/>
              <w:noProof/>
              <w:sz w:val="22"/>
              <w:szCs w:val="22"/>
            </w:rPr>
          </w:pPr>
          <w:hyperlink w:anchor="_Toc529507598" w:history="1">
            <w:r w:rsidR="003306A1" w:rsidRPr="003306A1">
              <w:rPr>
                <w:rStyle w:val="Hypertextovprepojenie"/>
                <w:rFonts w:ascii="Arial Narrow" w:hAnsi="Arial Narrow"/>
                <w:noProof/>
                <w:sz w:val="22"/>
                <w:szCs w:val="22"/>
              </w:rPr>
              <w:t>Ministerstvo vnútra SR</w:t>
            </w:r>
            <w:r w:rsidR="003306A1" w:rsidRPr="003306A1">
              <w:rPr>
                <w:rFonts w:ascii="Arial Narrow" w:hAnsi="Arial Narrow"/>
                <w:noProof/>
                <w:webHidden/>
                <w:sz w:val="22"/>
                <w:szCs w:val="22"/>
              </w:rPr>
              <w:tab/>
            </w:r>
            <w:r w:rsidR="003306A1" w:rsidRPr="003306A1">
              <w:rPr>
                <w:rFonts w:ascii="Arial Narrow" w:hAnsi="Arial Narrow"/>
                <w:noProof/>
                <w:webHidden/>
                <w:sz w:val="22"/>
                <w:szCs w:val="22"/>
              </w:rPr>
              <w:fldChar w:fldCharType="begin"/>
            </w:r>
            <w:r w:rsidR="003306A1" w:rsidRPr="003306A1">
              <w:rPr>
                <w:rFonts w:ascii="Arial Narrow" w:hAnsi="Arial Narrow"/>
                <w:noProof/>
                <w:webHidden/>
                <w:sz w:val="22"/>
                <w:szCs w:val="22"/>
              </w:rPr>
              <w:instrText xml:space="preserve"> PAGEREF _Toc529507598 \h </w:instrText>
            </w:r>
            <w:r w:rsidR="003306A1" w:rsidRPr="003306A1">
              <w:rPr>
                <w:rFonts w:ascii="Arial Narrow" w:hAnsi="Arial Narrow"/>
                <w:noProof/>
                <w:webHidden/>
                <w:sz w:val="22"/>
                <w:szCs w:val="22"/>
              </w:rPr>
            </w:r>
            <w:r w:rsidR="003306A1" w:rsidRPr="003306A1">
              <w:rPr>
                <w:rFonts w:ascii="Arial Narrow" w:hAnsi="Arial Narrow"/>
                <w:noProof/>
                <w:webHidden/>
                <w:sz w:val="22"/>
                <w:szCs w:val="22"/>
              </w:rPr>
              <w:fldChar w:fldCharType="separate"/>
            </w:r>
            <w:r w:rsidR="003306A1" w:rsidRPr="003306A1">
              <w:rPr>
                <w:rFonts w:ascii="Arial Narrow" w:hAnsi="Arial Narrow"/>
                <w:noProof/>
                <w:webHidden/>
                <w:sz w:val="22"/>
                <w:szCs w:val="22"/>
              </w:rPr>
              <w:t>22</w:t>
            </w:r>
            <w:r w:rsidR="003306A1" w:rsidRPr="003306A1">
              <w:rPr>
                <w:rFonts w:ascii="Arial Narrow" w:hAnsi="Arial Narrow"/>
                <w:noProof/>
                <w:webHidden/>
                <w:sz w:val="22"/>
                <w:szCs w:val="22"/>
              </w:rPr>
              <w:fldChar w:fldCharType="end"/>
            </w:r>
          </w:hyperlink>
        </w:p>
        <w:p w:rsidR="003306A1" w:rsidRPr="003306A1" w:rsidRDefault="00346DD2">
          <w:pPr>
            <w:pStyle w:val="Obsah3"/>
            <w:tabs>
              <w:tab w:val="right" w:pos="9063"/>
            </w:tabs>
            <w:rPr>
              <w:rFonts w:ascii="Arial Narrow" w:eastAsiaTheme="minorEastAsia" w:hAnsi="Arial Narrow" w:cstheme="minorBidi"/>
              <w:noProof/>
              <w:sz w:val="22"/>
              <w:szCs w:val="22"/>
            </w:rPr>
          </w:pPr>
          <w:hyperlink w:anchor="_Toc529507599" w:history="1">
            <w:r w:rsidR="003306A1" w:rsidRPr="003306A1">
              <w:rPr>
                <w:rStyle w:val="Hypertextovprepojenie"/>
                <w:rFonts w:ascii="Arial Narrow" w:hAnsi="Arial Narrow"/>
                <w:noProof/>
                <w:sz w:val="22"/>
                <w:szCs w:val="22"/>
              </w:rPr>
              <w:t>Ministerstvo spravodlivosti SR</w:t>
            </w:r>
            <w:r w:rsidR="003306A1" w:rsidRPr="003306A1">
              <w:rPr>
                <w:rFonts w:ascii="Arial Narrow" w:hAnsi="Arial Narrow"/>
                <w:noProof/>
                <w:webHidden/>
                <w:sz w:val="22"/>
                <w:szCs w:val="22"/>
              </w:rPr>
              <w:tab/>
            </w:r>
            <w:r w:rsidR="003306A1" w:rsidRPr="003306A1">
              <w:rPr>
                <w:rFonts w:ascii="Arial Narrow" w:hAnsi="Arial Narrow"/>
                <w:noProof/>
                <w:webHidden/>
                <w:sz w:val="22"/>
                <w:szCs w:val="22"/>
              </w:rPr>
              <w:fldChar w:fldCharType="begin"/>
            </w:r>
            <w:r w:rsidR="003306A1" w:rsidRPr="003306A1">
              <w:rPr>
                <w:rFonts w:ascii="Arial Narrow" w:hAnsi="Arial Narrow"/>
                <w:noProof/>
                <w:webHidden/>
                <w:sz w:val="22"/>
                <w:szCs w:val="22"/>
              </w:rPr>
              <w:instrText xml:space="preserve"> PAGEREF _Toc529507599 \h </w:instrText>
            </w:r>
            <w:r w:rsidR="003306A1" w:rsidRPr="003306A1">
              <w:rPr>
                <w:rFonts w:ascii="Arial Narrow" w:hAnsi="Arial Narrow"/>
                <w:noProof/>
                <w:webHidden/>
                <w:sz w:val="22"/>
                <w:szCs w:val="22"/>
              </w:rPr>
            </w:r>
            <w:r w:rsidR="003306A1" w:rsidRPr="003306A1">
              <w:rPr>
                <w:rFonts w:ascii="Arial Narrow" w:hAnsi="Arial Narrow"/>
                <w:noProof/>
                <w:webHidden/>
                <w:sz w:val="22"/>
                <w:szCs w:val="22"/>
              </w:rPr>
              <w:fldChar w:fldCharType="separate"/>
            </w:r>
            <w:r w:rsidR="003306A1" w:rsidRPr="003306A1">
              <w:rPr>
                <w:rFonts w:ascii="Arial Narrow" w:hAnsi="Arial Narrow"/>
                <w:noProof/>
                <w:webHidden/>
                <w:sz w:val="22"/>
                <w:szCs w:val="22"/>
              </w:rPr>
              <w:t>23</w:t>
            </w:r>
            <w:r w:rsidR="003306A1" w:rsidRPr="003306A1">
              <w:rPr>
                <w:rFonts w:ascii="Arial Narrow" w:hAnsi="Arial Narrow"/>
                <w:noProof/>
                <w:webHidden/>
                <w:sz w:val="22"/>
                <w:szCs w:val="22"/>
              </w:rPr>
              <w:fldChar w:fldCharType="end"/>
            </w:r>
          </w:hyperlink>
        </w:p>
        <w:p w:rsidR="003306A1" w:rsidRPr="003306A1" w:rsidRDefault="00346DD2">
          <w:pPr>
            <w:pStyle w:val="Obsah3"/>
            <w:tabs>
              <w:tab w:val="right" w:pos="9063"/>
            </w:tabs>
            <w:rPr>
              <w:rFonts w:ascii="Arial Narrow" w:eastAsiaTheme="minorEastAsia" w:hAnsi="Arial Narrow" w:cstheme="minorBidi"/>
              <w:noProof/>
              <w:sz w:val="22"/>
              <w:szCs w:val="22"/>
            </w:rPr>
          </w:pPr>
          <w:hyperlink w:anchor="_Toc529507600" w:history="1">
            <w:r w:rsidR="003306A1" w:rsidRPr="003306A1">
              <w:rPr>
                <w:rStyle w:val="Hypertextovprepojenie"/>
                <w:rFonts w:ascii="Arial Narrow" w:hAnsi="Arial Narrow"/>
                <w:noProof/>
                <w:sz w:val="22"/>
                <w:szCs w:val="22"/>
              </w:rPr>
              <w:t>Ministerstvo financií SR</w:t>
            </w:r>
            <w:r w:rsidR="003306A1" w:rsidRPr="003306A1">
              <w:rPr>
                <w:rFonts w:ascii="Arial Narrow" w:hAnsi="Arial Narrow"/>
                <w:noProof/>
                <w:webHidden/>
                <w:sz w:val="22"/>
                <w:szCs w:val="22"/>
              </w:rPr>
              <w:tab/>
            </w:r>
            <w:r w:rsidR="003306A1" w:rsidRPr="003306A1">
              <w:rPr>
                <w:rFonts w:ascii="Arial Narrow" w:hAnsi="Arial Narrow"/>
                <w:noProof/>
                <w:webHidden/>
                <w:sz w:val="22"/>
                <w:szCs w:val="22"/>
              </w:rPr>
              <w:fldChar w:fldCharType="begin"/>
            </w:r>
            <w:r w:rsidR="003306A1" w:rsidRPr="003306A1">
              <w:rPr>
                <w:rFonts w:ascii="Arial Narrow" w:hAnsi="Arial Narrow"/>
                <w:noProof/>
                <w:webHidden/>
                <w:sz w:val="22"/>
                <w:szCs w:val="22"/>
              </w:rPr>
              <w:instrText xml:space="preserve"> PAGEREF _Toc529507600 \h </w:instrText>
            </w:r>
            <w:r w:rsidR="003306A1" w:rsidRPr="003306A1">
              <w:rPr>
                <w:rFonts w:ascii="Arial Narrow" w:hAnsi="Arial Narrow"/>
                <w:noProof/>
                <w:webHidden/>
                <w:sz w:val="22"/>
                <w:szCs w:val="22"/>
              </w:rPr>
            </w:r>
            <w:r w:rsidR="003306A1" w:rsidRPr="003306A1">
              <w:rPr>
                <w:rFonts w:ascii="Arial Narrow" w:hAnsi="Arial Narrow"/>
                <w:noProof/>
                <w:webHidden/>
                <w:sz w:val="22"/>
                <w:szCs w:val="22"/>
              </w:rPr>
              <w:fldChar w:fldCharType="separate"/>
            </w:r>
            <w:r w:rsidR="003306A1" w:rsidRPr="003306A1">
              <w:rPr>
                <w:rFonts w:ascii="Arial Narrow" w:hAnsi="Arial Narrow"/>
                <w:noProof/>
                <w:webHidden/>
                <w:sz w:val="22"/>
                <w:szCs w:val="22"/>
              </w:rPr>
              <w:t>24</w:t>
            </w:r>
            <w:r w:rsidR="003306A1" w:rsidRPr="003306A1">
              <w:rPr>
                <w:rFonts w:ascii="Arial Narrow" w:hAnsi="Arial Narrow"/>
                <w:noProof/>
                <w:webHidden/>
                <w:sz w:val="22"/>
                <w:szCs w:val="22"/>
              </w:rPr>
              <w:fldChar w:fldCharType="end"/>
            </w:r>
          </w:hyperlink>
        </w:p>
        <w:p w:rsidR="003306A1" w:rsidRPr="003306A1" w:rsidRDefault="00346DD2">
          <w:pPr>
            <w:pStyle w:val="Obsah3"/>
            <w:tabs>
              <w:tab w:val="right" w:pos="9063"/>
            </w:tabs>
            <w:rPr>
              <w:rFonts w:ascii="Arial Narrow" w:eastAsiaTheme="minorEastAsia" w:hAnsi="Arial Narrow" w:cstheme="minorBidi"/>
              <w:noProof/>
              <w:sz w:val="22"/>
              <w:szCs w:val="22"/>
            </w:rPr>
          </w:pPr>
          <w:hyperlink w:anchor="_Toc529507601" w:history="1">
            <w:r w:rsidR="003306A1" w:rsidRPr="003306A1">
              <w:rPr>
                <w:rStyle w:val="Hypertextovprepojenie"/>
                <w:rFonts w:ascii="Arial Narrow" w:hAnsi="Arial Narrow"/>
                <w:noProof/>
                <w:sz w:val="22"/>
                <w:szCs w:val="22"/>
              </w:rPr>
              <w:t>Ministerstvo životného prostredia SR</w:t>
            </w:r>
            <w:r w:rsidR="003306A1" w:rsidRPr="003306A1">
              <w:rPr>
                <w:rFonts w:ascii="Arial Narrow" w:hAnsi="Arial Narrow"/>
                <w:noProof/>
                <w:webHidden/>
                <w:sz w:val="22"/>
                <w:szCs w:val="22"/>
              </w:rPr>
              <w:tab/>
            </w:r>
            <w:r w:rsidR="003306A1" w:rsidRPr="003306A1">
              <w:rPr>
                <w:rFonts w:ascii="Arial Narrow" w:hAnsi="Arial Narrow"/>
                <w:noProof/>
                <w:webHidden/>
                <w:sz w:val="22"/>
                <w:szCs w:val="22"/>
              </w:rPr>
              <w:fldChar w:fldCharType="begin"/>
            </w:r>
            <w:r w:rsidR="003306A1" w:rsidRPr="003306A1">
              <w:rPr>
                <w:rFonts w:ascii="Arial Narrow" w:hAnsi="Arial Narrow"/>
                <w:noProof/>
                <w:webHidden/>
                <w:sz w:val="22"/>
                <w:szCs w:val="22"/>
              </w:rPr>
              <w:instrText xml:space="preserve"> PAGEREF _Toc529507601 \h </w:instrText>
            </w:r>
            <w:r w:rsidR="003306A1" w:rsidRPr="003306A1">
              <w:rPr>
                <w:rFonts w:ascii="Arial Narrow" w:hAnsi="Arial Narrow"/>
                <w:noProof/>
                <w:webHidden/>
                <w:sz w:val="22"/>
                <w:szCs w:val="22"/>
              </w:rPr>
            </w:r>
            <w:r w:rsidR="003306A1" w:rsidRPr="003306A1">
              <w:rPr>
                <w:rFonts w:ascii="Arial Narrow" w:hAnsi="Arial Narrow"/>
                <w:noProof/>
                <w:webHidden/>
                <w:sz w:val="22"/>
                <w:szCs w:val="22"/>
              </w:rPr>
              <w:fldChar w:fldCharType="separate"/>
            </w:r>
            <w:r w:rsidR="003306A1" w:rsidRPr="003306A1">
              <w:rPr>
                <w:rFonts w:ascii="Arial Narrow" w:hAnsi="Arial Narrow"/>
                <w:noProof/>
                <w:webHidden/>
                <w:sz w:val="22"/>
                <w:szCs w:val="22"/>
              </w:rPr>
              <w:t>25</w:t>
            </w:r>
            <w:r w:rsidR="003306A1" w:rsidRPr="003306A1">
              <w:rPr>
                <w:rFonts w:ascii="Arial Narrow" w:hAnsi="Arial Narrow"/>
                <w:noProof/>
                <w:webHidden/>
                <w:sz w:val="22"/>
                <w:szCs w:val="22"/>
              </w:rPr>
              <w:fldChar w:fldCharType="end"/>
            </w:r>
          </w:hyperlink>
        </w:p>
        <w:p w:rsidR="003306A1" w:rsidRPr="003306A1" w:rsidRDefault="00346DD2">
          <w:pPr>
            <w:pStyle w:val="Obsah3"/>
            <w:tabs>
              <w:tab w:val="right" w:pos="9063"/>
            </w:tabs>
            <w:rPr>
              <w:rFonts w:ascii="Arial Narrow" w:eastAsiaTheme="minorEastAsia" w:hAnsi="Arial Narrow" w:cstheme="minorBidi"/>
              <w:noProof/>
              <w:sz w:val="22"/>
              <w:szCs w:val="22"/>
            </w:rPr>
          </w:pPr>
          <w:hyperlink w:anchor="_Toc529507602" w:history="1">
            <w:r w:rsidR="003306A1" w:rsidRPr="003306A1">
              <w:rPr>
                <w:rStyle w:val="Hypertextovprepojenie"/>
                <w:rFonts w:ascii="Arial Narrow" w:hAnsi="Arial Narrow"/>
                <w:noProof/>
                <w:sz w:val="22"/>
                <w:szCs w:val="22"/>
              </w:rPr>
              <w:t>Ministerstvo školstva, vedy, výskumu a športu SR</w:t>
            </w:r>
            <w:r w:rsidR="003306A1" w:rsidRPr="003306A1">
              <w:rPr>
                <w:rFonts w:ascii="Arial Narrow" w:hAnsi="Arial Narrow"/>
                <w:noProof/>
                <w:webHidden/>
                <w:sz w:val="22"/>
                <w:szCs w:val="22"/>
              </w:rPr>
              <w:tab/>
            </w:r>
            <w:r w:rsidR="003306A1" w:rsidRPr="003306A1">
              <w:rPr>
                <w:rFonts w:ascii="Arial Narrow" w:hAnsi="Arial Narrow"/>
                <w:noProof/>
                <w:webHidden/>
                <w:sz w:val="22"/>
                <w:szCs w:val="22"/>
              </w:rPr>
              <w:fldChar w:fldCharType="begin"/>
            </w:r>
            <w:r w:rsidR="003306A1" w:rsidRPr="003306A1">
              <w:rPr>
                <w:rFonts w:ascii="Arial Narrow" w:hAnsi="Arial Narrow"/>
                <w:noProof/>
                <w:webHidden/>
                <w:sz w:val="22"/>
                <w:szCs w:val="22"/>
              </w:rPr>
              <w:instrText xml:space="preserve"> PAGEREF _Toc529507602 \h </w:instrText>
            </w:r>
            <w:r w:rsidR="003306A1" w:rsidRPr="003306A1">
              <w:rPr>
                <w:rFonts w:ascii="Arial Narrow" w:hAnsi="Arial Narrow"/>
                <w:noProof/>
                <w:webHidden/>
                <w:sz w:val="22"/>
                <w:szCs w:val="22"/>
              </w:rPr>
            </w:r>
            <w:r w:rsidR="003306A1" w:rsidRPr="003306A1">
              <w:rPr>
                <w:rFonts w:ascii="Arial Narrow" w:hAnsi="Arial Narrow"/>
                <w:noProof/>
                <w:webHidden/>
                <w:sz w:val="22"/>
                <w:szCs w:val="22"/>
              </w:rPr>
              <w:fldChar w:fldCharType="separate"/>
            </w:r>
            <w:r w:rsidR="003306A1" w:rsidRPr="003306A1">
              <w:rPr>
                <w:rFonts w:ascii="Arial Narrow" w:hAnsi="Arial Narrow"/>
                <w:noProof/>
                <w:webHidden/>
                <w:sz w:val="22"/>
                <w:szCs w:val="22"/>
              </w:rPr>
              <w:t>27</w:t>
            </w:r>
            <w:r w:rsidR="003306A1" w:rsidRPr="003306A1">
              <w:rPr>
                <w:rFonts w:ascii="Arial Narrow" w:hAnsi="Arial Narrow"/>
                <w:noProof/>
                <w:webHidden/>
                <w:sz w:val="22"/>
                <w:szCs w:val="22"/>
              </w:rPr>
              <w:fldChar w:fldCharType="end"/>
            </w:r>
          </w:hyperlink>
        </w:p>
        <w:p w:rsidR="003306A1" w:rsidRPr="003306A1" w:rsidRDefault="00346DD2">
          <w:pPr>
            <w:pStyle w:val="Obsah3"/>
            <w:tabs>
              <w:tab w:val="right" w:pos="9063"/>
            </w:tabs>
            <w:rPr>
              <w:rFonts w:ascii="Arial Narrow" w:eastAsiaTheme="minorEastAsia" w:hAnsi="Arial Narrow" w:cstheme="minorBidi"/>
              <w:noProof/>
              <w:sz w:val="22"/>
              <w:szCs w:val="22"/>
            </w:rPr>
          </w:pPr>
          <w:hyperlink w:anchor="_Toc529507603" w:history="1">
            <w:r w:rsidR="003306A1" w:rsidRPr="003306A1">
              <w:rPr>
                <w:rStyle w:val="Hypertextovprepojenie"/>
                <w:rFonts w:ascii="Arial Narrow" w:hAnsi="Arial Narrow"/>
                <w:noProof/>
                <w:sz w:val="22"/>
                <w:szCs w:val="22"/>
              </w:rPr>
              <w:t>Ministerstvo zdravotníctva  SR</w:t>
            </w:r>
            <w:r w:rsidR="003306A1" w:rsidRPr="003306A1">
              <w:rPr>
                <w:rFonts w:ascii="Arial Narrow" w:hAnsi="Arial Narrow"/>
                <w:noProof/>
                <w:webHidden/>
                <w:sz w:val="22"/>
                <w:szCs w:val="22"/>
              </w:rPr>
              <w:tab/>
            </w:r>
            <w:r w:rsidR="003306A1" w:rsidRPr="003306A1">
              <w:rPr>
                <w:rFonts w:ascii="Arial Narrow" w:hAnsi="Arial Narrow"/>
                <w:noProof/>
                <w:webHidden/>
                <w:sz w:val="22"/>
                <w:szCs w:val="22"/>
              </w:rPr>
              <w:fldChar w:fldCharType="begin"/>
            </w:r>
            <w:r w:rsidR="003306A1" w:rsidRPr="003306A1">
              <w:rPr>
                <w:rFonts w:ascii="Arial Narrow" w:hAnsi="Arial Narrow"/>
                <w:noProof/>
                <w:webHidden/>
                <w:sz w:val="22"/>
                <w:szCs w:val="22"/>
              </w:rPr>
              <w:instrText xml:space="preserve"> PAGEREF _Toc529507603 \h </w:instrText>
            </w:r>
            <w:r w:rsidR="003306A1" w:rsidRPr="003306A1">
              <w:rPr>
                <w:rFonts w:ascii="Arial Narrow" w:hAnsi="Arial Narrow"/>
                <w:noProof/>
                <w:webHidden/>
                <w:sz w:val="22"/>
                <w:szCs w:val="22"/>
              </w:rPr>
            </w:r>
            <w:r w:rsidR="003306A1" w:rsidRPr="003306A1">
              <w:rPr>
                <w:rFonts w:ascii="Arial Narrow" w:hAnsi="Arial Narrow"/>
                <w:noProof/>
                <w:webHidden/>
                <w:sz w:val="22"/>
                <w:szCs w:val="22"/>
              </w:rPr>
              <w:fldChar w:fldCharType="separate"/>
            </w:r>
            <w:r w:rsidR="003306A1" w:rsidRPr="003306A1">
              <w:rPr>
                <w:rFonts w:ascii="Arial Narrow" w:hAnsi="Arial Narrow"/>
                <w:noProof/>
                <w:webHidden/>
                <w:sz w:val="22"/>
                <w:szCs w:val="22"/>
              </w:rPr>
              <w:t>30</w:t>
            </w:r>
            <w:r w:rsidR="003306A1" w:rsidRPr="003306A1">
              <w:rPr>
                <w:rFonts w:ascii="Arial Narrow" w:hAnsi="Arial Narrow"/>
                <w:noProof/>
                <w:webHidden/>
                <w:sz w:val="22"/>
                <w:szCs w:val="22"/>
              </w:rPr>
              <w:fldChar w:fldCharType="end"/>
            </w:r>
          </w:hyperlink>
        </w:p>
        <w:p w:rsidR="003306A1" w:rsidRPr="003306A1" w:rsidRDefault="00346DD2">
          <w:pPr>
            <w:pStyle w:val="Obsah3"/>
            <w:tabs>
              <w:tab w:val="right" w:pos="9063"/>
            </w:tabs>
            <w:rPr>
              <w:rFonts w:ascii="Arial Narrow" w:eastAsiaTheme="minorEastAsia" w:hAnsi="Arial Narrow" w:cstheme="minorBidi"/>
              <w:noProof/>
              <w:sz w:val="22"/>
              <w:szCs w:val="22"/>
            </w:rPr>
          </w:pPr>
          <w:hyperlink w:anchor="_Toc529507604" w:history="1">
            <w:r w:rsidR="003306A1" w:rsidRPr="003306A1">
              <w:rPr>
                <w:rStyle w:val="Hypertextovprepojenie"/>
                <w:rFonts w:ascii="Arial Narrow" w:hAnsi="Arial Narrow"/>
                <w:noProof/>
                <w:sz w:val="22"/>
                <w:szCs w:val="22"/>
              </w:rPr>
              <w:t>Ministerstvo práce, sociálnych vecí a rodiny SR</w:t>
            </w:r>
            <w:r w:rsidR="003306A1" w:rsidRPr="003306A1">
              <w:rPr>
                <w:rFonts w:ascii="Arial Narrow" w:hAnsi="Arial Narrow"/>
                <w:noProof/>
                <w:webHidden/>
                <w:sz w:val="22"/>
                <w:szCs w:val="22"/>
              </w:rPr>
              <w:tab/>
            </w:r>
            <w:r w:rsidR="003306A1" w:rsidRPr="003306A1">
              <w:rPr>
                <w:rFonts w:ascii="Arial Narrow" w:hAnsi="Arial Narrow"/>
                <w:noProof/>
                <w:webHidden/>
                <w:sz w:val="22"/>
                <w:szCs w:val="22"/>
              </w:rPr>
              <w:fldChar w:fldCharType="begin"/>
            </w:r>
            <w:r w:rsidR="003306A1" w:rsidRPr="003306A1">
              <w:rPr>
                <w:rFonts w:ascii="Arial Narrow" w:hAnsi="Arial Narrow"/>
                <w:noProof/>
                <w:webHidden/>
                <w:sz w:val="22"/>
                <w:szCs w:val="22"/>
              </w:rPr>
              <w:instrText xml:space="preserve"> PAGEREF _Toc529507604 \h </w:instrText>
            </w:r>
            <w:r w:rsidR="003306A1" w:rsidRPr="003306A1">
              <w:rPr>
                <w:rFonts w:ascii="Arial Narrow" w:hAnsi="Arial Narrow"/>
                <w:noProof/>
                <w:webHidden/>
                <w:sz w:val="22"/>
                <w:szCs w:val="22"/>
              </w:rPr>
            </w:r>
            <w:r w:rsidR="003306A1" w:rsidRPr="003306A1">
              <w:rPr>
                <w:rFonts w:ascii="Arial Narrow" w:hAnsi="Arial Narrow"/>
                <w:noProof/>
                <w:webHidden/>
                <w:sz w:val="22"/>
                <w:szCs w:val="22"/>
              </w:rPr>
              <w:fldChar w:fldCharType="separate"/>
            </w:r>
            <w:r w:rsidR="003306A1" w:rsidRPr="003306A1">
              <w:rPr>
                <w:rFonts w:ascii="Arial Narrow" w:hAnsi="Arial Narrow"/>
                <w:noProof/>
                <w:webHidden/>
                <w:sz w:val="22"/>
                <w:szCs w:val="22"/>
              </w:rPr>
              <w:t>31</w:t>
            </w:r>
            <w:r w:rsidR="003306A1" w:rsidRPr="003306A1">
              <w:rPr>
                <w:rFonts w:ascii="Arial Narrow" w:hAnsi="Arial Narrow"/>
                <w:noProof/>
                <w:webHidden/>
                <w:sz w:val="22"/>
                <w:szCs w:val="22"/>
              </w:rPr>
              <w:fldChar w:fldCharType="end"/>
            </w:r>
          </w:hyperlink>
        </w:p>
        <w:p w:rsidR="003306A1" w:rsidRPr="003306A1" w:rsidRDefault="00346DD2">
          <w:pPr>
            <w:pStyle w:val="Obsah3"/>
            <w:tabs>
              <w:tab w:val="right" w:pos="9063"/>
            </w:tabs>
            <w:rPr>
              <w:rFonts w:ascii="Arial Narrow" w:eastAsiaTheme="minorEastAsia" w:hAnsi="Arial Narrow" w:cstheme="minorBidi"/>
              <w:noProof/>
              <w:sz w:val="22"/>
              <w:szCs w:val="22"/>
            </w:rPr>
          </w:pPr>
          <w:hyperlink w:anchor="_Toc529507605" w:history="1">
            <w:r w:rsidR="003306A1" w:rsidRPr="003306A1">
              <w:rPr>
                <w:rStyle w:val="Hypertextovprepojenie"/>
                <w:rFonts w:ascii="Arial Narrow" w:hAnsi="Arial Narrow"/>
                <w:noProof/>
                <w:sz w:val="22"/>
                <w:szCs w:val="22"/>
              </w:rPr>
              <w:t>Ministerstvo hospodárstva SR</w:t>
            </w:r>
            <w:r w:rsidR="003306A1" w:rsidRPr="003306A1">
              <w:rPr>
                <w:rFonts w:ascii="Arial Narrow" w:hAnsi="Arial Narrow"/>
                <w:noProof/>
                <w:webHidden/>
                <w:sz w:val="22"/>
                <w:szCs w:val="22"/>
              </w:rPr>
              <w:tab/>
            </w:r>
            <w:r w:rsidR="003306A1" w:rsidRPr="003306A1">
              <w:rPr>
                <w:rFonts w:ascii="Arial Narrow" w:hAnsi="Arial Narrow"/>
                <w:noProof/>
                <w:webHidden/>
                <w:sz w:val="22"/>
                <w:szCs w:val="22"/>
              </w:rPr>
              <w:fldChar w:fldCharType="begin"/>
            </w:r>
            <w:r w:rsidR="003306A1" w:rsidRPr="003306A1">
              <w:rPr>
                <w:rFonts w:ascii="Arial Narrow" w:hAnsi="Arial Narrow"/>
                <w:noProof/>
                <w:webHidden/>
                <w:sz w:val="22"/>
                <w:szCs w:val="22"/>
              </w:rPr>
              <w:instrText xml:space="preserve"> PAGEREF _Toc529507605 \h </w:instrText>
            </w:r>
            <w:r w:rsidR="003306A1" w:rsidRPr="003306A1">
              <w:rPr>
                <w:rFonts w:ascii="Arial Narrow" w:hAnsi="Arial Narrow"/>
                <w:noProof/>
                <w:webHidden/>
                <w:sz w:val="22"/>
                <w:szCs w:val="22"/>
              </w:rPr>
            </w:r>
            <w:r w:rsidR="003306A1" w:rsidRPr="003306A1">
              <w:rPr>
                <w:rFonts w:ascii="Arial Narrow" w:hAnsi="Arial Narrow"/>
                <w:noProof/>
                <w:webHidden/>
                <w:sz w:val="22"/>
                <w:szCs w:val="22"/>
              </w:rPr>
              <w:fldChar w:fldCharType="separate"/>
            </w:r>
            <w:r w:rsidR="003306A1" w:rsidRPr="003306A1">
              <w:rPr>
                <w:rFonts w:ascii="Arial Narrow" w:hAnsi="Arial Narrow"/>
                <w:noProof/>
                <w:webHidden/>
                <w:sz w:val="22"/>
                <w:szCs w:val="22"/>
              </w:rPr>
              <w:t>33</w:t>
            </w:r>
            <w:r w:rsidR="003306A1" w:rsidRPr="003306A1">
              <w:rPr>
                <w:rFonts w:ascii="Arial Narrow" w:hAnsi="Arial Narrow"/>
                <w:noProof/>
                <w:webHidden/>
                <w:sz w:val="22"/>
                <w:szCs w:val="22"/>
              </w:rPr>
              <w:fldChar w:fldCharType="end"/>
            </w:r>
          </w:hyperlink>
        </w:p>
        <w:p w:rsidR="003306A1" w:rsidRPr="003306A1" w:rsidRDefault="00346DD2">
          <w:pPr>
            <w:pStyle w:val="Obsah3"/>
            <w:tabs>
              <w:tab w:val="right" w:pos="9063"/>
            </w:tabs>
            <w:rPr>
              <w:rFonts w:ascii="Arial Narrow" w:eastAsiaTheme="minorEastAsia" w:hAnsi="Arial Narrow" w:cstheme="minorBidi"/>
              <w:noProof/>
              <w:sz w:val="22"/>
              <w:szCs w:val="22"/>
            </w:rPr>
          </w:pPr>
          <w:hyperlink w:anchor="_Toc529507606" w:history="1">
            <w:r w:rsidR="003306A1" w:rsidRPr="003306A1">
              <w:rPr>
                <w:rStyle w:val="Hypertextovprepojenie"/>
                <w:rFonts w:ascii="Arial Narrow" w:hAnsi="Arial Narrow"/>
                <w:noProof/>
                <w:sz w:val="22"/>
                <w:szCs w:val="22"/>
              </w:rPr>
              <w:t>Ministerstvo pôdohospodárstva a rozvoja vidieka SR</w:t>
            </w:r>
            <w:r w:rsidR="003306A1" w:rsidRPr="003306A1">
              <w:rPr>
                <w:rFonts w:ascii="Arial Narrow" w:hAnsi="Arial Narrow"/>
                <w:noProof/>
                <w:webHidden/>
                <w:sz w:val="22"/>
                <w:szCs w:val="22"/>
              </w:rPr>
              <w:tab/>
            </w:r>
            <w:r w:rsidR="003306A1" w:rsidRPr="003306A1">
              <w:rPr>
                <w:rFonts w:ascii="Arial Narrow" w:hAnsi="Arial Narrow"/>
                <w:noProof/>
                <w:webHidden/>
                <w:sz w:val="22"/>
                <w:szCs w:val="22"/>
              </w:rPr>
              <w:fldChar w:fldCharType="begin"/>
            </w:r>
            <w:r w:rsidR="003306A1" w:rsidRPr="003306A1">
              <w:rPr>
                <w:rFonts w:ascii="Arial Narrow" w:hAnsi="Arial Narrow"/>
                <w:noProof/>
                <w:webHidden/>
                <w:sz w:val="22"/>
                <w:szCs w:val="22"/>
              </w:rPr>
              <w:instrText xml:space="preserve"> PAGEREF _Toc529507606 \h </w:instrText>
            </w:r>
            <w:r w:rsidR="003306A1" w:rsidRPr="003306A1">
              <w:rPr>
                <w:rFonts w:ascii="Arial Narrow" w:hAnsi="Arial Narrow"/>
                <w:noProof/>
                <w:webHidden/>
                <w:sz w:val="22"/>
                <w:szCs w:val="22"/>
              </w:rPr>
            </w:r>
            <w:r w:rsidR="003306A1" w:rsidRPr="003306A1">
              <w:rPr>
                <w:rFonts w:ascii="Arial Narrow" w:hAnsi="Arial Narrow"/>
                <w:noProof/>
                <w:webHidden/>
                <w:sz w:val="22"/>
                <w:szCs w:val="22"/>
              </w:rPr>
              <w:fldChar w:fldCharType="separate"/>
            </w:r>
            <w:r w:rsidR="003306A1" w:rsidRPr="003306A1">
              <w:rPr>
                <w:rFonts w:ascii="Arial Narrow" w:hAnsi="Arial Narrow"/>
                <w:noProof/>
                <w:webHidden/>
                <w:sz w:val="22"/>
                <w:szCs w:val="22"/>
              </w:rPr>
              <w:t>35</w:t>
            </w:r>
            <w:r w:rsidR="003306A1" w:rsidRPr="003306A1">
              <w:rPr>
                <w:rFonts w:ascii="Arial Narrow" w:hAnsi="Arial Narrow"/>
                <w:noProof/>
                <w:webHidden/>
                <w:sz w:val="22"/>
                <w:szCs w:val="22"/>
              </w:rPr>
              <w:fldChar w:fldCharType="end"/>
            </w:r>
          </w:hyperlink>
        </w:p>
        <w:p w:rsidR="003306A1" w:rsidRPr="003306A1" w:rsidRDefault="00346DD2">
          <w:pPr>
            <w:pStyle w:val="Obsah3"/>
            <w:tabs>
              <w:tab w:val="right" w:pos="9063"/>
            </w:tabs>
            <w:rPr>
              <w:rFonts w:ascii="Arial Narrow" w:eastAsiaTheme="minorEastAsia" w:hAnsi="Arial Narrow" w:cstheme="minorBidi"/>
              <w:noProof/>
              <w:sz w:val="22"/>
              <w:szCs w:val="22"/>
            </w:rPr>
          </w:pPr>
          <w:hyperlink w:anchor="_Toc529507607" w:history="1">
            <w:r w:rsidR="003306A1" w:rsidRPr="003306A1">
              <w:rPr>
                <w:rStyle w:val="Hypertextovprepojenie"/>
                <w:rFonts w:ascii="Arial Narrow" w:hAnsi="Arial Narrow"/>
                <w:noProof/>
                <w:sz w:val="22"/>
                <w:szCs w:val="22"/>
              </w:rPr>
              <w:t>Ministerstvo dopravy a výstavby SR</w:t>
            </w:r>
            <w:r w:rsidR="003306A1" w:rsidRPr="003306A1">
              <w:rPr>
                <w:rFonts w:ascii="Arial Narrow" w:hAnsi="Arial Narrow"/>
                <w:noProof/>
                <w:webHidden/>
                <w:sz w:val="22"/>
                <w:szCs w:val="22"/>
              </w:rPr>
              <w:tab/>
            </w:r>
            <w:r w:rsidR="003306A1" w:rsidRPr="003306A1">
              <w:rPr>
                <w:rFonts w:ascii="Arial Narrow" w:hAnsi="Arial Narrow"/>
                <w:noProof/>
                <w:webHidden/>
                <w:sz w:val="22"/>
                <w:szCs w:val="22"/>
              </w:rPr>
              <w:fldChar w:fldCharType="begin"/>
            </w:r>
            <w:r w:rsidR="003306A1" w:rsidRPr="003306A1">
              <w:rPr>
                <w:rFonts w:ascii="Arial Narrow" w:hAnsi="Arial Narrow"/>
                <w:noProof/>
                <w:webHidden/>
                <w:sz w:val="22"/>
                <w:szCs w:val="22"/>
              </w:rPr>
              <w:instrText xml:space="preserve"> PAGEREF _Toc529507607 \h </w:instrText>
            </w:r>
            <w:r w:rsidR="003306A1" w:rsidRPr="003306A1">
              <w:rPr>
                <w:rFonts w:ascii="Arial Narrow" w:hAnsi="Arial Narrow"/>
                <w:noProof/>
                <w:webHidden/>
                <w:sz w:val="22"/>
                <w:szCs w:val="22"/>
              </w:rPr>
            </w:r>
            <w:r w:rsidR="003306A1" w:rsidRPr="003306A1">
              <w:rPr>
                <w:rFonts w:ascii="Arial Narrow" w:hAnsi="Arial Narrow"/>
                <w:noProof/>
                <w:webHidden/>
                <w:sz w:val="22"/>
                <w:szCs w:val="22"/>
              </w:rPr>
              <w:fldChar w:fldCharType="separate"/>
            </w:r>
            <w:r w:rsidR="003306A1" w:rsidRPr="003306A1">
              <w:rPr>
                <w:rFonts w:ascii="Arial Narrow" w:hAnsi="Arial Narrow"/>
                <w:noProof/>
                <w:webHidden/>
                <w:sz w:val="22"/>
                <w:szCs w:val="22"/>
              </w:rPr>
              <w:t>37</w:t>
            </w:r>
            <w:r w:rsidR="003306A1" w:rsidRPr="003306A1">
              <w:rPr>
                <w:rFonts w:ascii="Arial Narrow" w:hAnsi="Arial Narrow"/>
                <w:noProof/>
                <w:webHidden/>
                <w:sz w:val="22"/>
                <w:szCs w:val="22"/>
              </w:rPr>
              <w:fldChar w:fldCharType="end"/>
            </w:r>
          </w:hyperlink>
        </w:p>
        <w:p w:rsidR="003306A1" w:rsidRPr="003306A1" w:rsidRDefault="00346DD2">
          <w:pPr>
            <w:pStyle w:val="Obsah1"/>
            <w:tabs>
              <w:tab w:val="left" w:pos="480"/>
              <w:tab w:val="right" w:pos="9063"/>
            </w:tabs>
            <w:rPr>
              <w:rFonts w:ascii="Arial Narrow" w:eastAsiaTheme="minorEastAsia" w:hAnsi="Arial Narrow" w:cstheme="minorBidi"/>
              <w:b w:val="0"/>
              <w:bCs w:val="0"/>
              <w:noProof/>
              <w:sz w:val="22"/>
              <w:szCs w:val="22"/>
            </w:rPr>
          </w:pPr>
          <w:hyperlink w:anchor="_Toc529507608" w:history="1">
            <w:r w:rsidR="003306A1" w:rsidRPr="003306A1">
              <w:rPr>
                <w:rStyle w:val="Hypertextovprepojenie"/>
                <w:rFonts w:ascii="Arial Narrow" w:eastAsiaTheme="minorHAnsi" w:hAnsi="Arial Narrow"/>
                <w:noProof/>
                <w:sz w:val="22"/>
                <w:szCs w:val="22"/>
                <w:lang w:eastAsia="en-US"/>
              </w:rPr>
              <w:t>4</w:t>
            </w:r>
            <w:r w:rsidR="003306A1" w:rsidRPr="003306A1">
              <w:rPr>
                <w:rFonts w:ascii="Arial Narrow" w:eastAsiaTheme="minorEastAsia" w:hAnsi="Arial Narrow" w:cstheme="minorBidi"/>
                <w:b w:val="0"/>
                <w:bCs w:val="0"/>
                <w:noProof/>
                <w:sz w:val="22"/>
                <w:szCs w:val="22"/>
              </w:rPr>
              <w:tab/>
            </w:r>
            <w:r w:rsidR="003306A1" w:rsidRPr="003306A1">
              <w:rPr>
                <w:rStyle w:val="Hypertextovprepojenie"/>
                <w:rFonts w:ascii="Arial Narrow" w:eastAsiaTheme="minorHAnsi" w:hAnsi="Arial Narrow"/>
                <w:noProof/>
                <w:sz w:val="22"/>
                <w:szCs w:val="22"/>
                <w:lang w:eastAsia="en-US"/>
              </w:rPr>
              <w:t>Stanovisko k rozpočtovým vzťahom SR a EÚ na rok 2019</w:t>
            </w:r>
            <w:r w:rsidR="003306A1" w:rsidRPr="003306A1">
              <w:rPr>
                <w:rFonts w:ascii="Arial Narrow" w:hAnsi="Arial Narrow"/>
                <w:noProof/>
                <w:webHidden/>
                <w:sz w:val="22"/>
                <w:szCs w:val="22"/>
              </w:rPr>
              <w:tab/>
            </w:r>
            <w:r w:rsidR="003306A1" w:rsidRPr="003306A1">
              <w:rPr>
                <w:rFonts w:ascii="Arial Narrow" w:hAnsi="Arial Narrow"/>
                <w:noProof/>
                <w:webHidden/>
                <w:sz w:val="22"/>
                <w:szCs w:val="22"/>
              </w:rPr>
              <w:fldChar w:fldCharType="begin"/>
            </w:r>
            <w:r w:rsidR="003306A1" w:rsidRPr="003306A1">
              <w:rPr>
                <w:rFonts w:ascii="Arial Narrow" w:hAnsi="Arial Narrow"/>
                <w:noProof/>
                <w:webHidden/>
                <w:sz w:val="22"/>
                <w:szCs w:val="22"/>
              </w:rPr>
              <w:instrText xml:space="preserve"> PAGEREF _Toc529507608 \h </w:instrText>
            </w:r>
            <w:r w:rsidR="003306A1" w:rsidRPr="003306A1">
              <w:rPr>
                <w:rFonts w:ascii="Arial Narrow" w:hAnsi="Arial Narrow"/>
                <w:noProof/>
                <w:webHidden/>
                <w:sz w:val="22"/>
                <w:szCs w:val="22"/>
              </w:rPr>
            </w:r>
            <w:r w:rsidR="003306A1" w:rsidRPr="003306A1">
              <w:rPr>
                <w:rFonts w:ascii="Arial Narrow" w:hAnsi="Arial Narrow"/>
                <w:noProof/>
                <w:webHidden/>
                <w:sz w:val="22"/>
                <w:szCs w:val="22"/>
              </w:rPr>
              <w:fldChar w:fldCharType="separate"/>
            </w:r>
            <w:r w:rsidR="003306A1" w:rsidRPr="003306A1">
              <w:rPr>
                <w:rFonts w:ascii="Arial Narrow" w:hAnsi="Arial Narrow"/>
                <w:noProof/>
                <w:webHidden/>
                <w:sz w:val="22"/>
                <w:szCs w:val="22"/>
              </w:rPr>
              <w:t>39</w:t>
            </w:r>
            <w:r w:rsidR="003306A1" w:rsidRPr="003306A1">
              <w:rPr>
                <w:rFonts w:ascii="Arial Narrow" w:hAnsi="Arial Narrow"/>
                <w:noProof/>
                <w:webHidden/>
                <w:sz w:val="22"/>
                <w:szCs w:val="22"/>
              </w:rPr>
              <w:fldChar w:fldCharType="end"/>
            </w:r>
          </w:hyperlink>
        </w:p>
        <w:p w:rsidR="003306A1" w:rsidRPr="003306A1" w:rsidRDefault="00346DD2">
          <w:pPr>
            <w:pStyle w:val="Obsah1"/>
            <w:tabs>
              <w:tab w:val="left" w:pos="480"/>
              <w:tab w:val="right" w:pos="9063"/>
            </w:tabs>
            <w:rPr>
              <w:rFonts w:ascii="Arial Narrow" w:eastAsiaTheme="minorEastAsia" w:hAnsi="Arial Narrow" w:cstheme="minorBidi"/>
              <w:b w:val="0"/>
              <w:bCs w:val="0"/>
              <w:noProof/>
              <w:sz w:val="22"/>
              <w:szCs w:val="22"/>
            </w:rPr>
          </w:pPr>
          <w:hyperlink w:anchor="_Toc529507609" w:history="1">
            <w:r w:rsidR="003306A1" w:rsidRPr="003306A1">
              <w:rPr>
                <w:rStyle w:val="Hypertextovprepojenie"/>
                <w:rFonts w:ascii="Arial Narrow" w:eastAsiaTheme="minorHAnsi" w:hAnsi="Arial Narrow"/>
                <w:noProof/>
                <w:sz w:val="22"/>
                <w:szCs w:val="22"/>
                <w:lang w:eastAsia="en-US"/>
              </w:rPr>
              <w:t>5</w:t>
            </w:r>
            <w:r w:rsidR="003306A1" w:rsidRPr="003306A1">
              <w:rPr>
                <w:rFonts w:ascii="Arial Narrow" w:eastAsiaTheme="minorEastAsia" w:hAnsi="Arial Narrow" w:cstheme="minorBidi"/>
                <w:b w:val="0"/>
                <w:bCs w:val="0"/>
                <w:noProof/>
                <w:sz w:val="22"/>
                <w:szCs w:val="22"/>
              </w:rPr>
              <w:tab/>
            </w:r>
            <w:r w:rsidR="003306A1" w:rsidRPr="003306A1">
              <w:rPr>
                <w:rStyle w:val="Hypertextovprepojenie"/>
                <w:rFonts w:ascii="Arial Narrow" w:eastAsiaTheme="minorHAnsi" w:hAnsi="Arial Narrow"/>
                <w:noProof/>
                <w:sz w:val="22"/>
                <w:szCs w:val="22"/>
                <w:lang w:eastAsia="en-US"/>
              </w:rPr>
              <w:t>Stanovisko k návrhu súhrnného rozpočtu ostatných subjektov verejnej správy na rok 2019</w:t>
            </w:r>
            <w:r w:rsidR="003306A1" w:rsidRPr="003306A1">
              <w:rPr>
                <w:rFonts w:ascii="Arial Narrow" w:hAnsi="Arial Narrow"/>
                <w:noProof/>
                <w:webHidden/>
                <w:sz w:val="22"/>
                <w:szCs w:val="22"/>
              </w:rPr>
              <w:tab/>
            </w:r>
            <w:r w:rsidR="003306A1" w:rsidRPr="003306A1">
              <w:rPr>
                <w:rFonts w:ascii="Arial Narrow" w:hAnsi="Arial Narrow"/>
                <w:noProof/>
                <w:webHidden/>
                <w:sz w:val="22"/>
                <w:szCs w:val="22"/>
              </w:rPr>
              <w:fldChar w:fldCharType="begin"/>
            </w:r>
            <w:r w:rsidR="003306A1" w:rsidRPr="003306A1">
              <w:rPr>
                <w:rFonts w:ascii="Arial Narrow" w:hAnsi="Arial Narrow"/>
                <w:noProof/>
                <w:webHidden/>
                <w:sz w:val="22"/>
                <w:szCs w:val="22"/>
              </w:rPr>
              <w:instrText xml:space="preserve"> PAGEREF _Toc529507609 \h </w:instrText>
            </w:r>
            <w:r w:rsidR="003306A1" w:rsidRPr="003306A1">
              <w:rPr>
                <w:rFonts w:ascii="Arial Narrow" w:hAnsi="Arial Narrow"/>
                <w:noProof/>
                <w:webHidden/>
                <w:sz w:val="22"/>
                <w:szCs w:val="22"/>
              </w:rPr>
            </w:r>
            <w:r w:rsidR="003306A1" w:rsidRPr="003306A1">
              <w:rPr>
                <w:rFonts w:ascii="Arial Narrow" w:hAnsi="Arial Narrow"/>
                <w:noProof/>
                <w:webHidden/>
                <w:sz w:val="22"/>
                <w:szCs w:val="22"/>
              </w:rPr>
              <w:fldChar w:fldCharType="separate"/>
            </w:r>
            <w:r w:rsidR="003306A1" w:rsidRPr="003306A1">
              <w:rPr>
                <w:rFonts w:ascii="Arial Narrow" w:hAnsi="Arial Narrow"/>
                <w:noProof/>
                <w:webHidden/>
                <w:sz w:val="22"/>
                <w:szCs w:val="22"/>
              </w:rPr>
              <w:t>42</w:t>
            </w:r>
            <w:r w:rsidR="003306A1" w:rsidRPr="003306A1">
              <w:rPr>
                <w:rFonts w:ascii="Arial Narrow" w:hAnsi="Arial Narrow"/>
                <w:noProof/>
                <w:webHidden/>
                <w:sz w:val="22"/>
                <w:szCs w:val="22"/>
              </w:rPr>
              <w:fldChar w:fldCharType="end"/>
            </w:r>
          </w:hyperlink>
        </w:p>
        <w:p w:rsidR="003306A1" w:rsidRPr="003306A1" w:rsidRDefault="00346DD2">
          <w:pPr>
            <w:pStyle w:val="Obsah2"/>
            <w:tabs>
              <w:tab w:val="left" w:pos="720"/>
              <w:tab w:val="right" w:pos="9063"/>
            </w:tabs>
            <w:rPr>
              <w:rFonts w:ascii="Arial Narrow" w:eastAsiaTheme="minorEastAsia" w:hAnsi="Arial Narrow" w:cstheme="minorBidi"/>
              <w:i w:val="0"/>
              <w:iCs w:val="0"/>
              <w:noProof/>
              <w:sz w:val="22"/>
              <w:szCs w:val="22"/>
            </w:rPr>
          </w:pPr>
          <w:hyperlink w:anchor="_Toc529507610" w:history="1">
            <w:r w:rsidR="003306A1" w:rsidRPr="003306A1">
              <w:rPr>
                <w:rStyle w:val="Hypertextovprepojenie"/>
                <w:rFonts w:ascii="Arial Narrow" w:hAnsi="Arial Narrow"/>
                <w:i w:val="0"/>
                <w:noProof/>
                <w:sz w:val="22"/>
                <w:szCs w:val="22"/>
              </w:rPr>
              <w:t>5.1</w:t>
            </w:r>
            <w:r w:rsidR="003306A1" w:rsidRPr="003306A1">
              <w:rPr>
                <w:rFonts w:ascii="Arial Narrow" w:eastAsiaTheme="minorEastAsia" w:hAnsi="Arial Narrow" w:cstheme="minorBidi"/>
                <w:i w:val="0"/>
                <w:iCs w:val="0"/>
                <w:noProof/>
                <w:sz w:val="22"/>
                <w:szCs w:val="22"/>
              </w:rPr>
              <w:tab/>
            </w:r>
            <w:r w:rsidR="003306A1" w:rsidRPr="003306A1">
              <w:rPr>
                <w:rStyle w:val="Hypertextovprepojenie"/>
                <w:rFonts w:ascii="Arial Narrow" w:hAnsi="Arial Narrow"/>
                <w:i w:val="0"/>
                <w:noProof/>
                <w:sz w:val="22"/>
                <w:szCs w:val="22"/>
              </w:rPr>
              <w:t>Stanovisko k rozpočtovému rámcu návrhu súhrnného rozpočtu ostatných subjektov verejnej správy na rok 2019</w:t>
            </w:r>
            <w:r w:rsidR="003306A1" w:rsidRPr="003306A1">
              <w:rPr>
                <w:rFonts w:ascii="Arial Narrow" w:hAnsi="Arial Narrow"/>
                <w:i w:val="0"/>
                <w:noProof/>
                <w:webHidden/>
                <w:sz w:val="22"/>
                <w:szCs w:val="22"/>
              </w:rPr>
              <w:tab/>
            </w:r>
            <w:r w:rsidR="003306A1" w:rsidRPr="003306A1">
              <w:rPr>
                <w:rFonts w:ascii="Arial Narrow" w:hAnsi="Arial Narrow"/>
                <w:i w:val="0"/>
                <w:noProof/>
                <w:webHidden/>
                <w:sz w:val="22"/>
                <w:szCs w:val="22"/>
              </w:rPr>
              <w:fldChar w:fldCharType="begin"/>
            </w:r>
            <w:r w:rsidR="003306A1" w:rsidRPr="003306A1">
              <w:rPr>
                <w:rFonts w:ascii="Arial Narrow" w:hAnsi="Arial Narrow"/>
                <w:i w:val="0"/>
                <w:noProof/>
                <w:webHidden/>
                <w:sz w:val="22"/>
                <w:szCs w:val="22"/>
              </w:rPr>
              <w:instrText xml:space="preserve"> PAGEREF _Toc529507610 \h </w:instrText>
            </w:r>
            <w:r w:rsidR="003306A1" w:rsidRPr="003306A1">
              <w:rPr>
                <w:rFonts w:ascii="Arial Narrow" w:hAnsi="Arial Narrow"/>
                <w:i w:val="0"/>
                <w:noProof/>
                <w:webHidden/>
                <w:sz w:val="22"/>
                <w:szCs w:val="22"/>
              </w:rPr>
            </w:r>
            <w:r w:rsidR="003306A1" w:rsidRPr="003306A1">
              <w:rPr>
                <w:rFonts w:ascii="Arial Narrow" w:hAnsi="Arial Narrow"/>
                <w:i w:val="0"/>
                <w:noProof/>
                <w:webHidden/>
                <w:sz w:val="22"/>
                <w:szCs w:val="22"/>
              </w:rPr>
              <w:fldChar w:fldCharType="separate"/>
            </w:r>
            <w:r w:rsidR="003306A1" w:rsidRPr="003306A1">
              <w:rPr>
                <w:rFonts w:ascii="Arial Narrow" w:hAnsi="Arial Narrow"/>
                <w:i w:val="0"/>
                <w:noProof/>
                <w:webHidden/>
                <w:sz w:val="22"/>
                <w:szCs w:val="22"/>
              </w:rPr>
              <w:t>42</w:t>
            </w:r>
            <w:r w:rsidR="003306A1" w:rsidRPr="003306A1">
              <w:rPr>
                <w:rFonts w:ascii="Arial Narrow" w:hAnsi="Arial Narrow"/>
                <w:i w:val="0"/>
                <w:noProof/>
                <w:webHidden/>
                <w:sz w:val="22"/>
                <w:szCs w:val="22"/>
              </w:rPr>
              <w:fldChar w:fldCharType="end"/>
            </w:r>
          </w:hyperlink>
        </w:p>
        <w:p w:rsidR="003306A1" w:rsidRPr="003306A1" w:rsidRDefault="00346DD2">
          <w:pPr>
            <w:pStyle w:val="Obsah2"/>
            <w:tabs>
              <w:tab w:val="left" w:pos="720"/>
              <w:tab w:val="right" w:pos="9063"/>
            </w:tabs>
            <w:rPr>
              <w:rFonts w:ascii="Arial Narrow" w:eastAsiaTheme="minorEastAsia" w:hAnsi="Arial Narrow" w:cstheme="minorBidi"/>
              <w:i w:val="0"/>
              <w:iCs w:val="0"/>
              <w:noProof/>
              <w:sz w:val="22"/>
              <w:szCs w:val="22"/>
            </w:rPr>
          </w:pPr>
          <w:hyperlink w:anchor="_Toc529507611" w:history="1">
            <w:r w:rsidR="003306A1" w:rsidRPr="003306A1">
              <w:rPr>
                <w:rStyle w:val="Hypertextovprepojenie"/>
                <w:rFonts w:ascii="Arial Narrow" w:hAnsi="Arial Narrow"/>
                <w:i w:val="0"/>
                <w:noProof/>
                <w:sz w:val="22"/>
                <w:szCs w:val="22"/>
              </w:rPr>
              <w:t>5.2</w:t>
            </w:r>
            <w:r w:rsidR="003306A1" w:rsidRPr="003306A1">
              <w:rPr>
                <w:rFonts w:ascii="Arial Narrow" w:eastAsiaTheme="minorEastAsia" w:hAnsi="Arial Narrow" w:cstheme="minorBidi"/>
                <w:i w:val="0"/>
                <w:iCs w:val="0"/>
                <w:noProof/>
                <w:sz w:val="22"/>
                <w:szCs w:val="22"/>
              </w:rPr>
              <w:tab/>
            </w:r>
            <w:r w:rsidR="003306A1" w:rsidRPr="003306A1">
              <w:rPr>
                <w:rStyle w:val="Hypertextovprepojenie"/>
                <w:rFonts w:ascii="Arial Narrow" w:hAnsi="Arial Narrow"/>
                <w:i w:val="0"/>
                <w:noProof/>
                <w:sz w:val="22"/>
                <w:szCs w:val="22"/>
              </w:rPr>
              <w:t>Stanovisko k súhrnnému rozpočtu obcí a vyšších územných celkov na rok 2019</w:t>
            </w:r>
            <w:r w:rsidR="003306A1" w:rsidRPr="003306A1">
              <w:rPr>
                <w:rFonts w:ascii="Arial Narrow" w:hAnsi="Arial Narrow"/>
                <w:i w:val="0"/>
                <w:noProof/>
                <w:webHidden/>
                <w:sz w:val="22"/>
                <w:szCs w:val="22"/>
              </w:rPr>
              <w:tab/>
            </w:r>
            <w:r w:rsidR="003306A1" w:rsidRPr="003306A1">
              <w:rPr>
                <w:rFonts w:ascii="Arial Narrow" w:hAnsi="Arial Narrow"/>
                <w:i w:val="0"/>
                <w:noProof/>
                <w:webHidden/>
                <w:sz w:val="22"/>
                <w:szCs w:val="22"/>
              </w:rPr>
              <w:fldChar w:fldCharType="begin"/>
            </w:r>
            <w:r w:rsidR="003306A1" w:rsidRPr="003306A1">
              <w:rPr>
                <w:rFonts w:ascii="Arial Narrow" w:hAnsi="Arial Narrow"/>
                <w:i w:val="0"/>
                <w:noProof/>
                <w:webHidden/>
                <w:sz w:val="22"/>
                <w:szCs w:val="22"/>
              </w:rPr>
              <w:instrText xml:space="preserve"> PAGEREF _Toc529507611 \h </w:instrText>
            </w:r>
            <w:r w:rsidR="003306A1" w:rsidRPr="003306A1">
              <w:rPr>
                <w:rFonts w:ascii="Arial Narrow" w:hAnsi="Arial Narrow"/>
                <w:i w:val="0"/>
                <w:noProof/>
                <w:webHidden/>
                <w:sz w:val="22"/>
                <w:szCs w:val="22"/>
              </w:rPr>
            </w:r>
            <w:r w:rsidR="003306A1" w:rsidRPr="003306A1">
              <w:rPr>
                <w:rFonts w:ascii="Arial Narrow" w:hAnsi="Arial Narrow"/>
                <w:i w:val="0"/>
                <w:noProof/>
                <w:webHidden/>
                <w:sz w:val="22"/>
                <w:szCs w:val="22"/>
              </w:rPr>
              <w:fldChar w:fldCharType="separate"/>
            </w:r>
            <w:r w:rsidR="003306A1" w:rsidRPr="003306A1">
              <w:rPr>
                <w:rFonts w:ascii="Arial Narrow" w:hAnsi="Arial Narrow"/>
                <w:i w:val="0"/>
                <w:noProof/>
                <w:webHidden/>
                <w:sz w:val="22"/>
                <w:szCs w:val="22"/>
              </w:rPr>
              <w:t>44</w:t>
            </w:r>
            <w:r w:rsidR="003306A1" w:rsidRPr="003306A1">
              <w:rPr>
                <w:rFonts w:ascii="Arial Narrow" w:hAnsi="Arial Narrow"/>
                <w:i w:val="0"/>
                <w:noProof/>
                <w:webHidden/>
                <w:sz w:val="22"/>
                <w:szCs w:val="22"/>
              </w:rPr>
              <w:fldChar w:fldCharType="end"/>
            </w:r>
          </w:hyperlink>
        </w:p>
        <w:p w:rsidR="003306A1" w:rsidRPr="003306A1" w:rsidRDefault="00346DD2">
          <w:pPr>
            <w:pStyle w:val="Obsah2"/>
            <w:tabs>
              <w:tab w:val="left" w:pos="960"/>
              <w:tab w:val="right" w:pos="9063"/>
            </w:tabs>
            <w:rPr>
              <w:rFonts w:ascii="Arial Narrow" w:eastAsiaTheme="minorEastAsia" w:hAnsi="Arial Narrow" w:cstheme="minorBidi"/>
              <w:i w:val="0"/>
              <w:iCs w:val="0"/>
              <w:noProof/>
              <w:sz w:val="22"/>
              <w:szCs w:val="22"/>
            </w:rPr>
          </w:pPr>
          <w:hyperlink w:anchor="_Toc529507612" w:history="1">
            <w:r w:rsidR="003306A1" w:rsidRPr="003306A1">
              <w:rPr>
                <w:rStyle w:val="Hypertextovprepojenie"/>
                <w:rFonts w:ascii="Arial Narrow" w:hAnsi="Arial Narrow"/>
                <w:i w:val="0"/>
                <w:noProof/>
                <w:sz w:val="22"/>
                <w:szCs w:val="22"/>
              </w:rPr>
              <w:t>5.2.1</w:t>
            </w:r>
            <w:r w:rsidR="003306A1" w:rsidRPr="003306A1">
              <w:rPr>
                <w:rFonts w:ascii="Arial Narrow" w:eastAsiaTheme="minorEastAsia" w:hAnsi="Arial Narrow" w:cstheme="minorBidi"/>
                <w:i w:val="0"/>
                <w:iCs w:val="0"/>
                <w:noProof/>
                <w:sz w:val="22"/>
                <w:szCs w:val="22"/>
              </w:rPr>
              <w:tab/>
            </w:r>
            <w:r w:rsidR="003306A1" w:rsidRPr="003306A1">
              <w:rPr>
                <w:rStyle w:val="Hypertextovprepojenie"/>
                <w:rFonts w:ascii="Arial Narrow" w:hAnsi="Arial Narrow"/>
                <w:i w:val="0"/>
                <w:noProof/>
                <w:sz w:val="22"/>
                <w:szCs w:val="22"/>
              </w:rPr>
              <w:t>Stanovisko k návrhu rozpočtu obcí na rok 2019</w:t>
            </w:r>
            <w:r w:rsidR="003306A1" w:rsidRPr="003306A1">
              <w:rPr>
                <w:rFonts w:ascii="Arial Narrow" w:hAnsi="Arial Narrow"/>
                <w:i w:val="0"/>
                <w:noProof/>
                <w:webHidden/>
                <w:sz w:val="22"/>
                <w:szCs w:val="22"/>
              </w:rPr>
              <w:tab/>
            </w:r>
            <w:r w:rsidR="003306A1" w:rsidRPr="003306A1">
              <w:rPr>
                <w:rFonts w:ascii="Arial Narrow" w:hAnsi="Arial Narrow"/>
                <w:i w:val="0"/>
                <w:noProof/>
                <w:webHidden/>
                <w:sz w:val="22"/>
                <w:szCs w:val="22"/>
              </w:rPr>
              <w:fldChar w:fldCharType="begin"/>
            </w:r>
            <w:r w:rsidR="003306A1" w:rsidRPr="003306A1">
              <w:rPr>
                <w:rFonts w:ascii="Arial Narrow" w:hAnsi="Arial Narrow"/>
                <w:i w:val="0"/>
                <w:noProof/>
                <w:webHidden/>
                <w:sz w:val="22"/>
                <w:szCs w:val="22"/>
              </w:rPr>
              <w:instrText xml:space="preserve"> PAGEREF _Toc529507612 \h </w:instrText>
            </w:r>
            <w:r w:rsidR="003306A1" w:rsidRPr="003306A1">
              <w:rPr>
                <w:rFonts w:ascii="Arial Narrow" w:hAnsi="Arial Narrow"/>
                <w:i w:val="0"/>
                <w:noProof/>
                <w:webHidden/>
                <w:sz w:val="22"/>
                <w:szCs w:val="22"/>
              </w:rPr>
            </w:r>
            <w:r w:rsidR="003306A1" w:rsidRPr="003306A1">
              <w:rPr>
                <w:rFonts w:ascii="Arial Narrow" w:hAnsi="Arial Narrow"/>
                <w:i w:val="0"/>
                <w:noProof/>
                <w:webHidden/>
                <w:sz w:val="22"/>
                <w:szCs w:val="22"/>
              </w:rPr>
              <w:fldChar w:fldCharType="separate"/>
            </w:r>
            <w:r w:rsidR="003306A1" w:rsidRPr="003306A1">
              <w:rPr>
                <w:rFonts w:ascii="Arial Narrow" w:hAnsi="Arial Narrow"/>
                <w:i w:val="0"/>
                <w:noProof/>
                <w:webHidden/>
                <w:sz w:val="22"/>
                <w:szCs w:val="22"/>
              </w:rPr>
              <w:t>45</w:t>
            </w:r>
            <w:r w:rsidR="003306A1" w:rsidRPr="003306A1">
              <w:rPr>
                <w:rFonts w:ascii="Arial Narrow" w:hAnsi="Arial Narrow"/>
                <w:i w:val="0"/>
                <w:noProof/>
                <w:webHidden/>
                <w:sz w:val="22"/>
                <w:szCs w:val="22"/>
              </w:rPr>
              <w:fldChar w:fldCharType="end"/>
            </w:r>
          </w:hyperlink>
        </w:p>
        <w:p w:rsidR="003306A1" w:rsidRPr="003306A1" w:rsidRDefault="00346DD2">
          <w:pPr>
            <w:pStyle w:val="Obsah2"/>
            <w:tabs>
              <w:tab w:val="left" w:pos="960"/>
              <w:tab w:val="right" w:pos="9063"/>
            </w:tabs>
            <w:rPr>
              <w:rFonts w:ascii="Arial Narrow" w:eastAsiaTheme="minorEastAsia" w:hAnsi="Arial Narrow" w:cstheme="minorBidi"/>
              <w:i w:val="0"/>
              <w:iCs w:val="0"/>
              <w:noProof/>
              <w:sz w:val="22"/>
              <w:szCs w:val="22"/>
            </w:rPr>
          </w:pPr>
          <w:hyperlink w:anchor="_Toc529507613" w:history="1">
            <w:r w:rsidR="003306A1" w:rsidRPr="003306A1">
              <w:rPr>
                <w:rStyle w:val="Hypertextovprepojenie"/>
                <w:rFonts w:ascii="Arial Narrow" w:hAnsi="Arial Narrow"/>
                <w:i w:val="0"/>
                <w:noProof/>
                <w:sz w:val="22"/>
                <w:szCs w:val="22"/>
              </w:rPr>
              <w:t>5.2.2</w:t>
            </w:r>
            <w:r w:rsidR="003306A1" w:rsidRPr="003306A1">
              <w:rPr>
                <w:rFonts w:ascii="Arial Narrow" w:eastAsiaTheme="minorEastAsia" w:hAnsi="Arial Narrow" w:cstheme="minorBidi"/>
                <w:i w:val="0"/>
                <w:iCs w:val="0"/>
                <w:noProof/>
                <w:sz w:val="22"/>
                <w:szCs w:val="22"/>
              </w:rPr>
              <w:tab/>
            </w:r>
            <w:r w:rsidR="003306A1" w:rsidRPr="003306A1">
              <w:rPr>
                <w:rStyle w:val="Hypertextovprepojenie"/>
                <w:rFonts w:ascii="Arial Narrow" w:hAnsi="Arial Narrow"/>
                <w:i w:val="0"/>
                <w:noProof/>
                <w:sz w:val="22"/>
                <w:szCs w:val="22"/>
              </w:rPr>
              <w:t>Stanovisko k návrhu rozpočtu vyšších územných celkov na rok 2019</w:t>
            </w:r>
            <w:r w:rsidR="003306A1" w:rsidRPr="003306A1">
              <w:rPr>
                <w:rFonts w:ascii="Arial Narrow" w:hAnsi="Arial Narrow"/>
                <w:i w:val="0"/>
                <w:noProof/>
                <w:webHidden/>
                <w:sz w:val="22"/>
                <w:szCs w:val="22"/>
              </w:rPr>
              <w:tab/>
            </w:r>
            <w:r w:rsidR="003306A1" w:rsidRPr="003306A1">
              <w:rPr>
                <w:rFonts w:ascii="Arial Narrow" w:hAnsi="Arial Narrow"/>
                <w:i w:val="0"/>
                <w:noProof/>
                <w:webHidden/>
                <w:sz w:val="22"/>
                <w:szCs w:val="22"/>
              </w:rPr>
              <w:fldChar w:fldCharType="begin"/>
            </w:r>
            <w:r w:rsidR="003306A1" w:rsidRPr="003306A1">
              <w:rPr>
                <w:rFonts w:ascii="Arial Narrow" w:hAnsi="Arial Narrow"/>
                <w:i w:val="0"/>
                <w:noProof/>
                <w:webHidden/>
                <w:sz w:val="22"/>
                <w:szCs w:val="22"/>
              </w:rPr>
              <w:instrText xml:space="preserve"> PAGEREF _Toc529507613 \h </w:instrText>
            </w:r>
            <w:r w:rsidR="003306A1" w:rsidRPr="003306A1">
              <w:rPr>
                <w:rFonts w:ascii="Arial Narrow" w:hAnsi="Arial Narrow"/>
                <w:i w:val="0"/>
                <w:noProof/>
                <w:webHidden/>
                <w:sz w:val="22"/>
                <w:szCs w:val="22"/>
              </w:rPr>
            </w:r>
            <w:r w:rsidR="003306A1" w:rsidRPr="003306A1">
              <w:rPr>
                <w:rFonts w:ascii="Arial Narrow" w:hAnsi="Arial Narrow"/>
                <w:i w:val="0"/>
                <w:noProof/>
                <w:webHidden/>
                <w:sz w:val="22"/>
                <w:szCs w:val="22"/>
              </w:rPr>
              <w:fldChar w:fldCharType="separate"/>
            </w:r>
            <w:r w:rsidR="003306A1" w:rsidRPr="003306A1">
              <w:rPr>
                <w:rFonts w:ascii="Arial Narrow" w:hAnsi="Arial Narrow"/>
                <w:i w:val="0"/>
                <w:noProof/>
                <w:webHidden/>
                <w:sz w:val="22"/>
                <w:szCs w:val="22"/>
              </w:rPr>
              <w:t>47</w:t>
            </w:r>
            <w:r w:rsidR="003306A1" w:rsidRPr="003306A1">
              <w:rPr>
                <w:rFonts w:ascii="Arial Narrow" w:hAnsi="Arial Narrow"/>
                <w:i w:val="0"/>
                <w:noProof/>
                <w:webHidden/>
                <w:sz w:val="22"/>
                <w:szCs w:val="22"/>
              </w:rPr>
              <w:fldChar w:fldCharType="end"/>
            </w:r>
          </w:hyperlink>
        </w:p>
        <w:p w:rsidR="003306A1" w:rsidRPr="003306A1" w:rsidRDefault="00346DD2">
          <w:pPr>
            <w:pStyle w:val="Obsah2"/>
            <w:tabs>
              <w:tab w:val="left" w:pos="720"/>
              <w:tab w:val="right" w:pos="9063"/>
            </w:tabs>
            <w:rPr>
              <w:rFonts w:ascii="Arial Narrow" w:eastAsiaTheme="minorEastAsia" w:hAnsi="Arial Narrow" w:cstheme="minorBidi"/>
              <w:i w:val="0"/>
              <w:iCs w:val="0"/>
              <w:noProof/>
              <w:sz w:val="22"/>
              <w:szCs w:val="22"/>
            </w:rPr>
          </w:pPr>
          <w:hyperlink w:anchor="_Toc529507614" w:history="1">
            <w:r w:rsidR="003306A1" w:rsidRPr="003306A1">
              <w:rPr>
                <w:rStyle w:val="Hypertextovprepojenie"/>
                <w:rFonts w:ascii="Arial Narrow" w:hAnsi="Arial Narrow"/>
                <w:i w:val="0"/>
                <w:noProof/>
                <w:sz w:val="22"/>
                <w:szCs w:val="22"/>
              </w:rPr>
              <w:t>5.3</w:t>
            </w:r>
            <w:r w:rsidR="003306A1" w:rsidRPr="003306A1">
              <w:rPr>
                <w:rFonts w:ascii="Arial Narrow" w:eastAsiaTheme="minorEastAsia" w:hAnsi="Arial Narrow" w:cstheme="minorBidi"/>
                <w:i w:val="0"/>
                <w:iCs w:val="0"/>
                <w:noProof/>
                <w:sz w:val="22"/>
                <w:szCs w:val="22"/>
              </w:rPr>
              <w:tab/>
            </w:r>
            <w:r w:rsidR="003306A1" w:rsidRPr="003306A1">
              <w:rPr>
                <w:rStyle w:val="Hypertextovprepojenie"/>
                <w:rFonts w:ascii="Arial Narrow" w:hAnsi="Arial Narrow"/>
                <w:i w:val="0"/>
                <w:noProof/>
                <w:sz w:val="22"/>
                <w:szCs w:val="22"/>
              </w:rPr>
              <w:t>Stanovisko k návrhu rozpočtu Sociálnej poisťovne na rok 2019</w:t>
            </w:r>
            <w:r w:rsidR="003306A1" w:rsidRPr="003306A1">
              <w:rPr>
                <w:rFonts w:ascii="Arial Narrow" w:hAnsi="Arial Narrow"/>
                <w:i w:val="0"/>
                <w:noProof/>
                <w:webHidden/>
                <w:sz w:val="22"/>
                <w:szCs w:val="22"/>
              </w:rPr>
              <w:tab/>
            </w:r>
            <w:r w:rsidR="003306A1" w:rsidRPr="003306A1">
              <w:rPr>
                <w:rFonts w:ascii="Arial Narrow" w:hAnsi="Arial Narrow"/>
                <w:i w:val="0"/>
                <w:noProof/>
                <w:webHidden/>
                <w:sz w:val="22"/>
                <w:szCs w:val="22"/>
              </w:rPr>
              <w:fldChar w:fldCharType="begin"/>
            </w:r>
            <w:r w:rsidR="003306A1" w:rsidRPr="003306A1">
              <w:rPr>
                <w:rFonts w:ascii="Arial Narrow" w:hAnsi="Arial Narrow"/>
                <w:i w:val="0"/>
                <w:noProof/>
                <w:webHidden/>
                <w:sz w:val="22"/>
                <w:szCs w:val="22"/>
              </w:rPr>
              <w:instrText xml:space="preserve"> PAGEREF _Toc529507614 \h </w:instrText>
            </w:r>
            <w:r w:rsidR="003306A1" w:rsidRPr="003306A1">
              <w:rPr>
                <w:rFonts w:ascii="Arial Narrow" w:hAnsi="Arial Narrow"/>
                <w:i w:val="0"/>
                <w:noProof/>
                <w:webHidden/>
                <w:sz w:val="22"/>
                <w:szCs w:val="22"/>
              </w:rPr>
            </w:r>
            <w:r w:rsidR="003306A1" w:rsidRPr="003306A1">
              <w:rPr>
                <w:rFonts w:ascii="Arial Narrow" w:hAnsi="Arial Narrow"/>
                <w:i w:val="0"/>
                <w:noProof/>
                <w:webHidden/>
                <w:sz w:val="22"/>
                <w:szCs w:val="22"/>
              </w:rPr>
              <w:fldChar w:fldCharType="separate"/>
            </w:r>
            <w:r w:rsidR="003306A1" w:rsidRPr="003306A1">
              <w:rPr>
                <w:rFonts w:ascii="Arial Narrow" w:hAnsi="Arial Narrow"/>
                <w:i w:val="0"/>
                <w:noProof/>
                <w:webHidden/>
                <w:sz w:val="22"/>
                <w:szCs w:val="22"/>
              </w:rPr>
              <w:t>49</w:t>
            </w:r>
            <w:r w:rsidR="003306A1" w:rsidRPr="003306A1">
              <w:rPr>
                <w:rFonts w:ascii="Arial Narrow" w:hAnsi="Arial Narrow"/>
                <w:i w:val="0"/>
                <w:noProof/>
                <w:webHidden/>
                <w:sz w:val="22"/>
                <w:szCs w:val="22"/>
              </w:rPr>
              <w:fldChar w:fldCharType="end"/>
            </w:r>
          </w:hyperlink>
        </w:p>
        <w:p w:rsidR="003306A1" w:rsidRPr="003306A1" w:rsidRDefault="00346DD2">
          <w:pPr>
            <w:pStyle w:val="Obsah2"/>
            <w:tabs>
              <w:tab w:val="left" w:pos="720"/>
              <w:tab w:val="right" w:pos="9063"/>
            </w:tabs>
            <w:rPr>
              <w:rFonts w:ascii="Arial Narrow" w:eastAsiaTheme="minorEastAsia" w:hAnsi="Arial Narrow" w:cstheme="minorBidi"/>
              <w:i w:val="0"/>
              <w:iCs w:val="0"/>
              <w:noProof/>
              <w:sz w:val="22"/>
              <w:szCs w:val="22"/>
            </w:rPr>
          </w:pPr>
          <w:hyperlink w:anchor="_Toc529507615" w:history="1">
            <w:r w:rsidR="003306A1" w:rsidRPr="003306A1">
              <w:rPr>
                <w:rStyle w:val="Hypertextovprepojenie"/>
                <w:rFonts w:ascii="Arial Narrow" w:hAnsi="Arial Narrow"/>
                <w:i w:val="0"/>
                <w:noProof/>
                <w:sz w:val="22"/>
                <w:szCs w:val="22"/>
              </w:rPr>
              <w:t>5.4</w:t>
            </w:r>
            <w:r w:rsidR="003306A1" w:rsidRPr="003306A1">
              <w:rPr>
                <w:rFonts w:ascii="Arial Narrow" w:eastAsiaTheme="minorEastAsia" w:hAnsi="Arial Narrow" w:cstheme="minorBidi"/>
                <w:i w:val="0"/>
                <w:iCs w:val="0"/>
                <w:noProof/>
                <w:sz w:val="22"/>
                <w:szCs w:val="22"/>
              </w:rPr>
              <w:tab/>
            </w:r>
            <w:r w:rsidR="003306A1" w:rsidRPr="003306A1">
              <w:rPr>
                <w:rStyle w:val="Hypertextovprepojenie"/>
                <w:rFonts w:ascii="Arial Narrow" w:hAnsi="Arial Narrow"/>
                <w:i w:val="0"/>
                <w:noProof/>
                <w:sz w:val="22"/>
                <w:szCs w:val="22"/>
              </w:rPr>
              <w:t>Stanovisko k návrhu rozpočtu verejného zdravotného poistenia na rok 2019</w:t>
            </w:r>
            <w:r w:rsidR="003306A1" w:rsidRPr="003306A1">
              <w:rPr>
                <w:rFonts w:ascii="Arial Narrow" w:hAnsi="Arial Narrow"/>
                <w:i w:val="0"/>
                <w:noProof/>
                <w:webHidden/>
                <w:sz w:val="22"/>
                <w:szCs w:val="22"/>
              </w:rPr>
              <w:tab/>
            </w:r>
            <w:r w:rsidR="003306A1" w:rsidRPr="003306A1">
              <w:rPr>
                <w:rFonts w:ascii="Arial Narrow" w:hAnsi="Arial Narrow"/>
                <w:i w:val="0"/>
                <w:noProof/>
                <w:webHidden/>
                <w:sz w:val="22"/>
                <w:szCs w:val="22"/>
              </w:rPr>
              <w:fldChar w:fldCharType="begin"/>
            </w:r>
            <w:r w:rsidR="003306A1" w:rsidRPr="003306A1">
              <w:rPr>
                <w:rFonts w:ascii="Arial Narrow" w:hAnsi="Arial Narrow"/>
                <w:i w:val="0"/>
                <w:noProof/>
                <w:webHidden/>
                <w:sz w:val="22"/>
                <w:szCs w:val="22"/>
              </w:rPr>
              <w:instrText xml:space="preserve"> PAGEREF _Toc529507615 \h </w:instrText>
            </w:r>
            <w:r w:rsidR="003306A1" w:rsidRPr="003306A1">
              <w:rPr>
                <w:rFonts w:ascii="Arial Narrow" w:hAnsi="Arial Narrow"/>
                <w:i w:val="0"/>
                <w:noProof/>
                <w:webHidden/>
                <w:sz w:val="22"/>
                <w:szCs w:val="22"/>
              </w:rPr>
            </w:r>
            <w:r w:rsidR="003306A1" w:rsidRPr="003306A1">
              <w:rPr>
                <w:rFonts w:ascii="Arial Narrow" w:hAnsi="Arial Narrow"/>
                <w:i w:val="0"/>
                <w:noProof/>
                <w:webHidden/>
                <w:sz w:val="22"/>
                <w:szCs w:val="22"/>
              </w:rPr>
              <w:fldChar w:fldCharType="separate"/>
            </w:r>
            <w:r w:rsidR="003306A1" w:rsidRPr="003306A1">
              <w:rPr>
                <w:rFonts w:ascii="Arial Narrow" w:hAnsi="Arial Narrow"/>
                <w:i w:val="0"/>
                <w:noProof/>
                <w:webHidden/>
                <w:sz w:val="22"/>
                <w:szCs w:val="22"/>
              </w:rPr>
              <w:t>51</w:t>
            </w:r>
            <w:r w:rsidR="003306A1" w:rsidRPr="003306A1">
              <w:rPr>
                <w:rFonts w:ascii="Arial Narrow" w:hAnsi="Arial Narrow"/>
                <w:i w:val="0"/>
                <w:noProof/>
                <w:webHidden/>
                <w:sz w:val="22"/>
                <w:szCs w:val="22"/>
              </w:rPr>
              <w:fldChar w:fldCharType="end"/>
            </w:r>
          </w:hyperlink>
        </w:p>
        <w:p w:rsidR="003306A1" w:rsidRPr="003306A1" w:rsidRDefault="00346DD2">
          <w:pPr>
            <w:pStyle w:val="Obsah2"/>
            <w:tabs>
              <w:tab w:val="left" w:pos="720"/>
              <w:tab w:val="right" w:pos="9063"/>
            </w:tabs>
            <w:rPr>
              <w:rFonts w:ascii="Arial Narrow" w:eastAsiaTheme="minorEastAsia" w:hAnsi="Arial Narrow" w:cstheme="minorBidi"/>
              <w:i w:val="0"/>
              <w:iCs w:val="0"/>
              <w:noProof/>
              <w:sz w:val="22"/>
              <w:szCs w:val="22"/>
            </w:rPr>
          </w:pPr>
          <w:hyperlink w:anchor="_Toc529507616" w:history="1">
            <w:r w:rsidR="003306A1" w:rsidRPr="003306A1">
              <w:rPr>
                <w:rStyle w:val="Hypertextovprepojenie"/>
                <w:rFonts w:ascii="Arial Narrow" w:hAnsi="Arial Narrow"/>
                <w:i w:val="0"/>
                <w:noProof/>
                <w:sz w:val="22"/>
                <w:szCs w:val="22"/>
              </w:rPr>
              <w:t>5.5</w:t>
            </w:r>
            <w:r w:rsidR="003306A1" w:rsidRPr="003306A1">
              <w:rPr>
                <w:rFonts w:ascii="Arial Narrow" w:eastAsiaTheme="minorEastAsia" w:hAnsi="Arial Narrow" w:cstheme="minorBidi"/>
                <w:i w:val="0"/>
                <w:iCs w:val="0"/>
                <w:noProof/>
                <w:sz w:val="22"/>
                <w:szCs w:val="22"/>
              </w:rPr>
              <w:tab/>
            </w:r>
            <w:r w:rsidR="003306A1" w:rsidRPr="003306A1">
              <w:rPr>
                <w:rStyle w:val="Hypertextovprepojenie"/>
                <w:rFonts w:ascii="Arial Narrow" w:hAnsi="Arial Narrow"/>
                <w:i w:val="0"/>
                <w:noProof/>
                <w:sz w:val="22"/>
                <w:szCs w:val="22"/>
              </w:rPr>
              <w:t>Stanovisko k súhrnnému rozpočtu za verejné vysoké školy na rok 2019</w:t>
            </w:r>
            <w:r w:rsidR="003306A1" w:rsidRPr="003306A1">
              <w:rPr>
                <w:rFonts w:ascii="Arial Narrow" w:hAnsi="Arial Narrow"/>
                <w:i w:val="0"/>
                <w:noProof/>
                <w:webHidden/>
                <w:sz w:val="22"/>
                <w:szCs w:val="22"/>
              </w:rPr>
              <w:tab/>
            </w:r>
            <w:r w:rsidR="003306A1" w:rsidRPr="003306A1">
              <w:rPr>
                <w:rFonts w:ascii="Arial Narrow" w:hAnsi="Arial Narrow"/>
                <w:i w:val="0"/>
                <w:noProof/>
                <w:webHidden/>
                <w:sz w:val="22"/>
                <w:szCs w:val="22"/>
              </w:rPr>
              <w:fldChar w:fldCharType="begin"/>
            </w:r>
            <w:r w:rsidR="003306A1" w:rsidRPr="003306A1">
              <w:rPr>
                <w:rFonts w:ascii="Arial Narrow" w:hAnsi="Arial Narrow"/>
                <w:i w:val="0"/>
                <w:noProof/>
                <w:webHidden/>
                <w:sz w:val="22"/>
                <w:szCs w:val="22"/>
              </w:rPr>
              <w:instrText xml:space="preserve"> PAGEREF _Toc529507616 \h </w:instrText>
            </w:r>
            <w:r w:rsidR="003306A1" w:rsidRPr="003306A1">
              <w:rPr>
                <w:rFonts w:ascii="Arial Narrow" w:hAnsi="Arial Narrow"/>
                <w:i w:val="0"/>
                <w:noProof/>
                <w:webHidden/>
                <w:sz w:val="22"/>
                <w:szCs w:val="22"/>
              </w:rPr>
            </w:r>
            <w:r w:rsidR="003306A1" w:rsidRPr="003306A1">
              <w:rPr>
                <w:rFonts w:ascii="Arial Narrow" w:hAnsi="Arial Narrow"/>
                <w:i w:val="0"/>
                <w:noProof/>
                <w:webHidden/>
                <w:sz w:val="22"/>
                <w:szCs w:val="22"/>
              </w:rPr>
              <w:fldChar w:fldCharType="separate"/>
            </w:r>
            <w:r w:rsidR="003306A1" w:rsidRPr="003306A1">
              <w:rPr>
                <w:rFonts w:ascii="Arial Narrow" w:hAnsi="Arial Narrow"/>
                <w:i w:val="0"/>
                <w:noProof/>
                <w:webHidden/>
                <w:sz w:val="22"/>
                <w:szCs w:val="22"/>
              </w:rPr>
              <w:t>52</w:t>
            </w:r>
            <w:r w:rsidR="003306A1" w:rsidRPr="003306A1">
              <w:rPr>
                <w:rFonts w:ascii="Arial Narrow" w:hAnsi="Arial Narrow"/>
                <w:i w:val="0"/>
                <w:noProof/>
                <w:webHidden/>
                <w:sz w:val="22"/>
                <w:szCs w:val="22"/>
              </w:rPr>
              <w:fldChar w:fldCharType="end"/>
            </w:r>
          </w:hyperlink>
        </w:p>
        <w:p w:rsidR="003306A1" w:rsidRPr="003306A1" w:rsidRDefault="00346DD2">
          <w:pPr>
            <w:pStyle w:val="Obsah2"/>
            <w:tabs>
              <w:tab w:val="left" w:pos="720"/>
              <w:tab w:val="right" w:pos="9063"/>
            </w:tabs>
            <w:rPr>
              <w:rFonts w:ascii="Arial Narrow" w:eastAsiaTheme="minorEastAsia" w:hAnsi="Arial Narrow" w:cstheme="minorBidi"/>
              <w:i w:val="0"/>
              <w:iCs w:val="0"/>
              <w:noProof/>
              <w:sz w:val="22"/>
              <w:szCs w:val="22"/>
            </w:rPr>
          </w:pPr>
          <w:hyperlink w:anchor="_Toc529507617" w:history="1">
            <w:r w:rsidR="003306A1" w:rsidRPr="003306A1">
              <w:rPr>
                <w:rStyle w:val="Hypertextovprepojenie"/>
                <w:rFonts w:ascii="Arial Narrow" w:hAnsi="Arial Narrow"/>
                <w:i w:val="0"/>
                <w:noProof/>
                <w:sz w:val="22"/>
                <w:szCs w:val="22"/>
              </w:rPr>
              <w:t>5.6</w:t>
            </w:r>
            <w:r w:rsidR="003306A1" w:rsidRPr="003306A1">
              <w:rPr>
                <w:rFonts w:ascii="Arial Narrow" w:eastAsiaTheme="minorEastAsia" w:hAnsi="Arial Narrow" w:cstheme="minorBidi"/>
                <w:i w:val="0"/>
                <w:iCs w:val="0"/>
                <w:noProof/>
                <w:sz w:val="22"/>
                <w:szCs w:val="22"/>
              </w:rPr>
              <w:tab/>
            </w:r>
            <w:r w:rsidR="003306A1" w:rsidRPr="003306A1">
              <w:rPr>
                <w:rStyle w:val="Hypertextovprepojenie"/>
                <w:rFonts w:ascii="Arial Narrow" w:hAnsi="Arial Narrow"/>
                <w:i w:val="0"/>
                <w:noProof/>
                <w:sz w:val="22"/>
                <w:szCs w:val="22"/>
              </w:rPr>
              <w:t>Stanovisko k návrhu rozpočtu Environmentálneho fondu na rok 2019</w:t>
            </w:r>
            <w:r w:rsidR="003306A1" w:rsidRPr="003306A1">
              <w:rPr>
                <w:rFonts w:ascii="Arial Narrow" w:hAnsi="Arial Narrow"/>
                <w:i w:val="0"/>
                <w:noProof/>
                <w:webHidden/>
                <w:sz w:val="22"/>
                <w:szCs w:val="22"/>
              </w:rPr>
              <w:tab/>
            </w:r>
            <w:r w:rsidR="003306A1" w:rsidRPr="003306A1">
              <w:rPr>
                <w:rFonts w:ascii="Arial Narrow" w:hAnsi="Arial Narrow"/>
                <w:i w:val="0"/>
                <w:noProof/>
                <w:webHidden/>
                <w:sz w:val="22"/>
                <w:szCs w:val="22"/>
              </w:rPr>
              <w:fldChar w:fldCharType="begin"/>
            </w:r>
            <w:r w:rsidR="003306A1" w:rsidRPr="003306A1">
              <w:rPr>
                <w:rFonts w:ascii="Arial Narrow" w:hAnsi="Arial Narrow"/>
                <w:i w:val="0"/>
                <w:noProof/>
                <w:webHidden/>
                <w:sz w:val="22"/>
                <w:szCs w:val="22"/>
              </w:rPr>
              <w:instrText xml:space="preserve"> PAGEREF _Toc529507617 \h </w:instrText>
            </w:r>
            <w:r w:rsidR="003306A1" w:rsidRPr="003306A1">
              <w:rPr>
                <w:rFonts w:ascii="Arial Narrow" w:hAnsi="Arial Narrow"/>
                <w:i w:val="0"/>
                <w:noProof/>
                <w:webHidden/>
                <w:sz w:val="22"/>
                <w:szCs w:val="22"/>
              </w:rPr>
            </w:r>
            <w:r w:rsidR="003306A1" w:rsidRPr="003306A1">
              <w:rPr>
                <w:rFonts w:ascii="Arial Narrow" w:hAnsi="Arial Narrow"/>
                <w:i w:val="0"/>
                <w:noProof/>
                <w:webHidden/>
                <w:sz w:val="22"/>
                <w:szCs w:val="22"/>
              </w:rPr>
              <w:fldChar w:fldCharType="separate"/>
            </w:r>
            <w:r w:rsidR="003306A1" w:rsidRPr="003306A1">
              <w:rPr>
                <w:rFonts w:ascii="Arial Narrow" w:hAnsi="Arial Narrow"/>
                <w:i w:val="0"/>
                <w:noProof/>
                <w:webHidden/>
                <w:sz w:val="22"/>
                <w:szCs w:val="22"/>
              </w:rPr>
              <w:t>53</w:t>
            </w:r>
            <w:r w:rsidR="003306A1" w:rsidRPr="003306A1">
              <w:rPr>
                <w:rFonts w:ascii="Arial Narrow" w:hAnsi="Arial Narrow"/>
                <w:i w:val="0"/>
                <w:noProof/>
                <w:webHidden/>
                <w:sz w:val="22"/>
                <w:szCs w:val="22"/>
              </w:rPr>
              <w:fldChar w:fldCharType="end"/>
            </w:r>
          </w:hyperlink>
        </w:p>
        <w:p w:rsidR="003306A1" w:rsidRDefault="00346DD2">
          <w:pPr>
            <w:pStyle w:val="Obsah2"/>
            <w:tabs>
              <w:tab w:val="left" w:pos="720"/>
              <w:tab w:val="right" w:pos="9063"/>
            </w:tabs>
            <w:rPr>
              <w:rFonts w:eastAsiaTheme="minorEastAsia" w:cstheme="minorBidi"/>
              <w:i w:val="0"/>
              <w:iCs w:val="0"/>
              <w:noProof/>
              <w:sz w:val="22"/>
              <w:szCs w:val="22"/>
            </w:rPr>
          </w:pPr>
          <w:hyperlink w:anchor="_Toc529507618" w:history="1">
            <w:r w:rsidR="003306A1" w:rsidRPr="003306A1">
              <w:rPr>
                <w:rStyle w:val="Hypertextovprepojenie"/>
                <w:rFonts w:ascii="Arial Narrow" w:hAnsi="Arial Narrow"/>
                <w:i w:val="0"/>
                <w:noProof/>
                <w:sz w:val="22"/>
                <w:szCs w:val="22"/>
              </w:rPr>
              <w:t>5.7</w:t>
            </w:r>
            <w:r w:rsidR="003306A1" w:rsidRPr="003306A1">
              <w:rPr>
                <w:rFonts w:ascii="Arial Narrow" w:eastAsiaTheme="minorEastAsia" w:hAnsi="Arial Narrow" w:cstheme="minorBidi"/>
                <w:i w:val="0"/>
                <w:iCs w:val="0"/>
                <w:noProof/>
                <w:sz w:val="22"/>
                <w:szCs w:val="22"/>
              </w:rPr>
              <w:tab/>
            </w:r>
            <w:r w:rsidR="003306A1" w:rsidRPr="003306A1">
              <w:rPr>
                <w:rStyle w:val="Hypertextovprepojenie"/>
                <w:rFonts w:ascii="Arial Narrow" w:hAnsi="Arial Narrow"/>
                <w:i w:val="0"/>
                <w:noProof/>
                <w:sz w:val="22"/>
                <w:szCs w:val="22"/>
              </w:rPr>
              <w:t>Stanovisko k návrhu rozpočtu Štátneho fondu rozvoja bývania na rok 2019</w:t>
            </w:r>
            <w:r w:rsidR="003306A1" w:rsidRPr="003306A1">
              <w:rPr>
                <w:rFonts w:ascii="Arial Narrow" w:hAnsi="Arial Narrow"/>
                <w:i w:val="0"/>
                <w:noProof/>
                <w:webHidden/>
                <w:sz w:val="22"/>
                <w:szCs w:val="22"/>
              </w:rPr>
              <w:tab/>
            </w:r>
            <w:r w:rsidR="003306A1" w:rsidRPr="003306A1">
              <w:rPr>
                <w:rFonts w:ascii="Arial Narrow" w:hAnsi="Arial Narrow"/>
                <w:i w:val="0"/>
                <w:noProof/>
                <w:webHidden/>
                <w:sz w:val="22"/>
                <w:szCs w:val="22"/>
              </w:rPr>
              <w:fldChar w:fldCharType="begin"/>
            </w:r>
            <w:r w:rsidR="003306A1" w:rsidRPr="003306A1">
              <w:rPr>
                <w:rFonts w:ascii="Arial Narrow" w:hAnsi="Arial Narrow"/>
                <w:i w:val="0"/>
                <w:noProof/>
                <w:webHidden/>
                <w:sz w:val="22"/>
                <w:szCs w:val="22"/>
              </w:rPr>
              <w:instrText xml:space="preserve"> PAGEREF _Toc529507618 \h </w:instrText>
            </w:r>
            <w:r w:rsidR="003306A1" w:rsidRPr="003306A1">
              <w:rPr>
                <w:rFonts w:ascii="Arial Narrow" w:hAnsi="Arial Narrow"/>
                <w:i w:val="0"/>
                <w:noProof/>
                <w:webHidden/>
                <w:sz w:val="22"/>
                <w:szCs w:val="22"/>
              </w:rPr>
            </w:r>
            <w:r w:rsidR="003306A1" w:rsidRPr="003306A1">
              <w:rPr>
                <w:rFonts w:ascii="Arial Narrow" w:hAnsi="Arial Narrow"/>
                <w:i w:val="0"/>
                <w:noProof/>
                <w:webHidden/>
                <w:sz w:val="22"/>
                <w:szCs w:val="22"/>
              </w:rPr>
              <w:fldChar w:fldCharType="separate"/>
            </w:r>
            <w:r w:rsidR="003306A1" w:rsidRPr="003306A1">
              <w:rPr>
                <w:rFonts w:ascii="Arial Narrow" w:hAnsi="Arial Narrow"/>
                <w:i w:val="0"/>
                <w:noProof/>
                <w:webHidden/>
                <w:sz w:val="22"/>
                <w:szCs w:val="22"/>
              </w:rPr>
              <w:t>54</w:t>
            </w:r>
            <w:r w:rsidR="003306A1" w:rsidRPr="003306A1">
              <w:rPr>
                <w:rFonts w:ascii="Arial Narrow" w:hAnsi="Arial Narrow"/>
                <w:i w:val="0"/>
                <w:noProof/>
                <w:webHidden/>
                <w:sz w:val="22"/>
                <w:szCs w:val="22"/>
              </w:rPr>
              <w:fldChar w:fldCharType="end"/>
            </w:r>
          </w:hyperlink>
        </w:p>
        <w:p w:rsidR="00D23611" w:rsidRPr="00C65CAA" w:rsidRDefault="00D060A3" w:rsidP="00256AF8">
          <w:pPr>
            <w:spacing w:before="100" w:after="100"/>
            <w:rPr>
              <w:rFonts w:ascii="Arial Narrow" w:hAnsi="Arial Narrow"/>
              <w:sz w:val="22"/>
              <w:szCs w:val="22"/>
            </w:rPr>
          </w:pPr>
          <w:r w:rsidRPr="00C65CAA">
            <w:rPr>
              <w:rFonts w:ascii="Arial Narrow" w:hAnsi="Arial Narrow"/>
              <w:b/>
              <w:bCs/>
              <w:caps/>
              <w:sz w:val="22"/>
              <w:szCs w:val="22"/>
            </w:rPr>
            <w:fldChar w:fldCharType="end"/>
          </w:r>
        </w:p>
      </w:sdtContent>
    </w:sdt>
    <w:p w:rsidR="00D23611" w:rsidRPr="00C65CAA" w:rsidRDefault="00D23611" w:rsidP="00256AF8">
      <w:pPr>
        <w:spacing w:before="100" w:after="100"/>
        <w:rPr>
          <w:rFonts w:ascii="Arial Narrow" w:hAnsi="Arial Narrow"/>
          <w:sz w:val="22"/>
          <w:szCs w:val="22"/>
          <w:lang w:eastAsia="en-US"/>
        </w:rPr>
      </w:pPr>
      <w:r w:rsidRPr="00C65CAA">
        <w:rPr>
          <w:rFonts w:ascii="Arial Narrow" w:hAnsi="Arial Narrow"/>
          <w:sz w:val="22"/>
          <w:szCs w:val="22"/>
          <w:lang w:eastAsia="en-US"/>
        </w:rPr>
        <w:br w:type="page"/>
      </w:r>
    </w:p>
    <w:p w:rsidR="00D23611" w:rsidRPr="00C65CAA" w:rsidRDefault="00D23611" w:rsidP="003306A1">
      <w:pPr>
        <w:pStyle w:val="Nadpis1"/>
        <w:spacing w:before="60" w:after="60"/>
        <w:rPr>
          <w:rFonts w:ascii="Arial Narrow" w:hAnsi="Arial Narrow"/>
          <w:color w:val="000000" w:themeColor="text1"/>
          <w:sz w:val="22"/>
          <w:szCs w:val="22"/>
        </w:rPr>
      </w:pPr>
      <w:bookmarkStart w:id="0" w:name="_Toc403028632"/>
      <w:bookmarkStart w:id="1" w:name="_Toc495316423"/>
      <w:bookmarkStart w:id="2" w:name="_Toc529507586"/>
      <w:r w:rsidRPr="00C65CAA">
        <w:rPr>
          <w:rFonts w:ascii="Arial Narrow" w:hAnsi="Arial Narrow"/>
          <w:color w:val="000000" w:themeColor="text1"/>
          <w:sz w:val="22"/>
          <w:szCs w:val="22"/>
        </w:rPr>
        <w:lastRenderedPageBreak/>
        <w:t xml:space="preserve">Stanovisko </w:t>
      </w:r>
      <w:r w:rsidR="00066CAD" w:rsidRPr="00C65CAA">
        <w:rPr>
          <w:rFonts w:ascii="Arial Narrow" w:hAnsi="Arial Narrow"/>
          <w:color w:val="000000" w:themeColor="text1"/>
          <w:sz w:val="22"/>
          <w:szCs w:val="22"/>
        </w:rPr>
        <w:t xml:space="preserve">NKÚ SR </w:t>
      </w:r>
      <w:r w:rsidRPr="00C65CAA">
        <w:rPr>
          <w:rFonts w:ascii="Arial Narrow" w:hAnsi="Arial Narrow"/>
          <w:color w:val="000000" w:themeColor="text1"/>
          <w:sz w:val="22"/>
          <w:szCs w:val="22"/>
        </w:rPr>
        <w:t>k návrhu štátneho rozpočtu na rok 201</w:t>
      </w:r>
      <w:bookmarkEnd w:id="0"/>
      <w:bookmarkEnd w:id="1"/>
      <w:r w:rsidR="0047702E" w:rsidRPr="00C65CAA">
        <w:rPr>
          <w:rFonts w:ascii="Arial Narrow" w:hAnsi="Arial Narrow"/>
          <w:color w:val="000000" w:themeColor="text1"/>
          <w:sz w:val="22"/>
          <w:szCs w:val="22"/>
        </w:rPr>
        <w:t>9</w:t>
      </w:r>
      <w:bookmarkEnd w:id="2"/>
    </w:p>
    <w:p w:rsidR="000F298F" w:rsidRPr="00C65CAA" w:rsidRDefault="000F298F" w:rsidP="003306A1">
      <w:pPr>
        <w:tabs>
          <w:tab w:val="left" w:pos="709"/>
        </w:tabs>
        <w:spacing w:before="60" w:after="60"/>
        <w:jc w:val="both"/>
        <w:rPr>
          <w:rFonts w:ascii="Arial Narrow" w:eastAsia="Calibri" w:hAnsi="Arial Narrow"/>
          <w:sz w:val="22"/>
          <w:szCs w:val="22"/>
          <w:lang w:eastAsia="en-US"/>
        </w:rPr>
      </w:pPr>
      <w:r w:rsidRPr="00C65CAA">
        <w:rPr>
          <w:rFonts w:ascii="Arial Narrow" w:eastAsia="Calibri" w:hAnsi="Arial Narrow"/>
          <w:sz w:val="22"/>
          <w:szCs w:val="22"/>
          <w:lang w:eastAsia="en-US"/>
        </w:rPr>
        <w:t xml:space="preserve">Stanovisko NKÚ SR k návrhu ŠR na rok 2019, v ktorom je hodnotený aj návrh RVS na rok 2019, bolo vypracované v súlade s § 5 ods. 1 zákona o NKÚ SR na základe kontroly vykonanej </w:t>
      </w:r>
      <w:r w:rsidR="00C24AD1" w:rsidRPr="00C65CAA">
        <w:rPr>
          <w:rFonts w:ascii="Arial Narrow" w:eastAsia="Calibri" w:hAnsi="Arial Narrow"/>
          <w:sz w:val="22"/>
          <w:szCs w:val="22"/>
          <w:lang w:eastAsia="en-US"/>
        </w:rPr>
        <w:t>na</w:t>
      </w:r>
      <w:r w:rsidRPr="00C65CAA">
        <w:rPr>
          <w:rFonts w:ascii="Arial Narrow" w:eastAsia="Calibri" w:hAnsi="Arial Narrow"/>
          <w:sz w:val="22"/>
          <w:szCs w:val="22"/>
          <w:lang w:eastAsia="en-US"/>
        </w:rPr>
        <w:t> Ministerstve financií SR, ktoré podľa zákona o rozpočtových pravidlách verejnej správy zos</w:t>
      </w:r>
      <w:r w:rsidR="00055944" w:rsidRPr="00C65CAA">
        <w:rPr>
          <w:rFonts w:ascii="Arial Narrow" w:eastAsia="Calibri" w:hAnsi="Arial Narrow"/>
          <w:sz w:val="22"/>
          <w:szCs w:val="22"/>
          <w:lang w:eastAsia="en-US"/>
        </w:rPr>
        <w:t>tavuje návrh RVS za ŠR a súhrnné</w:t>
      </w:r>
      <w:r w:rsidRPr="00C65CAA">
        <w:rPr>
          <w:rFonts w:ascii="Arial Narrow" w:eastAsia="Calibri" w:hAnsi="Arial Narrow"/>
          <w:sz w:val="22"/>
          <w:szCs w:val="22"/>
          <w:lang w:eastAsia="en-US"/>
        </w:rPr>
        <w:t xml:space="preserve"> rozpočty ostatných subjektov verejnej správy na príslušné rozpočtové roky.</w:t>
      </w:r>
    </w:p>
    <w:p w:rsidR="000F298F" w:rsidRPr="00C65CAA" w:rsidRDefault="000F298F" w:rsidP="003306A1">
      <w:pPr>
        <w:tabs>
          <w:tab w:val="left" w:pos="709"/>
        </w:tabs>
        <w:spacing w:before="60" w:after="60"/>
        <w:jc w:val="both"/>
        <w:rPr>
          <w:rFonts w:ascii="Arial Narrow" w:eastAsia="Calibri" w:hAnsi="Arial Narrow"/>
          <w:sz w:val="22"/>
          <w:szCs w:val="22"/>
          <w:lang w:eastAsia="en-US"/>
        </w:rPr>
      </w:pPr>
      <w:r w:rsidRPr="00C65CAA">
        <w:rPr>
          <w:rFonts w:ascii="Arial Narrow" w:eastAsia="Calibri" w:hAnsi="Arial Narrow"/>
          <w:sz w:val="22"/>
          <w:szCs w:val="22"/>
          <w:lang w:eastAsia="en-US"/>
        </w:rPr>
        <w:t>Účelom tejto kontroly bolo vyjadriť nielen názor NKÚ SR k návrhu ŠR na rok 2019, ktorý sa podľa zákona o rozpočtových pravidlách verejnej správy schvaľuje osobitným zákonom, ale aj k makroekonomickým rámcom a východiskovému rámcu návrhu RVS na rok 2019 a k návrhu súhrnného rozpočtu ostatných subjektov verejnej správy na rok 2019.</w:t>
      </w:r>
    </w:p>
    <w:p w:rsidR="000F298F" w:rsidRPr="00C65CAA" w:rsidRDefault="000F298F" w:rsidP="003306A1">
      <w:pPr>
        <w:tabs>
          <w:tab w:val="left" w:pos="709"/>
        </w:tabs>
        <w:spacing w:before="60" w:after="60"/>
        <w:jc w:val="both"/>
        <w:rPr>
          <w:rFonts w:ascii="Arial Narrow" w:eastAsia="Calibri" w:hAnsi="Arial Narrow"/>
          <w:sz w:val="22"/>
          <w:szCs w:val="22"/>
          <w:lang w:eastAsia="en-US"/>
        </w:rPr>
      </w:pPr>
      <w:r w:rsidRPr="00C65CAA">
        <w:rPr>
          <w:rFonts w:ascii="Arial Narrow" w:eastAsia="Calibri" w:hAnsi="Arial Narrow"/>
          <w:sz w:val="22"/>
          <w:szCs w:val="22"/>
          <w:lang w:eastAsia="en-US"/>
        </w:rPr>
        <w:t xml:space="preserve">NKÚ SR na základe výsledkov kontroly vykonanej </w:t>
      </w:r>
      <w:r w:rsidR="00C24AD1" w:rsidRPr="00C65CAA">
        <w:rPr>
          <w:rFonts w:ascii="Arial Narrow" w:eastAsia="Calibri" w:hAnsi="Arial Narrow"/>
          <w:sz w:val="22"/>
          <w:szCs w:val="22"/>
          <w:lang w:eastAsia="en-US"/>
        </w:rPr>
        <w:t>na</w:t>
      </w:r>
      <w:r w:rsidRPr="00C65CAA">
        <w:rPr>
          <w:rFonts w:ascii="Arial Narrow" w:eastAsia="Calibri" w:hAnsi="Arial Narrow"/>
          <w:sz w:val="22"/>
          <w:szCs w:val="22"/>
          <w:lang w:eastAsia="en-US"/>
        </w:rPr>
        <w:t xml:space="preserve"> Ministerstve financií SR a vlastnej analytickej </w:t>
      </w:r>
      <w:r w:rsidR="00C24AD1" w:rsidRPr="00C65CAA">
        <w:rPr>
          <w:rFonts w:ascii="Arial Narrow" w:eastAsia="Calibri" w:hAnsi="Arial Narrow"/>
          <w:sz w:val="22"/>
          <w:szCs w:val="22"/>
          <w:lang w:eastAsia="en-US"/>
        </w:rPr>
        <w:t>činnosti dospel k týmto záverom.</w:t>
      </w:r>
    </w:p>
    <w:p w:rsidR="000F298F" w:rsidRPr="00C65CAA" w:rsidRDefault="000F298F" w:rsidP="003306A1">
      <w:pPr>
        <w:numPr>
          <w:ilvl w:val="0"/>
          <w:numId w:val="115"/>
        </w:numPr>
        <w:tabs>
          <w:tab w:val="left" w:pos="567"/>
        </w:tabs>
        <w:spacing w:before="60" w:after="60"/>
        <w:jc w:val="both"/>
        <w:rPr>
          <w:rFonts w:ascii="Arial Narrow" w:eastAsia="Calibri" w:hAnsi="Arial Narrow"/>
          <w:sz w:val="22"/>
          <w:szCs w:val="22"/>
          <w:lang w:eastAsia="en-US"/>
        </w:rPr>
      </w:pPr>
      <w:r w:rsidRPr="00C65CAA">
        <w:rPr>
          <w:rFonts w:ascii="Arial Narrow" w:eastAsia="Calibri" w:hAnsi="Arial Narrow"/>
          <w:sz w:val="22"/>
          <w:szCs w:val="22"/>
          <w:lang w:eastAsia="en-US"/>
        </w:rPr>
        <w:t xml:space="preserve">Návrh RVS na roky 2019 až 2021 bol vypracovaný v súlade so zákonom o rozpočtových pravidlách verejnej správy a Príručkou Ministerstva financií SR na zostavenie návrhu RVS na roky 2019 až 2021 </w:t>
      </w:r>
      <w:r w:rsidRPr="00C65CAA">
        <w:rPr>
          <w:rFonts w:ascii="Arial Narrow" w:hAnsi="Arial Narrow"/>
          <w:sz w:val="22"/>
          <w:szCs w:val="22"/>
        </w:rPr>
        <w:t>č. MF/010302/2018-411</w:t>
      </w:r>
    </w:p>
    <w:p w:rsidR="000F298F" w:rsidRPr="00C65CAA" w:rsidRDefault="000F298F" w:rsidP="003306A1">
      <w:pPr>
        <w:tabs>
          <w:tab w:val="left" w:pos="567"/>
        </w:tabs>
        <w:spacing w:before="60" w:after="60"/>
        <w:ind w:left="360"/>
        <w:jc w:val="both"/>
        <w:rPr>
          <w:rFonts w:ascii="Arial Narrow" w:eastAsia="Calibri" w:hAnsi="Arial Narrow"/>
          <w:sz w:val="22"/>
          <w:szCs w:val="22"/>
          <w:lang w:eastAsia="en-US"/>
        </w:rPr>
      </w:pPr>
      <w:r w:rsidRPr="00C65CAA">
        <w:rPr>
          <w:rFonts w:ascii="Arial Narrow" w:eastAsia="Calibri" w:hAnsi="Arial Narrow"/>
          <w:sz w:val="22"/>
          <w:szCs w:val="22"/>
          <w:lang w:eastAsia="en-US"/>
        </w:rPr>
        <w:t>Pri jeho zostavovaní bola použitá rozpočtová klasifikácia v súlade s Opatrením Ministerstva financií SR z 8. decembra 2004, ktorým sa ustanovuje druhová klasifikácia, organizačná klasifikácia a ekonomická klasifikácia rozpočtovej klasifikácie č. MF/010175/2004-42. Výdavky boli rozpísané do príslušných úrovní funkčnej klasifikácie v zmysle vyhlášky Š</w:t>
      </w:r>
      <w:r w:rsidR="00055944" w:rsidRPr="00C65CAA">
        <w:rPr>
          <w:rFonts w:ascii="Arial Narrow" w:eastAsia="Calibri" w:hAnsi="Arial Narrow"/>
          <w:sz w:val="22"/>
          <w:szCs w:val="22"/>
          <w:lang w:eastAsia="en-US"/>
        </w:rPr>
        <w:t>Ú</w:t>
      </w:r>
      <w:r w:rsidRPr="00C65CAA">
        <w:rPr>
          <w:rFonts w:ascii="Arial Narrow" w:eastAsia="Calibri" w:hAnsi="Arial Narrow"/>
          <w:sz w:val="22"/>
          <w:szCs w:val="22"/>
          <w:lang w:eastAsia="en-US"/>
        </w:rPr>
        <w:t xml:space="preserve"> SR č. 257/2014 Z. z., ktorou sa vydáva štatistická klasifikácia výdavkov verejnej správy.</w:t>
      </w:r>
    </w:p>
    <w:p w:rsidR="000F298F" w:rsidRPr="00C65CAA" w:rsidRDefault="000F298F" w:rsidP="003306A1">
      <w:pPr>
        <w:tabs>
          <w:tab w:val="left" w:pos="567"/>
        </w:tabs>
        <w:spacing w:before="60" w:after="60"/>
        <w:ind w:left="360"/>
        <w:jc w:val="both"/>
        <w:rPr>
          <w:rFonts w:ascii="Arial Narrow" w:eastAsia="Calibri" w:hAnsi="Arial Narrow"/>
          <w:sz w:val="22"/>
          <w:szCs w:val="22"/>
          <w:lang w:eastAsia="en-US"/>
        </w:rPr>
      </w:pPr>
      <w:r w:rsidRPr="00C65CAA">
        <w:rPr>
          <w:rFonts w:ascii="Arial Narrow" w:eastAsia="Calibri" w:hAnsi="Arial Narrow"/>
          <w:sz w:val="22"/>
          <w:szCs w:val="22"/>
          <w:lang w:eastAsia="en-US"/>
        </w:rPr>
        <w:t>Makroekonomické rámce a východiskový rámec návrhu RVS na roky 2019 až 2021 sú zostavené v súlade s metodikou ESA 2010, čím je zabezpečený systematický a podrobný opis porovnateľný s účtovným rámcom EÚ.</w:t>
      </w:r>
    </w:p>
    <w:p w:rsidR="000F298F" w:rsidRPr="00C65CAA" w:rsidRDefault="000F298F" w:rsidP="003306A1">
      <w:pPr>
        <w:numPr>
          <w:ilvl w:val="0"/>
          <w:numId w:val="115"/>
        </w:numPr>
        <w:tabs>
          <w:tab w:val="left" w:pos="567"/>
        </w:tabs>
        <w:spacing w:before="60" w:after="60"/>
        <w:jc w:val="both"/>
        <w:rPr>
          <w:rFonts w:ascii="Arial Narrow" w:eastAsia="Calibri" w:hAnsi="Arial Narrow"/>
          <w:sz w:val="22"/>
          <w:szCs w:val="22"/>
          <w:lang w:eastAsia="en-US"/>
        </w:rPr>
      </w:pPr>
      <w:r w:rsidRPr="00C65CAA">
        <w:rPr>
          <w:rFonts w:ascii="Arial Narrow" w:eastAsia="Calibri" w:hAnsi="Arial Narrow"/>
          <w:sz w:val="22"/>
          <w:szCs w:val="22"/>
          <w:lang w:eastAsia="en-US"/>
        </w:rPr>
        <w:t xml:space="preserve">Makroekonomické rámce návrhu RVS na rok 2019 vychádzajú z makroekonomickej prognózy, schválenej 12. septembra 2018 Výborom pre makroekonomické prognózy. Prognóza bola </w:t>
      </w:r>
      <w:r w:rsidRPr="00C65CAA">
        <w:rPr>
          <w:rFonts w:ascii="Arial Narrow" w:eastAsia="Calibri" w:hAnsi="Arial Narrow"/>
          <w:bCs/>
          <w:sz w:val="22"/>
          <w:szCs w:val="22"/>
          <w:lang w:eastAsia="en-US"/>
        </w:rPr>
        <w:t xml:space="preserve">hodnotená </w:t>
      </w:r>
      <w:r w:rsidRPr="00C65CAA">
        <w:rPr>
          <w:rFonts w:ascii="Arial Narrow" w:eastAsia="Calibri" w:hAnsi="Arial Narrow"/>
          <w:sz w:val="22"/>
          <w:szCs w:val="22"/>
          <w:lang w:eastAsia="en-US"/>
        </w:rPr>
        <w:t xml:space="preserve">členmi tohto výboru ako </w:t>
      </w:r>
      <w:r w:rsidR="00540655" w:rsidRPr="00C65CAA">
        <w:rPr>
          <w:rFonts w:ascii="Arial Narrow" w:eastAsia="Calibri" w:hAnsi="Arial Narrow"/>
          <w:sz w:val="22"/>
          <w:szCs w:val="22"/>
          <w:lang w:eastAsia="en-US"/>
        </w:rPr>
        <w:t>realist</w:t>
      </w:r>
      <w:r w:rsidRPr="00C65CAA">
        <w:rPr>
          <w:rFonts w:ascii="Arial Narrow" w:eastAsia="Calibri" w:hAnsi="Arial Narrow"/>
          <w:sz w:val="22"/>
          <w:szCs w:val="22"/>
          <w:lang w:eastAsia="en-US"/>
        </w:rPr>
        <w:t>ická. NKÚ SR sa s uvedenou prognózou stotožňuje.</w:t>
      </w:r>
    </w:p>
    <w:p w:rsidR="000F298F" w:rsidRPr="00C65CAA" w:rsidRDefault="000F298F" w:rsidP="003306A1">
      <w:pPr>
        <w:tabs>
          <w:tab w:val="left" w:pos="567"/>
        </w:tabs>
        <w:spacing w:before="60" w:after="60"/>
        <w:ind w:left="360"/>
        <w:jc w:val="both"/>
        <w:rPr>
          <w:rFonts w:ascii="Arial Narrow" w:hAnsi="Arial Narrow"/>
          <w:sz w:val="22"/>
          <w:szCs w:val="22"/>
        </w:rPr>
      </w:pPr>
      <w:r w:rsidRPr="00C65CAA">
        <w:rPr>
          <w:rFonts w:ascii="Arial Narrow" w:hAnsi="Arial Narrow"/>
          <w:bCs/>
          <w:sz w:val="22"/>
          <w:szCs w:val="22"/>
        </w:rPr>
        <w:t xml:space="preserve">V roku 2019 bude mať zásadný vplyv na ekonomiku SR export, ktorý bude ovplyvnený hlavne nábehom nového modelu SUV vo VW a nábehom výroby JLR. Na rok 2019 </w:t>
      </w:r>
      <w:r w:rsidRPr="00C65CAA">
        <w:rPr>
          <w:rFonts w:ascii="Arial Narrow" w:eastAsia="Calibri" w:hAnsi="Arial Narrow"/>
          <w:sz w:val="22"/>
          <w:szCs w:val="22"/>
          <w:lang w:eastAsia="en-US"/>
        </w:rPr>
        <w:t xml:space="preserve">je prognózovaný rast HDP na úrovni 4,5 %. Rizikom prognózy sa podľa NKÚ SR javí vývoj </w:t>
      </w:r>
      <w:r w:rsidRPr="00C65CAA">
        <w:rPr>
          <w:rFonts w:ascii="Arial Narrow" w:hAnsi="Arial Narrow"/>
          <w:sz w:val="22"/>
          <w:szCs w:val="22"/>
        </w:rPr>
        <w:t>v tzv. obchodnej vojne medzi USA, Čínou a EÚ a rast môže ovplyvniť aj tzv. „tvrdý“ Brexit.</w:t>
      </w:r>
    </w:p>
    <w:p w:rsidR="000F298F" w:rsidRPr="00C65CAA" w:rsidRDefault="000F298F" w:rsidP="003306A1">
      <w:pPr>
        <w:tabs>
          <w:tab w:val="left" w:pos="567"/>
        </w:tabs>
        <w:spacing w:before="60" w:after="60"/>
        <w:ind w:left="360"/>
        <w:jc w:val="both"/>
        <w:rPr>
          <w:rFonts w:ascii="Arial Narrow" w:hAnsi="Arial Narrow"/>
          <w:bCs/>
          <w:sz w:val="22"/>
          <w:szCs w:val="22"/>
        </w:rPr>
      </w:pPr>
      <w:r w:rsidRPr="00C65CAA">
        <w:rPr>
          <w:rFonts w:ascii="Arial Narrow" w:hAnsi="Arial Narrow"/>
          <w:bCs/>
          <w:sz w:val="22"/>
          <w:szCs w:val="22"/>
        </w:rPr>
        <w:t xml:space="preserve">Problémom sa stáva nedostatok pracovných síl, keď sa zamestnávateľom čoraz ťažšie obsadzujú nové pozície a súčasne odchádza do dôchodku rastúci počet osôb. </w:t>
      </w:r>
    </w:p>
    <w:p w:rsidR="000F298F" w:rsidRPr="00C65CAA" w:rsidRDefault="000F298F" w:rsidP="003306A1">
      <w:pPr>
        <w:tabs>
          <w:tab w:val="left" w:pos="567"/>
        </w:tabs>
        <w:spacing w:before="60" w:after="60"/>
        <w:ind w:left="360"/>
        <w:jc w:val="both"/>
        <w:rPr>
          <w:rFonts w:ascii="Arial Narrow" w:hAnsi="Arial Narrow"/>
          <w:bCs/>
          <w:sz w:val="22"/>
          <w:szCs w:val="22"/>
        </w:rPr>
      </w:pPr>
      <w:r w:rsidRPr="00C65CAA">
        <w:rPr>
          <w:rFonts w:ascii="Arial Narrow" w:hAnsi="Arial Narrow"/>
          <w:bCs/>
          <w:sz w:val="22"/>
          <w:szCs w:val="22"/>
        </w:rPr>
        <w:t>Rast miezd predstihuje očakávania, v roku 2019 by mali mzdy rásť najvýraznejšie vo verejnej správe a v súkromnom sektore najmä v odvetví priemyslu. Podľa prognózy budú mzdy v nasledujúcich rokoch rásť najrýchlejšie od obdobia krízy.</w:t>
      </w:r>
    </w:p>
    <w:p w:rsidR="000F298F" w:rsidRPr="00C65CAA" w:rsidRDefault="000F298F" w:rsidP="003306A1">
      <w:pPr>
        <w:tabs>
          <w:tab w:val="left" w:pos="567"/>
        </w:tabs>
        <w:spacing w:before="60" w:after="60"/>
        <w:ind w:left="360"/>
        <w:jc w:val="both"/>
        <w:rPr>
          <w:rFonts w:ascii="Arial Narrow" w:hAnsi="Arial Narrow"/>
          <w:bCs/>
          <w:sz w:val="22"/>
          <w:szCs w:val="22"/>
        </w:rPr>
      </w:pPr>
      <w:r w:rsidRPr="00C65CAA">
        <w:rPr>
          <w:rFonts w:ascii="Arial Narrow" w:hAnsi="Arial Narrow"/>
          <w:bCs/>
          <w:sz w:val="22"/>
          <w:szCs w:val="22"/>
        </w:rPr>
        <w:t>Za prvých deväť mesiacov roka 2018 však dosiahla medziročná inflácia v priemere už 2,6 %. Aj vývoj cien elektrickej energie a regulované ceny budú mať na vývoj inflácie vyšší vplyv ako sa pôvodne predpokladalo. Ne</w:t>
      </w:r>
      <w:r w:rsidR="00055944" w:rsidRPr="00C65CAA">
        <w:rPr>
          <w:rFonts w:ascii="Arial Narrow" w:hAnsi="Arial Narrow"/>
          <w:bCs/>
          <w:sz w:val="22"/>
          <w:szCs w:val="22"/>
        </w:rPr>
        <w:t>jasný vplyv bude mať aj platenie</w:t>
      </w:r>
      <w:r w:rsidRPr="00C65CAA">
        <w:rPr>
          <w:rFonts w:ascii="Arial Narrow" w:hAnsi="Arial Narrow"/>
          <w:bCs/>
          <w:sz w:val="22"/>
          <w:szCs w:val="22"/>
        </w:rPr>
        <w:t xml:space="preserve"> osobitného odvodu obchodnými reťazcami. Očakávania priemernej inflácie v blízkosti 2,5 % môžu byť preto mierne podhodnotené.</w:t>
      </w:r>
    </w:p>
    <w:p w:rsidR="000F298F" w:rsidRPr="00C65CAA" w:rsidRDefault="000F298F" w:rsidP="003306A1">
      <w:pPr>
        <w:numPr>
          <w:ilvl w:val="0"/>
          <w:numId w:val="115"/>
        </w:numPr>
        <w:tabs>
          <w:tab w:val="left" w:pos="567"/>
        </w:tabs>
        <w:spacing w:before="60" w:after="60"/>
        <w:jc w:val="both"/>
        <w:rPr>
          <w:rFonts w:ascii="Arial Narrow" w:eastAsia="Calibri" w:hAnsi="Arial Narrow"/>
          <w:sz w:val="22"/>
          <w:szCs w:val="22"/>
          <w:lang w:eastAsia="en-US"/>
        </w:rPr>
      </w:pPr>
      <w:r w:rsidRPr="00C65CAA">
        <w:rPr>
          <w:rFonts w:ascii="Arial Narrow" w:eastAsia="Calibri" w:hAnsi="Arial Narrow"/>
          <w:sz w:val="22"/>
          <w:szCs w:val="22"/>
          <w:lang w:eastAsia="en-US"/>
        </w:rPr>
        <w:t>Návrh rozpočtu na rok 2019 predpokladá pokračovanie konsolidácie verejných financií. Po najnižšom schodku VS</w:t>
      </w:r>
      <w:r w:rsidR="000943C4" w:rsidRPr="00C65CAA">
        <w:rPr>
          <w:rFonts w:ascii="Arial Narrow" w:eastAsia="Calibri" w:hAnsi="Arial Narrow"/>
          <w:sz w:val="22"/>
          <w:szCs w:val="22"/>
          <w:lang w:eastAsia="en-US"/>
        </w:rPr>
        <w:t xml:space="preserve"> v roku 2017 vo výške 0,8 % HDP a</w:t>
      </w:r>
      <w:r w:rsidRPr="00C65CAA">
        <w:rPr>
          <w:rFonts w:ascii="Arial Narrow" w:eastAsia="Calibri" w:hAnsi="Arial Narrow"/>
          <w:sz w:val="22"/>
          <w:szCs w:val="22"/>
          <w:lang w:eastAsia="en-US"/>
        </w:rPr>
        <w:t xml:space="preserve"> očakávanom schodku 0,6 % HDP v roku 2018 sa navrhuje schodok na úrovni 0,1 % HDP. V roku 2020 sa predpokladá vyrovnané hospodárenie a v roku 2021 po prvýkrát prebytok vo výške 0,2 % HDP.</w:t>
      </w:r>
    </w:p>
    <w:p w:rsidR="000F298F" w:rsidRPr="00C65CAA" w:rsidRDefault="000F298F" w:rsidP="003306A1">
      <w:pPr>
        <w:tabs>
          <w:tab w:val="left" w:pos="567"/>
        </w:tabs>
        <w:spacing w:before="60" w:after="60"/>
        <w:ind w:left="357"/>
        <w:jc w:val="both"/>
        <w:rPr>
          <w:rFonts w:ascii="Arial Narrow" w:eastAsia="Calibri" w:hAnsi="Arial Narrow"/>
          <w:sz w:val="22"/>
          <w:szCs w:val="22"/>
          <w:lang w:eastAsia="en-US"/>
        </w:rPr>
      </w:pPr>
      <w:r w:rsidRPr="00C65CAA">
        <w:rPr>
          <w:rFonts w:ascii="Arial Narrow" w:eastAsia="Calibri" w:hAnsi="Arial Narrow"/>
          <w:sz w:val="22"/>
          <w:szCs w:val="22"/>
          <w:lang w:eastAsia="en-US"/>
        </w:rPr>
        <w:t>Celkové príj</w:t>
      </w:r>
      <w:r w:rsidR="00A43C4F" w:rsidRPr="00C65CAA">
        <w:rPr>
          <w:rFonts w:ascii="Arial Narrow" w:eastAsia="Calibri" w:hAnsi="Arial Narrow"/>
          <w:sz w:val="22"/>
          <w:szCs w:val="22"/>
          <w:lang w:eastAsia="en-US"/>
        </w:rPr>
        <w:t>my VS sa na rok 2019 rozpočtujú</w:t>
      </w:r>
      <w:r w:rsidRPr="00C65CAA">
        <w:rPr>
          <w:rFonts w:ascii="Arial Narrow" w:eastAsia="Calibri" w:hAnsi="Arial Narrow"/>
          <w:sz w:val="22"/>
          <w:szCs w:val="22"/>
          <w:lang w:eastAsia="en-US"/>
        </w:rPr>
        <w:t xml:space="preserve"> vo výške 37 161 mil. eur, čo predstavuje rast o 2 729 mil. eur oproti minuloročnému rozpočtu. Rozpočtovanie daňových a odvodových príjmov v návrhu RVS na rok 2019 vychádza z prognózy daňových príjmov verejnej správy, schválenej 20. septembra 2018 Výborom pre daňové prognózy. Strednodobá prognóza daňových príjmov a sociálnych odvodov Ministerstva financií SR bola hodnotená všetkými členmi tohto výboru ako realistická. NKÚ SR, ktorý pôsobí ako pozorovateľ v tomto výbore, sa s uvedenou prognózou stotožňuje.</w:t>
      </w:r>
    </w:p>
    <w:p w:rsidR="000F298F" w:rsidRPr="00C65CAA" w:rsidRDefault="000F298F" w:rsidP="003306A1">
      <w:pPr>
        <w:tabs>
          <w:tab w:val="left" w:pos="567"/>
        </w:tabs>
        <w:spacing w:before="60" w:after="60"/>
        <w:ind w:left="357"/>
        <w:jc w:val="both"/>
        <w:rPr>
          <w:rFonts w:ascii="Arial Narrow" w:eastAsia="Calibri" w:hAnsi="Arial Narrow"/>
          <w:iCs/>
          <w:sz w:val="22"/>
          <w:szCs w:val="22"/>
          <w:lang w:eastAsia="en-US"/>
        </w:rPr>
      </w:pPr>
      <w:r w:rsidRPr="00C65CAA">
        <w:rPr>
          <w:rFonts w:ascii="Arial Narrow" w:eastAsia="Calibri" w:hAnsi="Arial Narrow"/>
          <w:sz w:val="22"/>
          <w:szCs w:val="22"/>
          <w:lang w:eastAsia="en-US"/>
        </w:rPr>
        <w:t>Hrubý dlh verejnej správy sa má v roku 2019 zvýšiť o</w:t>
      </w:r>
      <w:r w:rsidR="0083441E" w:rsidRPr="00C65CAA">
        <w:rPr>
          <w:rFonts w:ascii="Arial Narrow" w:eastAsia="Calibri" w:hAnsi="Arial Narrow"/>
          <w:sz w:val="22"/>
          <w:szCs w:val="22"/>
          <w:lang w:eastAsia="en-US"/>
        </w:rPr>
        <w:t> 1 752 mil. eur na úroveň 45 719</w:t>
      </w:r>
      <w:r w:rsidRPr="00C65CAA">
        <w:rPr>
          <w:rFonts w:ascii="Arial Narrow" w:eastAsia="Calibri" w:hAnsi="Arial Narrow"/>
          <w:sz w:val="22"/>
          <w:szCs w:val="22"/>
          <w:lang w:eastAsia="en-US"/>
        </w:rPr>
        <w:t xml:space="preserve"> mil. eur, čo bude predstavovať zníženie jeho podielu na úroveň 47,3 %</w:t>
      </w:r>
      <w:r w:rsidR="00A43C4F" w:rsidRPr="00C65CAA">
        <w:rPr>
          <w:rFonts w:ascii="Arial Narrow" w:eastAsia="Calibri" w:hAnsi="Arial Narrow"/>
          <w:sz w:val="22"/>
          <w:szCs w:val="22"/>
          <w:lang w:eastAsia="en-US"/>
        </w:rPr>
        <w:t xml:space="preserve"> HDP</w:t>
      </w:r>
      <w:r w:rsidRPr="00C65CAA">
        <w:rPr>
          <w:rFonts w:ascii="Arial Narrow" w:eastAsia="Calibri" w:hAnsi="Arial Narrow"/>
          <w:sz w:val="22"/>
          <w:szCs w:val="22"/>
          <w:lang w:eastAsia="en-US"/>
        </w:rPr>
        <w:t xml:space="preserve">. Znamená to, že dlh poklesne </w:t>
      </w:r>
      <w:r w:rsidRPr="00C65CAA">
        <w:rPr>
          <w:rFonts w:ascii="Arial Narrow" w:eastAsia="Calibri" w:hAnsi="Arial Narrow"/>
          <w:iCs/>
          <w:sz w:val="22"/>
          <w:szCs w:val="22"/>
          <w:lang w:eastAsia="en-US"/>
        </w:rPr>
        <w:t>pod dolné sankčné pásmo dlhovej brzdy ústavného zákona o rozpočtovej zodpovednosti.</w:t>
      </w:r>
    </w:p>
    <w:p w:rsidR="000F298F" w:rsidRPr="00C65CAA" w:rsidRDefault="000F298F" w:rsidP="003306A1">
      <w:pPr>
        <w:numPr>
          <w:ilvl w:val="0"/>
          <w:numId w:val="115"/>
        </w:numPr>
        <w:shd w:val="clear" w:color="auto" w:fill="FFFFFF"/>
        <w:tabs>
          <w:tab w:val="left" w:pos="567"/>
        </w:tabs>
        <w:spacing w:before="60" w:after="60"/>
        <w:ind w:left="357"/>
        <w:jc w:val="both"/>
        <w:rPr>
          <w:rFonts w:ascii="Arial Narrow" w:eastAsia="Calibri" w:hAnsi="Arial Narrow"/>
          <w:sz w:val="22"/>
          <w:szCs w:val="22"/>
          <w:lang w:eastAsia="en-US"/>
        </w:rPr>
      </w:pPr>
      <w:r w:rsidRPr="00C65CAA">
        <w:rPr>
          <w:rFonts w:ascii="Arial Narrow" w:eastAsia="Calibri" w:hAnsi="Arial Narrow"/>
          <w:sz w:val="22"/>
          <w:szCs w:val="22"/>
          <w:lang w:eastAsia="en-US"/>
        </w:rPr>
        <w:lastRenderedPageBreak/>
        <w:t>Návrh ŠR na rok 2019 je ohraničený východiskovým rámcom návrhu RVS na rok 2019. Schodok ŠR</w:t>
      </w:r>
      <w:r w:rsidR="000943C4" w:rsidRPr="00C65CAA">
        <w:rPr>
          <w:rFonts w:ascii="Arial Narrow" w:eastAsia="Calibri" w:hAnsi="Arial Narrow"/>
          <w:sz w:val="22"/>
          <w:szCs w:val="22"/>
          <w:lang w:eastAsia="en-US"/>
        </w:rPr>
        <w:t>,</w:t>
      </w:r>
      <w:r w:rsidRPr="00C65CAA">
        <w:rPr>
          <w:rFonts w:ascii="Arial Narrow" w:eastAsia="Calibri" w:hAnsi="Arial Narrow"/>
          <w:sz w:val="22"/>
          <w:szCs w:val="22"/>
          <w:lang w:eastAsia="en-US"/>
        </w:rPr>
        <w:t xml:space="preserve"> rozpočtovaný na hotovostnej báze</w:t>
      </w:r>
      <w:r w:rsidR="000943C4" w:rsidRPr="00C65CAA">
        <w:rPr>
          <w:rFonts w:ascii="Arial Narrow" w:eastAsia="Calibri" w:hAnsi="Arial Narrow"/>
          <w:sz w:val="22"/>
          <w:szCs w:val="22"/>
          <w:lang w:eastAsia="en-US"/>
        </w:rPr>
        <w:t>,</w:t>
      </w:r>
      <w:r w:rsidRPr="00C65CAA">
        <w:rPr>
          <w:rFonts w:ascii="Arial Narrow" w:eastAsia="Calibri" w:hAnsi="Arial Narrow"/>
          <w:sz w:val="22"/>
          <w:szCs w:val="22"/>
          <w:lang w:eastAsia="en-US"/>
        </w:rPr>
        <w:t xml:space="preserve"> sa má v roku 2019 medziročne zvýšiť o 165 mil. eur na úroveň 2 138 mil. eur, z toho príjmy ŠR sa majú medziročne zvýšiť o 1 515 mil. eur na úroveň 15 498 mil. eur a výdavky ŠR sa majú medziročne zvýšiť o 1 680 mil. eur na úroveň 17 636 mil. eur. </w:t>
      </w:r>
    </w:p>
    <w:p w:rsidR="000F298F" w:rsidRPr="00C65CAA" w:rsidRDefault="000F298F" w:rsidP="003306A1">
      <w:pPr>
        <w:tabs>
          <w:tab w:val="left" w:pos="567"/>
        </w:tabs>
        <w:spacing w:before="60" w:after="60"/>
        <w:ind w:left="357"/>
        <w:jc w:val="both"/>
        <w:rPr>
          <w:rFonts w:ascii="Arial Narrow" w:eastAsia="Calibri" w:hAnsi="Arial Narrow"/>
          <w:sz w:val="22"/>
          <w:szCs w:val="22"/>
          <w:lang w:eastAsia="en-US"/>
        </w:rPr>
      </w:pPr>
      <w:r w:rsidRPr="00C65CAA">
        <w:rPr>
          <w:rFonts w:ascii="Arial Narrow" w:eastAsia="Calibri" w:hAnsi="Arial Narrow"/>
          <w:sz w:val="22"/>
          <w:szCs w:val="22"/>
          <w:lang w:eastAsia="en-US"/>
        </w:rPr>
        <w:t>NKÚ SR kontrolou rozpočtovania výdavkov vo vybraných kapitolách ŠR na rok 2019 a vlastnou analytickou činnosťou identifikoval niekoľko rizík:</w:t>
      </w:r>
    </w:p>
    <w:p w:rsidR="000F298F" w:rsidRPr="00C65CAA" w:rsidRDefault="000F298F" w:rsidP="003306A1">
      <w:pPr>
        <w:pStyle w:val="Odsekzoznamu"/>
        <w:numPr>
          <w:ilvl w:val="0"/>
          <w:numId w:val="117"/>
        </w:numPr>
        <w:spacing w:before="60" w:after="60"/>
        <w:jc w:val="both"/>
        <w:rPr>
          <w:rFonts w:ascii="Arial Narrow" w:eastAsia="Calibri" w:hAnsi="Arial Narrow"/>
          <w:sz w:val="22"/>
          <w:szCs w:val="22"/>
        </w:rPr>
      </w:pPr>
      <w:r w:rsidRPr="00C65CAA">
        <w:rPr>
          <w:rFonts w:ascii="Arial Narrow" w:eastAsia="Calibri" w:hAnsi="Arial Narrow"/>
          <w:sz w:val="22"/>
          <w:szCs w:val="22"/>
        </w:rPr>
        <w:t xml:space="preserve">v rozpočte kapitoly </w:t>
      </w:r>
      <w:r w:rsidRPr="00C65CAA">
        <w:rPr>
          <w:rFonts w:ascii="Arial Narrow" w:eastAsia="Calibri" w:hAnsi="Arial Narrow"/>
          <w:b/>
          <w:sz w:val="22"/>
          <w:szCs w:val="22"/>
        </w:rPr>
        <w:t>Ministerstva obrany SR</w:t>
      </w:r>
      <w:r w:rsidRPr="00C65CAA">
        <w:rPr>
          <w:rFonts w:ascii="Arial Narrow" w:eastAsia="Calibri" w:hAnsi="Arial Narrow"/>
          <w:sz w:val="22"/>
          <w:szCs w:val="22"/>
        </w:rPr>
        <w:t xml:space="preserve"> upozorňuje na dôležitosť prípravy rezortu pre zvládnutie všetkých úloh vyplývajúcich z výrazné</w:t>
      </w:r>
      <w:r w:rsidR="000943C4" w:rsidRPr="00C65CAA">
        <w:rPr>
          <w:rFonts w:ascii="Arial Narrow" w:eastAsia="Calibri" w:hAnsi="Arial Narrow"/>
          <w:sz w:val="22"/>
          <w:szCs w:val="22"/>
        </w:rPr>
        <w:t>ho navýšenia obranných výdavkov,</w:t>
      </w:r>
    </w:p>
    <w:p w:rsidR="000F298F" w:rsidRPr="00C65CAA" w:rsidRDefault="000F298F" w:rsidP="003306A1">
      <w:pPr>
        <w:pStyle w:val="Odsekzoznamu"/>
        <w:numPr>
          <w:ilvl w:val="0"/>
          <w:numId w:val="117"/>
        </w:numPr>
        <w:spacing w:before="60" w:after="60"/>
        <w:jc w:val="both"/>
        <w:rPr>
          <w:rFonts w:ascii="Arial Narrow" w:hAnsi="Arial Narrow"/>
          <w:sz w:val="22"/>
          <w:szCs w:val="22"/>
        </w:rPr>
      </w:pPr>
      <w:r w:rsidRPr="00C65CAA">
        <w:rPr>
          <w:rFonts w:ascii="Arial Narrow" w:eastAsia="Calibri" w:hAnsi="Arial Narrow"/>
          <w:sz w:val="22"/>
          <w:szCs w:val="22"/>
        </w:rPr>
        <w:t xml:space="preserve">v rezorte </w:t>
      </w:r>
      <w:r w:rsidRPr="00C65CAA">
        <w:rPr>
          <w:rFonts w:ascii="Arial Narrow" w:eastAsia="Calibri" w:hAnsi="Arial Narrow"/>
          <w:b/>
          <w:sz w:val="22"/>
          <w:szCs w:val="22"/>
        </w:rPr>
        <w:t>Ministerstva vnútra SR</w:t>
      </w:r>
      <w:r w:rsidRPr="00C65CAA">
        <w:rPr>
          <w:rFonts w:ascii="Arial Narrow" w:eastAsia="Calibri" w:hAnsi="Arial Narrow"/>
          <w:sz w:val="22"/>
          <w:szCs w:val="22"/>
        </w:rPr>
        <w:t xml:space="preserve"> vidí riziko v p</w:t>
      </w:r>
      <w:r w:rsidRPr="00C65CAA">
        <w:rPr>
          <w:rFonts w:ascii="Arial Narrow" w:hAnsi="Arial Narrow"/>
          <w:sz w:val="22"/>
          <w:szCs w:val="22"/>
        </w:rPr>
        <w:t xml:space="preserve">okračujúcom trende poklesu príslušníkov Policajného zboru SR, ktorý sa nedarí zastaviť, napriek navýšeniu mzdových prostriedkov kapitoly. </w:t>
      </w:r>
      <w:r w:rsidRPr="00C65CAA">
        <w:rPr>
          <w:rFonts w:ascii="Arial Narrow" w:eastAsia="Calibri" w:hAnsi="Arial Narrow"/>
          <w:sz w:val="22"/>
          <w:szCs w:val="22"/>
        </w:rPr>
        <w:t>Naplnenie plánovaných kapitálových príjmov roz</w:t>
      </w:r>
      <w:r w:rsidR="000943C4" w:rsidRPr="00C65CAA">
        <w:rPr>
          <w:rFonts w:ascii="Arial Narrow" w:eastAsia="Calibri" w:hAnsi="Arial Narrow"/>
          <w:sz w:val="22"/>
          <w:szCs w:val="22"/>
        </w:rPr>
        <w:t>počtu možno označiť za rizikové,</w:t>
      </w:r>
    </w:p>
    <w:p w:rsidR="000F298F" w:rsidRPr="00C65CAA" w:rsidRDefault="000F298F" w:rsidP="003306A1">
      <w:pPr>
        <w:pStyle w:val="Odsekzoznamu"/>
        <w:numPr>
          <w:ilvl w:val="0"/>
          <w:numId w:val="117"/>
        </w:numPr>
        <w:spacing w:before="60" w:after="60"/>
        <w:jc w:val="both"/>
        <w:rPr>
          <w:rFonts w:ascii="Arial Narrow" w:hAnsi="Arial Narrow"/>
          <w:sz w:val="22"/>
          <w:szCs w:val="22"/>
        </w:rPr>
      </w:pPr>
      <w:r w:rsidRPr="00C65CAA">
        <w:rPr>
          <w:rFonts w:ascii="Arial Narrow" w:eastAsia="Calibri" w:hAnsi="Arial Narrow"/>
          <w:sz w:val="22"/>
          <w:szCs w:val="22"/>
        </w:rPr>
        <w:t xml:space="preserve">v rozpočte </w:t>
      </w:r>
      <w:r w:rsidRPr="00C65CAA">
        <w:rPr>
          <w:rFonts w:ascii="Arial Narrow" w:eastAsia="Calibri" w:hAnsi="Arial Narrow"/>
          <w:b/>
          <w:sz w:val="22"/>
          <w:szCs w:val="22"/>
        </w:rPr>
        <w:t>Ministerstva spravodlivosti SR</w:t>
      </w:r>
      <w:r w:rsidRPr="00C65CAA">
        <w:rPr>
          <w:rFonts w:ascii="Arial Narrow" w:eastAsia="Calibri" w:hAnsi="Arial Narrow"/>
          <w:sz w:val="22"/>
          <w:szCs w:val="22"/>
        </w:rPr>
        <w:t xml:space="preserve"> identifikoval riziko v navýšení počtu sudcov, </w:t>
      </w:r>
      <w:r w:rsidRPr="00C65CAA">
        <w:rPr>
          <w:rFonts w:ascii="Arial Narrow" w:hAnsi="Arial Narrow"/>
          <w:sz w:val="22"/>
          <w:szCs w:val="22"/>
        </w:rPr>
        <w:t>naďalej ost</w:t>
      </w:r>
      <w:r w:rsidR="00055944" w:rsidRPr="00C65CAA">
        <w:rPr>
          <w:rFonts w:ascii="Arial Narrow" w:hAnsi="Arial Narrow"/>
          <w:sz w:val="22"/>
          <w:szCs w:val="22"/>
        </w:rPr>
        <w:t>áva neobsadených</w:t>
      </w:r>
      <w:r w:rsidR="00A43C4F" w:rsidRPr="00C65CAA">
        <w:rPr>
          <w:rFonts w:ascii="Arial Narrow" w:hAnsi="Arial Narrow"/>
          <w:sz w:val="22"/>
          <w:szCs w:val="22"/>
        </w:rPr>
        <w:t xml:space="preserve"> 60 pozícií</w:t>
      </w:r>
      <w:r w:rsidR="000943C4" w:rsidRPr="00C65CAA">
        <w:rPr>
          <w:rFonts w:ascii="Arial Narrow" w:hAnsi="Arial Narrow"/>
          <w:sz w:val="22"/>
          <w:szCs w:val="22"/>
        </w:rPr>
        <w:t>,</w:t>
      </w:r>
    </w:p>
    <w:p w:rsidR="000F298F" w:rsidRPr="00C65CAA" w:rsidRDefault="000F298F" w:rsidP="003306A1">
      <w:pPr>
        <w:pStyle w:val="Odsekzoznamu"/>
        <w:numPr>
          <w:ilvl w:val="0"/>
          <w:numId w:val="117"/>
        </w:numPr>
        <w:spacing w:before="60" w:after="60"/>
        <w:jc w:val="both"/>
        <w:rPr>
          <w:rFonts w:ascii="Arial Narrow" w:eastAsia="Calibri" w:hAnsi="Arial Narrow"/>
          <w:sz w:val="22"/>
          <w:szCs w:val="22"/>
        </w:rPr>
      </w:pPr>
      <w:r w:rsidRPr="00C65CAA">
        <w:rPr>
          <w:rFonts w:ascii="Arial Narrow" w:eastAsia="Calibri" w:hAnsi="Arial Narrow"/>
          <w:sz w:val="22"/>
          <w:szCs w:val="22"/>
        </w:rPr>
        <w:t xml:space="preserve">v rozpočte kapitoly </w:t>
      </w:r>
      <w:r w:rsidRPr="00C65CAA">
        <w:rPr>
          <w:rFonts w:ascii="Arial Narrow" w:eastAsia="Calibri" w:hAnsi="Arial Narrow"/>
          <w:b/>
          <w:sz w:val="22"/>
          <w:szCs w:val="22"/>
        </w:rPr>
        <w:t>Ministerstva financií</w:t>
      </w:r>
      <w:r w:rsidRPr="00C65CAA">
        <w:rPr>
          <w:rFonts w:ascii="Arial Narrow" w:eastAsia="Calibri" w:hAnsi="Arial Narrow"/>
          <w:sz w:val="22"/>
          <w:szCs w:val="22"/>
        </w:rPr>
        <w:t xml:space="preserve"> </w:t>
      </w:r>
      <w:r w:rsidRPr="00C65CAA">
        <w:rPr>
          <w:rFonts w:ascii="Arial Narrow" w:eastAsia="Calibri" w:hAnsi="Arial Narrow"/>
          <w:b/>
          <w:sz w:val="22"/>
          <w:szCs w:val="22"/>
        </w:rPr>
        <w:t>SR</w:t>
      </w:r>
      <w:r w:rsidR="000943C4" w:rsidRPr="00C65CAA">
        <w:rPr>
          <w:rFonts w:ascii="Arial Narrow" w:eastAsia="Calibri" w:hAnsi="Arial Narrow"/>
          <w:sz w:val="22"/>
          <w:szCs w:val="22"/>
        </w:rPr>
        <w:t xml:space="preserve"> poukazuje na riziká</w:t>
      </w:r>
      <w:r w:rsidRPr="00C65CAA">
        <w:rPr>
          <w:rFonts w:ascii="Arial Narrow" w:eastAsia="Calibri" w:hAnsi="Arial Narrow"/>
          <w:sz w:val="22"/>
          <w:szCs w:val="22"/>
        </w:rPr>
        <w:t xml:space="preserve"> vyplývajúce z nedostatočného finančného zabezpečenia niektorých aktivít, napríkl</w:t>
      </w:r>
      <w:r w:rsidR="000943C4" w:rsidRPr="00C65CAA">
        <w:rPr>
          <w:rFonts w:ascii="Arial Narrow" w:eastAsia="Calibri" w:hAnsi="Arial Narrow"/>
          <w:sz w:val="22"/>
          <w:szCs w:val="22"/>
        </w:rPr>
        <w:t>ad pokračovanie reformy UNITAS –</w:t>
      </w:r>
      <w:r w:rsidRPr="00C65CAA">
        <w:rPr>
          <w:rFonts w:ascii="Arial Narrow" w:eastAsia="Calibri" w:hAnsi="Arial Narrow"/>
          <w:sz w:val="22"/>
          <w:szCs w:val="22"/>
        </w:rPr>
        <w:t xml:space="preserve"> Implementácia zjednotenia výberu daní, cla a poistných odvodov, financovanie nadrezortných licencií, prebiehajúcich a hroziacich arbitráží, požiadavky na osobné výdavky a rozvoj a prevádzku informačných systémov a niektoré legislatívne normy,</w:t>
      </w:r>
    </w:p>
    <w:p w:rsidR="000F298F" w:rsidRPr="00C65CAA" w:rsidRDefault="000F298F" w:rsidP="003306A1">
      <w:pPr>
        <w:pStyle w:val="Odsekzoznamu"/>
        <w:numPr>
          <w:ilvl w:val="0"/>
          <w:numId w:val="117"/>
        </w:numPr>
        <w:spacing w:before="60" w:after="60"/>
        <w:jc w:val="both"/>
        <w:rPr>
          <w:rFonts w:ascii="Arial Narrow" w:hAnsi="Arial Narrow"/>
          <w:sz w:val="22"/>
          <w:szCs w:val="22"/>
        </w:rPr>
      </w:pPr>
      <w:r w:rsidRPr="00C65CAA">
        <w:rPr>
          <w:rFonts w:ascii="Arial Narrow" w:eastAsia="Calibri" w:hAnsi="Arial Narrow"/>
          <w:sz w:val="22"/>
          <w:szCs w:val="22"/>
        </w:rPr>
        <w:t xml:space="preserve">v rozpočte kapitoly </w:t>
      </w:r>
      <w:r w:rsidRPr="00C65CAA">
        <w:rPr>
          <w:rFonts w:ascii="Arial Narrow" w:eastAsia="Calibri" w:hAnsi="Arial Narrow"/>
          <w:b/>
          <w:sz w:val="22"/>
          <w:szCs w:val="22"/>
        </w:rPr>
        <w:t>Ministerstva životného prostredia SR</w:t>
      </w:r>
      <w:r w:rsidRPr="00C65CAA">
        <w:rPr>
          <w:rFonts w:ascii="Arial Narrow" w:eastAsia="Calibri" w:hAnsi="Arial Narrow"/>
          <w:sz w:val="22"/>
          <w:szCs w:val="22"/>
        </w:rPr>
        <w:t xml:space="preserve"> napriek zvýšeniu v</w:t>
      </w:r>
      <w:r w:rsidRPr="00C65CAA">
        <w:rPr>
          <w:rFonts w:ascii="Arial Narrow" w:hAnsi="Arial Narrow"/>
          <w:sz w:val="22"/>
          <w:szCs w:val="22"/>
        </w:rPr>
        <w:t xml:space="preserve">ýdavkov na podporu vodného hospodárstva, zostáva rizikom riadenie programu vzhľadom na to, že v praxi sa neuplatňuje prioritizácia projektov protipovodňových opatrení. SR naďalej uhrádza pokutu vo výške 5 tis. eur denne, na základe verdiktu Súdneho dvora EÚ, za neuzatvorenie skládky odpadu Považský Chlmec v Žiline a v zonácii TANAPu, </w:t>
      </w:r>
      <w:r w:rsidR="000943C4" w:rsidRPr="00C65CAA">
        <w:rPr>
          <w:rFonts w:ascii="Arial Narrow" w:hAnsi="Arial Narrow"/>
          <w:sz w:val="22"/>
          <w:szCs w:val="22"/>
        </w:rPr>
        <w:t xml:space="preserve">kde </w:t>
      </w:r>
      <w:r w:rsidRPr="00C65CAA">
        <w:rPr>
          <w:rFonts w:ascii="Arial Narrow" w:hAnsi="Arial Narrow"/>
          <w:sz w:val="22"/>
          <w:szCs w:val="22"/>
        </w:rPr>
        <w:t>nedošlo k žiadnemu pokroku,</w:t>
      </w:r>
    </w:p>
    <w:p w:rsidR="000F298F" w:rsidRPr="00C65CAA" w:rsidRDefault="000F298F" w:rsidP="003306A1">
      <w:pPr>
        <w:pStyle w:val="Odsekzoznamu"/>
        <w:numPr>
          <w:ilvl w:val="0"/>
          <w:numId w:val="117"/>
        </w:numPr>
        <w:spacing w:before="60" w:after="60"/>
        <w:jc w:val="both"/>
        <w:rPr>
          <w:rFonts w:ascii="Arial Narrow" w:eastAsia="Calibri" w:hAnsi="Arial Narrow"/>
          <w:sz w:val="22"/>
          <w:szCs w:val="22"/>
        </w:rPr>
      </w:pPr>
      <w:r w:rsidRPr="00C65CAA">
        <w:rPr>
          <w:rFonts w:ascii="Arial Narrow" w:eastAsia="Calibri" w:hAnsi="Arial Narrow"/>
          <w:sz w:val="22"/>
          <w:szCs w:val="22"/>
        </w:rPr>
        <w:t xml:space="preserve">v kapitole </w:t>
      </w:r>
      <w:r w:rsidRPr="00C65CAA">
        <w:rPr>
          <w:rFonts w:ascii="Arial Narrow" w:eastAsia="Calibri" w:hAnsi="Arial Narrow"/>
          <w:b/>
          <w:sz w:val="22"/>
          <w:szCs w:val="22"/>
        </w:rPr>
        <w:t>Ministerstva školstva, vedy, výskumu a športu SR</w:t>
      </w:r>
      <w:r w:rsidRPr="00C65CAA">
        <w:rPr>
          <w:rFonts w:ascii="Arial Narrow" w:eastAsia="Calibri" w:hAnsi="Arial Narrow"/>
          <w:sz w:val="22"/>
          <w:szCs w:val="22"/>
        </w:rPr>
        <w:t xml:space="preserve"> upozorňuje na riziká najmä v oblasti rozpočtovaných výdavkov rozpočtových a príspevkových organizácií regionálneho školstva, ktoré s veľkou pravdepodobnosťou nepokryjú finančné potreby daných organizácií na vykonávanie ich činností a plnenie úloh v plnom rozsahu. Riziko rozpočtu v regionálnom školstve pretrváva aj v súvislosti s financovaním prioritnej osi Vzdelávanie a efektívnom využití týchto prostriedkov na zvýšenie ukazovateľov kvality v regionálnom školstve</w:t>
      </w:r>
      <w:r w:rsidR="00055944" w:rsidRPr="00C65CAA">
        <w:rPr>
          <w:rFonts w:ascii="Arial Narrow" w:eastAsia="Calibri" w:hAnsi="Arial Narrow"/>
          <w:sz w:val="22"/>
          <w:szCs w:val="22"/>
        </w:rPr>
        <w:t>.</w:t>
      </w:r>
      <w:r w:rsidRPr="00C65CAA">
        <w:rPr>
          <w:rFonts w:ascii="Arial Narrow" w:eastAsia="Calibri" w:hAnsi="Arial Narrow"/>
          <w:sz w:val="22"/>
          <w:szCs w:val="22"/>
        </w:rPr>
        <w:t xml:space="preserve"> </w:t>
      </w:r>
      <w:r w:rsidR="00055944" w:rsidRPr="00C65CAA">
        <w:rPr>
          <w:rFonts w:ascii="Arial Narrow" w:eastAsia="Calibri" w:hAnsi="Arial Narrow"/>
          <w:sz w:val="22"/>
          <w:szCs w:val="22"/>
        </w:rPr>
        <w:t>V oblasti výskumu a vývoja dochádza k poklesu výdavkov na rok 2019,</w:t>
      </w:r>
    </w:p>
    <w:p w:rsidR="007137D2" w:rsidRPr="00C65CAA" w:rsidRDefault="007137D2" w:rsidP="003306A1">
      <w:pPr>
        <w:pStyle w:val="Odsekzoznamu"/>
        <w:numPr>
          <w:ilvl w:val="0"/>
          <w:numId w:val="117"/>
        </w:numPr>
        <w:spacing w:before="60" w:after="60"/>
        <w:jc w:val="both"/>
        <w:rPr>
          <w:rFonts w:ascii="Arial Narrow" w:hAnsi="Arial Narrow"/>
        </w:rPr>
      </w:pPr>
      <w:r w:rsidRPr="00C65CAA">
        <w:rPr>
          <w:rFonts w:ascii="Arial Narrow" w:eastAsia="Calibri" w:hAnsi="Arial Narrow"/>
          <w:sz w:val="22"/>
        </w:rPr>
        <w:t xml:space="preserve">v rozpočte </w:t>
      </w:r>
      <w:r w:rsidRPr="00C65CAA">
        <w:rPr>
          <w:rFonts w:ascii="Arial Narrow" w:eastAsia="Calibri" w:hAnsi="Arial Narrow"/>
          <w:b/>
          <w:sz w:val="22"/>
        </w:rPr>
        <w:t>Ministerstva zdravotníctva SR</w:t>
      </w:r>
      <w:r w:rsidRPr="00C65CAA">
        <w:rPr>
          <w:rFonts w:ascii="Arial Narrow" w:eastAsia="Calibri" w:hAnsi="Arial Narrow"/>
          <w:sz w:val="22"/>
        </w:rPr>
        <w:t xml:space="preserve"> poukazuje na </w:t>
      </w:r>
      <w:r w:rsidRPr="00C65CAA">
        <w:rPr>
          <w:rFonts w:ascii="Arial Narrow" w:hAnsi="Arial Narrow"/>
          <w:sz w:val="22"/>
        </w:rPr>
        <w:t>pretrvávajúci nepriaznivý vývoj a zvyšujúce sa záväzky univerzitných a fakultných nemocníc (aj napriek ďalšiemu oddlžovaniu) a s tým súvisiace riziko z dôvodu poklesu príjmu za poistencov štátu. V roku 2019 bude štát za jedn</w:t>
      </w:r>
      <w:r w:rsidR="000943C4" w:rsidRPr="00C65CAA">
        <w:rPr>
          <w:rFonts w:ascii="Arial Narrow" w:hAnsi="Arial Narrow"/>
          <w:sz w:val="22"/>
        </w:rPr>
        <w:t>ého poistenca platiť takmer 4,5-</w:t>
      </w:r>
      <w:r w:rsidRPr="00C65CAA">
        <w:rPr>
          <w:rFonts w:ascii="Arial Narrow" w:hAnsi="Arial Narrow"/>
          <w:sz w:val="22"/>
        </w:rPr>
        <w:t>krát menej</w:t>
      </w:r>
      <w:r w:rsidR="000943C4" w:rsidRPr="00C65CAA">
        <w:rPr>
          <w:rFonts w:ascii="Arial Narrow" w:hAnsi="Arial Narrow"/>
          <w:sz w:val="22"/>
        </w:rPr>
        <w:t>,</w:t>
      </w:r>
      <w:r w:rsidRPr="00C65CAA">
        <w:rPr>
          <w:rFonts w:ascii="Arial Narrow" w:hAnsi="Arial Narrow"/>
          <w:sz w:val="22"/>
        </w:rPr>
        <w:t xml:space="preserve"> ako budú do systému prispievať ekonomicky aktívne osoby. Rovnako pretrváva riziko skutočného čerpania kapitálových výdavkov na rekonštrukcie a modernizácie nemocníc, napriek ich medziročnému navýšeniu,</w:t>
      </w:r>
    </w:p>
    <w:p w:rsidR="000F298F" w:rsidRPr="00C65CAA" w:rsidRDefault="000F298F" w:rsidP="003306A1">
      <w:pPr>
        <w:pStyle w:val="Odsekzoznamu"/>
        <w:numPr>
          <w:ilvl w:val="0"/>
          <w:numId w:val="117"/>
        </w:numPr>
        <w:spacing w:before="60" w:after="60"/>
        <w:jc w:val="both"/>
        <w:rPr>
          <w:rFonts w:ascii="Arial Narrow" w:hAnsi="Arial Narrow"/>
          <w:sz w:val="22"/>
          <w:szCs w:val="22"/>
        </w:rPr>
      </w:pPr>
      <w:r w:rsidRPr="00C65CAA">
        <w:rPr>
          <w:rFonts w:ascii="Arial Narrow" w:eastAsia="Calibri" w:hAnsi="Arial Narrow"/>
          <w:sz w:val="22"/>
          <w:szCs w:val="22"/>
        </w:rPr>
        <w:t xml:space="preserve">v kapitole </w:t>
      </w:r>
      <w:r w:rsidRPr="00C65CAA">
        <w:rPr>
          <w:rFonts w:ascii="Arial Narrow" w:eastAsia="Calibri" w:hAnsi="Arial Narrow"/>
          <w:b/>
          <w:sz w:val="22"/>
          <w:szCs w:val="22"/>
        </w:rPr>
        <w:t>Ministerstva práce, sociálnych vecí a rodiny SR</w:t>
      </w:r>
      <w:r w:rsidRPr="00C65CAA">
        <w:rPr>
          <w:rFonts w:ascii="Arial Narrow" w:eastAsia="Calibri" w:hAnsi="Arial Narrow"/>
          <w:sz w:val="22"/>
          <w:szCs w:val="22"/>
        </w:rPr>
        <w:t xml:space="preserve"> poukazuje na</w:t>
      </w:r>
      <w:r w:rsidRPr="00C65CAA">
        <w:rPr>
          <w:rFonts w:ascii="Arial Narrow" w:hAnsi="Arial Narrow"/>
          <w:sz w:val="22"/>
          <w:szCs w:val="22"/>
        </w:rPr>
        <w:t xml:space="preserve"> riziko stagnácie v oblasti politiky zamestnanosti (pomalé odstraňovanie regionálnych rozdielov, zníženie vysokej nezames</w:t>
      </w:r>
      <w:r w:rsidR="007137D2" w:rsidRPr="00C65CAA">
        <w:rPr>
          <w:rFonts w:ascii="Arial Narrow" w:hAnsi="Arial Narrow"/>
          <w:sz w:val="22"/>
          <w:szCs w:val="22"/>
        </w:rPr>
        <w:t>tnanosti obyvateľov z MRK, slabá</w:t>
      </w:r>
      <w:r w:rsidRPr="00C65CAA">
        <w:rPr>
          <w:rFonts w:ascii="Arial Narrow" w:hAnsi="Arial Narrow"/>
          <w:sz w:val="22"/>
          <w:szCs w:val="22"/>
        </w:rPr>
        <w:t xml:space="preserve"> podporu pracovnej migrácie, keďže dochádza k poklesu plánovaných zdrojov oproti rozpočtu 2018 až o 50 %, pričom výraznou mierou sa na tom podieľa pokles výdavkov</w:t>
      </w:r>
      <w:r w:rsidR="000943C4" w:rsidRPr="00C65CAA">
        <w:rPr>
          <w:rFonts w:ascii="Arial Narrow" w:hAnsi="Arial Narrow"/>
          <w:sz w:val="22"/>
          <w:szCs w:val="22"/>
        </w:rPr>
        <w:t xml:space="preserve"> v podprograme OP Ľudské zdroje),</w:t>
      </w:r>
    </w:p>
    <w:p w:rsidR="000F298F" w:rsidRPr="00C65CAA" w:rsidRDefault="000F298F" w:rsidP="003306A1">
      <w:pPr>
        <w:pStyle w:val="Odsekzoznamu"/>
        <w:numPr>
          <w:ilvl w:val="0"/>
          <w:numId w:val="117"/>
        </w:numPr>
        <w:spacing w:before="60" w:after="60"/>
        <w:jc w:val="both"/>
        <w:rPr>
          <w:rFonts w:ascii="Arial Narrow" w:hAnsi="Arial Narrow"/>
          <w:sz w:val="22"/>
          <w:szCs w:val="22"/>
        </w:rPr>
      </w:pPr>
      <w:r w:rsidRPr="00C65CAA">
        <w:rPr>
          <w:rFonts w:ascii="Arial Narrow" w:eastAsia="Calibri" w:hAnsi="Arial Narrow"/>
          <w:sz w:val="22"/>
          <w:szCs w:val="22"/>
        </w:rPr>
        <w:t xml:space="preserve">v rezorte </w:t>
      </w:r>
      <w:r w:rsidRPr="00C65CAA">
        <w:rPr>
          <w:rFonts w:ascii="Arial Narrow" w:eastAsia="Calibri" w:hAnsi="Arial Narrow"/>
          <w:b/>
          <w:sz w:val="22"/>
          <w:szCs w:val="22"/>
        </w:rPr>
        <w:t>Ministerstva hospodárstva</w:t>
      </w:r>
      <w:r w:rsidRPr="00C65CAA">
        <w:rPr>
          <w:rFonts w:ascii="Arial Narrow" w:eastAsia="Calibri" w:hAnsi="Arial Narrow"/>
          <w:sz w:val="22"/>
          <w:szCs w:val="22"/>
        </w:rPr>
        <w:t xml:space="preserve"> </w:t>
      </w:r>
      <w:r w:rsidRPr="00C65CAA">
        <w:rPr>
          <w:rFonts w:ascii="Arial Narrow" w:eastAsia="Calibri" w:hAnsi="Arial Narrow"/>
          <w:b/>
          <w:sz w:val="22"/>
          <w:szCs w:val="22"/>
        </w:rPr>
        <w:t>SR</w:t>
      </w:r>
      <w:r w:rsidRPr="00C65CAA">
        <w:rPr>
          <w:rFonts w:ascii="Arial Narrow" w:eastAsia="Calibri" w:hAnsi="Arial Narrow"/>
          <w:sz w:val="22"/>
          <w:szCs w:val="22"/>
        </w:rPr>
        <w:t xml:space="preserve"> poukazuje na skutočnosť, že v</w:t>
      </w:r>
      <w:r w:rsidRPr="00C65CAA">
        <w:rPr>
          <w:rFonts w:ascii="Arial Narrow" w:hAnsi="Arial Narrow"/>
          <w:sz w:val="22"/>
          <w:szCs w:val="22"/>
        </w:rPr>
        <w:t> rámci podpory rozvoja strategických investícií – investičných stimulov nedochádza k podpore najmenej rozvinutých regiónov, dva najmenej rozvinuté kraje čerpali najmenej investičnej pomoci,</w:t>
      </w:r>
    </w:p>
    <w:p w:rsidR="000F298F" w:rsidRPr="00C65CAA" w:rsidRDefault="000F298F" w:rsidP="003306A1">
      <w:pPr>
        <w:pStyle w:val="Odsekzoznamu"/>
        <w:numPr>
          <w:ilvl w:val="0"/>
          <w:numId w:val="117"/>
        </w:numPr>
        <w:spacing w:before="60" w:after="60"/>
        <w:jc w:val="both"/>
        <w:rPr>
          <w:rFonts w:ascii="Arial Narrow" w:hAnsi="Arial Narrow"/>
          <w:sz w:val="22"/>
          <w:szCs w:val="22"/>
        </w:rPr>
      </w:pPr>
      <w:r w:rsidRPr="00C65CAA">
        <w:rPr>
          <w:rFonts w:ascii="Arial Narrow" w:eastAsia="Calibri" w:hAnsi="Arial Narrow"/>
          <w:sz w:val="22"/>
          <w:szCs w:val="22"/>
        </w:rPr>
        <w:t xml:space="preserve">v rámci rozpočtu </w:t>
      </w:r>
      <w:r w:rsidRPr="00C65CAA">
        <w:rPr>
          <w:rFonts w:ascii="Arial Narrow" w:eastAsia="Calibri" w:hAnsi="Arial Narrow"/>
          <w:b/>
          <w:sz w:val="22"/>
          <w:szCs w:val="22"/>
        </w:rPr>
        <w:t>Ministerstva pôdohospodárstva a rozvoja vidieka SR</w:t>
      </w:r>
      <w:r w:rsidRPr="00C65CAA">
        <w:rPr>
          <w:rFonts w:ascii="Arial Narrow" w:eastAsia="Calibri" w:hAnsi="Arial Narrow"/>
          <w:sz w:val="22"/>
          <w:szCs w:val="22"/>
        </w:rPr>
        <w:t xml:space="preserve"> poukazuje na skutočnosť, že k zvýšeniu vlastných zdrojov kapitoly dochádza z veľkej časti len vďaka navrhovanému príjmu z odvodu z obchodných reťazcov. Rizikovým sa javí naplnenie ukazovateľa príjmov. Nedošlo k vyriešeniu problému s elektronizáciou PPA a naďalej pretrváva riziko </w:t>
      </w:r>
      <w:r w:rsidRPr="00C65CAA">
        <w:rPr>
          <w:rFonts w:ascii="Arial Narrow" w:hAnsi="Arial Narrow"/>
          <w:sz w:val="22"/>
          <w:szCs w:val="22"/>
        </w:rPr>
        <w:t>prepadnutia finančných prostriedkov z OP, respektív</w:t>
      </w:r>
      <w:r w:rsidR="000943C4" w:rsidRPr="00C65CAA">
        <w:rPr>
          <w:rFonts w:ascii="Arial Narrow" w:hAnsi="Arial Narrow"/>
          <w:sz w:val="22"/>
          <w:szCs w:val="22"/>
        </w:rPr>
        <w:t>e ich alokácie do iných oblastí,</w:t>
      </w:r>
    </w:p>
    <w:p w:rsidR="007137D2" w:rsidRPr="00C65CAA" w:rsidRDefault="000943C4" w:rsidP="003306A1">
      <w:pPr>
        <w:pStyle w:val="Odsekzoznamu"/>
        <w:numPr>
          <w:ilvl w:val="0"/>
          <w:numId w:val="117"/>
        </w:numPr>
        <w:autoSpaceDE w:val="0"/>
        <w:autoSpaceDN w:val="0"/>
        <w:adjustRightInd w:val="0"/>
        <w:spacing w:before="60" w:after="60"/>
        <w:jc w:val="both"/>
        <w:rPr>
          <w:rFonts w:ascii="Arial Narrow" w:hAnsi="Arial Narrow" w:cs="Calibri"/>
          <w:sz w:val="22"/>
        </w:rPr>
      </w:pPr>
      <w:r w:rsidRPr="00C65CAA">
        <w:rPr>
          <w:rFonts w:ascii="Arial Narrow" w:hAnsi="Arial Narrow" w:cs="Calibri"/>
          <w:sz w:val="22"/>
        </w:rPr>
        <w:t>v</w:t>
      </w:r>
      <w:r w:rsidR="007137D2" w:rsidRPr="00C65CAA">
        <w:rPr>
          <w:rFonts w:ascii="Arial Narrow" w:hAnsi="Arial Narrow" w:cs="Calibri"/>
          <w:sz w:val="22"/>
        </w:rPr>
        <w:t xml:space="preserve"> rozpočte kapitoly </w:t>
      </w:r>
      <w:r w:rsidR="007137D2" w:rsidRPr="00C65CAA">
        <w:rPr>
          <w:rFonts w:ascii="Arial Narrow" w:hAnsi="Arial Narrow" w:cs="Calibri"/>
          <w:b/>
          <w:sz w:val="22"/>
        </w:rPr>
        <w:t>Ministerstva dopravy a výstavby SR</w:t>
      </w:r>
      <w:r w:rsidR="007137D2" w:rsidRPr="00C65CAA">
        <w:rPr>
          <w:rFonts w:ascii="Arial Narrow" w:hAnsi="Arial Narrow" w:cs="Calibri"/>
          <w:sz w:val="22"/>
        </w:rPr>
        <w:t xml:space="preserve"> upozorňuje NKÚ SR na nedostatočné prostriedky, určené na údržbu a opravy ciest I. triedy, ktorých stav sa každoročne zhoršuje. Rovnako aj financovanie železničnej infraštruktúry je na rok 2019 poddimenzované. Nedostatok prostriedkov zo ŠR , spolu s veľmi pomalým čerpaním prostriedkov EÚ (predovšetkým na obnovu železničnej infraštruktúry), dávajú predpoklad v roku 2019 na pomalý progres v tejto oblasti. </w:t>
      </w:r>
    </w:p>
    <w:p w:rsidR="000F298F" w:rsidRPr="00C65CAA" w:rsidRDefault="000F298F" w:rsidP="003306A1">
      <w:pPr>
        <w:tabs>
          <w:tab w:val="left" w:pos="567"/>
        </w:tabs>
        <w:spacing w:before="60" w:after="60"/>
        <w:ind w:left="357"/>
        <w:jc w:val="both"/>
        <w:rPr>
          <w:rFonts w:ascii="Arial Narrow" w:eastAsia="Calibri" w:hAnsi="Arial Narrow"/>
          <w:sz w:val="22"/>
          <w:szCs w:val="22"/>
          <w:lang w:eastAsia="en-US"/>
        </w:rPr>
      </w:pPr>
      <w:r w:rsidRPr="00C65CAA">
        <w:rPr>
          <w:rFonts w:ascii="Arial Narrow" w:eastAsia="Calibri" w:hAnsi="Arial Narrow"/>
          <w:sz w:val="22"/>
          <w:szCs w:val="22"/>
          <w:lang w:eastAsia="en-US"/>
        </w:rPr>
        <w:lastRenderedPageBreak/>
        <w:t>NKÚ SR ďalej upozorňuje na:</w:t>
      </w:r>
    </w:p>
    <w:p w:rsidR="000F298F" w:rsidRPr="00C65CAA" w:rsidRDefault="000F298F" w:rsidP="003306A1">
      <w:pPr>
        <w:pStyle w:val="Odsekzoznamu"/>
        <w:numPr>
          <w:ilvl w:val="0"/>
          <w:numId w:val="117"/>
        </w:numPr>
        <w:spacing w:before="60" w:after="60"/>
        <w:jc w:val="both"/>
        <w:rPr>
          <w:rFonts w:ascii="Arial Narrow" w:eastAsia="Calibri" w:hAnsi="Arial Narrow"/>
          <w:sz w:val="22"/>
          <w:szCs w:val="22"/>
        </w:rPr>
      </w:pPr>
      <w:r w:rsidRPr="00C65CAA">
        <w:rPr>
          <w:rFonts w:ascii="Arial Narrow" w:eastAsia="Calibri" w:hAnsi="Arial Narrow"/>
          <w:sz w:val="22"/>
          <w:szCs w:val="22"/>
        </w:rPr>
        <w:t>nevyhnutnosť pristupovať k čerpaniu rezerv v súlade s ich účelovým určením a v prípade bližšie nešpecifikovaných rezerv zabezpečiť ich oprávnené použitie v kapitolách, kde vzniknú riziká v priebehu roka,</w:t>
      </w:r>
    </w:p>
    <w:p w:rsidR="000F298F" w:rsidRPr="00C65CAA" w:rsidRDefault="000F298F" w:rsidP="003306A1">
      <w:pPr>
        <w:pStyle w:val="Odsekzoznamu"/>
        <w:numPr>
          <w:ilvl w:val="0"/>
          <w:numId w:val="117"/>
        </w:numPr>
        <w:spacing w:before="60" w:after="60"/>
        <w:jc w:val="both"/>
        <w:rPr>
          <w:rFonts w:ascii="Arial Narrow" w:eastAsia="Calibri" w:hAnsi="Arial Narrow"/>
          <w:sz w:val="22"/>
          <w:szCs w:val="22"/>
        </w:rPr>
      </w:pPr>
      <w:r w:rsidRPr="00C65CAA">
        <w:rPr>
          <w:rFonts w:ascii="Arial Narrow" w:eastAsia="Calibri" w:hAnsi="Arial Narrow"/>
          <w:sz w:val="22"/>
          <w:szCs w:val="22"/>
        </w:rPr>
        <w:t>neplnenie opatrení hodnoty za peniaze, ktorých implementácia je bez očakávaných fiškálnych úspor. Výnimkou je len kapitola MZ SR, ktorá dosiahla čiastočné úspory,</w:t>
      </w:r>
    </w:p>
    <w:p w:rsidR="000F298F" w:rsidRPr="00C65CAA" w:rsidRDefault="000F298F" w:rsidP="003306A1">
      <w:pPr>
        <w:pStyle w:val="Odsekzoznamu"/>
        <w:numPr>
          <w:ilvl w:val="0"/>
          <w:numId w:val="117"/>
        </w:numPr>
        <w:spacing w:before="60" w:after="60"/>
        <w:jc w:val="both"/>
        <w:rPr>
          <w:rFonts w:ascii="Arial Narrow" w:eastAsia="Calibri" w:hAnsi="Arial Narrow"/>
          <w:sz w:val="22"/>
          <w:szCs w:val="22"/>
        </w:rPr>
      </w:pPr>
      <w:r w:rsidRPr="00C65CAA">
        <w:rPr>
          <w:rFonts w:ascii="Arial Narrow" w:eastAsia="Calibri" w:hAnsi="Arial Narrow"/>
          <w:sz w:val="22"/>
          <w:szCs w:val="22"/>
        </w:rPr>
        <w:t>plnenie ukazovateľov Európa 2020: predčasné ukončenie školskej dochádzky vo vekovej skupine</w:t>
      </w:r>
      <w:r w:rsidRPr="00C65CAA">
        <w:rPr>
          <w:rFonts w:ascii="Arial Narrow" w:eastAsia="Calibri" w:hAnsi="Arial Narrow"/>
          <w:sz w:val="22"/>
          <w:szCs w:val="22"/>
        </w:rPr>
        <w:br/>
        <w:t xml:space="preserve">18 </w:t>
      </w:r>
      <w:r w:rsidR="000C6721" w:rsidRPr="00C65CAA">
        <w:rPr>
          <w:rFonts w:ascii="Arial Narrow" w:eastAsia="Calibri" w:hAnsi="Arial Narrow"/>
          <w:sz w:val="22"/>
          <w:szCs w:val="22"/>
        </w:rPr>
        <w:t>–</w:t>
      </w:r>
      <w:r w:rsidRPr="00C65CAA">
        <w:rPr>
          <w:rFonts w:ascii="Arial Narrow" w:eastAsia="Calibri" w:hAnsi="Arial Narrow"/>
          <w:sz w:val="22"/>
          <w:szCs w:val="22"/>
        </w:rPr>
        <w:t xml:space="preserve"> 24 rokov a výdavky na </w:t>
      </w:r>
      <w:r w:rsidR="007137D2" w:rsidRPr="00C65CAA">
        <w:rPr>
          <w:rFonts w:ascii="Arial Narrow" w:eastAsia="Calibri" w:hAnsi="Arial Narrow"/>
          <w:sz w:val="22"/>
          <w:szCs w:val="22"/>
        </w:rPr>
        <w:t>výskum a</w:t>
      </w:r>
      <w:r w:rsidR="000C6721" w:rsidRPr="00C65CAA">
        <w:rPr>
          <w:rFonts w:ascii="Arial Narrow" w:eastAsia="Calibri" w:hAnsi="Arial Narrow"/>
          <w:sz w:val="22"/>
          <w:szCs w:val="22"/>
        </w:rPr>
        <w:t> </w:t>
      </w:r>
      <w:r w:rsidR="007137D2" w:rsidRPr="00C65CAA">
        <w:rPr>
          <w:rFonts w:ascii="Arial Narrow" w:eastAsia="Calibri" w:hAnsi="Arial Narrow"/>
          <w:sz w:val="22"/>
          <w:szCs w:val="22"/>
        </w:rPr>
        <w:t>vývoj</w:t>
      </w:r>
      <w:r w:rsidR="000C6721" w:rsidRPr="00C65CAA">
        <w:rPr>
          <w:rFonts w:ascii="Arial Narrow" w:eastAsia="Calibri" w:hAnsi="Arial Narrow"/>
          <w:sz w:val="22"/>
          <w:szCs w:val="22"/>
        </w:rPr>
        <w:t>,</w:t>
      </w:r>
      <w:r w:rsidR="007137D2" w:rsidRPr="00C65CAA">
        <w:rPr>
          <w:rFonts w:ascii="Arial Narrow" w:eastAsia="Calibri" w:hAnsi="Arial Narrow"/>
          <w:sz w:val="22"/>
          <w:szCs w:val="22"/>
        </w:rPr>
        <w:t xml:space="preserve"> sa nedarí plniť.</w:t>
      </w:r>
      <w:r w:rsidRPr="00C65CAA">
        <w:rPr>
          <w:rFonts w:ascii="Arial Narrow" w:eastAsia="Calibri" w:hAnsi="Arial Narrow"/>
          <w:sz w:val="22"/>
          <w:szCs w:val="22"/>
        </w:rPr>
        <w:t> </w:t>
      </w:r>
      <w:r w:rsidR="007137D2" w:rsidRPr="00C65CAA">
        <w:rPr>
          <w:rFonts w:ascii="Arial Narrow" w:eastAsia="Calibri" w:hAnsi="Arial Narrow"/>
          <w:sz w:val="22"/>
          <w:szCs w:val="22"/>
        </w:rPr>
        <w:t>U</w:t>
      </w:r>
      <w:r w:rsidRPr="00C65CAA">
        <w:rPr>
          <w:rFonts w:ascii="Arial Narrow" w:eastAsia="Calibri" w:hAnsi="Arial Narrow"/>
          <w:sz w:val="22"/>
          <w:szCs w:val="22"/>
        </w:rPr>
        <w:t xml:space="preserve">kazovatele miera zamestnanosti vo vekovej skupine 20 </w:t>
      </w:r>
      <w:r w:rsidR="000C6721" w:rsidRPr="00C65CAA">
        <w:rPr>
          <w:rFonts w:ascii="Arial Narrow" w:eastAsia="Calibri" w:hAnsi="Arial Narrow"/>
          <w:sz w:val="22"/>
          <w:szCs w:val="22"/>
        </w:rPr>
        <w:t>–</w:t>
      </w:r>
      <w:r w:rsidRPr="00C65CAA">
        <w:rPr>
          <w:rFonts w:ascii="Arial Narrow" w:eastAsia="Calibri" w:hAnsi="Arial Narrow"/>
          <w:sz w:val="22"/>
          <w:szCs w:val="22"/>
        </w:rPr>
        <w:t xml:space="preserve"> 64 rokov a populácia ohrozená chudobou a sociálnym vylúčením</w:t>
      </w:r>
      <w:r w:rsidR="000C6721" w:rsidRPr="00C65CAA">
        <w:rPr>
          <w:rFonts w:ascii="Arial Narrow" w:eastAsia="Calibri" w:hAnsi="Arial Narrow"/>
          <w:sz w:val="22"/>
          <w:szCs w:val="22"/>
        </w:rPr>
        <w:t>,</w:t>
      </w:r>
      <w:r w:rsidRPr="00C65CAA">
        <w:rPr>
          <w:rFonts w:ascii="Arial Narrow" w:eastAsia="Calibri" w:hAnsi="Arial Narrow"/>
          <w:sz w:val="22"/>
          <w:szCs w:val="22"/>
        </w:rPr>
        <w:t xml:space="preserve"> SR už splnila. </w:t>
      </w:r>
    </w:p>
    <w:p w:rsidR="000F298F" w:rsidRPr="00C65CAA" w:rsidRDefault="000F298F" w:rsidP="003306A1">
      <w:pPr>
        <w:numPr>
          <w:ilvl w:val="0"/>
          <w:numId w:val="115"/>
        </w:numPr>
        <w:tabs>
          <w:tab w:val="left" w:pos="567"/>
        </w:tabs>
        <w:autoSpaceDE w:val="0"/>
        <w:autoSpaceDN w:val="0"/>
        <w:adjustRightInd w:val="0"/>
        <w:spacing w:before="60" w:after="60"/>
        <w:jc w:val="both"/>
        <w:rPr>
          <w:rFonts w:ascii="Arial Narrow" w:eastAsia="Calibri" w:hAnsi="Arial Narrow"/>
          <w:sz w:val="22"/>
          <w:szCs w:val="22"/>
          <w:lang w:eastAsia="en-US"/>
        </w:rPr>
      </w:pPr>
      <w:r w:rsidRPr="00C65CAA">
        <w:rPr>
          <w:rFonts w:ascii="Arial Narrow" w:eastAsia="Calibri" w:hAnsi="Arial Narrow"/>
          <w:sz w:val="22"/>
          <w:szCs w:val="22"/>
          <w:lang w:eastAsia="en-US"/>
        </w:rPr>
        <w:t xml:space="preserve">Čistá finančná pozícia SR voči rozpočtu EÚ v roku 2019 medziročne rastie o 248 mil. eur na úroveň 819 mil. eur, </w:t>
      </w:r>
      <w:r w:rsidR="007137D2" w:rsidRPr="00C65CAA">
        <w:rPr>
          <w:rFonts w:ascii="Arial Narrow" w:eastAsia="Calibri" w:hAnsi="Arial Narrow"/>
          <w:sz w:val="22"/>
          <w:szCs w:val="22"/>
          <w:lang w:eastAsia="en-US"/>
        </w:rPr>
        <w:t>t. j.</w:t>
      </w:r>
      <w:r w:rsidRPr="00C65CAA">
        <w:rPr>
          <w:rFonts w:ascii="Arial Narrow" w:eastAsia="Calibri" w:hAnsi="Arial Narrow"/>
          <w:sz w:val="22"/>
          <w:szCs w:val="22"/>
          <w:lang w:eastAsia="en-US"/>
        </w:rPr>
        <w:t xml:space="preserve"> o 43,4 %. </w:t>
      </w:r>
      <w:r w:rsidRPr="00C65CAA">
        <w:rPr>
          <w:rFonts w:ascii="Arial Narrow" w:eastAsia="Calibri" w:hAnsi="Arial Narrow"/>
          <w:color w:val="000000"/>
          <w:sz w:val="22"/>
          <w:szCs w:val="22"/>
          <w:lang w:eastAsia="en-US"/>
        </w:rPr>
        <w:t>NKÚ SR upozorňuje, že je po</w:t>
      </w:r>
      <w:r w:rsidR="000C6721" w:rsidRPr="00C65CAA">
        <w:rPr>
          <w:rFonts w:ascii="Arial Narrow" w:eastAsia="Calibri" w:hAnsi="Arial Narrow"/>
          <w:color w:val="000000"/>
          <w:sz w:val="22"/>
          <w:szCs w:val="22"/>
          <w:lang w:eastAsia="en-US"/>
        </w:rPr>
        <w:t xml:space="preserve">trebné zdynamizovať čerpanie </w:t>
      </w:r>
      <w:r w:rsidRPr="00C65CAA">
        <w:rPr>
          <w:rFonts w:ascii="Arial Narrow" w:eastAsia="Calibri" w:hAnsi="Arial Narrow"/>
          <w:color w:val="000000"/>
          <w:sz w:val="22"/>
          <w:szCs w:val="22"/>
          <w:lang w:eastAsia="en-US"/>
        </w:rPr>
        <w:t>fondov</w:t>
      </w:r>
      <w:r w:rsidR="000C6721" w:rsidRPr="00C65CAA">
        <w:rPr>
          <w:rFonts w:ascii="Arial Narrow" w:eastAsia="Calibri" w:hAnsi="Arial Narrow"/>
          <w:color w:val="000000"/>
          <w:sz w:val="22"/>
          <w:szCs w:val="22"/>
          <w:lang w:eastAsia="en-US"/>
        </w:rPr>
        <w:t xml:space="preserve"> EÚ</w:t>
      </w:r>
      <w:r w:rsidRPr="00C65CAA">
        <w:rPr>
          <w:rFonts w:ascii="Arial Narrow" w:eastAsia="Calibri" w:hAnsi="Arial Narrow"/>
          <w:color w:val="000000"/>
          <w:sz w:val="22"/>
          <w:szCs w:val="22"/>
          <w:lang w:eastAsia="en-US"/>
        </w:rPr>
        <w:t xml:space="preserve">, aby čo najvyšší objem oprávnených výdavkov bol predložený na EK v rámci účtovného roku </w:t>
      </w:r>
      <w:r w:rsidR="000C6721" w:rsidRPr="00C65CAA">
        <w:rPr>
          <w:rFonts w:ascii="Arial Narrow" w:eastAsia="Calibri" w:hAnsi="Arial Narrow"/>
          <w:color w:val="000000"/>
          <w:sz w:val="22"/>
          <w:szCs w:val="22"/>
          <w:lang w:eastAsia="en-US"/>
        </w:rPr>
        <w:t>na účel</w:t>
      </w:r>
      <w:r w:rsidRPr="00C65CAA">
        <w:rPr>
          <w:rFonts w:ascii="Arial Narrow" w:eastAsia="Calibri" w:hAnsi="Arial Narrow"/>
          <w:color w:val="000000"/>
          <w:sz w:val="22"/>
          <w:szCs w:val="22"/>
          <w:lang w:eastAsia="en-US"/>
        </w:rPr>
        <w:t xml:space="preserve"> absorbovania čo najvyššieho objemu príslušnej ročnej zálohy.</w:t>
      </w:r>
    </w:p>
    <w:p w:rsidR="000F298F" w:rsidRPr="00C65CAA" w:rsidRDefault="000F298F" w:rsidP="003306A1">
      <w:pPr>
        <w:pStyle w:val="Odsekzoznamu"/>
        <w:numPr>
          <w:ilvl w:val="0"/>
          <w:numId w:val="115"/>
        </w:numPr>
        <w:autoSpaceDE w:val="0"/>
        <w:autoSpaceDN w:val="0"/>
        <w:adjustRightInd w:val="0"/>
        <w:spacing w:before="60" w:after="60"/>
        <w:jc w:val="both"/>
        <w:rPr>
          <w:rFonts w:ascii="Arial Narrow" w:eastAsia="Calibri" w:hAnsi="Arial Narrow"/>
          <w:sz w:val="22"/>
          <w:szCs w:val="22"/>
          <w:lang w:eastAsia="en-US"/>
        </w:rPr>
      </w:pPr>
      <w:r w:rsidRPr="00C65CAA">
        <w:rPr>
          <w:rFonts w:ascii="Arial Narrow" w:hAnsi="Arial Narrow" w:cs="Calibri"/>
          <w:sz w:val="22"/>
          <w:szCs w:val="22"/>
        </w:rPr>
        <w:t>Pozitívny nárast bilančného zostatku ostatných subjektov verejnej správy na rok 2019 možno do veľkej miery pripísať</w:t>
      </w:r>
      <w:r w:rsidR="000C6721" w:rsidRPr="00C65CAA">
        <w:rPr>
          <w:rFonts w:ascii="Arial Narrow" w:hAnsi="Arial Narrow" w:cs="Calibri"/>
          <w:sz w:val="22"/>
          <w:szCs w:val="22"/>
        </w:rPr>
        <w:t xml:space="preserve"> pozitívnej ekonomickej situácii</w:t>
      </w:r>
      <w:r w:rsidRPr="00C65CAA">
        <w:rPr>
          <w:rFonts w:ascii="Arial Narrow" w:hAnsi="Arial Narrow" w:cs="Calibri"/>
          <w:sz w:val="22"/>
          <w:szCs w:val="22"/>
        </w:rPr>
        <w:t>. Len príjmy od ekonomicky aktívneho obyvateľstva do Sociálnej poisťovne a verejného zdravotného poistenia majú medziročne vzrásť o viac ako 1 mld. eur, o ďalších 365 mil. eur sa očakáva nárast príjmov pre obce a VÚC z DPFO. Cieľom návrhu súhrnného rozpočtu ostatných subjektov verejnej správy na rok 2019 je dosiahnuť prebytok vo výške 988,4 mil. eur. Tento výsledok by mohli svojim hospodárením ovplyvniť predovšetkým obce a VÚC (presunom nevyčerpaných prostriedkov z predchádzajúcich období spolu so slabým čerpaním kapitálových výdavkov)</w:t>
      </w:r>
      <w:r w:rsidR="000C6721" w:rsidRPr="00C65CAA">
        <w:rPr>
          <w:rFonts w:ascii="Arial Narrow" w:hAnsi="Arial Narrow" w:cs="Calibri"/>
          <w:sz w:val="22"/>
          <w:szCs w:val="22"/>
        </w:rPr>
        <w:t xml:space="preserve">, </w:t>
      </w:r>
      <w:r w:rsidRPr="00C65CAA">
        <w:rPr>
          <w:rFonts w:ascii="Arial Narrow" w:hAnsi="Arial Narrow" w:cs="Calibri"/>
          <w:sz w:val="22"/>
          <w:szCs w:val="22"/>
        </w:rPr>
        <w:t>pozitívnym spôsobom Sociálna poisťovňa a verejné zdravotné poistenie z dôvodu vyšších</w:t>
      </w:r>
      <w:r w:rsidR="000C6721" w:rsidRPr="00C65CAA">
        <w:rPr>
          <w:rFonts w:ascii="Arial Narrow" w:hAnsi="Arial Narrow" w:cs="Calibri"/>
          <w:sz w:val="22"/>
          <w:szCs w:val="22"/>
        </w:rPr>
        <w:t>,</w:t>
      </w:r>
      <w:r w:rsidRPr="00C65CAA">
        <w:rPr>
          <w:rFonts w:ascii="Arial Narrow" w:hAnsi="Arial Narrow" w:cs="Calibri"/>
          <w:sz w:val="22"/>
          <w:szCs w:val="22"/>
        </w:rPr>
        <w:t xml:space="preserve"> ako očakávaných príjmov od ekonomicky aktívneho obyvateľstva.</w:t>
      </w:r>
      <w:r w:rsidRPr="00C65CAA">
        <w:rPr>
          <w:rFonts w:ascii="Arial Narrow" w:eastAsia="Calibri" w:hAnsi="Arial Narrow"/>
          <w:sz w:val="22"/>
          <w:szCs w:val="22"/>
          <w:lang w:eastAsia="en-US"/>
        </w:rPr>
        <w:t xml:space="preserve"> </w:t>
      </w:r>
    </w:p>
    <w:p w:rsidR="003306A1" w:rsidRDefault="000F298F" w:rsidP="003306A1">
      <w:pPr>
        <w:tabs>
          <w:tab w:val="left" w:pos="567"/>
        </w:tabs>
        <w:spacing w:before="60" w:after="60"/>
        <w:jc w:val="both"/>
        <w:rPr>
          <w:rFonts w:ascii="Arial Narrow" w:eastAsia="Calibri" w:hAnsi="Arial Narrow"/>
          <w:sz w:val="22"/>
          <w:szCs w:val="22"/>
          <w:lang w:eastAsia="en-US"/>
        </w:rPr>
      </w:pPr>
      <w:r w:rsidRPr="00C65CAA">
        <w:rPr>
          <w:rFonts w:ascii="Arial Narrow" w:eastAsia="Calibri" w:hAnsi="Arial Narrow"/>
          <w:sz w:val="22"/>
          <w:szCs w:val="22"/>
          <w:lang w:eastAsia="en-US"/>
        </w:rPr>
        <w:t>NKÚ SR na základe výsledkov kontrolnej činnosti po zohľadnení makroekonomických rámcov a východiskového rámca návrhu RVS SR na roky 2019 až 2021</w:t>
      </w:r>
    </w:p>
    <w:p w:rsidR="003306A1" w:rsidRDefault="000F298F" w:rsidP="003306A1">
      <w:pPr>
        <w:tabs>
          <w:tab w:val="left" w:pos="567"/>
        </w:tabs>
        <w:spacing w:before="60" w:after="60"/>
        <w:jc w:val="center"/>
        <w:rPr>
          <w:rFonts w:ascii="Arial Narrow" w:eastAsia="Calibri" w:hAnsi="Arial Narrow"/>
          <w:b/>
          <w:sz w:val="22"/>
          <w:szCs w:val="22"/>
          <w:lang w:eastAsia="en-US"/>
        </w:rPr>
      </w:pPr>
      <w:r w:rsidRPr="00C65CAA">
        <w:rPr>
          <w:rFonts w:ascii="Arial Narrow" w:eastAsia="Calibri" w:hAnsi="Arial Narrow"/>
          <w:b/>
          <w:sz w:val="22"/>
          <w:szCs w:val="22"/>
          <w:lang w:eastAsia="en-US"/>
        </w:rPr>
        <w:t>nemá zásadné pripomienky</w:t>
      </w:r>
    </w:p>
    <w:p w:rsidR="000F298F" w:rsidRPr="00C65CAA" w:rsidRDefault="000F298F" w:rsidP="003306A1">
      <w:pPr>
        <w:tabs>
          <w:tab w:val="left" w:pos="567"/>
        </w:tabs>
        <w:spacing w:before="60" w:after="60"/>
        <w:jc w:val="both"/>
        <w:rPr>
          <w:rFonts w:ascii="Arial Narrow" w:eastAsia="Calibri" w:hAnsi="Arial Narrow"/>
          <w:sz w:val="22"/>
          <w:szCs w:val="22"/>
          <w:lang w:eastAsia="en-US"/>
        </w:rPr>
      </w:pPr>
      <w:r w:rsidRPr="00C65CAA">
        <w:rPr>
          <w:rFonts w:ascii="Arial Narrow" w:eastAsia="Calibri" w:hAnsi="Arial Narrow"/>
          <w:sz w:val="22"/>
          <w:szCs w:val="22"/>
          <w:lang w:eastAsia="en-US"/>
        </w:rPr>
        <w:t>k návrhu zákona o ŠR na rok 2019.</w:t>
      </w:r>
    </w:p>
    <w:p w:rsidR="000F298F" w:rsidRPr="00C65CAA" w:rsidRDefault="000F298F" w:rsidP="003306A1">
      <w:pPr>
        <w:spacing w:before="60" w:after="60"/>
        <w:jc w:val="both"/>
        <w:rPr>
          <w:rFonts w:ascii="Arial Narrow" w:eastAsia="Calibri" w:hAnsi="Arial Narrow"/>
          <w:sz w:val="22"/>
          <w:szCs w:val="22"/>
          <w:lang w:eastAsia="en-US"/>
        </w:rPr>
      </w:pPr>
      <w:r w:rsidRPr="00C65CAA">
        <w:rPr>
          <w:rFonts w:ascii="Arial Narrow" w:eastAsia="Calibri" w:hAnsi="Arial Narrow"/>
          <w:sz w:val="22"/>
          <w:szCs w:val="22"/>
          <w:lang w:eastAsia="en-US"/>
        </w:rPr>
        <w:t xml:space="preserve">Makroekonomické rámce a východiskový rámec návrhu RVS na rok 2019, návrh ŠR na rok 2019 a návrh súhrnného rozpočtu ostatných subjektov verejnej správy na rok 2019 sú zostavené v súlade s Ústavou SR, ústavnými zákonmi, zákonmi a ďalšími všeobecne záväznými právnymi predpismi platnými v SR, medzinárodnými zmluvami a inými dokumentmi, ktorými je SR viazaná, právom Európskych spoločenstiev a právom EÚ. </w:t>
      </w:r>
    </w:p>
    <w:p w:rsidR="000F298F" w:rsidRPr="00C65CAA" w:rsidRDefault="000F298F" w:rsidP="003306A1">
      <w:pPr>
        <w:shd w:val="clear" w:color="auto" w:fill="FFFFFF"/>
        <w:spacing w:before="60" w:after="60"/>
        <w:jc w:val="both"/>
        <w:rPr>
          <w:rFonts w:ascii="Arial Narrow" w:eastAsia="Calibri" w:hAnsi="Arial Narrow"/>
          <w:sz w:val="22"/>
          <w:szCs w:val="22"/>
          <w:lang w:eastAsia="en-US"/>
        </w:rPr>
      </w:pPr>
      <w:r w:rsidRPr="00C65CAA">
        <w:rPr>
          <w:rFonts w:ascii="Arial Narrow" w:eastAsia="Calibri" w:hAnsi="Arial Narrow"/>
          <w:sz w:val="22"/>
          <w:szCs w:val="22"/>
          <w:lang w:eastAsia="en-US"/>
        </w:rPr>
        <w:t>NKÚ SR vo svojej nezávislej kontrolnej činnosti bude aj v roku 2019 klásť dôraz na hospodárne, efektívne a účinné vynakladanie verejných zdrojov štátnou správou, samosprávou a občanmi štátu a tým dôsledne napĺňať poslanie úradu – prispieť k zlepšeniu hospodárenia s verejnými prostriedkami a kvality verejných služieb.</w:t>
      </w:r>
    </w:p>
    <w:p w:rsidR="000F298F" w:rsidRPr="00C65CAA" w:rsidRDefault="000F298F" w:rsidP="003306A1">
      <w:pPr>
        <w:shd w:val="clear" w:color="auto" w:fill="FFFFFF"/>
        <w:spacing w:before="60" w:after="60"/>
        <w:jc w:val="both"/>
        <w:rPr>
          <w:rFonts w:ascii="Arial Narrow" w:eastAsia="Calibri" w:hAnsi="Arial Narrow"/>
          <w:sz w:val="22"/>
          <w:szCs w:val="22"/>
          <w:lang w:eastAsia="en-US"/>
        </w:rPr>
      </w:pPr>
      <w:r w:rsidRPr="00C65CAA">
        <w:rPr>
          <w:rFonts w:ascii="Arial Narrow" w:eastAsia="Calibri" w:hAnsi="Arial Narrow"/>
          <w:sz w:val="22"/>
          <w:szCs w:val="22"/>
          <w:lang w:eastAsia="en-US"/>
        </w:rPr>
        <w:t>Tým je NKÚ SR pripravený napomáhať správnemu hospodáreniu s verejnými finančnými zdrojmi a majetkom a riešeniu celospoločensky významných problémov, preverením ktorých budú príslušným kontrolovaným subjektom poskytnuté potrebné informácie pre prijatie efektívnych a účinných opatrení na ich riešenie.</w:t>
      </w:r>
    </w:p>
    <w:p w:rsidR="000F298F" w:rsidRPr="00C65CAA" w:rsidRDefault="000F298F" w:rsidP="003306A1">
      <w:pPr>
        <w:shd w:val="clear" w:color="auto" w:fill="FFFFFF"/>
        <w:spacing w:before="60" w:after="60"/>
        <w:jc w:val="both"/>
        <w:rPr>
          <w:rFonts w:ascii="Arial Narrow" w:eastAsia="Calibri" w:hAnsi="Arial Narrow"/>
          <w:sz w:val="22"/>
          <w:szCs w:val="22"/>
          <w:lang w:eastAsia="en-US"/>
        </w:rPr>
      </w:pPr>
      <w:r w:rsidRPr="00C65CAA">
        <w:rPr>
          <w:rFonts w:ascii="Arial Narrow" w:eastAsia="Calibri" w:hAnsi="Arial Narrow"/>
          <w:sz w:val="22"/>
          <w:szCs w:val="22"/>
          <w:lang w:eastAsia="en-US"/>
        </w:rPr>
        <w:t xml:space="preserve">V tejto súvislosti NKÚ SR bude i naďalej poskytovať objektívne informácie o zistených skutočnostiach v tejto oblasti, tak NR SR, ako aj verejnosti. </w:t>
      </w:r>
    </w:p>
    <w:p w:rsidR="00256AF8" w:rsidRPr="00C65CAA" w:rsidRDefault="00256AF8" w:rsidP="003306A1">
      <w:pPr>
        <w:spacing w:before="60" w:after="60"/>
        <w:jc w:val="both"/>
        <w:rPr>
          <w:rFonts w:ascii="Arial Narrow" w:hAnsi="Arial Narrow"/>
          <w:sz w:val="22"/>
          <w:szCs w:val="22"/>
        </w:rPr>
      </w:pPr>
      <w:r w:rsidRPr="00C65CAA">
        <w:rPr>
          <w:rFonts w:ascii="Arial Narrow" w:hAnsi="Arial Narrow"/>
          <w:sz w:val="22"/>
          <w:szCs w:val="22"/>
        </w:rPr>
        <w:t>NKÚ SR oceňuje prípravu zavedenia viacročných záväzných výdavkových stropov do slovenskej rozpočtovej praxe, ktoré by mohli posilniť strednodobé rozpočtové plánovanie a viesť aj k posilneniu kontroly a transparentnosti rozpočtu.</w:t>
      </w:r>
    </w:p>
    <w:p w:rsidR="000F298F" w:rsidRPr="00C65CAA" w:rsidRDefault="000F298F" w:rsidP="003306A1">
      <w:pPr>
        <w:shd w:val="clear" w:color="auto" w:fill="FFFFFF"/>
        <w:spacing w:before="60" w:after="60"/>
        <w:jc w:val="both"/>
        <w:rPr>
          <w:rFonts w:ascii="Arial Narrow" w:eastAsia="Calibri" w:hAnsi="Arial Narrow"/>
          <w:sz w:val="22"/>
          <w:szCs w:val="22"/>
          <w:lang w:eastAsia="en-US"/>
        </w:rPr>
      </w:pPr>
      <w:r w:rsidRPr="00C65CAA">
        <w:rPr>
          <w:rFonts w:ascii="Arial Narrow" w:eastAsia="Calibri" w:hAnsi="Arial Narrow"/>
          <w:sz w:val="22"/>
          <w:szCs w:val="22"/>
          <w:lang w:eastAsia="en-US"/>
        </w:rPr>
        <w:t>Podrobnejšie hodnotenia Stanoviska NKÚ SR k návrhu ŠR na rok 2019 sú uvedené v jeho ďalších častiach:</w:t>
      </w:r>
    </w:p>
    <w:p w:rsidR="000F298F" w:rsidRPr="00C65CAA" w:rsidRDefault="000F298F" w:rsidP="003306A1">
      <w:pPr>
        <w:numPr>
          <w:ilvl w:val="0"/>
          <w:numId w:val="116"/>
        </w:numPr>
        <w:shd w:val="clear" w:color="auto" w:fill="FFFFFF"/>
        <w:spacing w:before="60" w:after="60"/>
        <w:contextualSpacing/>
        <w:jc w:val="both"/>
        <w:rPr>
          <w:rFonts w:ascii="Arial Narrow" w:hAnsi="Arial Narrow"/>
          <w:sz w:val="22"/>
          <w:szCs w:val="22"/>
        </w:rPr>
      </w:pPr>
      <w:r w:rsidRPr="00C65CAA">
        <w:rPr>
          <w:rFonts w:ascii="Arial Narrow" w:hAnsi="Arial Narrow"/>
          <w:sz w:val="22"/>
          <w:szCs w:val="22"/>
        </w:rPr>
        <w:t>Stanovisko k makroekonomickým rámcom návrhu RVS na rok 2019</w:t>
      </w:r>
    </w:p>
    <w:p w:rsidR="000F298F" w:rsidRPr="00C65CAA" w:rsidRDefault="000F298F" w:rsidP="003306A1">
      <w:pPr>
        <w:numPr>
          <w:ilvl w:val="0"/>
          <w:numId w:val="116"/>
        </w:numPr>
        <w:shd w:val="clear" w:color="auto" w:fill="FFFFFF"/>
        <w:spacing w:before="60" w:after="60"/>
        <w:contextualSpacing/>
        <w:jc w:val="both"/>
        <w:rPr>
          <w:rFonts w:ascii="Arial Narrow" w:hAnsi="Arial Narrow"/>
          <w:sz w:val="22"/>
          <w:szCs w:val="22"/>
        </w:rPr>
      </w:pPr>
      <w:r w:rsidRPr="00C65CAA">
        <w:rPr>
          <w:rFonts w:ascii="Arial Narrow" w:hAnsi="Arial Narrow"/>
          <w:sz w:val="22"/>
          <w:szCs w:val="22"/>
        </w:rPr>
        <w:t>Stanovisko k východiskovému rámcu návrhu RVS na rok 2019</w:t>
      </w:r>
    </w:p>
    <w:p w:rsidR="000F298F" w:rsidRPr="00C65CAA" w:rsidRDefault="000F298F" w:rsidP="003306A1">
      <w:pPr>
        <w:numPr>
          <w:ilvl w:val="0"/>
          <w:numId w:val="116"/>
        </w:numPr>
        <w:shd w:val="clear" w:color="auto" w:fill="FFFFFF"/>
        <w:spacing w:before="60" w:after="60"/>
        <w:contextualSpacing/>
        <w:jc w:val="both"/>
        <w:rPr>
          <w:rFonts w:ascii="Arial Narrow" w:hAnsi="Arial Narrow"/>
          <w:sz w:val="22"/>
          <w:szCs w:val="22"/>
        </w:rPr>
      </w:pPr>
      <w:r w:rsidRPr="00C65CAA">
        <w:rPr>
          <w:rFonts w:ascii="Arial Narrow" w:hAnsi="Arial Narrow"/>
          <w:sz w:val="22"/>
          <w:szCs w:val="22"/>
        </w:rPr>
        <w:t>Stanovisko k návrhu ŠR na rok 2019</w:t>
      </w:r>
    </w:p>
    <w:p w:rsidR="000F298F" w:rsidRPr="00C65CAA" w:rsidRDefault="000F298F" w:rsidP="003306A1">
      <w:pPr>
        <w:numPr>
          <w:ilvl w:val="0"/>
          <w:numId w:val="116"/>
        </w:numPr>
        <w:shd w:val="clear" w:color="auto" w:fill="FFFFFF"/>
        <w:spacing w:before="60" w:after="60"/>
        <w:contextualSpacing/>
        <w:jc w:val="both"/>
        <w:rPr>
          <w:rFonts w:ascii="Arial Narrow" w:hAnsi="Arial Narrow"/>
          <w:sz w:val="22"/>
          <w:szCs w:val="22"/>
        </w:rPr>
      </w:pPr>
      <w:r w:rsidRPr="00C65CAA">
        <w:rPr>
          <w:rFonts w:ascii="Arial Narrow" w:hAnsi="Arial Narrow"/>
          <w:sz w:val="22"/>
          <w:szCs w:val="22"/>
        </w:rPr>
        <w:t>Stanovisko k rozpočtovým vzťahom SR a EÚ na rok 2019</w:t>
      </w:r>
    </w:p>
    <w:p w:rsidR="000F298F" w:rsidRPr="00C65CAA" w:rsidRDefault="000F298F" w:rsidP="003306A1">
      <w:pPr>
        <w:numPr>
          <w:ilvl w:val="0"/>
          <w:numId w:val="116"/>
        </w:numPr>
        <w:shd w:val="clear" w:color="auto" w:fill="FFFFFF"/>
        <w:spacing w:before="60" w:after="60"/>
        <w:contextualSpacing/>
        <w:jc w:val="both"/>
        <w:rPr>
          <w:rFonts w:ascii="Arial Narrow" w:hAnsi="Arial Narrow"/>
          <w:sz w:val="22"/>
          <w:szCs w:val="22"/>
        </w:rPr>
      </w:pPr>
      <w:r w:rsidRPr="00C65CAA">
        <w:rPr>
          <w:rFonts w:ascii="Arial Narrow" w:hAnsi="Arial Narrow"/>
          <w:sz w:val="22"/>
          <w:szCs w:val="22"/>
        </w:rPr>
        <w:t>Stanovisko k návrhu súhrnného rozpočtu ostatných subjektov verejnej správy na rok 2019</w:t>
      </w:r>
    </w:p>
    <w:p w:rsidR="00563718" w:rsidRPr="00C65CAA" w:rsidRDefault="00563718" w:rsidP="003306A1">
      <w:pPr>
        <w:shd w:val="clear" w:color="auto" w:fill="FFFFFF"/>
        <w:spacing w:before="60" w:after="60"/>
        <w:contextualSpacing/>
        <w:jc w:val="both"/>
        <w:rPr>
          <w:rFonts w:ascii="Arial Narrow" w:hAnsi="Arial Narrow"/>
          <w:sz w:val="22"/>
          <w:szCs w:val="22"/>
        </w:rPr>
      </w:pPr>
    </w:p>
    <w:p w:rsidR="000F298F" w:rsidRPr="00C65CAA" w:rsidRDefault="000F298F" w:rsidP="00256AF8">
      <w:pPr>
        <w:spacing w:before="100" w:after="100"/>
        <w:rPr>
          <w:rFonts w:ascii="Arial Narrow" w:hAnsi="Arial Narrow"/>
          <w:sz w:val="22"/>
          <w:szCs w:val="22"/>
        </w:rPr>
      </w:pPr>
      <w:r w:rsidRPr="00C65CAA">
        <w:rPr>
          <w:rFonts w:ascii="Arial Narrow" w:hAnsi="Arial Narrow"/>
          <w:sz w:val="22"/>
          <w:szCs w:val="22"/>
        </w:rPr>
        <w:br w:type="page"/>
      </w:r>
    </w:p>
    <w:p w:rsidR="00D23611" w:rsidRPr="00C65CAA" w:rsidRDefault="00D23611" w:rsidP="00256AF8">
      <w:pPr>
        <w:pStyle w:val="Nadpis1"/>
        <w:keepNext/>
        <w:numPr>
          <w:ilvl w:val="0"/>
          <w:numId w:val="92"/>
        </w:numPr>
        <w:spacing w:before="100" w:after="100"/>
        <w:ind w:left="705" w:hanging="705"/>
        <w:rPr>
          <w:rFonts w:ascii="Arial Narrow" w:hAnsi="Arial Narrow"/>
          <w:sz w:val="22"/>
          <w:szCs w:val="22"/>
        </w:rPr>
      </w:pPr>
      <w:bookmarkStart w:id="3" w:name="_Toc495316424"/>
      <w:bookmarkStart w:id="4" w:name="_Toc529507587"/>
      <w:r w:rsidRPr="00C65CAA">
        <w:rPr>
          <w:rFonts w:ascii="Arial Narrow" w:hAnsi="Arial Narrow"/>
          <w:sz w:val="22"/>
          <w:szCs w:val="22"/>
        </w:rPr>
        <w:lastRenderedPageBreak/>
        <w:t>Stanovisko k makroekonomickým rámcom a k prognóze vybraných ukazovateľov eko</w:t>
      </w:r>
      <w:r w:rsidR="0047702E" w:rsidRPr="00C65CAA">
        <w:rPr>
          <w:rFonts w:ascii="Arial Narrow" w:hAnsi="Arial Narrow"/>
          <w:sz w:val="22"/>
          <w:szCs w:val="22"/>
        </w:rPr>
        <w:t>nomiky v návrhu RVS na roky 2019</w:t>
      </w:r>
      <w:r w:rsidRPr="00C65CAA">
        <w:rPr>
          <w:rFonts w:ascii="Arial Narrow" w:hAnsi="Arial Narrow"/>
          <w:sz w:val="22"/>
          <w:szCs w:val="22"/>
        </w:rPr>
        <w:t xml:space="preserve"> až 202</w:t>
      </w:r>
      <w:bookmarkEnd w:id="3"/>
      <w:r w:rsidR="0047702E" w:rsidRPr="00C65CAA">
        <w:rPr>
          <w:rFonts w:ascii="Arial Narrow" w:hAnsi="Arial Narrow"/>
          <w:sz w:val="22"/>
          <w:szCs w:val="22"/>
        </w:rPr>
        <w:t>1</w:t>
      </w:r>
      <w:bookmarkEnd w:id="4"/>
      <w:r w:rsidRPr="00C65CAA">
        <w:rPr>
          <w:rFonts w:ascii="Arial Narrow" w:hAnsi="Arial Narrow"/>
          <w:sz w:val="22"/>
          <w:szCs w:val="22"/>
        </w:rPr>
        <w:t xml:space="preserve"> </w:t>
      </w:r>
    </w:p>
    <w:p w:rsidR="006C2FC9" w:rsidRPr="00C65CAA" w:rsidRDefault="006C2FC9" w:rsidP="00256AF8">
      <w:pPr>
        <w:spacing w:before="100" w:after="100"/>
        <w:ind w:firstLine="709"/>
        <w:jc w:val="both"/>
        <w:rPr>
          <w:rFonts w:ascii="Arial Narrow" w:hAnsi="Arial Narrow"/>
          <w:sz w:val="22"/>
          <w:szCs w:val="22"/>
        </w:rPr>
      </w:pPr>
      <w:r w:rsidRPr="00C65CAA">
        <w:rPr>
          <w:rFonts w:ascii="Arial Narrow" w:hAnsi="Arial Narrow"/>
          <w:sz w:val="22"/>
          <w:szCs w:val="22"/>
        </w:rPr>
        <w:t xml:space="preserve">Makroekonomické predpoklady </w:t>
      </w:r>
      <w:r w:rsidR="007137D2" w:rsidRPr="00C65CAA">
        <w:rPr>
          <w:rFonts w:ascii="Arial Narrow" w:hAnsi="Arial Narrow"/>
          <w:sz w:val="22"/>
          <w:szCs w:val="22"/>
        </w:rPr>
        <w:t>R</w:t>
      </w:r>
      <w:r w:rsidRPr="00C65CAA">
        <w:rPr>
          <w:rFonts w:ascii="Arial Narrow" w:hAnsi="Arial Narrow"/>
          <w:sz w:val="22"/>
          <w:szCs w:val="22"/>
        </w:rPr>
        <w:t>VS na roky 2019 až 2021 vychádzajú z prognózy Výboru pre makroekonomické prognózy z 12. septembra 2018. Tento výbor je v zmysle zákona o rozpočtovej zodpovednosti poradným orgánom ministra financií.</w:t>
      </w:r>
    </w:p>
    <w:p w:rsidR="006C2FC9" w:rsidRPr="00C65CAA" w:rsidRDefault="006C2FC9" w:rsidP="00256AF8">
      <w:pPr>
        <w:spacing w:before="100" w:after="100"/>
        <w:ind w:firstLine="709"/>
        <w:jc w:val="both"/>
        <w:rPr>
          <w:rFonts w:ascii="Arial Narrow" w:eastAsia="Calibri" w:hAnsi="Arial Narrow"/>
          <w:color w:val="FF0000"/>
          <w:sz w:val="22"/>
          <w:szCs w:val="22"/>
          <w:lang w:eastAsia="en-US"/>
        </w:rPr>
      </w:pPr>
      <w:r w:rsidRPr="00C65CAA">
        <w:rPr>
          <w:rFonts w:ascii="Arial Narrow" w:eastAsia="Calibri" w:hAnsi="Arial Narrow"/>
          <w:sz w:val="22"/>
          <w:szCs w:val="22"/>
          <w:lang w:eastAsia="en-US"/>
        </w:rPr>
        <w:t>Porovnanie makroekonomických predpokladov rozpočtu na rok 2019 s očakávanou skutočnosťou na rok 2018 a skutočnosťou 2017</w:t>
      </w:r>
      <w:r w:rsidR="001D2AD7" w:rsidRPr="00C65CAA">
        <w:rPr>
          <w:rFonts w:ascii="Arial Narrow" w:eastAsia="Calibri" w:hAnsi="Arial Narrow"/>
          <w:sz w:val="22"/>
          <w:szCs w:val="22"/>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44"/>
        <w:gridCol w:w="943"/>
        <w:gridCol w:w="1138"/>
        <w:gridCol w:w="781"/>
        <w:gridCol w:w="1628"/>
        <w:gridCol w:w="729"/>
      </w:tblGrid>
      <w:tr w:rsidR="006C2FC9" w:rsidRPr="00C65CAA" w:rsidTr="00035217">
        <w:trPr>
          <w:trHeight w:val="20"/>
        </w:trPr>
        <w:tc>
          <w:tcPr>
            <w:tcW w:w="2121" w:type="pct"/>
            <w:tcBorders>
              <w:bottom w:val="single" w:sz="4" w:space="0" w:color="auto"/>
              <w:right w:val="single" w:sz="4" w:space="0" w:color="FFFFFF" w:themeColor="background1"/>
            </w:tcBorders>
            <w:shd w:val="clear" w:color="auto" w:fill="0070C0"/>
            <w:noWrap/>
            <w:vAlign w:val="center"/>
            <w:hideMark/>
          </w:tcPr>
          <w:p w:rsidR="006C2FC9" w:rsidRPr="00C65CAA" w:rsidRDefault="006C2FC9" w:rsidP="00035217">
            <w:pPr>
              <w:jc w:val="center"/>
              <w:rPr>
                <w:rFonts w:ascii="Arial Narrow" w:hAnsi="Arial Narrow"/>
                <w:b/>
                <w:bCs/>
                <w:color w:val="FFFFFF"/>
                <w:sz w:val="18"/>
                <w:szCs w:val="18"/>
              </w:rPr>
            </w:pPr>
            <w:r w:rsidRPr="00C65CAA">
              <w:rPr>
                <w:rFonts w:ascii="Arial Narrow" w:hAnsi="Arial Narrow"/>
                <w:b/>
                <w:bCs/>
                <w:color w:val="FFFFFF"/>
                <w:sz w:val="18"/>
                <w:szCs w:val="18"/>
              </w:rPr>
              <w:t>Ukazovateľ</w:t>
            </w:r>
          </w:p>
        </w:tc>
        <w:tc>
          <w:tcPr>
            <w:tcW w:w="520" w:type="pct"/>
            <w:tcBorders>
              <w:left w:val="single" w:sz="4" w:space="0" w:color="FFFFFF" w:themeColor="background1"/>
              <w:bottom w:val="single" w:sz="4" w:space="0" w:color="auto"/>
              <w:right w:val="single" w:sz="4" w:space="0" w:color="FFFFFF" w:themeColor="background1"/>
            </w:tcBorders>
            <w:shd w:val="clear" w:color="auto" w:fill="0070C0"/>
            <w:vAlign w:val="center"/>
          </w:tcPr>
          <w:p w:rsidR="006C2FC9" w:rsidRPr="00C65CAA" w:rsidRDefault="006C2FC9" w:rsidP="00035217">
            <w:pPr>
              <w:jc w:val="center"/>
              <w:rPr>
                <w:rFonts w:ascii="Arial Narrow" w:hAnsi="Arial Narrow"/>
                <w:b/>
                <w:bCs/>
                <w:color w:val="FFFFFF"/>
                <w:sz w:val="18"/>
                <w:szCs w:val="18"/>
              </w:rPr>
            </w:pPr>
            <w:r w:rsidRPr="00C65CAA">
              <w:rPr>
                <w:rFonts w:ascii="Arial Narrow" w:hAnsi="Arial Narrow"/>
                <w:b/>
                <w:bCs/>
                <w:color w:val="FFFFFF"/>
                <w:sz w:val="18"/>
                <w:szCs w:val="18"/>
              </w:rPr>
              <w:t>Merná jednotka</w:t>
            </w:r>
          </w:p>
        </w:tc>
        <w:tc>
          <w:tcPr>
            <w:tcW w:w="628" w:type="pct"/>
            <w:tcBorders>
              <w:left w:val="single" w:sz="4" w:space="0" w:color="FFFFFF" w:themeColor="background1"/>
              <w:bottom w:val="single" w:sz="4" w:space="0" w:color="auto"/>
              <w:right w:val="single" w:sz="4" w:space="0" w:color="FFFFFF" w:themeColor="background1"/>
            </w:tcBorders>
            <w:shd w:val="clear" w:color="auto" w:fill="0070C0"/>
            <w:vAlign w:val="center"/>
            <w:hideMark/>
          </w:tcPr>
          <w:p w:rsidR="006C2FC9" w:rsidRPr="00C65CAA" w:rsidRDefault="006C2FC9" w:rsidP="00035217">
            <w:pPr>
              <w:jc w:val="center"/>
              <w:rPr>
                <w:rFonts w:ascii="Arial Narrow" w:hAnsi="Arial Narrow"/>
                <w:b/>
                <w:bCs/>
                <w:color w:val="FFFFFF"/>
                <w:sz w:val="18"/>
                <w:szCs w:val="18"/>
              </w:rPr>
            </w:pPr>
            <w:r w:rsidRPr="00C65CAA">
              <w:rPr>
                <w:rFonts w:ascii="Arial Narrow" w:hAnsi="Arial Narrow"/>
                <w:b/>
                <w:bCs/>
                <w:color w:val="FFFFFF"/>
                <w:sz w:val="18"/>
                <w:szCs w:val="18"/>
              </w:rPr>
              <w:t>2017 skutočnosť</w:t>
            </w:r>
          </w:p>
        </w:tc>
        <w:tc>
          <w:tcPr>
            <w:tcW w:w="431" w:type="pct"/>
            <w:tcBorders>
              <w:left w:val="single" w:sz="4" w:space="0" w:color="FFFFFF" w:themeColor="background1"/>
              <w:bottom w:val="single" w:sz="4" w:space="0" w:color="auto"/>
              <w:right w:val="single" w:sz="4" w:space="0" w:color="FFFFFF" w:themeColor="background1"/>
            </w:tcBorders>
            <w:shd w:val="clear" w:color="auto" w:fill="0070C0"/>
            <w:vAlign w:val="center"/>
            <w:hideMark/>
          </w:tcPr>
          <w:p w:rsidR="006C2FC9" w:rsidRPr="00C65CAA" w:rsidRDefault="006C2FC9" w:rsidP="00035217">
            <w:pPr>
              <w:jc w:val="center"/>
              <w:rPr>
                <w:rFonts w:ascii="Arial Narrow" w:hAnsi="Arial Narrow"/>
                <w:b/>
                <w:bCs/>
                <w:color w:val="FFFFFF"/>
                <w:sz w:val="18"/>
                <w:szCs w:val="18"/>
              </w:rPr>
            </w:pPr>
            <w:r w:rsidRPr="00C65CAA">
              <w:rPr>
                <w:rFonts w:ascii="Arial Narrow" w:hAnsi="Arial Narrow"/>
                <w:b/>
                <w:bCs/>
                <w:color w:val="FFFFFF"/>
                <w:sz w:val="18"/>
                <w:szCs w:val="18"/>
              </w:rPr>
              <w:t>2018 OS</w:t>
            </w:r>
          </w:p>
        </w:tc>
        <w:tc>
          <w:tcPr>
            <w:tcW w:w="898" w:type="pct"/>
            <w:tcBorders>
              <w:left w:val="single" w:sz="4" w:space="0" w:color="FFFFFF" w:themeColor="background1"/>
              <w:bottom w:val="single" w:sz="4" w:space="0" w:color="auto"/>
              <w:right w:val="single" w:sz="4" w:space="0" w:color="FFFFFF" w:themeColor="background1"/>
            </w:tcBorders>
            <w:shd w:val="clear" w:color="auto" w:fill="0070C0"/>
            <w:vAlign w:val="center"/>
            <w:hideMark/>
          </w:tcPr>
          <w:p w:rsidR="006C2FC9" w:rsidRPr="00C65CAA" w:rsidRDefault="006C2FC9" w:rsidP="00035217">
            <w:pPr>
              <w:jc w:val="center"/>
              <w:rPr>
                <w:rFonts w:ascii="Arial Narrow" w:hAnsi="Arial Narrow"/>
                <w:b/>
                <w:bCs/>
                <w:color w:val="FFFFFF"/>
                <w:sz w:val="18"/>
                <w:szCs w:val="18"/>
              </w:rPr>
            </w:pPr>
            <w:r w:rsidRPr="00C65CAA">
              <w:rPr>
                <w:rFonts w:ascii="Arial Narrow" w:eastAsia="Calibri" w:hAnsi="Arial Narrow"/>
                <w:b/>
                <w:bCs/>
                <w:color w:val="FFFFFF"/>
                <w:sz w:val="18"/>
                <w:szCs w:val="18"/>
                <w:lang w:eastAsia="en-US"/>
              </w:rPr>
              <w:t>Zasadnutie VpMP (s</w:t>
            </w:r>
            <w:r w:rsidRPr="00C65CAA">
              <w:rPr>
                <w:rFonts w:ascii="Arial Narrow" w:hAnsi="Arial Narrow"/>
                <w:b/>
                <w:bCs/>
                <w:color w:val="FFFFFF"/>
                <w:sz w:val="18"/>
                <w:szCs w:val="18"/>
              </w:rPr>
              <w:t>ep.</w:t>
            </w:r>
            <w:r w:rsidR="006B1F35" w:rsidRPr="00C65CAA">
              <w:rPr>
                <w:rFonts w:ascii="Arial Narrow" w:hAnsi="Arial Narrow"/>
                <w:b/>
                <w:bCs/>
                <w:color w:val="FFFFFF"/>
                <w:sz w:val="18"/>
                <w:szCs w:val="18"/>
              </w:rPr>
              <w:t xml:space="preserve"> </w:t>
            </w:r>
            <w:r w:rsidRPr="00C65CAA">
              <w:rPr>
                <w:rFonts w:ascii="Arial Narrow" w:hAnsi="Arial Narrow"/>
                <w:b/>
                <w:bCs/>
                <w:color w:val="FFFFFF"/>
                <w:sz w:val="18"/>
                <w:szCs w:val="18"/>
              </w:rPr>
              <w:t>2018, odhad na 2019)</w:t>
            </w:r>
          </w:p>
        </w:tc>
        <w:tc>
          <w:tcPr>
            <w:tcW w:w="403" w:type="pct"/>
            <w:tcBorders>
              <w:left w:val="single" w:sz="4" w:space="0" w:color="FFFFFF" w:themeColor="background1"/>
              <w:bottom w:val="single" w:sz="4" w:space="0" w:color="auto"/>
            </w:tcBorders>
            <w:shd w:val="clear" w:color="auto" w:fill="0070C0"/>
            <w:vAlign w:val="center"/>
          </w:tcPr>
          <w:p w:rsidR="006C2FC9" w:rsidRPr="00C65CAA" w:rsidRDefault="006C2FC9" w:rsidP="00035217">
            <w:pPr>
              <w:jc w:val="center"/>
              <w:rPr>
                <w:rFonts w:ascii="Arial Narrow" w:eastAsia="Calibri" w:hAnsi="Arial Narrow"/>
                <w:b/>
                <w:bCs/>
                <w:color w:val="FFFFFF"/>
                <w:sz w:val="18"/>
                <w:szCs w:val="18"/>
                <w:lang w:eastAsia="en-US"/>
              </w:rPr>
            </w:pPr>
            <w:r w:rsidRPr="00C65CAA">
              <w:rPr>
                <w:rFonts w:ascii="Arial Narrow" w:eastAsia="Calibri" w:hAnsi="Arial Narrow"/>
                <w:b/>
                <w:bCs/>
                <w:color w:val="FFFFFF"/>
                <w:sz w:val="18"/>
                <w:szCs w:val="18"/>
                <w:lang w:eastAsia="en-US"/>
              </w:rPr>
              <w:t xml:space="preserve">Rozdiel </w:t>
            </w:r>
          </w:p>
        </w:tc>
      </w:tr>
      <w:tr w:rsidR="006C2FC9" w:rsidRPr="00C65CAA" w:rsidTr="00035217">
        <w:trPr>
          <w:trHeight w:val="20"/>
        </w:trPr>
        <w:tc>
          <w:tcPr>
            <w:tcW w:w="212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6C2FC9" w:rsidRPr="00C65CAA" w:rsidRDefault="006C2FC9" w:rsidP="00035217">
            <w:pPr>
              <w:jc w:val="center"/>
              <w:rPr>
                <w:rFonts w:ascii="Arial Narrow" w:hAnsi="Arial Narrow"/>
                <w:b/>
                <w:bCs/>
                <w:color w:val="000000"/>
                <w:sz w:val="18"/>
                <w:szCs w:val="18"/>
              </w:rPr>
            </w:pPr>
            <w:r w:rsidRPr="00C65CAA">
              <w:rPr>
                <w:rFonts w:ascii="Arial Narrow" w:hAnsi="Arial Narrow"/>
                <w:b/>
                <w:bCs/>
                <w:color w:val="000000"/>
                <w:sz w:val="18"/>
                <w:szCs w:val="18"/>
              </w:rPr>
              <w:t>a</w:t>
            </w:r>
          </w:p>
        </w:tc>
        <w:tc>
          <w:tcPr>
            <w:tcW w:w="520" w:type="pct"/>
            <w:tcBorders>
              <w:top w:val="single" w:sz="4" w:space="0" w:color="auto"/>
              <w:left w:val="single" w:sz="4" w:space="0" w:color="auto"/>
              <w:bottom w:val="single" w:sz="4" w:space="0" w:color="auto"/>
              <w:right w:val="single" w:sz="4" w:space="0" w:color="auto"/>
            </w:tcBorders>
            <w:shd w:val="clear" w:color="auto" w:fill="FFFFFF"/>
          </w:tcPr>
          <w:p w:rsidR="006C2FC9" w:rsidRPr="00C65CAA" w:rsidRDefault="006C2FC9" w:rsidP="00035217">
            <w:pPr>
              <w:jc w:val="center"/>
              <w:rPr>
                <w:rFonts w:ascii="Arial Narrow" w:hAnsi="Arial Narrow"/>
                <w:color w:val="000000"/>
                <w:sz w:val="18"/>
                <w:szCs w:val="18"/>
              </w:rPr>
            </w:pPr>
          </w:p>
        </w:tc>
        <w:tc>
          <w:tcPr>
            <w:tcW w:w="62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6C2FC9" w:rsidRPr="00C65CAA" w:rsidRDefault="006C2FC9" w:rsidP="00035217">
            <w:pPr>
              <w:jc w:val="center"/>
              <w:rPr>
                <w:rFonts w:ascii="Arial Narrow" w:hAnsi="Arial Narrow"/>
                <w:color w:val="000000"/>
                <w:sz w:val="18"/>
                <w:szCs w:val="18"/>
              </w:rPr>
            </w:pPr>
            <w:r w:rsidRPr="00C65CAA">
              <w:rPr>
                <w:rFonts w:ascii="Arial Narrow" w:hAnsi="Arial Narrow"/>
                <w:color w:val="000000"/>
                <w:sz w:val="18"/>
                <w:szCs w:val="18"/>
              </w:rPr>
              <w:t>1</w:t>
            </w:r>
          </w:p>
        </w:tc>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6C2FC9" w:rsidRPr="00C65CAA" w:rsidRDefault="006C2FC9" w:rsidP="00035217">
            <w:pPr>
              <w:jc w:val="center"/>
              <w:rPr>
                <w:rFonts w:ascii="Arial Narrow" w:hAnsi="Arial Narrow"/>
                <w:color w:val="000000"/>
                <w:sz w:val="18"/>
                <w:szCs w:val="18"/>
              </w:rPr>
            </w:pPr>
            <w:r w:rsidRPr="00C65CAA">
              <w:rPr>
                <w:rFonts w:ascii="Arial Narrow" w:hAnsi="Arial Narrow"/>
                <w:color w:val="000000"/>
                <w:sz w:val="18"/>
                <w:szCs w:val="18"/>
              </w:rPr>
              <w:t>2</w:t>
            </w:r>
          </w:p>
        </w:tc>
        <w:tc>
          <w:tcPr>
            <w:tcW w:w="898"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6C2FC9" w:rsidRPr="00C65CAA" w:rsidRDefault="006C2FC9" w:rsidP="00035217">
            <w:pPr>
              <w:jc w:val="center"/>
              <w:rPr>
                <w:rFonts w:ascii="Arial Narrow" w:hAnsi="Arial Narrow"/>
                <w:sz w:val="18"/>
                <w:szCs w:val="18"/>
              </w:rPr>
            </w:pPr>
            <w:r w:rsidRPr="00C65CAA">
              <w:rPr>
                <w:rFonts w:ascii="Arial Narrow" w:hAnsi="Arial Narrow"/>
                <w:sz w:val="18"/>
                <w:szCs w:val="18"/>
              </w:rPr>
              <w:t>3</w:t>
            </w:r>
          </w:p>
        </w:tc>
        <w:tc>
          <w:tcPr>
            <w:tcW w:w="403" w:type="pct"/>
            <w:tcBorders>
              <w:top w:val="single" w:sz="4" w:space="0" w:color="auto"/>
              <w:left w:val="single" w:sz="4" w:space="0" w:color="auto"/>
              <w:bottom w:val="single" w:sz="4" w:space="0" w:color="auto"/>
              <w:right w:val="single" w:sz="4" w:space="0" w:color="auto"/>
            </w:tcBorders>
            <w:shd w:val="clear" w:color="auto" w:fill="FFFFFF"/>
          </w:tcPr>
          <w:p w:rsidR="006C2FC9" w:rsidRPr="00C65CAA" w:rsidRDefault="006C2FC9" w:rsidP="00035217">
            <w:pPr>
              <w:jc w:val="center"/>
              <w:rPr>
                <w:rFonts w:ascii="Arial Narrow" w:hAnsi="Arial Narrow"/>
                <w:sz w:val="18"/>
                <w:szCs w:val="18"/>
              </w:rPr>
            </w:pPr>
            <w:r w:rsidRPr="00C65CAA">
              <w:rPr>
                <w:rFonts w:ascii="Arial Narrow" w:hAnsi="Arial Narrow"/>
                <w:sz w:val="18"/>
                <w:szCs w:val="18"/>
              </w:rPr>
              <w:t>4 = 3 - 2</w:t>
            </w:r>
          </w:p>
        </w:tc>
      </w:tr>
      <w:tr w:rsidR="006C2FC9" w:rsidRPr="00C65CAA" w:rsidTr="00035217">
        <w:trPr>
          <w:trHeight w:val="20"/>
        </w:trPr>
        <w:tc>
          <w:tcPr>
            <w:tcW w:w="212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rPr>
                <w:rFonts w:ascii="Arial Narrow" w:hAnsi="Arial Narrow"/>
                <w:b/>
                <w:bCs/>
                <w:color w:val="000000"/>
                <w:sz w:val="18"/>
                <w:szCs w:val="18"/>
              </w:rPr>
            </w:pPr>
            <w:r w:rsidRPr="00C65CAA">
              <w:rPr>
                <w:rFonts w:ascii="Arial Narrow" w:hAnsi="Arial Narrow"/>
                <w:b/>
                <w:bCs/>
                <w:color w:val="000000"/>
                <w:sz w:val="18"/>
                <w:szCs w:val="18"/>
              </w:rPr>
              <w:t>Hrubý domáci produkt</w:t>
            </w:r>
          </w:p>
        </w:tc>
        <w:tc>
          <w:tcPr>
            <w:tcW w:w="520" w:type="pct"/>
            <w:tcBorders>
              <w:top w:val="single" w:sz="4" w:space="0" w:color="auto"/>
              <w:left w:val="single" w:sz="4" w:space="0" w:color="auto"/>
              <w:bottom w:val="single" w:sz="4" w:space="0" w:color="auto"/>
              <w:right w:val="single" w:sz="4" w:space="0" w:color="auto"/>
            </w:tcBorders>
            <w:shd w:val="clear" w:color="auto" w:fill="FFFFFF"/>
          </w:tcPr>
          <w:p w:rsidR="006C2FC9" w:rsidRPr="00C65CAA" w:rsidRDefault="006C2FC9" w:rsidP="00035217">
            <w:pPr>
              <w:jc w:val="center"/>
              <w:rPr>
                <w:rFonts w:ascii="Arial Narrow" w:hAnsi="Arial Narrow"/>
                <w:color w:val="000000"/>
                <w:sz w:val="18"/>
                <w:szCs w:val="18"/>
              </w:rPr>
            </w:pPr>
          </w:p>
        </w:tc>
        <w:tc>
          <w:tcPr>
            <w:tcW w:w="6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center"/>
              <w:rPr>
                <w:rFonts w:ascii="Arial Narrow" w:hAnsi="Arial Narrow"/>
                <w:color w:val="000000"/>
                <w:sz w:val="18"/>
                <w:szCs w:val="18"/>
              </w:rPr>
            </w:pPr>
            <w:r w:rsidRPr="00C65CAA">
              <w:rPr>
                <w:rFonts w:ascii="Arial Narrow" w:hAnsi="Arial Narrow"/>
                <w:color w:val="000000"/>
                <w:sz w:val="18"/>
                <w:szCs w:val="18"/>
              </w:rPr>
              <w:t> </w:t>
            </w:r>
          </w:p>
        </w:tc>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center"/>
              <w:rPr>
                <w:rFonts w:ascii="Arial Narrow" w:hAnsi="Arial Narrow"/>
                <w:color w:val="000000"/>
                <w:sz w:val="18"/>
                <w:szCs w:val="18"/>
              </w:rPr>
            </w:pPr>
            <w:r w:rsidRPr="00C65CAA">
              <w:rPr>
                <w:rFonts w:ascii="Arial Narrow" w:hAnsi="Arial Narrow"/>
                <w:color w:val="000000"/>
                <w:sz w:val="18"/>
                <w:szCs w:val="18"/>
              </w:rPr>
              <w:t> </w:t>
            </w:r>
          </w:p>
        </w:tc>
        <w:tc>
          <w:tcPr>
            <w:tcW w:w="89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right"/>
              <w:rPr>
                <w:rFonts w:ascii="Arial Narrow" w:hAnsi="Arial Narrow"/>
                <w:sz w:val="18"/>
                <w:szCs w:val="18"/>
              </w:rPr>
            </w:pPr>
            <w:r w:rsidRPr="00C65CAA">
              <w:rPr>
                <w:rFonts w:ascii="Arial Narrow" w:hAnsi="Arial Narrow"/>
                <w:sz w:val="18"/>
                <w:szCs w:val="18"/>
              </w:rPr>
              <w:t> </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C2FC9" w:rsidRPr="00C65CAA" w:rsidRDefault="006C2FC9" w:rsidP="00035217">
            <w:pPr>
              <w:jc w:val="right"/>
              <w:rPr>
                <w:rFonts w:ascii="Arial Narrow" w:hAnsi="Arial Narrow"/>
                <w:sz w:val="18"/>
                <w:szCs w:val="18"/>
              </w:rPr>
            </w:pPr>
          </w:p>
        </w:tc>
      </w:tr>
      <w:tr w:rsidR="006C2FC9" w:rsidRPr="00C65CAA" w:rsidTr="00035217">
        <w:trPr>
          <w:trHeight w:val="20"/>
        </w:trPr>
        <w:tc>
          <w:tcPr>
            <w:tcW w:w="212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rPr>
                <w:rFonts w:ascii="Arial Narrow" w:hAnsi="Arial Narrow"/>
                <w:sz w:val="18"/>
                <w:szCs w:val="18"/>
              </w:rPr>
            </w:pPr>
            <w:r w:rsidRPr="00C65CAA">
              <w:rPr>
                <w:rFonts w:ascii="Arial Narrow" w:hAnsi="Arial Narrow"/>
                <w:sz w:val="18"/>
                <w:szCs w:val="18"/>
              </w:rPr>
              <w:t>HDP, s.c.</w:t>
            </w:r>
          </w:p>
        </w:tc>
        <w:tc>
          <w:tcPr>
            <w:tcW w:w="520" w:type="pct"/>
            <w:tcBorders>
              <w:top w:val="single" w:sz="4" w:space="0" w:color="auto"/>
              <w:left w:val="single" w:sz="4" w:space="0" w:color="auto"/>
              <w:bottom w:val="single" w:sz="4" w:space="0" w:color="auto"/>
              <w:right w:val="single" w:sz="4" w:space="0" w:color="auto"/>
            </w:tcBorders>
            <w:shd w:val="clear" w:color="auto" w:fill="FFFFFF"/>
          </w:tcPr>
          <w:p w:rsidR="006C2FC9" w:rsidRPr="00C65CAA" w:rsidRDefault="006C2FC9" w:rsidP="00035217">
            <w:pPr>
              <w:jc w:val="center"/>
              <w:rPr>
                <w:rFonts w:ascii="Arial Narrow" w:hAnsi="Arial Narrow"/>
                <w:sz w:val="18"/>
                <w:szCs w:val="18"/>
              </w:rPr>
            </w:pPr>
            <w:r w:rsidRPr="00C65CAA">
              <w:rPr>
                <w:rFonts w:ascii="Arial Narrow" w:hAnsi="Arial Narrow"/>
                <w:sz w:val="18"/>
                <w:szCs w:val="18"/>
              </w:rPr>
              <w:t>%</w:t>
            </w:r>
          </w:p>
        </w:tc>
        <w:tc>
          <w:tcPr>
            <w:tcW w:w="6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3,40</w:t>
            </w:r>
          </w:p>
        </w:tc>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4,07</w:t>
            </w:r>
          </w:p>
        </w:tc>
        <w:tc>
          <w:tcPr>
            <w:tcW w:w="898"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4,50</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0,43</w:t>
            </w:r>
          </w:p>
        </w:tc>
      </w:tr>
      <w:tr w:rsidR="006C2FC9" w:rsidRPr="00C65CAA" w:rsidTr="00035217">
        <w:trPr>
          <w:trHeight w:val="20"/>
        </w:trPr>
        <w:tc>
          <w:tcPr>
            <w:tcW w:w="212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rPr>
                <w:rFonts w:ascii="Arial Narrow" w:hAnsi="Arial Narrow"/>
                <w:sz w:val="18"/>
                <w:szCs w:val="18"/>
              </w:rPr>
            </w:pPr>
            <w:r w:rsidRPr="00C65CAA">
              <w:rPr>
                <w:rFonts w:ascii="Arial Narrow" w:hAnsi="Arial Narrow"/>
                <w:sz w:val="18"/>
                <w:szCs w:val="18"/>
              </w:rPr>
              <w:t>HDP, b.c.</w:t>
            </w:r>
          </w:p>
        </w:tc>
        <w:tc>
          <w:tcPr>
            <w:tcW w:w="520" w:type="pct"/>
            <w:tcBorders>
              <w:top w:val="single" w:sz="4" w:space="0" w:color="auto"/>
              <w:left w:val="single" w:sz="4" w:space="0" w:color="auto"/>
              <w:bottom w:val="single" w:sz="4" w:space="0" w:color="auto"/>
              <w:right w:val="single" w:sz="4" w:space="0" w:color="auto"/>
            </w:tcBorders>
            <w:shd w:val="clear" w:color="auto" w:fill="FFFFFF"/>
          </w:tcPr>
          <w:p w:rsidR="006C2FC9" w:rsidRPr="00C65CAA" w:rsidRDefault="006C2FC9" w:rsidP="00035217">
            <w:pPr>
              <w:jc w:val="center"/>
              <w:rPr>
                <w:rFonts w:ascii="Arial Narrow" w:hAnsi="Arial Narrow"/>
                <w:sz w:val="18"/>
                <w:szCs w:val="18"/>
              </w:rPr>
            </w:pPr>
            <w:r w:rsidRPr="00C65CAA">
              <w:rPr>
                <w:rFonts w:ascii="Arial Narrow" w:hAnsi="Arial Narrow"/>
                <w:sz w:val="18"/>
                <w:szCs w:val="18"/>
              </w:rPr>
              <w:t>mld. eur</w:t>
            </w:r>
          </w:p>
        </w:tc>
        <w:tc>
          <w:tcPr>
            <w:tcW w:w="6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84,99</w:t>
            </w:r>
          </w:p>
        </w:tc>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90,46</w:t>
            </w:r>
          </w:p>
        </w:tc>
        <w:tc>
          <w:tcPr>
            <w:tcW w:w="898"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96,89</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6,43</w:t>
            </w:r>
          </w:p>
        </w:tc>
      </w:tr>
      <w:tr w:rsidR="006C2FC9" w:rsidRPr="00C65CAA" w:rsidTr="00035217">
        <w:trPr>
          <w:trHeight w:val="20"/>
        </w:trPr>
        <w:tc>
          <w:tcPr>
            <w:tcW w:w="212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rPr>
                <w:rFonts w:ascii="Arial Narrow" w:hAnsi="Arial Narrow"/>
                <w:sz w:val="18"/>
                <w:szCs w:val="18"/>
              </w:rPr>
            </w:pPr>
            <w:r w:rsidRPr="00C65CAA">
              <w:rPr>
                <w:rFonts w:ascii="Arial Narrow" w:hAnsi="Arial Narrow"/>
                <w:sz w:val="18"/>
                <w:szCs w:val="18"/>
              </w:rPr>
              <w:t>Súkromná spotreba, s.c.</w:t>
            </w:r>
          </w:p>
        </w:tc>
        <w:tc>
          <w:tcPr>
            <w:tcW w:w="520" w:type="pct"/>
            <w:tcBorders>
              <w:top w:val="single" w:sz="4" w:space="0" w:color="auto"/>
              <w:left w:val="single" w:sz="4" w:space="0" w:color="auto"/>
              <w:bottom w:val="single" w:sz="4" w:space="0" w:color="auto"/>
              <w:right w:val="single" w:sz="4" w:space="0" w:color="auto"/>
            </w:tcBorders>
            <w:shd w:val="clear" w:color="auto" w:fill="FFFFFF"/>
          </w:tcPr>
          <w:p w:rsidR="006C2FC9" w:rsidRPr="00C65CAA" w:rsidRDefault="006C2FC9" w:rsidP="00035217">
            <w:pPr>
              <w:jc w:val="center"/>
              <w:rPr>
                <w:rFonts w:ascii="Arial Narrow" w:hAnsi="Arial Narrow"/>
                <w:sz w:val="18"/>
                <w:szCs w:val="18"/>
              </w:rPr>
            </w:pPr>
            <w:r w:rsidRPr="00C65CAA">
              <w:rPr>
                <w:rFonts w:ascii="Arial Narrow" w:hAnsi="Arial Narrow"/>
                <w:sz w:val="18"/>
                <w:szCs w:val="18"/>
              </w:rPr>
              <w:t>%</w:t>
            </w:r>
          </w:p>
        </w:tc>
        <w:tc>
          <w:tcPr>
            <w:tcW w:w="6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3,66</w:t>
            </w:r>
          </w:p>
        </w:tc>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2,96</w:t>
            </w:r>
          </w:p>
        </w:tc>
        <w:tc>
          <w:tcPr>
            <w:tcW w:w="898"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3,24</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0,28</w:t>
            </w:r>
          </w:p>
        </w:tc>
      </w:tr>
      <w:tr w:rsidR="006C2FC9" w:rsidRPr="00C65CAA" w:rsidTr="00035217">
        <w:trPr>
          <w:trHeight w:val="20"/>
        </w:trPr>
        <w:tc>
          <w:tcPr>
            <w:tcW w:w="212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rPr>
                <w:rFonts w:ascii="Arial Narrow" w:hAnsi="Arial Narrow"/>
                <w:sz w:val="18"/>
                <w:szCs w:val="18"/>
              </w:rPr>
            </w:pPr>
            <w:r w:rsidRPr="00C65CAA">
              <w:rPr>
                <w:rFonts w:ascii="Arial Narrow" w:hAnsi="Arial Narrow"/>
                <w:sz w:val="18"/>
                <w:szCs w:val="18"/>
              </w:rPr>
              <w:t>Súkromná spotreba, b.c.</w:t>
            </w:r>
          </w:p>
        </w:tc>
        <w:tc>
          <w:tcPr>
            <w:tcW w:w="520" w:type="pct"/>
            <w:tcBorders>
              <w:top w:val="single" w:sz="4" w:space="0" w:color="auto"/>
              <w:left w:val="single" w:sz="4" w:space="0" w:color="auto"/>
              <w:bottom w:val="single" w:sz="4" w:space="0" w:color="auto"/>
              <w:right w:val="single" w:sz="4" w:space="0" w:color="auto"/>
            </w:tcBorders>
            <w:shd w:val="clear" w:color="auto" w:fill="FFFFFF"/>
          </w:tcPr>
          <w:p w:rsidR="006C2FC9" w:rsidRPr="00C65CAA" w:rsidRDefault="006C2FC9" w:rsidP="00035217">
            <w:pPr>
              <w:jc w:val="center"/>
              <w:rPr>
                <w:rFonts w:ascii="Arial Narrow" w:hAnsi="Arial Narrow"/>
                <w:sz w:val="18"/>
                <w:szCs w:val="18"/>
              </w:rPr>
            </w:pPr>
            <w:r w:rsidRPr="00C65CAA">
              <w:rPr>
                <w:rFonts w:ascii="Arial Narrow" w:hAnsi="Arial Narrow"/>
                <w:sz w:val="18"/>
                <w:szCs w:val="18"/>
              </w:rPr>
              <w:t>%</w:t>
            </w:r>
          </w:p>
        </w:tc>
        <w:tc>
          <w:tcPr>
            <w:tcW w:w="6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5,10</w:t>
            </w:r>
          </w:p>
        </w:tc>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5,62</w:t>
            </w:r>
          </w:p>
        </w:tc>
        <w:tc>
          <w:tcPr>
            <w:tcW w:w="898"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5,82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0,20</w:t>
            </w:r>
          </w:p>
        </w:tc>
      </w:tr>
      <w:tr w:rsidR="006C2FC9" w:rsidRPr="00C65CAA" w:rsidTr="00035217">
        <w:trPr>
          <w:trHeight w:val="20"/>
        </w:trPr>
        <w:tc>
          <w:tcPr>
            <w:tcW w:w="212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rPr>
                <w:rFonts w:ascii="Arial Narrow" w:hAnsi="Arial Narrow"/>
                <w:sz w:val="18"/>
                <w:szCs w:val="18"/>
              </w:rPr>
            </w:pPr>
            <w:r w:rsidRPr="00C65CAA">
              <w:rPr>
                <w:rFonts w:ascii="Arial Narrow" w:hAnsi="Arial Narrow"/>
                <w:sz w:val="18"/>
                <w:szCs w:val="18"/>
              </w:rPr>
              <w:t>Vládna spotreba, s.c.</w:t>
            </w:r>
          </w:p>
        </w:tc>
        <w:tc>
          <w:tcPr>
            <w:tcW w:w="520" w:type="pct"/>
            <w:tcBorders>
              <w:top w:val="single" w:sz="4" w:space="0" w:color="auto"/>
              <w:left w:val="single" w:sz="4" w:space="0" w:color="auto"/>
              <w:bottom w:val="single" w:sz="4" w:space="0" w:color="auto"/>
              <w:right w:val="single" w:sz="4" w:space="0" w:color="auto"/>
            </w:tcBorders>
            <w:shd w:val="clear" w:color="auto" w:fill="FFFFFF"/>
          </w:tcPr>
          <w:p w:rsidR="006C2FC9" w:rsidRPr="00C65CAA" w:rsidRDefault="006C2FC9" w:rsidP="00035217">
            <w:pPr>
              <w:jc w:val="center"/>
              <w:rPr>
                <w:rFonts w:ascii="Arial Narrow" w:hAnsi="Arial Narrow"/>
                <w:sz w:val="18"/>
                <w:szCs w:val="18"/>
              </w:rPr>
            </w:pPr>
            <w:r w:rsidRPr="00C65CAA">
              <w:rPr>
                <w:rFonts w:ascii="Arial Narrow" w:hAnsi="Arial Narrow"/>
                <w:sz w:val="18"/>
                <w:szCs w:val="18"/>
              </w:rPr>
              <w:t>%</w:t>
            </w:r>
          </w:p>
        </w:tc>
        <w:tc>
          <w:tcPr>
            <w:tcW w:w="6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0,24</w:t>
            </w:r>
          </w:p>
        </w:tc>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1,78</w:t>
            </w:r>
          </w:p>
        </w:tc>
        <w:tc>
          <w:tcPr>
            <w:tcW w:w="898"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1,49</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-0,29</w:t>
            </w:r>
          </w:p>
        </w:tc>
      </w:tr>
      <w:tr w:rsidR="006C2FC9" w:rsidRPr="00C65CAA" w:rsidTr="00035217">
        <w:trPr>
          <w:trHeight w:val="20"/>
        </w:trPr>
        <w:tc>
          <w:tcPr>
            <w:tcW w:w="212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rPr>
                <w:rFonts w:ascii="Arial Narrow" w:hAnsi="Arial Narrow"/>
                <w:sz w:val="18"/>
                <w:szCs w:val="18"/>
              </w:rPr>
            </w:pPr>
            <w:r w:rsidRPr="00C65CAA">
              <w:rPr>
                <w:rFonts w:ascii="Arial Narrow" w:hAnsi="Arial Narrow"/>
                <w:sz w:val="18"/>
                <w:szCs w:val="18"/>
              </w:rPr>
              <w:t>Fixné investície, s.c.</w:t>
            </w:r>
          </w:p>
        </w:tc>
        <w:tc>
          <w:tcPr>
            <w:tcW w:w="520" w:type="pct"/>
            <w:tcBorders>
              <w:top w:val="single" w:sz="4" w:space="0" w:color="auto"/>
              <w:left w:val="single" w:sz="4" w:space="0" w:color="auto"/>
              <w:bottom w:val="single" w:sz="4" w:space="0" w:color="auto"/>
              <w:right w:val="single" w:sz="4" w:space="0" w:color="auto"/>
            </w:tcBorders>
            <w:shd w:val="clear" w:color="auto" w:fill="FFFFFF"/>
          </w:tcPr>
          <w:p w:rsidR="006C2FC9" w:rsidRPr="00C65CAA" w:rsidRDefault="006C2FC9" w:rsidP="00035217">
            <w:pPr>
              <w:jc w:val="center"/>
              <w:rPr>
                <w:rFonts w:ascii="Arial Narrow" w:hAnsi="Arial Narrow"/>
                <w:sz w:val="18"/>
                <w:szCs w:val="18"/>
              </w:rPr>
            </w:pPr>
            <w:r w:rsidRPr="00C65CAA">
              <w:rPr>
                <w:rFonts w:ascii="Arial Narrow" w:hAnsi="Arial Narrow"/>
                <w:sz w:val="18"/>
                <w:szCs w:val="18"/>
              </w:rPr>
              <w:t>%</w:t>
            </w:r>
          </w:p>
        </w:tc>
        <w:tc>
          <w:tcPr>
            <w:tcW w:w="6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3,18</w:t>
            </w:r>
          </w:p>
        </w:tc>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9,56</w:t>
            </w:r>
          </w:p>
        </w:tc>
        <w:tc>
          <w:tcPr>
            <w:tcW w:w="898"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3,09</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-6,47</w:t>
            </w:r>
          </w:p>
        </w:tc>
      </w:tr>
      <w:tr w:rsidR="006C2FC9" w:rsidRPr="00C65CAA" w:rsidTr="00035217">
        <w:trPr>
          <w:trHeight w:val="20"/>
        </w:trPr>
        <w:tc>
          <w:tcPr>
            <w:tcW w:w="212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rPr>
                <w:rFonts w:ascii="Arial Narrow" w:hAnsi="Arial Narrow"/>
                <w:b/>
                <w:sz w:val="18"/>
                <w:szCs w:val="18"/>
              </w:rPr>
            </w:pPr>
            <w:r w:rsidRPr="00C65CAA">
              <w:rPr>
                <w:rFonts w:ascii="Arial Narrow" w:hAnsi="Arial Narrow"/>
                <w:b/>
                <w:sz w:val="18"/>
                <w:szCs w:val="18"/>
              </w:rPr>
              <w:t>Obchodná bilancia</w:t>
            </w:r>
          </w:p>
        </w:tc>
        <w:tc>
          <w:tcPr>
            <w:tcW w:w="520" w:type="pct"/>
            <w:tcBorders>
              <w:top w:val="single" w:sz="4" w:space="0" w:color="auto"/>
              <w:left w:val="single" w:sz="4" w:space="0" w:color="auto"/>
              <w:bottom w:val="single" w:sz="4" w:space="0" w:color="auto"/>
              <w:right w:val="single" w:sz="4" w:space="0" w:color="auto"/>
            </w:tcBorders>
            <w:shd w:val="clear" w:color="auto" w:fill="FFFFFF"/>
          </w:tcPr>
          <w:p w:rsidR="006C2FC9" w:rsidRPr="00C65CAA" w:rsidRDefault="006C2FC9" w:rsidP="00035217">
            <w:pPr>
              <w:jc w:val="center"/>
              <w:rPr>
                <w:rFonts w:ascii="Arial Narrow" w:hAnsi="Arial Narrow"/>
                <w:sz w:val="18"/>
                <w:szCs w:val="18"/>
              </w:rPr>
            </w:pPr>
          </w:p>
        </w:tc>
        <w:tc>
          <w:tcPr>
            <w:tcW w:w="6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right"/>
              <w:rPr>
                <w:rFonts w:ascii="Arial Narrow" w:hAnsi="Arial Narrow"/>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right"/>
              <w:rPr>
                <w:rFonts w:ascii="Arial Narrow" w:hAnsi="Arial Narrow"/>
                <w:sz w:val="18"/>
                <w:szCs w:val="18"/>
              </w:rPr>
            </w:pPr>
          </w:p>
        </w:tc>
        <w:tc>
          <w:tcPr>
            <w:tcW w:w="89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right"/>
              <w:rPr>
                <w:rFonts w:ascii="Arial Narrow" w:eastAsia="Calibri" w:hAnsi="Arial Narrow"/>
                <w:sz w:val="18"/>
                <w:szCs w:val="18"/>
                <w:lang w:eastAsia="en-US"/>
              </w:rPr>
            </w:pPr>
            <w:r w:rsidRPr="00C65CAA">
              <w:rPr>
                <w:rFonts w:ascii="Arial Narrow" w:eastAsia="Calibri" w:hAnsi="Arial Narrow"/>
                <w:sz w:val="18"/>
                <w:szCs w:val="18"/>
                <w:lang w:eastAsia="en-US"/>
              </w:rPr>
              <w:t> </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C2FC9" w:rsidRPr="00C65CAA" w:rsidRDefault="006C2FC9" w:rsidP="00035217">
            <w:pPr>
              <w:jc w:val="right"/>
              <w:rPr>
                <w:rFonts w:ascii="Arial Narrow" w:hAnsi="Arial Narrow"/>
                <w:color w:val="000000"/>
                <w:sz w:val="18"/>
                <w:szCs w:val="18"/>
              </w:rPr>
            </w:pPr>
          </w:p>
        </w:tc>
      </w:tr>
      <w:tr w:rsidR="006C2FC9" w:rsidRPr="00C65CAA" w:rsidTr="00035217">
        <w:trPr>
          <w:trHeight w:val="20"/>
        </w:trPr>
        <w:tc>
          <w:tcPr>
            <w:tcW w:w="212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rPr>
                <w:rFonts w:ascii="Arial Narrow" w:hAnsi="Arial Narrow"/>
                <w:sz w:val="18"/>
                <w:szCs w:val="18"/>
              </w:rPr>
            </w:pPr>
            <w:r w:rsidRPr="00C65CAA">
              <w:rPr>
                <w:rFonts w:ascii="Arial Narrow" w:hAnsi="Arial Narrow"/>
                <w:sz w:val="18"/>
                <w:szCs w:val="18"/>
              </w:rPr>
              <w:t>Export tovarov a služieb, s.c.</w:t>
            </w:r>
          </w:p>
        </w:tc>
        <w:tc>
          <w:tcPr>
            <w:tcW w:w="520" w:type="pct"/>
            <w:tcBorders>
              <w:top w:val="single" w:sz="4" w:space="0" w:color="auto"/>
              <w:left w:val="single" w:sz="4" w:space="0" w:color="auto"/>
              <w:bottom w:val="single" w:sz="4" w:space="0" w:color="auto"/>
              <w:right w:val="single" w:sz="4" w:space="0" w:color="auto"/>
            </w:tcBorders>
            <w:shd w:val="clear" w:color="auto" w:fill="FFFFFF"/>
          </w:tcPr>
          <w:p w:rsidR="006C2FC9" w:rsidRPr="00C65CAA" w:rsidRDefault="006C2FC9" w:rsidP="00035217">
            <w:pPr>
              <w:jc w:val="center"/>
              <w:rPr>
                <w:rFonts w:ascii="Arial Narrow" w:hAnsi="Arial Narrow"/>
                <w:sz w:val="18"/>
                <w:szCs w:val="18"/>
              </w:rPr>
            </w:pPr>
            <w:r w:rsidRPr="00C65CAA">
              <w:rPr>
                <w:rFonts w:ascii="Arial Narrow" w:hAnsi="Arial Narrow"/>
                <w:sz w:val="18"/>
                <w:szCs w:val="18"/>
              </w:rPr>
              <w:t>%</w:t>
            </w:r>
          </w:p>
        </w:tc>
        <w:tc>
          <w:tcPr>
            <w:tcW w:w="6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4,26</w:t>
            </w:r>
          </w:p>
        </w:tc>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6,79</w:t>
            </w:r>
          </w:p>
        </w:tc>
        <w:tc>
          <w:tcPr>
            <w:tcW w:w="898"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7,94</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1,15</w:t>
            </w:r>
          </w:p>
        </w:tc>
      </w:tr>
      <w:tr w:rsidR="006C2FC9" w:rsidRPr="00C65CAA" w:rsidTr="00035217">
        <w:trPr>
          <w:trHeight w:val="20"/>
        </w:trPr>
        <w:tc>
          <w:tcPr>
            <w:tcW w:w="212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rPr>
                <w:rFonts w:ascii="Arial Narrow" w:hAnsi="Arial Narrow"/>
                <w:sz w:val="18"/>
                <w:szCs w:val="18"/>
              </w:rPr>
            </w:pPr>
            <w:r w:rsidRPr="00C65CAA">
              <w:rPr>
                <w:rFonts w:ascii="Arial Narrow" w:hAnsi="Arial Narrow"/>
                <w:sz w:val="18"/>
                <w:szCs w:val="18"/>
              </w:rPr>
              <w:t>Import tovarov a služieb, s.c.</w:t>
            </w:r>
          </w:p>
        </w:tc>
        <w:tc>
          <w:tcPr>
            <w:tcW w:w="520" w:type="pct"/>
            <w:tcBorders>
              <w:top w:val="single" w:sz="4" w:space="0" w:color="auto"/>
              <w:left w:val="single" w:sz="4" w:space="0" w:color="auto"/>
              <w:bottom w:val="single" w:sz="4" w:space="0" w:color="auto"/>
              <w:right w:val="single" w:sz="4" w:space="0" w:color="auto"/>
            </w:tcBorders>
            <w:shd w:val="clear" w:color="auto" w:fill="FFFFFF"/>
          </w:tcPr>
          <w:p w:rsidR="006C2FC9" w:rsidRPr="00C65CAA" w:rsidRDefault="006C2FC9" w:rsidP="00035217">
            <w:pPr>
              <w:jc w:val="center"/>
              <w:rPr>
                <w:rFonts w:ascii="Arial Narrow" w:hAnsi="Arial Narrow"/>
                <w:sz w:val="18"/>
                <w:szCs w:val="18"/>
              </w:rPr>
            </w:pPr>
            <w:r w:rsidRPr="00C65CAA">
              <w:rPr>
                <w:rFonts w:ascii="Arial Narrow" w:hAnsi="Arial Narrow"/>
                <w:sz w:val="18"/>
                <w:szCs w:val="18"/>
              </w:rPr>
              <w:t>%</w:t>
            </w:r>
          </w:p>
        </w:tc>
        <w:tc>
          <w:tcPr>
            <w:tcW w:w="6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3,88</w:t>
            </w:r>
          </w:p>
        </w:tc>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6,65</w:t>
            </w:r>
          </w:p>
        </w:tc>
        <w:tc>
          <w:tcPr>
            <w:tcW w:w="898"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6,78</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0,13</w:t>
            </w:r>
          </w:p>
        </w:tc>
      </w:tr>
      <w:tr w:rsidR="006C2FC9" w:rsidRPr="00C65CAA" w:rsidTr="00035217">
        <w:trPr>
          <w:trHeight w:val="20"/>
        </w:trPr>
        <w:tc>
          <w:tcPr>
            <w:tcW w:w="212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rPr>
                <w:rFonts w:ascii="Arial Narrow" w:hAnsi="Arial Narrow"/>
                <w:b/>
                <w:bCs/>
                <w:color w:val="000000"/>
                <w:sz w:val="18"/>
                <w:szCs w:val="18"/>
              </w:rPr>
            </w:pPr>
            <w:r w:rsidRPr="00C65CAA">
              <w:rPr>
                <w:rFonts w:ascii="Arial Narrow" w:hAnsi="Arial Narrow"/>
                <w:b/>
                <w:bCs/>
                <w:color w:val="000000"/>
                <w:sz w:val="18"/>
                <w:szCs w:val="18"/>
              </w:rPr>
              <w:t>Trh práce</w:t>
            </w:r>
          </w:p>
        </w:tc>
        <w:tc>
          <w:tcPr>
            <w:tcW w:w="520" w:type="pct"/>
            <w:tcBorders>
              <w:top w:val="single" w:sz="4" w:space="0" w:color="auto"/>
              <w:left w:val="single" w:sz="4" w:space="0" w:color="auto"/>
              <w:bottom w:val="single" w:sz="4" w:space="0" w:color="auto"/>
              <w:right w:val="single" w:sz="4" w:space="0" w:color="auto"/>
            </w:tcBorders>
            <w:shd w:val="clear" w:color="auto" w:fill="FFFFFF"/>
          </w:tcPr>
          <w:p w:rsidR="006C2FC9" w:rsidRPr="00C65CAA" w:rsidRDefault="006C2FC9" w:rsidP="00035217">
            <w:pPr>
              <w:jc w:val="center"/>
              <w:rPr>
                <w:rFonts w:ascii="Arial Narrow" w:hAnsi="Arial Narrow"/>
                <w:sz w:val="18"/>
                <w:szCs w:val="18"/>
              </w:rPr>
            </w:pPr>
          </w:p>
        </w:tc>
        <w:tc>
          <w:tcPr>
            <w:tcW w:w="6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right"/>
              <w:rPr>
                <w:rFonts w:ascii="Arial Narrow" w:hAnsi="Arial Narrow"/>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right"/>
              <w:rPr>
                <w:rFonts w:ascii="Arial Narrow" w:hAnsi="Arial Narrow"/>
                <w:sz w:val="18"/>
                <w:szCs w:val="18"/>
              </w:rPr>
            </w:pPr>
          </w:p>
        </w:tc>
        <w:tc>
          <w:tcPr>
            <w:tcW w:w="89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right"/>
              <w:rPr>
                <w:rFonts w:ascii="Arial Narrow" w:eastAsia="Calibri" w:hAnsi="Arial Narrow"/>
                <w:sz w:val="18"/>
                <w:szCs w:val="18"/>
                <w:lang w:eastAsia="en-US"/>
              </w:rPr>
            </w:pPr>
            <w:r w:rsidRPr="00C65CAA">
              <w:rPr>
                <w:rFonts w:ascii="Arial Narrow" w:eastAsia="Calibri" w:hAnsi="Arial Narrow"/>
                <w:sz w:val="18"/>
                <w:szCs w:val="18"/>
                <w:lang w:eastAsia="en-US"/>
              </w:rPr>
              <w:t> </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C2FC9" w:rsidRPr="00C65CAA" w:rsidRDefault="006C2FC9" w:rsidP="00035217">
            <w:pPr>
              <w:jc w:val="right"/>
              <w:rPr>
                <w:rFonts w:ascii="Arial Narrow" w:hAnsi="Arial Narrow"/>
                <w:color w:val="000000"/>
                <w:sz w:val="18"/>
                <w:szCs w:val="18"/>
              </w:rPr>
            </w:pPr>
          </w:p>
        </w:tc>
      </w:tr>
      <w:tr w:rsidR="006C2FC9" w:rsidRPr="00C65CAA" w:rsidTr="00035217">
        <w:trPr>
          <w:trHeight w:val="20"/>
        </w:trPr>
        <w:tc>
          <w:tcPr>
            <w:tcW w:w="212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rPr>
                <w:rFonts w:ascii="Arial Narrow" w:hAnsi="Arial Narrow"/>
                <w:color w:val="000000"/>
                <w:sz w:val="18"/>
                <w:szCs w:val="18"/>
              </w:rPr>
            </w:pPr>
            <w:r w:rsidRPr="00C65CAA">
              <w:rPr>
                <w:rFonts w:ascii="Arial Narrow" w:hAnsi="Arial Narrow"/>
                <w:color w:val="000000"/>
                <w:sz w:val="18"/>
                <w:szCs w:val="18"/>
              </w:rPr>
              <w:t>Zamestnanosť (podnikové výkazníctvo)</w:t>
            </w:r>
          </w:p>
        </w:tc>
        <w:tc>
          <w:tcPr>
            <w:tcW w:w="520" w:type="pct"/>
            <w:tcBorders>
              <w:top w:val="single" w:sz="4" w:space="0" w:color="auto"/>
              <w:left w:val="single" w:sz="4" w:space="0" w:color="auto"/>
              <w:bottom w:val="single" w:sz="4" w:space="0" w:color="auto"/>
              <w:right w:val="single" w:sz="4" w:space="0" w:color="auto"/>
            </w:tcBorders>
            <w:shd w:val="clear" w:color="auto" w:fill="FFFFFF"/>
          </w:tcPr>
          <w:p w:rsidR="006C2FC9" w:rsidRPr="00C65CAA" w:rsidRDefault="006C2FC9" w:rsidP="00035217">
            <w:pPr>
              <w:jc w:val="center"/>
              <w:rPr>
                <w:rFonts w:ascii="Arial Narrow" w:hAnsi="Arial Narrow"/>
                <w:sz w:val="18"/>
                <w:szCs w:val="18"/>
              </w:rPr>
            </w:pPr>
            <w:r w:rsidRPr="00C65CAA">
              <w:rPr>
                <w:rFonts w:ascii="Arial Narrow" w:hAnsi="Arial Narrow"/>
                <w:sz w:val="18"/>
                <w:szCs w:val="18"/>
              </w:rPr>
              <w:t>%</w:t>
            </w:r>
          </w:p>
        </w:tc>
        <w:tc>
          <w:tcPr>
            <w:tcW w:w="6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1,82</w:t>
            </w:r>
          </w:p>
        </w:tc>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1,95</w:t>
            </w:r>
          </w:p>
        </w:tc>
        <w:tc>
          <w:tcPr>
            <w:tcW w:w="898"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1,14</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-0,81</w:t>
            </w:r>
          </w:p>
        </w:tc>
      </w:tr>
      <w:tr w:rsidR="006C2FC9" w:rsidRPr="00C65CAA" w:rsidTr="00035217">
        <w:trPr>
          <w:trHeight w:val="20"/>
        </w:trPr>
        <w:tc>
          <w:tcPr>
            <w:tcW w:w="212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rPr>
                <w:rFonts w:ascii="Arial Narrow" w:hAnsi="Arial Narrow"/>
                <w:color w:val="000000"/>
                <w:sz w:val="18"/>
                <w:szCs w:val="18"/>
              </w:rPr>
            </w:pPr>
            <w:r w:rsidRPr="00C65CAA">
              <w:rPr>
                <w:rFonts w:ascii="Arial Narrow" w:hAnsi="Arial Narrow"/>
                <w:color w:val="000000"/>
                <w:sz w:val="18"/>
                <w:szCs w:val="18"/>
              </w:rPr>
              <w:t>Priemerná mesačná mzda v hospod.; nom. rast</w:t>
            </w:r>
          </w:p>
        </w:tc>
        <w:tc>
          <w:tcPr>
            <w:tcW w:w="520" w:type="pct"/>
            <w:tcBorders>
              <w:top w:val="single" w:sz="4" w:space="0" w:color="auto"/>
              <w:left w:val="single" w:sz="4" w:space="0" w:color="auto"/>
              <w:bottom w:val="single" w:sz="4" w:space="0" w:color="auto"/>
              <w:right w:val="single" w:sz="4" w:space="0" w:color="auto"/>
            </w:tcBorders>
            <w:shd w:val="clear" w:color="auto" w:fill="FFFFFF"/>
          </w:tcPr>
          <w:p w:rsidR="006C2FC9" w:rsidRPr="00C65CAA" w:rsidRDefault="006C2FC9" w:rsidP="00035217">
            <w:pPr>
              <w:jc w:val="center"/>
              <w:rPr>
                <w:rFonts w:ascii="Arial Narrow" w:hAnsi="Arial Narrow"/>
                <w:sz w:val="18"/>
                <w:szCs w:val="18"/>
              </w:rPr>
            </w:pPr>
            <w:r w:rsidRPr="00C65CAA">
              <w:rPr>
                <w:rFonts w:ascii="Arial Narrow" w:hAnsi="Arial Narrow"/>
                <w:sz w:val="18"/>
                <w:szCs w:val="18"/>
              </w:rPr>
              <w:t>%</w:t>
            </w:r>
          </w:p>
        </w:tc>
        <w:tc>
          <w:tcPr>
            <w:tcW w:w="6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4,61</w:t>
            </w:r>
          </w:p>
        </w:tc>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6,18</w:t>
            </w:r>
          </w:p>
        </w:tc>
        <w:tc>
          <w:tcPr>
            <w:tcW w:w="898"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6,32</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0,14</w:t>
            </w:r>
          </w:p>
        </w:tc>
      </w:tr>
      <w:tr w:rsidR="006C2FC9" w:rsidRPr="00C65CAA" w:rsidTr="00035217">
        <w:trPr>
          <w:trHeight w:val="20"/>
        </w:trPr>
        <w:tc>
          <w:tcPr>
            <w:tcW w:w="212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rPr>
                <w:rFonts w:ascii="Arial Narrow" w:hAnsi="Arial Narrow"/>
                <w:color w:val="000000"/>
                <w:sz w:val="18"/>
                <w:szCs w:val="18"/>
              </w:rPr>
            </w:pPr>
            <w:r w:rsidRPr="00C65CAA">
              <w:rPr>
                <w:rFonts w:ascii="Arial Narrow" w:hAnsi="Arial Narrow"/>
                <w:color w:val="000000"/>
                <w:sz w:val="18"/>
                <w:szCs w:val="18"/>
              </w:rPr>
              <w:t>Priemerná mesačná mzda v hospod.; reálny rast</w:t>
            </w:r>
          </w:p>
        </w:tc>
        <w:tc>
          <w:tcPr>
            <w:tcW w:w="520" w:type="pct"/>
            <w:tcBorders>
              <w:top w:val="single" w:sz="4" w:space="0" w:color="auto"/>
              <w:left w:val="single" w:sz="4" w:space="0" w:color="auto"/>
              <w:bottom w:val="single" w:sz="4" w:space="0" w:color="auto"/>
              <w:right w:val="single" w:sz="4" w:space="0" w:color="auto"/>
            </w:tcBorders>
            <w:shd w:val="clear" w:color="auto" w:fill="FFFFFF"/>
          </w:tcPr>
          <w:p w:rsidR="006C2FC9" w:rsidRPr="00C65CAA" w:rsidRDefault="006C2FC9" w:rsidP="00035217">
            <w:pPr>
              <w:jc w:val="center"/>
              <w:rPr>
                <w:rFonts w:ascii="Arial Narrow" w:hAnsi="Arial Narrow"/>
                <w:sz w:val="18"/>
                <w:szCs w:val="18"/>
              </w:rPr>
            </w:pPr>
            <w:r w:rsidRPr="00C65CAA">
              <w:rPr>
                <w:rFonts w:ascii="Arial Narrow" w:hAnsi="Arial Narrow"/>
                <w:sz w:val="18"/>
                <w:szCs w:val="18"/>
              </w:rPr>
              <w:t>%</w:t>
            </w:r>
          </w:p>
        </w:tc>
        <w:tc>
          <w:tcPr>
            <w:tcW w:w="6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3,26</w:t>
            </w:r>
          </w:p>
        </w:tc>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3,56</w:t>
            </w:r>
          </w:p>
        </w:tc>
        <w:tc>
          <w:tcPr>
            <w:tcW w:w="898"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3,73</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0,17</w:t>
            </w:r>
          </w:p>
        </w:tc>
      </w:tr>
      <w:tr w:rsidR="006C2FC9" w:rsidRPr="00C65CAA" w:rsidTr="00035217">
        <w:trPr>
          <w:trHeight w:val="20"/>
        </w:trPr>
        <w:tc>
          <w:tcPr>
            <w:tcW w:w="212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rPr>
                <w:rFonts w:ascii="Arial Narrow" w:hAnsi="Arial Narrow"/>
                <w:color w:val="000000"/>
                <w:sz w:val="18"/>
                <w:szCs w:val="18"/>
              </w:rPr>
            </w:pPr>
            <w:r w:rsidRPr="00C65CAA">
              <w:rPr>
                <w:rFonts w:ascii="Arial Narrow" w:hAnsi="Arial Narrow"/>
                <w:color w:val="000000"/>
                <w:sz w:val="18"/>
                <w:szCs w:val="18"/>
              </w:rPr>
              <w:t>Miera nezamestnanosti (VZPS)</w:t>
            </w:r>
          </w:p>
        </w:tc>
        <w:tc>
          <w:tcPr>
            <w:tcW w:w="520" w:type="pct"/>
            <w:tcBorders>
              <w:top w:val="single" w:sz="4" w:space="0" w:color="auto"/>
              <w:left w:val="single" w:sz="4" w:space="0" w:color="auto"/>
              <w:bottom w:val="single" w:sz="4" w:space="0" w:color="auto"/>
              <w:right w:val="single" w:sz="4" w:space="0" w:color="auto"/>
            </w:tcBorders>
            <w:shd w:val="clear" w:color="auto" w:fill="FFFFFF"/>
          </w:tcPr>
          <w:p w:rsidR="006C2FC9" w:rsidRPr="00C65CAA" w:rsidRDefault="006C2FC9" w:rsidP="00035217">
            <w:pPr>
              <w:jc w:val="center"/>
              <w:rPr>
                <w:rFonts w:ascii="Arial Narrow" w:hAnsi="Arial Narrow"/>
                <w:sz w:val="18"/>
                <w:szCs w:val="18"/>
              </w:rPr>
            </w:pPr>
            <w:r w:rsidRPr="00C65CAA">
              <w:rPr>
                <w:rFonts w:ascii="Arial Narrow" w:hAnsi="Arial Narrow"/>
                <w:sz w:val="18"/>
                <w:szCs w:val="18"/>
              </w:rPr>
              <w:t>%</w:t>
            </w:r>
          </w:p>
        </w:tc>
        <w:tc>
          <w:tcPr>
            <w:tcW w:w="6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8,13</w:t>
            </w:r>
          </w:p>
        </w:tc>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6,90</w:t>
            </w:r>
          </w:p>
        </w:tc>
        <w:tc>
          <w:tcPr>
            <w:tcW w:w="898"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6,37</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-0,53</w:t>
            </w:r>
          </w:p>
        </w:tc>
      </w:tr>
      <w:tr w:rsidR="006C2FC9" w:rsidRPr="00C65CAA" w:rsidTr="00035217">
        <w:trPr>
          <w:trHeight w:val="20"/>
        </w:trPr>
        <w:tc>
          <w:tcPr>
            <w:tcW w:w="212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rPr>
                <w:rFonts w:ascii="Arial Narrow" w:hAnsi="Arial Narrow"/>
                <w:color w:val="FF0000"/>
                <w:sz w:val="18"/>
                <w:szCs w:val="18"/>
              </w:rPr>
            </w:pPr>
            <w:r w:rsidRPr="00C65CAA">
              <w:rPr>
                <w:rFonts w:ascii="Arial Narrow" w:hAnsi="Arial Narrow"/>
                <w:sz w:val="18"/>
                <w:szCs w:val="18"/>
              </w:rPr>
              <w:t>Zamestnanosť (VZPS)</w:t>
            </w:r>
          </w:p>
        </w:tc>
        <w:tc>
          <w:tcPr>
            <w:tcW w:w="520" w:type="pct"/>
            <w:tcBorders>
              <w:top w:val="single" w:sz="4" w:space="0" w:color="auto"/>
              <w:left w:val="single" w:sz="4" w:space="0" w:color="auto"/>
              <w:bottom w:val="single" w:sz="4" w:space="0" w:color="auto"/>
              <w:right w:val="single" w:sz="4" w:space="0" w:color="auto"/>
            </w:tcBorders>
            <w:shd w:val="clear" w:color="auto" w:fill="FFFFFF"/>
          </w:tcPr>
          <w:p w:rsidR="006C2FC9" w:rsidRPr="00C65CAA" w:rsidRDefault="006C2FC9" w:rsidP="00035217">
            <w:pPr>
              <w:jc w:val="center"/>
              <w:rPr>
                <w:rFonts w:ascii="Arial Narrow" w:hAnsi="Arial Narrow"/>
                <w:sz w:val="18"/>
                <w:szCs w:val="18"/>
              </w:rPr>
            </w:pPr>
            <w:r w:rsidRPr="00C65CAA">
              <w:rPr>
                <w:rFonts w:ascii="Arial Narrow" w:hAnsi="Arial Narrow"/>
                <w:sz w:val="18"/>
                <w:szCs w:val="18"/>
              </w:rPr>
              <w:t>tis. osôb</w:t>
            </w:r>
          </w:p>
        </w:tc>
        <w:tc>
          <w:tcPr>
            <w:tcW w:w="6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2 530,67</w:t>
            </w:r>
          </w:p>
        </w:tc>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2 554,75</w:t>
            </w:r>
          </w:p>
        </w:tc>
        <w:tc>
          <w:tcPr>
            <w:tcW w:w="898"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2 570,35</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15,60</w:t>
            </w:r>
          </w:p>
        </w:tc>
      </w:tr>
      <w:tr w:rsidR="006C2FC9" w:rsidRPr="00C65CAA" w:rsidTr="00035217">
        <w:trPr>
          <w:trHeight w:val="20"/>
        </w:trPr>
        <w:tc>
          <w:tcPr>
            <w:tcW w:w="212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rPr>
                <w:rFonts w:ascii="Arial Narrow" w:hAnsi="Arial Narrow"/>
                <w:b/>
                <w:bCs/>
                <w:color w:val="000000"/>
                <w:sz w:val="18"/>
                <w:szCs w:val="18"/>
              </w:rPr>
            </w:pPr>
            <w:r w:rsidRPr="00C65CAA">
              <w:rPr>
                <w:rFonts w:ascii="Arial Narrow" w:hAnsi="Arial Narrow"/>
                <w:b/>
                <w:bCs/>
                <w:color w:val="000000"/>
                <w:sz w:val="18"/>
                <w:szCs w:val="18"/>
              </w:rPr>
              <w:t>Inflácia</w:t>
            </w:r>
          </w:p>
        </w:tc>
        <w:tc>
          <w:tcPr>
            <w:tcW w:w="520" w:type="pct"/>
            <w:tcBorders>
              <w:top w:val="single" w:sz="4" w:space="0" w:color="auto"/>
              <w:left w:val="single" w:sz="4" w:space="0" w:color="auto"/>
              <w:bottom w:val="single" w:sz="4" w:space="0" w:color="auto"/>
              <w:right w:val="single" w:sz="4" w:space="0" w:color="auto"/>
            </w:tcBorders>
            <w:shd w:val="clear" w:color="auto" w:fill="FFFFFF"/>
          </w:tcPr>
          <w:p w:rsidR="006C2FC9" w:rsidRPr="00C65CAA" w:rsidRDefault="006C2FC9" w:rsidP="00035217">
            <w:pPr>
              <w:jc w:val="center"/>
              <w:rPr>
                <w:rFonts w:ascii="Arial Narrow" w:hAnsi="Arial Narrow"/>
                <w:sz w:val="18"/>
                <w:szCs w:val="18"/>
              </w:rPr>
            </w:pPr>
          </w:p>
        </w:tc>
        <w:tc>
          <w:tcPr>
            <w:tcW w:w="6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right"/>
              <w:rPr>
                <w:rFonts w:ascii="Arial Narrow" w:hAnsi="Arial Narrow"/>
                <w:sz w:val="18"/>
                <w:szCs w:val="18"/>
              </w:rPr>
            </w:pPr>
          </w:p>
        </w:tc>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right"/>
              <w:rPr>
                <w:rFonts w:ascii="Arial Narrow" w:hAnsi="Arial Narrow"/>
                <w:sz w:val="18"/>
                <w:szCs w:val="18"/>
              </w:rPr>
            </w:pPr>
          </w:p>
        </w:tc>
        <w:tc>
          <w:tcPr>
            <w:tcW w:w="89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right"/>
              <w:rPr>
                <w:rFonts w:ascii="Arial Narrow" w:eastAsia="Calibri" w:hAnsi="Arial Narrow"/>
                <w:sz w:val="18"/>
                <w:szCs w:val="18"/>
                <w:lang w:eastAsia="en-US"/>
              </w:rPr>
            </w:pPr>
            <w:r w:rsidRPr="00C65CAA">
              <w:rPr>
                <w:rFonts w:ascii="Arial Narrow" w:eastAsia="Calibri" w:hAnsi="Arial Narrow"/>
                <w:sz w:val="18"/>
                <w:szCs w:val="18"/>
                <w:lang w:eastAsia="en-US"/>
              </w:rPr>
              <w:t> </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C2FC9" w:rsidRPr="00C65CAA" w:rsidRDefault="006C2FC9" w:rsidP="00035217">
            <w:pPr>
              <w:jc w:val="right"/>
              <w:rPr>
                <w:rFonts w:ascii="Arial Narrow" w:hAnsi="Arial Narrow"/>
                <w:color w:val="000000"/>
                <w:sz w:val="18"/>
                <w:szCs w:val="18"/>
              </w:rPr>
            </w:pPr>
          </w:p>
        </w:tc>
      </w:tr>
      <w:tr w:rsidR="006C2FC9" w:rsidRPr="00C65CAA" w:rsidTr="00035217">
        <w:trPr>
          <w:trHeight w:val="20"/>
        </w:trPr>
        <w:tc>
          <w:tcPr>
            <w:tcW w:w="212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rPr>
                <w:rFonts w:ascii="Arial Narrow" w:hAnsi="Arial Narrow"/>
                <w:color w:val="000000"/>
                <w:sz w:val="18"/>
                <w:szCs w:val="18"/>
              </w:rPr>
            </w:pPr>
            <w:r w:rsidRPr="00C65CAA">
              <w:rPr>
                <w:rFonts w:ascii="Arial Narrow" w:hAnsi="Arial Narrow"/>
                <w:color w:val="000000"/>
                <w:sz w:val="18"/>
                <w:szCs w:val="18"/>
              </w:rPr>
              <w:t>Index spotrebiteľských cien (CPI)</w:t>
            </w:r>
          </w:p>
        </w:tc>
        <w:tc>
          <w:tcPr>
            <w:tcW w:w="520" w:type="pct"/>
            <w:tcBorders>
              <w:top w:val="single" w:sz="4" w:space="0" w:color="auto"/>
              <w:left w:val="single" w:sz="4" w:space="0" w:color="auto"/>
              <w:bottom w:val="single" w:sz="4" w:space="0" w:color="auto"/>
              <w:right w:val="single" w:sz="4" w:space="0" w:color="auto"/>
            </w:tcBorders>
            <w:shd w:val="clear" w:color="auto" w:fill="FFFFFF"/>
          </w:tcPr>
          <w:p w:rsidR="006C2FC9" w:rsidRPr="00C65CAA" w:rsidRDefault="006C2FC9" w:rsidP="00035217">
            <w:pPr>
              <w:jc w:val="center"/>
              <w:rPr>
                <w:rFonts w:ascii="Arial Narrow" w:hAnsi="Arial Narrow"/>
                <w:sz w:val="18"/>
                <w:szCs w:val="18"/>
              </w:rPr>
            </w:pPr>
            <w:r w:rsidRPr="00C65CAA">
              <w:rPr>
                <w:rFonts w:ascii="Arial Narrow" w:hAnsi="Arial Narrow"/>
                <w:sz w:val="18"/>
                <w:szCs w:val="18"/>
              </w:rPr>
              <w:t>%</w:t>
            </w:r>
          </w:p>
        </w:tc>
        <w:tc>
          <w:tcPr>
            <w:tcW w:w="6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1,31</w:t>
            </w:r>
          </w:p>
        </w:tc>
        <w:tc>
          <w:tcPr>
            <w:tcW w:w="43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2,53</w:t>
            </w:r>
          </w:p>
        </w:tc>
        <w:tc>
          <w:tcPr>
            <w:tcW w:w="898"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2,50</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-0,03</w:t>
            </w:r>
          </w:p>
        </w:tc>
      </w:tr>
      <w:tr w:rsidR="006C2FC9" w:rsidRPr="00C65CAA" w:rsidTr="00035217">
        <w:trPr>
          <w:trHeight w:val="20"/>
        </w:trPr>
        <w:tc>
          <w:tcPr>
            <w:tcW w:w="212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C2FC9" w:rsidRPr="00C65CAA" w:rsidRDefault="006C2FC9" w:rsidP="00035217">
            <w:pPr>
              <w:rPr>
                <w:rFonts w:ascii="Arial Narrow" w:hAnsi="Arial Narrow"/>
                <w:color w:val="000000"/>
                <w:sz w:val="18"/>
                <w:szCs w:val="18"/>
              </w:rPr>
            </w:pPr>
            <w:r w:rsidRPr="00C65CAA">
              <w:rPr>
                <w:rFonts w:ascii="Arial Narrow" w:hAnsi="Arial Narrow"/>
                <w:color w:val="000000"/>
                <w:sz w:val="18"/>
                <w:szCs w:val="18"/>
              </w:rPr>
              <w:t>Harmonizovaný index spotrebiteľských cien (HICP)</w:t>
            </w:r>
          </w:p>
        </w:tc>
        <w:tc>
          <w:tcPr>
            <w:tcW w:w="520" w:type="pct"/>
            <w:tcBorders>
              <w:top w:val="single" w:sz="4" w:space="0" w:color="auto"/>
              <w:left w:val="single" w:sz="4" w:space="0" w:color="auto"/>
              <w:bottom w:val="single" w:sz="4" w:space="0" w:color="auto"/>
              <w:right w:val="single" w:sz="4" w:space="0" w:color="auto"/>
            </w:tcBorders>
            <w:shd w:val="clear" w:color="auto" w:fill="FFFFFF"/>
          </w:tcPr>
          <w:p w:rsidR="006C2FC9" w:rsidRPr="00C65CAA" w:rsidRDefault="006C2FC9" w:rsidP="00035217">
            <w:pPr>
              <w:jc w:val="center"/>
              <w:rPr>
                <w:rFonts w:ascii="Arial Narrow" w:hAnsi="Arial Narrow"/>
                <w:sz w:val="18"/>
                <w:szCs w:val="18"/>
              </w:rPr>
            </w:pPr>
            <w:r w:rsidRPr="00C65CAA">
              <w:rPr>
                <w:rFonts w:ascii="Arial Narrow" w:hAnsi="Arial Narrow"/>
                <w:sz w:val="18"/>
                <w:szCs w:val="18"/>
              </w:rPr>
              <w:t>%</w:t>
            </w:r>
          </w:p>
        </w:tc>
        <w:tc>
          <w:tcPr>
            <w:tcW w:w="628"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1,39</w:t>
            </w:r>
          </w:p>
        </w:tc>
        <w:tc>
          <w:tcPr>
            <w:tcW w:w="431"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2,57</w:t>
            </w:r>
          </w:p>
        </w:tc>
        <w:tc>
          <w:tcPr>
            <w:tcW w:w="898"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2,50</w:t>
            </w:r>
          </w:p>
        </w:tc>
        <w:tc>
          <w:tcPr>
            <w:tcW w:w="403" w:type="pct"/>
            <w:tcBorders>
              <w:top w:val="single" w:sz="4" w:space="0" w:color="auto"/>
              <w:left w:val="single" w:sz="4" w:space="0" w:color="auto"/>
              <w:bottom w:val="single" w:sz="4" w:space="0" w:color="auto"/>
              <w:right w:val="single" w:sz="4" w:space="0" w:color="auto"/>
            </w:tcBorders>
            <w:shd w:val="clear" w:color="auto" w:fill="FFFFFF"/>
            <w:vAlign w:val="center"/>
          </w:tcPr>
          <w:p w:rsidR="006C2FC9" w:rsidRPr="00C65CAA" w:rsidRDefault="006C2FC9" w:rsidP="00035217">
            <w:pPr>
              <w:jc w:val="center"/>
              <w:rPr>
                <w:rFonts w:ascii="Arial Narrow" w:hAnsi="Arial Narrow" w:cs="Calibri"/>
                <w:sz w:val="18"/>
                <w:szCs w:val="18"/>
              </w:rPr>
            </w:pPr>
            <w:r w:rsidRPr="00C65CAA">
              <w:rPr>
                <w:rFonts w:ascii="Arial Narrow" w:hAnsi="Arial Narrow" w:cs="Calibri"/>
                <w:sz w:val="18"/>
                <w:szCs w:val="18"/>
              </w:rPr>
              <w:t>-0,07</w:t>
            </w:r>
          </w:p>
        </w:tc>
      </w:tr>
    </w:tbl>
    <w:p w:rsidR="006C2FC9" w:rsidRPr="00C65CAA" w:rsidRDefault="006B1F35" w:rsidP="00035217">
      <w:pPr>
        <w:spacing w:after="100"/>
        <w:rPr>
          <w:rFonts w:ascii="Arial Narrow" w:hAnsi="Arial Narrow"/>
          <w:sz w:val="18"/>
          <w:szCs w:val="18"/>
        </w:rPr>
      </w:pPr>
      <w:r w:rsidRPr="00C65CAA">
        <w:rPr>
          <w:rFonts w:ascii="Arial Narrow" w:hAnsi="Arial Narrow"/>
          <w:sz w:val="18"/>
          <w:szCs w:val="18"/>
        </w:rPr>
        <w:t>Zdroj: MF SR, ŠÚ SR, RVS 2019 –</w:t>
      </w:r>
      <w:r w:rsidR="006C2FC9" w:rsidRPr="00C65CAA">
        <w:rPr>
          <w:rFonts w:ascii="Arial Narrow" w:hAnsi="Arial Narrow"/>
          <w:sz w:val="18"/>
          <w:szCs w:val="18"/>
        </w:rPr>
        <w:t xml:space="preserve"> 2021</w:t>
      </w:r>
    </w:p>
    <w:p w:rsidR="006C2FC9" w:rsidRPr="00C65CAA" w:rsidRDefault="006C2FC9" w:rsidP="00256AF8">
      <w:pPr>
        <w:autoSpaceDE w:val="0"/>
        <w:autoSpaceDN w:val="0"/>
        <w:adjustRightInd w:val="0"/>
        <w:spacing w:before="100" w:after="100"/>
        <w:ind w:firstLine="708"/>
        <w:jc w:val="both"/>
        <w:rPr>
          <w:rFonts w:ascii="Arial Narrow" w:hAnsi="Arial Narrow"/>
          <w:b/>
          <w:bCs/>
          <w:sz w:val="22"/>
          <w:szCs w:val="22"/>
        </w:rPr>
      </w:pPr>
      <w:r w:rsidRPr="00C65CAA">
        <w:rPr>
          <w:rFonts w:ascii="Arial Narrow" w:hAnsi="Arial Narrow"/>
          <w:b/>
          <w:bCs/>
          <w:sz w:val="22"/>
          <w:szCs w:val="22"/>
        </w:rPr>
        <w:t>Aktualizovaná prognóza výboru pre makroekonomické prognózy očakáva v roku 2018 zrýchlenie reálneho rastu slovenskej ekonomiky o 4,1 %. V nasledujúcom roku by tempo jej rastu malo byť ešte výraznejšie a to 4,5 %.</w:t>
      </w:r>
    </w:p>
    <w:p w:rsidR="006C2FC9" w:rsidRPr="00C65CAA" w:rsidRDefault="006C2FC9" w:rsidP="00256AF8">
      <w:pPr>
        <w:autoSpaceDE w:val="0"/>
        <w:autoSpaceDN w:val="0"/>
        <w:adjustRightInd w:val="0"/>
        <w:spacing w:before="100" w:after="100"/>
        <w:ind w:firstLine="708"/>
        <w:jc w:val="both"/>
        <w:rPr>
          <w:rFonts w:ascii="Arial Narrow" w:hAnsi="Arial Narrow"/>
          <w:bCs/>
          <w:sz w:val="22"/>
          <w:szCs w:val="22"/>
        </w:rPr>
      </w:pPr>
      <w:r w:rsidRPr="00C65CAA">
        <w:rPr>
          <w:rFonts w:ascii="Arial Narrow" w:hAnsi="Arial Narrow"/>
          <w:bCs/>
          <w:sz w:val="22"/>
          <w:szCs w:val="22"/>
        </w:rPr>
        <w:t>K zrýchleniu rastu výkonnosti hospodárstva by mal v tomto roku prispieť domáci aj zahraničný dopyt. Domáci dopyt zrýchľuje najmä vďaka rýchlejšiemu rastu investícií a vládnej spotreby. V budúcom roku bude mať zásadný vplyv na ekonomiku export, ktorý bude ovplyvnený hlavne nábehom nového modelu SUV vo VW a nábehom výroby JLR.</w:t>
      </w:r>
    </w:p>
    <w:p w:rsidR="006C2FC9" w:rsidRPr="00C65CAA" w:rsidRDefault="006C2FC9" w:rsidP="00256AF8">
      <w:pPr>
        <w:autoSpaceDE w:val="0"/>
        <w:autoSpaceDN w:val="0"/>
        <w:adjustRightInd w:val="0"/>
        <w:spacing w:before="100" w:after="100"/>
        <w:ind w:firstLine="708"/>
        <w:jc w:val="both"/>
        <w:rPr>
          <w:rFonts w:ascii="Arial Narrow" w:hAnsi="Arial Narrow"/>
          <w:b/>
          <w:bCs/>
          <w:sz w:val="22"/>
          <w:szCs w:val="22"/>
        </w:rPr>
      </w:pPr>
      <w:r w:rsidRPr="00C65CAA">
        <w:rPr>
          <w:rFonts w:ascii="Arial Narrow" w:hAnsi="Arial Narrow" w:cs="NeueHaasGroteskDisp W02"/>
          <w:sz w:val="22"/>
          <w:szCs w:val="22"/>
        </w:rPr>
        <w:t>Čerpanie eurofondov sa rozbieha len postupne, nízke tempo tak do štruktúry rastu ekonomiky prispeje menš</w:t>
      </w:r>
      <w:r w:rsidR="00EC79A1" w:rsidRPr="00C65CAA">
        <w:rPr>
          <w:rFonts w:ascii="Arial Narrow" w:hAnsi="Arial Narrow" w:cs="NeueHaasGroteskDisp W02"/>
          <w:sz w:val="22"/>
          <w:szCs w:val="22"/>
        </w:rPr>
        <w:t xml:space="preserve">ou mierou. </w:t>
      </w:r>
      <w:r w:rsidRPr="00C65CAA">
        <w:rPr>
          <w:rFonts w:ascii="Arial Narrow" w:hAnsi="Arial Narrow"/>
          <w:bCs/>
          <w:sz w:val="22"/>
          <w:szCs w:val="22"/>
        </w:rPr>
        <w:t>V porovnaní s ostatnými krajinami V4 Slovensko zaostáva, zdrojom dynamické</w:t>
      </w:r>
      <w:r w:rsidR="00066CAD" w:rsidRPr="00C65CAA">
        <w:rPr>
          <w:rFonts w:ascii="Arial Narrow" w:hAnsi="Arial Narrow"/>
          <w:bCs/>
          <w:sz w:val="22"/>
          <w:szCs w:val="22"/>
        </w:rPr>
        <w:t>ho rastu okolitých krajín sa stá</w:t>
      </w:r>
      <w:r w:rsidRPr="00C65CAA">
        <w:rPr>
          <w:rFonts w:ascii="Arial Narrow" w:hAnsi="Arial Narrow"/>
          <w:bCs/>
          <w:sz w:val="22"/>
          <w:szCs w:val="22"/>
        </w:rPr>
        <w:t xml:space="preserve">vajú predovšetkým verejné investície z eurofondov. </w:t>
      </w:r>
      <w:r w:rsidRPr="00C65CAA">
        <w:rPr>
          <w:rFonts w:ascii="Arial Narrow" w:hAnsi="Arial Narrow"/>
          <w:b/>
          <w:sz w:val="22"/>
          <w:szCs w:val="22"/>
        </w:rPr>
        <w:t>Výraznejšiu tvorbu verejných investícií financovaných z fondov EÚ očakáva MF SR až za horizontom prognózy.</w:t>
      </w:r>
    </w:p>
    <w:p w:rsidR="006C2FC9" w:rsidRPr="00C65CAA" w:rsidRDefault="006C2FC9" w:rsidP="00256AF8">
      <w:pPr>
        <w:spacing w:before="100" w:after="100"/>
        <w:ind w:firstLine="708"/>
        <w:jc w:val="both"/>
        <w:rPr>
          <w:rFonts w:ascii="Arial Narrow" w:hAnsi="Arial Narrow" w:cs="Arial"/>
          <w:sz w:val="22"/>
          <w:szCs w:val="22"/>
        </w:rPr>
      </w:pPr>
      <w:r w:rsidRPr="00C65CAA">
        <w:rPr>
          <w:rFonts w:ascii="Arial Narrow" w:hAnsi="Arial Narrow" w:cs="Arial"/>
          <w:sz w:val="22"/>
          <w:szCs w:val="22"/>
        </w:rPr>
        <w:t xml:space="preserve">Najväčšia zmena v roku 2018 nastala v oblasti investícií. V 2. štvrťroku 2018 vzrástla reálna tvorba hrubého fixného kapitálu </w:t>
      </w:r>
      <w:r w:rsidR="007137D2" w:rsidRPr="00C65CAA">
        <w:rPr>
          <w:rFonts w:ascii="Arial Narrow" w:hAnsi="Arial Narrow" w:cs="Arial"/>
          <w:sz w:val="22"/>
          <w:szCs w:val="22"/>
        </w:rPr>
        <w:t xml:space="preserve">medziročne </w:t>
      </w:r>
      <w:r w:rsidRPr="00C65CAA">
        <w:rPr>
          <w:rFonts w:ascii="Arial Narrow" w:hAnsi="Arial Narrow" w:cs="Arial"/>
          <w:sz w:val="22"/>
          <w:szCs w:val="22"/>
        </w:rPr>
        <w:t>až o 20,4 %. Najrýchlejší prírastok fixných aktív zo sektorového hľadiska zaznamenala verejná správa, o 36,1 %</w:t>
      </w:r>
      <w:r w:rsidR="006B1F35" w:rsidRPr="00C65CAA">
        <w:rPr>
          <w:rFonts w:ascii="Arial Narrow" w:hAnsi="Arial Narrow" w:cs="Arial"/>
          <w:sz w:val="22"/>
          <w:szCs w:val="22"/>
        </w:rPr>
        <w:t>,</w:t>
      </w:r>
      <w:r w:rsidRPr="00C65CAA">
        <w:rPr>
          <w:rFonts w:ascii="Arial Narrow" w:hAnsi="Arial Narrow" w:cs="Arial"/>
          <w:sz w:val="22"/>
          <w:szCs w:val="22"/>
        </w:rPr>
        <w:t xml:space="preserve"> a nefinančné korporácie (predovšetkým veľké podniky v automobilovom priemysle) o 24,9 %. Investície v automobilovom sektore budú zdrojom budúceho vývozu a zdrojom rastu ekonomiky v nasledujúcom roku</w:t>
      </w:r>
      <w:r w:rsidR="006B1F35" w:rsidRPr="00C65CAA">
        <w:rPr>
          <w:rFonts w:ascii="Arial Narrow" w:hAnsi="Arial Narrow" w:cs="Arial"/>
          <w:sz w:val="22"/>
          <w:szCs w:val="22"/>
        </w:rPr>
        <w:t>. Vysoká závislosť ekonomiky od jedného</w:t>
      </w:r>
      <w:r w:rsidRPr="00C65CAA">
        <w:rPr>
          <w:rFonts w:ascii="Arial Narrow" w:hAnsi="Arial Narrow" w:cs="Arial"/>
          <w:sz w:val="22"/>
          <w:szCs w:val="22"/>
        </w:rPr>
        <w:t xml:space="preserve"> sektor</w:t>
      </w:r>
      <w:r w:rsidR="006B1F35" w:rsidRPr="00C65CAA">
        <w:rPr>
          <w:rFonts w:ascii="Arial Narrow" w:hAnsi="Arial Narrow" w:cs="Arial"/>
          <w:sz w:val="22"/>
          <w:szCs w:val="22"/>
        </w:rPr>
        <w:t>a</w:t>
      </w:r>
      <w:r w:rsidRPr="00C65CAA">
        <w:rPr>
          <w:rFonts w:ascii="Arial Narrow" w:hAnsi="Arial Narrow" w:cs="Arial"/>
          <w:sz w:val="22"/>
          <w:szCs w:val="22"/>
        </w:rPr>
        <w:t xml:space="preserve"> však zároveň predstavuje jej najväčšie riziko.</w:t>
      </w:r>
    </w:p>
    <w:p w:rsidR="006C2FC9" w:rsidRPr="00C65CAA" w:rsidRDefault="006C2FC9" w:rsidP="00256AF8">
      <w:pPr>
        <w:autoSpaceDE w:val="0"/>
        <w:autoSpaceDN w:val="0"/>
        <w:adjustRightInd w:val="0"/>
        <w:spacing w:before="100" w:after="100"/>
        <w:ind w:firstLine="708"/>
        <w:jc w:val="both"/>
        <w:rPr>
          <w:rFonts w:ascii="Arial Narrow" w:hAnsi="Arial Narrow"/>
          <w:sz w:val="22"/>
          <w:szCs w:val="22"/>
        </w:rPr>
      </w:pPr>
      <w:r w:rsidRPr="00C65CAA">
        <w:rPr>
          <w:rFonts w:ascii="Arial Narrow" w:hAnsi="Arial Narrow" w:cs="Arial"/>
          <w:sz w:val="22"/>
          <w:szCs w:val="22"/>
        </w:rPr>
        <w:t>Vzhľadom na to, že v súčasnosti sa slovenská ekonomika pohybuje nad svojim potenciálom a súčasné tendencie vo vývoji svetovej ekonomiky naznačujú spomalenie</w:t>
      </w:r>
      <w:r w:rsidRPr="00C65CAA">
        <w:rPr>
          <w:rStyle w:val="Odkaznapoznmkupodiarou"/>
          <w:rFonts w:ascii="Arial Narrow" w:hAnsi="Arial Narrow"/>
          <w:sz w:val="22"/>
          <w:szCs w:val="22"/>
        </w:rPr>
        <w:footnoteReference w:id="1"/>
      </w:r>
      <w:r w:rsidRPr="00C65CAA">
        <w:rPr>
          <w:rFonts w:ascii="Arial Narrow" w:hAnsi="Arial Narrow" w:cs="Arial"/>
          <w:sz w:val="22"/>
          <w:szCs w:val="22"/>
        </w:rPr>
        <w:t xml:space="preserve">, </w:t>
      </w:r>
      <w:r w:rsidRPr="00C65CAA">
        <w:rPr>
          <w:rFonts w:ascii="Arial Narrow" w:hAnsi="Arial Narrow" w:cs="Arial"/>
          <w:b/>
          <w:sz w:val="22"/>
          <w:szCs w:val="22"/>
        </w:rPr>
        <w:t>NKÚ SR upozorňuje na mierne riziko spojené s rastom výkonnosti slovenskej ekonomiky v budúcom roku</w:t>
      </w:r>
      <w:r w:rsidRPr="00C65CAA">
        <w:rPr>
          <w:rFonts w:ascii="Arial Narrow" w:hAnsi="Arial Narrow" w:cs="Arial"/>
          <w:sz w:val="22"/>
          <w:szCs w:val="22"/>
        </w:rPr>
        <w:t>.</w:t>
      </w:r>
      <w:r w:rsidRPr="00C65CAA">
        <w:rPr>
          <w:rStyle w:val="Odkaznapoznmkupodiarou"/>
          <w:rFonts w:ascii="Arial Narrow" w:hAnsi="Arial Narrow"/>
          <w:sz w:val="22"/>
          <w:szCs w:val="22"/>
        </w:rPr>
        <w:footnoteReference w:id="2"/>
      </w:r>
      <w:r w:rsidRPr="00C65CAA">
        <w:rPr>
          <w:rFonts w:ascii="Arial Narrow" w:hAnsi="Arial Narrow" w:cs="Arial"/>
          <w:sz w:val="22"/>
          <w:szCs w:val="22"/>
        </w:rPr>
        <w:t xml:space="preserve"> </w:t>
      </w:r>
      <w:r w:rsidRPr="00C65CAA">
        <w:rPr>
          <w:rFonts w:ascii="Arial Narrow" w:hAnsi="Arial Narrow"/>
          <w:sz w:val="22"/>
          <w:szCs w:val="22"/>
        </w:rPr>
        <w:t xml:space="preserve">Slovensko je výrazne proexportnou ekonomikou </w:t>
      </w:r>
      <w:r w:rsidRPr="00C65CAA">
        <w:rPr>
          <w:rFonts w:ascii="Arial Narrow" w:hAnsi="Arial Narrow"/>
          <w:sz w:val="22"/>
          <w:szCs w:val="22"/>
        </w:rPr>
        <w:lastRenderedPageBreak/>
        <w:t>a ostáva tak otázkou, ako bude na jej rast vplývať aj vývoj v tzv. obchodnej vojne medzi USA, Čínou a EÚ. Ovplyvniť rast môže aj tzv. „tvrdý“ Brexit, ktorý podľa odhadov IFP môže znížiť rast HDP o 0,26 %.</w:t>
      </w:r>
    </w:p>
    <w:p w:rsidR="006C2FC9" w:rsidRPr="00C65CAA" w:rsidRDefault="006C2FC9" w:rsidP="00256AF8">
      <w:pPr>
        <w:autoSpaceDE w:val="0"/>
        <w:autoSpaceDN w:val="0"/>
        <w:adjustRightInd w:val="0"/>
        <w:spacing w:before="100" w:after="100"/>
        <w:jc w:val="both"/>
        <w:rPr>
          <w:rFonts w:ascii="Arial Narrow" w:eastAsia="Calibri" w:hAnsi="Arial Narrow"/>
          <w:sz w:val="22"/>
          <w:szCs w:val="22"/>
          <w:lang w:eastAsia="en-US"/>
        </w:rPr>
      </w:pPr>
      <w:r w:rsidRPr="00C65CAA">
        <w:rPr>
          <w:rFonts w:ascii="Arial Narrow" w:eastAsia="Calibri" w:hAnsi="Arial Narrow" w:cs="Tahoma"/>
          <w:sz w:val="22"/>
          <w:szCs w:val="22"/>
          <w:lang w:eastAsia="en-US"/>
        </w:rPr>
        <w:t xml:space="preserve"> </w:t>
      </w:r>
      <w:r w:rsidRPr="00C65CAA">
        <w:rPr>
          <w:rFonts w:ascii="Arial Narrow" w:eastAsia="Calibri" w:hAnsi="Arial Narrow" w:cs="Tahoma"/>
          <w:sz w:val="22"/>
          <w:szCs w:val="22"/>
          <w:lang w:eastAsia="en-US"/>
        </w:rPr>
        <w:tab/>
      </w:r>
      <w:r w:rsidRPr="00C65CAA">
        <w:rPr>
          <w:rFonts w:ascii="Arial Narrow" w:eastAsia="Calibri" w:hAnsi="Arial Narrow"/>
          <w:sz w:val="22"/>
          <w:szCs w:val="22"/>
          <w:lang w:eastAsia="en-US"/>
        </w:rPr>
        <w:t>Vývoj HDP v rokoch 2007 až 2021</w:t>
      </w:r>
      <w:r w:rsidR="001D2AD7" w:rsidRPr="00C65CAA">
        <w:rPr>
          <w:rFonts w:ascii="Arial Narrow" w:eastAsia="Calibri" w:hAnsi="Arial Narrow"/>
          <w:sz w:val="22"/>
          <w:szCs w:val="22"/>
          <w:lang w:eastAsia="en-US"/>
        </w:rPr>
        <w:t>:</w:t>
      </w:r>
    </w:p>
    <w:tbl>
      <w:tblPr>
        <w:tblStyle w:val="Mriekatabuky"/>
        <w:tblW w:w="51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1"/>
      </w:tblGrid>
      <w:tr w:rsidR="006C2FC9" w:rsidRPr="00C65CAA" w:rsidTr="00EB05EC">
        <w:trPr>
          <w:trHeight w:val="145"/>
        </w:trPr>
        <w:tc>
          <w:tcPr>
            <w:tcW w:w="5000" w:type="pct"/>
            <w:tcBorders>
              <w:top w:val="single" w:sz="4" w:space="0" w:color="auto"/>
              <w:bottom w:val="single" w:sz="4" w:space="0" w:color="auto"/>
            </w:tcBorders>
            <w:shd w:val="clear" w:color="auto" w:fill="0070C0"/>
          </w:tcPr>
          <w:p w:rsidR="006C2FC9" w:rsidRPr="00C65CAA" w:rsidRDefault="006C2FC9" w:rsidP="00B366F3">
            <w:pPr>
              <w:contextualSpacing/>
              <w:jc w:val="both"/>
              <w:rPr>
                <w:rFonts w:ascii="Arial Narrow" w:hAnsi="Arial Narrow"/>
                <w:b/>
              </w:rPr>
            </w:pPr>
            <w:r w:rsidRPr="00C65CAA">
              <w:rPr>
                <w:rFonts w:ascii="Arial Narrow" w:hAnsi="Arial Narrow"/>
                <w:b/>
                <w:color w:val="FFFFFF"/>
              </w:rPr>
              <w:t>Vývoj HDP v rokoch 2007 až 2021</w:t>
            </w:r>
          </w:p>
        </w:tc>
      </w:tr>
      <w:tr w:rsidR="006C2FC9" w:rsidRPr="00C65CAA" w:rsidTr="0033644F">
        <w:tblPrEx>
          <w:tblCellMar>
            <w:left w:w="70" w:type="dxa"/>
            <w:right w:w="70" w:type="dxa"/>
          </w:tblCellMar>
        </w:tblPrEx>
        <w:trPr>
          <w:trHeight w:val="2487"/>
        </w:trPr>
        <w:tc>
          <w:tcPr>
            <w:tcW w:w="5000" w:type="pct"/>
            <w:tcBorders>
              <w:top w:val="single" w:sz="4" w:space="0" w:color="auto"/>
              <w:bottom w:val="single" w:sz="4" w:space="0" w:color="auto"/>
            </w:tcBorders>
          </w:tcPr>
          <w:p w:rsidR="006C2FC9" w:rsidRPr="00C65CAA" w:rsidRDefault="0033644F" w:rsidP="00B366F3">
            <w:pPr>
              <w:contextualSpacing/>
              <w:jc w:val="both"/>
              <w:rPr>
                <w:rFonts w:ascii="Arial Narrow" w:hAnsi="Arial Narrow"/>
              </w:rPr>
            </w:pPr>
            <w:r w:rsidRPr="00C65CAA">
              <w:rPr>
                <w:rFonts w:ascii="Arial Narrow" w:hAnsi="Arial Narrow"/>
                <w:noProof/>
              </w:rPr>
              <w:drawing>
                <wp:inline distT="0" distB="0" distL="0" distR="0" wp14:anchorId="66D89E5B" wp14:editId="1F3FECDE">
                  <wp:extent cx="5761355" cy="2438400"/>
                  <wp:effectExtent l="0" t="0" r="10795" b="0"/>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6C2FC9" w:rsidRPr="00C65CAA" w:rsidRDefault="007137D2" w:rsidP="00B366F3">
      <w:pPr>
        <w:spacing w:after="120"/>
        <w:jc w:val="both"/>
        <w:rPr>
          <w:rFonts w:ascii="Arial Narrow" w:hAnsi="Arial Narrow"/>
          <w:sz w:val="18"/>
          <w:szCs w:val="18"/>
        </w:rPr>
      </w:pPr>
      <w:r w:rsidRPr="00C65CAA">
        <w:rPr>
          <w:rFonts w:ascii="Arial Narrow" w:hAnsi="Arial Narrow"/>
          <w:sz w:val="18"/>
          <w:szCs w:val="18"/>
        </w:rPr>
        <w:t>Zdroj: MF SR, RVS 2019-2021</w:t>
      </w:r>
      <w:r w:rsidR="006C2FC9" w:rsidRPr="00C65CAA">
        <w:rPr>
          <w:rFonts w:ascii="Arial Narrow" w:hAnsi="Arial Narrow"/>
          <w:sz w:val="18"/>
          <w:szCs w:val="18"/>
        </w:rPr>
        <w:t>, Prognóza Výboru pre makroekonomické prognózy z 12. septembra 2018</w:t>
      </w:r>
    </w:p>
    <w:p w:rsidR="006C2FC9" w:rsidRPr="00C65CAA" w:rsidRDefault="006C2FC9" w:rsidP="00256AF8">
      <w:pPr>
        <w:autoSpaceDE w:val="0"/>
        <w:autoSpaceDN w:val="0"/>
        <w:adjustRightInd w:val="0"/>
        <w:spacing w:before="100" w:after="100"/>
        <w:ind w:firstLine="708"/>
        <w:jc w:val="both"/>
        <w:rPr>
          <w:rFonts w:ascii="Arial Narrow" w:hAnsi="Arial Narrow"/>
          <w:b/>
          <w:sz w:val="22"/>
          <w:szCs w:val="22"/>
        </w:rPr>
      </w:pPr>
      <w:r w:rsidRPr="00C65CAA">
        <w:rPr>
          <w:rFonts w:ascii="Arial Narrow" w:hAnsi="Arial Narrow"/>
          <w:sz w:val="22"/>
          <w:szCs w:val="22"/>
        </w:rPr>
        <w:t xml:space="preserve">Riziko reálneho rastu HDP je spojené aj s rýchlym rastom spotrebiteľských cien. Podľa prognózy </w:t>
      </w:r>
      <w:r w:rsidRPr="00C65CAA">
        <w:rPr>
          <w:rFonts w:ascii="Arial Narrow" w:hAnsi="Arial Narrow"/>
          <w:bCs/>
          <w:sz w:val="22"/>
          <w:szCs w:val="22"/>
        </w:rPr>
        <w:t xml:space="preserve">Výboru pre makroekonomické prognózy má inflácia vzrásť o 2,5 % v roku 2018 aj 2019. </w:t>
      </w:r>
      <w:r w:rsidR="00066CAD" w:rsidRPr="00C65CAA">
        <w:rPr>
          <w:rFonts w:ascii="Arial Narrow" w:hAnsi="Arial Narrow"/>
          <w:bCs/>
          <w:sz w:val="22"/>
          <w:szCs w:val="22"/>
        </w:rPr>
        <w:t>Za prvých deväť mesiacov roka </w:t>
      </w:r>
      <w:r w:rsidRPr="00C65CAA">
        <w:rPr>
          <w:rFonts w:ascii="Arial Narrow" w:hAnsi="Arial Narrow"/>
          <w:bCs/>
          <w:sz w:val="22"/>
          <w:szCs w:val="22"/>
        </w:rPr>
        <w:t>2018 však dosiahla medziročná inflácia v priemere už 2,6 %. V závere roka 2018 sa navyše ukazuje, že</w:t>
      </w:r>
      <w:r w:rsidRPr="00C65CAA">
        <w:rPr>
          <w:rFonts w:ascii="Arial Narrow" w:hAnsi="Arial Narrow"/>
          <w:sz w:val="22"/>
          <w:szCs w:val="22"/>
        </w:rPr>
        <w:t xml:space="preserve"> vývoj cien elektrickej energie a regulované ceny budú mať na vývoj inflácie vyšší vplyv, ako sa pôvodne predpokladalo (rozhodnutie ÚRSO zo začiatku roka a rozhodnutie zo septembra 2018).</w:t>
      </w:r>
      <w:r w:rsidR="00066CAD" w:rsidRPr="00C65CAA">
        <w:rPr>
          <w:rFonts w:ascii="Arial Narrow" w:hAnsi="Arial Narrow"/>
          <w:sz w:val="22"/>
          <w:szCs w:val="22"/>
        </w:rPr>
        <w:t xml:space="preserve"> </w:t>
      </w:r>
      <w:r w:rsidRPr="00C65CAA">
        <w:rPr>
          <w:rFonts w:ascii="Arial Narrow" w:hAnsi="Arial Narrow"/>
          <w:sz w:val="22"/>
          <w:szCs w:val="22"/>
        </w:rPr>
        <w:t xml:space="preserve">Nejasný vplyv bude mať aj nové plánované legislatívne opatrenie platenia osobitného odvodu obchodnými reťazcami, čo sa môže prejaviť na raste cien potravín. </w:t>
      </w:r>
      <w:r w:rsidRPr="00C65CAA">
        <w:rPr>
          <w:rFonts w:ascii="Arial Narrow" w:hAnsi="Arial Narrow"/>
          <w:b/>
          <w:sz w:val="22"/>
          <w:szCs w:val="22"/>
        </w:rPr>
        <w:t>O</w:t>
      </w:r>
      <w:r w:rsidR="00066CAD" w:rsidRPr="00C65CAA">
        <w:rPr>
          <w:rFonts w:ascii="Arial Narrow" w:hAnsi="Arial Narrow"/>
          <w:b/>
          <w:sz w:val="22"/>
          <w:szCs w:val="22"/>
        </w:rPr>
        <w:t xml:space="preserve">čakávania priemernej inflácie v </w:t>
      </w:r>
      <w:r w:rsidRPr="00C65CAA">
        <w:rPr>
          <w:rFonts w:ascii="Arial Narrow" w:hAnsi="Arial Narrow"/>
          <w:b/>
          <w:sz w:val="22"/>
          <w:szCs w:val="22"/>
        </w:rPr>
        <w:t>blízkosti 2,5 % môžu byť preto mierne podhodnotené.</w:t>
      </w:r>
    </w:p>
    <w:p w:rsidR="006C2FC9" w:rsidRPr="00C65CAA" w:rsidRDefault="006C2FC9" w:rsidP="00256AF8">
      <w:pPr>
        <w:autoSpaceDE w:val="0"/>
        <w:autoSpaceDN w:val="0"/>
        <w:adjustRightInd w:val="0"/>
        <w:spacing w:before="100" w:after="100"/>
        <w:ind w:firstLine="708"/>
        <w:jc w:val="both"/>
        <w:rPr>
          <w:rFonts w:ascii="Arial Narrow" w:hAnsi="Arial Narrow"/>
          <w:sz w:val="22"/>
          <w:szCs w:val="22"/>
        </w:rPr>
      </w:pPr>
      <w:r w:rsidRPr="00C65CAA">
        <w:rPr>
          <w:rFonts w:ascii="Arial Narrow" w:hAnsi="Arial Narrow" w:cs="Arial"/>
          <w:bCs/>
          <w:iCs/>
          <w:sz w:val="22"/>
          <w:szCs w:val="22"/>
        </w:rPr>
        <w:t>Situácia na trhu práce sa aj naďalej vyvíja v prospech rastu zamestnanosti a poklesu nezamestnanosti. V 2. štvrťroku 2018 dosiahla celková zamestnanosť opäť svoje historické maximum. V metodike podnikového výkazníctva vzrástla o 2,2 % na 2 395 tis. osôb, pričom v metodike VZPS stúp</w:t>
      </w:r>
      <w:r w:rsidR="00066CAD" w:rsidRPr="00C65CAA">
        <w:rPr>
          <w:rFonts w:ascii="Arial Narrow" w:hAnsi="Arial Narrow" w:cs="Arial"/>
          <w:bCs/>
          <w:iCs/>
          <w:sz w:val="22"/>
          <w:szCs w:val="22"/>
        </w:rPr>
        <w:t>la zamestnanosť len o 1,2 % (na </w:t>
      </w:r>
      <w:r w:rsidRPr="00C65CAA">
        <w:rPr>
          <w:rFonts w:ascii="Arial Narrow" w:hAnsi="Arial Narrow" w:cs="Arial"/>
          <w:bCs/>
          <w:iCs/>
          <w:sz w:val="22"/>
          <w:szCs w:val="22"/>
        </w:rPr>
        <w:t>2 556 tis. osôb)</w:t>
      </w:r>
      <w:r w:rsidRPr="00C65CAA">
        <w:rPr>
          <w:rFonts w:ascii="Arial Narrow" w:hAnsi="Arial Narrow" w:cs="Arial"/>
          <w:sz w:val="22"/>
          <w:szCs w:val="22"/>
        </w:rPr>
        <w:t xml:space="preserve">. </w:t>
      </w:r>
      <w:r w:rsidRPr="00C65CAA">
        <w:rPr>
          <w:rFonts w:ascii="Arial Narrow" w:hAnsi="Arial Narrow" w:cs="Arial"/>
          <w:sz w:val="22"/>
        </w:rPr>
        <w:t xml:space="preserve">Dôvodom pomalšieho rastu zamestnanosti v metodike VZPS je pokračujúci pokles počtu pracujúcich v zahraničí, keď sa ich počet v 2. štvrťroku 2018 znížil o 10,1 tis. ( 6,7 %) na 139,8 tis. osôb. </w:t>
      </w:r>
      <w:r w:rsidR="00066CAD" w:rsidRPr="00C65CAA">
        <w:rPr>
          <w:rFonts w:ascii="Arial Narrow" w:hAnsi="Arial Narrow" w:cs="Arial"/>
          <w:sz w:val="22"/>
          <w:szCs w:val="22"/>
        </w:rPr>
        <w:t>Medzi </w:t>
      </w:r>
      <w:r w:rsidR="00EC79A1" w:rsidRPr="00C65CAA">
        <w:rPr>
          <w:rFonts w:ascii="Arial Narrow" w:hAnsi="Arial Narrow" w:cs="Arial"/>
          <w:sz w:val="22"/>
          <w:szCs w:val="22"/>
        </w:rPr>
        <w:t>tými, čo odišli do zahraničia</w:t>
      </w:r>
      <w:r w:rsidR="006B1F35" w:rsidRPr="00C65CAA">
        <w:rPr>
          <w:rFonts w:ascii="Arial Narrow" w:hAnsi="Arial Narrow" w:cs="Arial"/>
          <w:sz w:val="22"/>
          <w:szCs w:val="22"/>
        </w:rPr>
        <w:t>,</w:t>
      </w:r>
      <w:r w:rsidR="00EC79A1" w:rsidRPr="00C65CAA">
        <w:rPr>
          <w:rFonts w:ascii="Arial Narrow" w:hAnsi="Arial Narrow" w:cs="Arial"/>
          <w:sz w:val="22"/>
          <w:szCs w:val="22"/>
        </w:rPr>
        <w:t xml:space="preserve"> </w:t>
      </w:r>
      <w:r w:rsidRPr="00C65CAA">
        <w:rPr>
          <w:rFonts w:ascii="Arial Narrow" w:hAnsi="Arial Narrow" w:cs="Arial"/>
          <w:sz w:val="22"/>
          <w:szCs w:val="22"/>
        </w:rPr>
        <w:t>prevládali pracujúci v stavebníctve, priemysle a v zdra</w:t>
      </w:r>
      <w:r w:rsidR="00066CAD" w:rsidRPr="00C65CAA">
        <w:rPr>
          <w:rFonts w:ascii="Arial Narrow" w:hAnsi="Arial Narrow" w:cs="Arial"/>
          <w:sz w:val="22"/>
          <w:szCs w:val="22"/>
        </w:rPr>
        <w:t xml:space="preserve">votníctve a sociálnej </w:t>
      </w:r>
      <w:r w:rsidR="00066CAD" w:rsidRPr="00C65CAA">
        <w:rPr>
          <w:rFonts w:ascii="Arial Narrow" w:hAnsi="Arial Narrow" w:cs="Arial"/>
          <w:sz w:val="22"/>
          <w:szCs w:val="22"/>
        </w:rPr>
        <w:br/>
        <w:t>pomoci. V </w:t>
      </w:r>
      <w:r w:rsidRPr="00C65CAA">
        <w:rPr>
          <w:rFonts w:ascii="Arial Narrow" w:hAnsi="Arial Narrow" w:cs="Arial"/>
          <w:sz w:val="22"/>
          <w:szCs w:val="22"/>
        </w:rPr>
        <w:t>rámci európskych krajín najviac slovenských občanov pracovalo v Rakúsku (50</w:t>
      </w:r>
      <w:r w:rsidR="00066CAD" w:rsidRPr="00C65CAA">
        <w:rPr>
          <w:rFonts w:ascii="Arial Narrow" w:hAnsi="Arial Narrow" w:cs="Arial"/>
          <w:sz w:val="22"/>
          <w:szCs w:val="22"/>
        </w:rPr>
        <w:t>,5 tis. osôb), Českej republike </w:t>
      </w:r>
      <w:r w:rsidRPr="00C65CAA">
        <w:rPr>
          <w:rFonts w:ascii="Arial Narrow" w:hAnsi="Arial Narrow" w:cs="Arial"/>
          <w:sz w:val="22"/>
          <w:szCs w:val="22"/>
        </w:rPr>
        <w:t>(31,6 tis. osôb) a v Nemecku (26,5 tis. osôb). Z regionálneho hľadiska najviac osôb, ktoré odišli za prácou do zahraničia, bolo z Prešovského kraja (29,2 tis.). Súčasne</w:t>
      </w:r>
      <w:r w:rsidRPr="00C65CAA">
        <w:rPr>
          <w:rFonts w:ascii="Arial Narrow" w:hAnsi="Arial Narrow" w:cs="Arial"/>
          <w:sz w:val="22"/>
        </w:rPr>
        <w:t xml:space="preserve"> s rastom zamestnanosti klesla aj miera nezamestnanosti pod svoje predkrízové minimum a z hľadiska celého roka 2018 sa má dostať</w:t>
      </w:r>
      <w:r w:rsidRPr="00C65CAA">
        <w:rPr>
          <w:rFonts w:ascii="Arial Narrow" w:hAnsi="Arial Narrow"/>
          <w:sz w:val="22"/>
          <w:szCs w:val="22"/>
        </w:rPr>
        <w:t xml:space="preserve"> pod hranicu 7 %. Problémom sa však stáva nedostatok pracovných síl, keď sa zamestnávateľom čoraz ťažšie obsadzujú nové pozície a súčasne odchádza do dôchodku rastúci počet osôb. Tento jav bude s veľkou pravdepodobnosťou pokračovať aj v roku 2019.</w:t>
      </w:r>
    </w:p>
    <w:p w:rsidR="006C2FC9" w:rsidRPr="00C65CAA" w:rsidRDefault="006C2FC9" w:rsidP="00256AF8">
      <w:pPr>
        <w:autoSpaceDE w:val="0"/>
        <w:autoSpaceDN w:val="0"/>
        <w:adjustRightInd w:val="0"/>
        <w:spacing w:before="100" w:after="100"/>
        <w:ind w:firstLine="709"/>
        <w:jc w:val="both"/>
        <w:rPr>
          <w:rFonts w:ascii="Arial Narrow" w:hAnsi="Arial Narrow"/>
          <w:sz w:val="22"/>
          <w:szCs w:val="22"/>
        </w:rPr>
      </w:pPr>
      <w:r w:rsidRPr="00C65CAA">
        <w:rPr>
          <w:rFonts w:ascii="Arial Narrow" w:hAnsi="Arial Narrow" w:cs="Arial"/>
          <w:sz w:val="22"/>
          <w:szCs w:val="22"/>
        </w:rPr>
        <w:t>Rast miezd v roku 2018 predstihuje očakávania. V 1. polroku 2018 dosiahla priemerná nominálna mesačná mzda zamestnanca v hospodárstve 980 eur. Medziročne sa tak zvýšila o 6,4 %, pričom tento rast bol o 2,2 p. b. rýchlejší</w:t>
      </w:r>
      <w:r w:rsidR="00C44C9F" w:rsidRPr="00C65CAA">
        <w:rPr>
          <w:rFonts w:ascii="Arial Narrow" w:hAnsi="Arial Narrow" w:cs="Arial"/>
          <w:sz w:val="22"/>
          <w:szCs w:val="22"/>
        </w:rPr>
        <w:t>,</w:t>
      </w:r>
      <w:r w:rsidRPr="00C65CAA">
        <w:rPr>
          <w:rFonts w:ascii="Arial Narrow" w:hAnsi="Arial Narrow" w:cs="Arial"/>
          <w:sz w:val="22"/>
          <w:szCs w:val="22"/>
        </w:rPr>
        <w:t xml:space="preserve"> ako v rovnakom období minulého roka. Rýchlejší rast miezd sa prejavil najmä vo veľkých podnikoch. V roku 2019 by mali mzdy rásť najvýraznejšie vo verejnej správe a v súkromnom sektore najmä v odvetví priemyslu.</w:t>
      </w:r>
      <w:r w:rsidRPr="00C65CAA">
        <w:rPr>
          <w:rFonts w:ascii="Arial Narrow" w:hAnsi="Arial Narrow"/>
          <w:sz w:val="22"/>
          <w:szCs w:val="22"/>
        </w:rPr>
        <w:t xml:space="preserve"> Podľa prognózy Výboru pre makroekonomické prognózy budú na Slovensku mzdy v nasledujúcich rokoch rásť najrýchlejšie od obdobia krízy.</w:t>
      </w:r>
    </w:p>
    <w:p w:rsidR="00B366F3" w:rsidRPr="00C65CAA" w:rsidRDefault="00B366F3" w:rsidP="00B366F3">
      <w:pPr>
        <w:autoSpaceDE w:val="0"/>
        <w:autoSpaceDN w:val="0"/>
        <w:adjustRightInd w:val="0"/>
        <w:spacing w:before="100" w:after="100"/>
        <w:jc w:val="both"/>
        <w:rPr>
          <w:rFonts w:ascii="Arial Narrow" w:hAnsi="Arial Narrow"/>
          <w:sz w:val="16"/>
          <w:szCs w:val="16"/>
        </w:rPr>
      </w:pPr>
    </w:p>
    <w:p w:rsidR="006C2FC9" w:rsidRPr="00C65CAA" w:rsidRDefault="006C2FC9" w:rsidP="00256AF8">
      <w:pPr>
        <w:pStyle w:val="Nadpis1"/>
        <w:keepNext/>
        <w:numPr>
          <w:ilvl w:val="0"/>
          <w:numId w:val="92"/>
        </w:numPr>
        <w:spacing w:before="100" w:after="100"/>
        <w:ind w:left="703" w:hanging="703"/>
        <w:rPr>
          <w:rFonts w:ascii="Arial Narrow" w:hAnsi="Arial Narrow"/>
          <w:sz w:val="22"/>
          <w:szCs w:val="22"/>
        </w:rPr>
      </w:pPr>
      <w:bookmarkStart w:id="5" w:name="_Toc495316425"/>
      <w:bookmarkStart w:id="6" w:name="_Toc529507588"/>
      <w:r w:rsidRPr="00C65CAA">
        <w:rPr>
          <w:rFonts w:ascii="Arial Narrow" w:hAnsi="Arial Narrow"/>
          <w:sz w:val="22"/>
          <w:szCs w:val="22"/>
        </w:rPr>
        <w:t>Stanovisko k východiskovému rámcu RVS na roky 2019 až 202</w:t>
      </w:r>
      <w:bookmarkEnd w:id="5"/>
      <w:r w:rsidRPr="00C65CAA">
        <w:rPr>
          <w:rFonts w:ascii="Arial Narrow" w:hAnsi="Arial Narrow"/>
          <w:sz w:val="22"/>
          <w:szCs w:val="22"/>
        </w:rPr>
        <w:t>1</w:t>
      </w:r>
      <w:bookmarkEnd w:id="6"/>
      <w:r w:rsidRPr="00C65CAA">
        <w:rPr>
          <w:rFonts w:ascii="Arial Narrow" w:hAnsi="Arial Narrow"/>
          <w:sz w:val="22"/>
          <w:szCs w:val="22"/>
        </w:rPr>
        <w:t xml:space="preserve"> </w:t>
      </w:r>
    </w:p>
    <w:p w:rsidR="006C2FC9" w:rsidRPr="00C65CAA" w:rsidRDefault="00C44C9F" w:rsidP="00256AF8">
      <w:pPr>
        <w:tabs>
          <w:tab w:val="left" w:pos="1560"/>
        </w:tabs>
        <w:spacing w:before="100" w:after="100"/>
        <w:ind w:firstLine="709"/>
        <w:jc w:val="both"/>
        <w:rPr>
          <w:rFonts w:ascii="Arial Narrow" w:eastAsia="Calibri" w:hAnsi="Arial Narrow"/>
          <w:bCs/>
          <w:sz w:val="22"/>
          <w:szCs w:val="22"/>
          <w:lang w:eastAsia="en-US"/>
        </w:rPr>
      </w:pPr>
      <w:r w:rsidRPr="00C65CAA">
        <w:rPr>
          <w:rFonts w:ascii="Arial Narrow" w:eastAsia="Calibri" w:hAnsi="Arial Narrow"/>
          <w:bCs/>
          <w:sz w:val="22"/>
          <w:szCs w:val="22"/>
          <w:lang w:eastAsia="en-US"/>
        </w:rPr>
        <w:t>Na základe septembrovej prognózy zo zasadan</w:t>
      </w:r>
      <w:r w:rsidR="006C2FC9" w:rsidRPr="00C65CAA">
        <w:rPr>
          <w:rFonts w:ascii="Arial Narrow" w:eastAsia="Calibri" w:hAnsi="Arial Narrow"/>
          <w:bCs/>
          <w:sz w:val="22"/>
          <w:szCs w:val="22"/>
          <w:lang w:eastAsia="en-US"/>
        </w:rPr>
        <w:t>ia Výboru pre makroekonomické prognózy predpokladá návrh RVS predložený MF SR, vykázaný na základe metodiky ESA 2010, nasledovné výsledky hospodárenia v roku 2019:</w:t>
      </w:r>
    </w:p>
    <w:p w:rsidR="006C2FC9" w:rsidRPr="00C65CAA" w:rsidRDefault="006C2FC9" w:rsidP="00B366F3">
      <w:pPr>
        <w:numPr>
          <w:ilvl w:val="0"/>
          <w:numId w:val="100"/>
        </w:numPr>
        <w:tabs>
          <w:tab w:val="left" w:pos="1560"/>
        </w:tabs>
        <w:ind w:left="357" w:hanging="357"/>
        <w:jc w:val="both"/>
        <w:rPr>
          <w:rFonts w:ascii="Arial Narrow" w:eastAsia="Calibri" w:hAnsi="Arial Narrow"/>
          <w:bCs/>
          <w:sz w:val="22"/>
          <w:szCs w:val="22"/>
          <w:lang w:eastAsia="en-US"/>
        </w:rPr>
      </w:pPr>
      <w:r w:rsidRPr="00C65CAA">
        <w:rPr>
          <w:rFonts w:ascii="Arial Narrow" w:eastAsia="Calibri" w:hAnsi="Arial Narrow"/>
          <w:bCs/>
          <w:sz w:val="22"/>
          <w:szCs w:val="22"/>
          <w:lang w:eastAsia="en-US"/>
        </w:rPr>
        <w:lastRenderedPageBreak/>
        <w:t>Príjmy</w:t>
      </w:r>
      <w:r w:rsidRPr="00C65CAA">
        <w:rPr>
          <w:rFonts w:ascii="Arial Narrow" w:eastAsia="Calibri" w:hAnsi="Arial Narrow"/>
          <w:bCs/>
          <w:sz w:val="22"/>
          <w:szCs w:val="22"/>
          <w:lang w:eastAsia="en-US"/>
        </w:rPr>
        <w:tab/>
      </w:r>
      <w:r w:rsidRPr="00C65CAA">
        <w:rPr>
          <w:rFonts w:ascii="Arial Narrow" w:eastAsia="Calibri" w:hAnsi="Arial Narrow"/>
          <w:bCs/>
          <w:sz w:val="22"/>
          <w:szCs w:val="22"/>
          <w:lang w:eastAsia="en-US"/>
        </w:rPr>
        <w:tab/>
        <w:t>37 161 mil. eur</w:t>
      </w:r>
    </w:p>
    <w:p w:rsidR="006C2FC9" w:rsidRPr="00C65CAA" w:rsidRDefault="006C2FC9" w:rsidP="00B366F3">
      <w:pPr>
        <w:numPr>
          <w:ilvl w:val="0"/>
          <w:numId w:val="100"/>
        </w:numPr>
        <w:tabs>
          <w:tab w:val="left" w:pos="1560"/>
        </w:tabs>
        <w:ind w:left="357" w:hanging="357"/>
        <w:jc w:val="both"/>
        <w:rPr>
          <w:rFonts w:ascii="Arial Narrow" w:eastAsia="Calibri" w:hAnsi="Arial Narrow"/>
          <w:bCs/>
          <w:sz w:val="22"/>
          <w:szCs w:val="22"/>
          <w:lang w:eastAsia="en-US"/>
        </w:rPr>
      </w:pPr>
      <w:r w:rsidRPr="00C65CAA">
        <w:rPr>
          <w:rFonts w:ascii="Arial Narrow" w:eastAsia="Calibri" w:hAnsi="Arial Narrow"/>
          <w:bCs/>
          <w:sz w:val="22"/>
          <w:szCs w:val="22"/>
          <w:lang w:eastAsia="en-US"/>
        </w:rPr>
        <w:t xml:space="preserve">Výdavky </w:t>
      </w:r>
      <w:r w:rsidRPr="00C65CAA">
        <w:rPr>
          <w:rFonts w:ascii="Arial Narrow" w:eastAsia="Calibri" w:hAnsi="Arial Narrow"/>
          <w:bCs/>
          <w:sz w:val="22"/>
          <w:szCs w:val="22"/>
          <w:lang w:eastAsia="en-US"/>
        </w:rPr>
        <w:tab/>
      </w:r>
      <w:r w:rsidRPr="00C65CAA">
        <w:rPr>
          <w:rFonts w:ascii="Arial Narrow" w:eastAsia="Calibri" w:hAnsi="Arial Narrow"/>
          <w:bCs/>
          <w:sz w:val="22"/>
          <w:szCs w:val="22"/>
          <w:lang w:eastAsia="en-US"/>
        </w:rPr>
        <w:tab/>
        <w:t>37 258 mil. eur</w:t>
      </w:r>
    </w:p>
    <w:p w:rsidR="006C2FC9" w:rsidRPr="00C65CAA" w:rsidRDefault="006C2FC9" w:rsidP="00B366F3">
      <w:pPr>
        <w:numPr>
          <w:ilvl w:val="0"/>
          <w:numId w:val="100"/>
        </w:numPr>
        <w:tabs>
          <w:tab w:val="left" w:pos="1560"/>
        </w:tabs>
        <w:ind w:left="357" w:hanging="357"/>
        <w:jc w:val="both"/>
        <w:rPr>
          <w:rFonts w:ascii="Arial Narrow" w:eastAsia="Calibri" w:hAnsi="Arial Narrow"/>
          <w:bCs/>
          <w:sz w:val="22"/>
          <w:szCs w:val="22"/>
          <w:lang w:eastAsia="en-US"/>
        </w:rPr>
      </w:pPr>
      <w:r w:rsidRPr="00C65CAA">
        <w:rPr>
          <w:rFonts w:ascii="Arial Narrow" w:eastAsia="Calibri" w:hAnsi="Arial Narrow"/>
          <w:bCs/>
          <w:sz w:val="22"/>
          <w:szCs w:val="22"/>
          <w:lang w:eastAsia="en-US"/>
        </w:rPr>
        <w:t xml:space="preserve">Schodok </w:t>
      </w:r>
      <w:r w:rsidRPr="00C65CAA">
        <w:rPr>
          <w:rFonts w:ascii="Arial Narrow" w:eastAsia="Calibri" w:hAnsi="Arial Narrow"/>
          <w:bCs/>
          <w:sz w:val="22"/>
          <w:szCs w:val="22"/>
          <w:lang w:eastAsia="en-US"/>
        </w:rPr>
        <w:tab/>
        <w:t xml:space="preserve">                - 97 mil. eur</w:t>
      </w:r>
    </w:p>
    <w:p w:rsidR="006C2FC9" w:rsidRPr="00C65CAA" w:rsidRDefault="006C2FC9" w:rsidP="00256AF8">
      <w:pPr>
        <w:tabs>
          <w:tab w:val="left" w:pos="1560"/>
        </w:tabs>
        <w:spacing w:before="100" w:after="100"/>
        <w:ind w:firstLine="709"/>
        <w:jc w:val="both"/>
        <w:rPr>
          <w:rFonts w:ascii="Arial Narrow" w:eastAsia="Calibri" w:hAnsi="Arial Narrow"/>
          <w:bCs/>
          <w:sz w:val="22"/>
          <w:szCs w:val="22"/>
          <w:lang w:eastAsia="en-US"/>
        </w:rPr>
      </w:pPr>
      <w:r w:rsidRPr="00C65CAA">
        <w:rPr>
          <w:rFonts w:ascii="Arial Narrow" w:eastAsia="Calibri" w:hAnsi="Arial Narrow"/>
          <w:bCs/>
          <w:sz w:val="22"/>
          <w:szCs w:val="22"/>
          <w:lang w:eastAsia="en-US"/>
        </w:rPr>
        <w:t xml:space="preserve">Príjmy by mali </w:t>
      </w:r>
      <w:r w:rsidR="00C44C9F" w:rsidRPr="00C65CAA">
        <w:rPr>
          <w:rFonts w:ascii="Arial Narrow" w:eastAsia="Calibri" w:hAnsi="Arial Narrow"/>
          <w:bCs/>
          <w:sz w:val="22"/>
          <w:szCs w:val="22"/>
          <w:lang w:eastAsia="en-US"/>
        </w:rPr>
        <w:t>vz</w:t>
      </w:r>
      <w:r w:rsidRPr="00C65CAA">
        <w:rPr>
          <w:rFonts w:ascii="Arial Narrow" w:eastAsia="Calibri" w:hAnsi="Arial Narrow"/>
          <w:bCs/>
          <w:sz w:val="22"/>
          <w:szCs w:val="22"/>
          <w:lang w:eastAsia="en-US"/>
        </w:rPr>
        <w:t xml:space="preserve">rásť o 1 773 mil. eur oproti očakávanej skutočnosti za rok 2018, čo predstavuje rast o 5,0 %. Výdavky porastú pomalšie, o 1 327 mil. eur, t. j. o 3,7 %.  </w:t>
      </w:r>
    </w:p>
    <w:p w:rsidR="006C2FC9" w:rsidRPr="00C65CAA" w:rsidRDefault="006C2FC9" w:rsidP="00256AF8">
      <w:pPr>
        <w:pStyle w:val="Nadpis2"/>
        <w:numPr>
          <w:ilvl w:val="1"/>
          <w:numId w:val="92"/>
        </w:numPr>
        <w:spacing w:before="100" w:after="100"/>
      </w:pPr>
      <w:bookmarkStart w:id="7" w:name="_Toc403028640"/>
      <w:bookmarkStart w:id="8" w:name="_Toc495316426"/>
      <w:bookmarkStart w:id="9" w:name="_Toc529507589"/>
      <w:r w:rsidRPr="00C65CAA">
        <w:t>Stanovisko k rozpočtovaniu príjmov návrhu RVS na rok 201</w:t>
      </w:r>
      <w:bookmarkEnd w:id="7"/>
      <w:bookmarkEnd w:id="8"/>
      <w:r w:rsidRPr="00C65CAA">
        <w:t>9</w:t>
      </w:r>
      <w:bookmarkEnd w:id="9"/>
    </w:p>
    <w:p w:rsidR="006C2FC9" w:rsidRPr="00C65CAA" w:rsidRDefault="006C2FC9" w:rsidP="00256AF8">
      <w:pPr>
        <w:spacing w:before="100" w:after="100"/>
        <w:ind w:firstLine="851"/>
        <w:jc w:val="both"/>
        <w:rPr>
          <w:rFonts w:ascii="Arial Narrow" w:eastAsia="Calibri" w:hAnsi="Arial Narrow"/>
          <w:sz w:val="22"/>
          <w:szCs w:val="22"/>
          <w:lang w:eastAsia="en-US"/>
        </w:rPr>
      </w:pPr>
      <w:r w:rsidRPr="00C65CAA">
        <w:rPr>
          <w:rFonts w:ascii="Arial Narrow" w:eastAsia="Calibri" w:hAnsi="Arial Narrow"/>
          <w:sz w:val="22"/>
          <w:szCs w:val="22"/>
          <w:lang w:eastAsia="en-US"/>
        </w:rPr>
        <w:t>Návrh RVS na rok 2019 nadväzuje na pozitívny rast očakávaného výv</w:t>
      </w:r>
      <w:r w:rsidR="00E12EC0" w:rsidRPr="00C65CAA">
        <w:rPr>
          <w:rFonts w:ascii="Arial Narrow" w:eastAsia="Calibri" w:hAnsi="Arial Narrow"/>
          <w:sz w:val="22"/>
          <w:szCs w:val="22"/>
          <w:lang w:eastAsia="en-US"/>
        </w:rPr>
        <w:t>oja výberu daní v priebehu roka </w:t>
      </w:r>
      <w:r w:rsidRPr="00C65CAA">
        <w:rPr>
          <w:rFonts w:ascii="Arial Narrow" w:eastAsia="Calibri" w:hAnsi="Arial Narrow"/>
          <w:sz w:val="22"/>
          <w:szCs w:val="22"/>
          <w:lang w:eastAsia="en-US"/>
        </w:rPr>
        <w:t>2018. Podľa predloženého návrhu rozpočtu sú celkové príjmy VS rozpočtované vo výške 37 161 mil. eur, čo predstavuje rast o 2 729 mil. eur oproti minuloročnému rozpočtu. Podľa očakáv</w:t>
      </w:r>
      <w:r w:rsidR="00E12EC0" w:rsidRPr="00C65CAA">
        <w:rPr>
          <w:rFonts w:ascii="Arial Narrow" w:eastAsia="Calibri" w:hAnsi="Arial Narrow"/>
          <w:sz w:val="22"/>
          <w:szCs w:val="22"/>
          <w:lang w:eastAsia="en-US"/>
        </w:rPr>
        <w:t>aných výsledkov hospodárenia za </w:t>
      </w:r>
      <w:r w:rsidRPr="00C65CAA">
        <w:rPr>
          <w:rFonts w:ascii="Arial Narrow" w:eastAsia="Calibri" w:hAnsi="Arial Narrow"/>
          <w:sz w:val="22"/>
          <w:szCs w:val="22"/>
          <w:lang w:eastAsia="en-US"/>
        </w:rPr>
        <w:t xml:space="preserve">rok 2018 dôjde k rastu príjmov až o 1 773 mil. eur (o 5,0 %). </w:t>
      </w:r>
      <w:r w:rsidR="007137D2" w:rsidRPr="00C65CAA">
        <w:rPr>
          <w:rFonts w:ascii="Arial Narrow" w:eastAsia="Calibri" w:hAnsi="Arial Narrow"/>
          <w:sz w:val="22"/>
          <w:szCs w:val="22"/>
          <w:lang w:eastAsia="en-US"/>
        </w:rPr>
        <w:t>C</w:t>
      </w:r>
      <w:r w:rsidRPr="00C65CAA">
        <w:rPr>
          <w:rFonts w:ascii="Arial Narrow" w:eastAsia="Calibri" w:hAnsi="Arial Narrow"/>
          <w:sz w:val="22"/>
          <w:szCs w:val="22"/>
          <w:lang w:eastAsia="en-US"/>
        </w:rPr>
        <w:t>elkové výda</w:t>
      </w:r>
      <w:r w:rsidR="00051478" w:rsidRPr="00C65CAA">
        <w:rPr>
          <w:rFonts w:ascii="Arial Narrow" w:eastAsia="Calibri" w:hAnsi="Arial Narrow"/>
          <w:sz w:val="22"/>
          <w:szCs w:val="22"/>
          <w:lang w:eastAsia="en-US"/>
        </w:rPr>
        <w:t>vky VS sú určené v objeme 37</w:t>
      </w:r>
      <w:r w:rsidR="007137D2" w:rsidRPr="00C65CAA">
        <w:rPr>
          <w:rFonts w:ascii="Arial Narrow" w:eastAsia="Calibri" w:hAnsi="Arial Narrow"/>
          <w:sz w:val="22"/>
          <w:szCs w:val="22"/>
          <w:lang w:eastAsia="en-US"/>
        </w:rPr>
        <w:t> </w:t>
      </w:r>
      <w:r w:rsidR="00051478" w:rsidRPr="00C65CAA">
        <w:rPr>
          <w:rFonts w:ascii="Arial Narrow" w:eastAsia="Calibri" w:hAnsi="Arial Narrow"/>
          <w:sz w:val="22"/>
          <w:szCs w:val="22"/>
          <w:lang w:eastAsia="en-US"/>
        </w:rPr>
        <w:t>258</w:t>
      </w:r>
      <w:r w:rsidR="007137D2" w:rsidRPr="00C65CAA">
        <w:rPr>
          <w:rFonts w:ascii="Arial Narrow" w:eastAsia="Calibri" w:hAnsi="Arial Narrow"/>
          <w:sz w:val="22"/>
          <w:szCs w:val="22"/>
          <w:lang w:eastAsia="en-US"/>
        </w:rPr>
        <w:t> mil. </w:t>
      </w:r>
      <w:r w:rsidRPr="00C65CAA">
        <w:rPr>
          <w:rFonts w:ascii="Arial Narrow" w:eastAsia="Calibri" w:hAnsi="Arial Narrow"/>
          <w:sz w:val="22"/>
          <w:szCs w:val="22"/>
          <w:lang w:eastAsia="en-US"/>
        </w:rPr>
        <w:t>eur, čo predstavuje rast o 2 083 mil. eur oproti minuloročnému rozpočtu. Podľa očakávaných výsledkov hospodárenia za rok 2018 budú výdavky rásť o 1 327 mil. eur (o 3,7 %).</w:t>
      </w:r>
    </w:p>
    <w:p w:rsidR="006C2FC9" w:rsidRPr="00C65CAA" w:rsidRDefault="006C2FC9" w:rsidP="00256AF8">
      <w:pPr>
        <w:spacing w:before="100" w:after="100"/>
        <w:ind w:firstLine="851"/>
        <w:jc w:val="both"/>
        <w:rPr>
          <w:rFonts w:ascii="Arial Narrow" w:eastAsia="Calibri" w:hAnsi="Arial Narrow"/>
          <w:sz w:val="22"/>
          <w:szCs w:val="22"/>
          <w:lang w:eastAsia="en-US"/>
        </w:rPr>
      </w:pPr>
      <w:r w:rsidRPr="00C65CAA">
        <w:rPr>
          <w:rFonts w:ascii="Arial Narrow" w:eastAsia="Calibri" w:hAnsi="Arial Narrow"/>
          <w:sz w:val="22"/>
          <w:szCs w:val="22"/>
          <w:lang w:eastAsia="en-US"/>
        </w:rPr>
        <w:t xml:space="preserve">Tvorbu rozpočtu na budúci rok poznamenal najmä dlhodobý a pokračujúci trend zvýšenia podielu odvodových príjmov na celkovom výbere daní a odvodov. V kontexte týchto výsledkov a prijatých legislatívnych opatrení vzrastú odvodové príjmy o 10,6 % (1 163 281 tis. eur) oproti schválenému rozpočtu predchádzajúceho roka. Najvyšší rast je naplánovaný v zdravotných odvodoch </w:t>
      </w:r>
      <w:r w:rsidR="00E94E13" w:rsidRPr="00C65CAA">
        <w:rPr>
          <w:rFonts w:ascii="Arial Narrow" w:eastAsia="Calibri" w:hAnsi="Arial Narrow"/>
          <w:sz w:val="22"/>
          <w:szCs w:val="22"/>
          <w:lang w:eastAsia="en-US"/>
        </w:rPr>
        <w:t>(aj</w:t>
      </w:r>
      <w:r w:rsidRPr="00C65CAA">
        <w:rPr>
          <w:rFonts w:ascii="Arial Narrow" w:eastAsia="Calibri" w:hAnsi="Arial Narrow"/>
          <w:sz w:val="22"/>
          <w:szCs w:val="22"/>
          <w:lang w:eastAsia="en-US"/>
        </w:rPr>
        <w:t xml:space="preserve"> vďaka legislatívnym opatreniam</w:t>
      </w:r>
      <w:r w:rsidR="00C44C9F" w:rsidRPr="00C65CAA">
        <w:rPr>
          <w:rFonts w:ascii="Arial Narrow" w:eastAsia="Calibri" w:hAnsi="Arial Narrow"/>
          <w:sz w:val="22"/>
          <w:szCs w:val="22"/>
          <w:lang w:eastAsia="en-US"/>
        </w:rPr>
        <w:t>, akým</w:t>
      </w:r>
      <w:r w:rsidRPr="00C65CAA">
        <w:rPr>
          <w:rFonts w:ascii="Arial Narrow" w:eastAsia="Calibri" w:hAnsi="Arial Narrow"/>
          <w:sz w:val="22"/>
          <w:szCs w:val="22"/>
          <w:lang w:eastAsia="en-US"/>
        </w:rPr>
        <w:t xml:space="preserve"> je zrušenie </w:t>
      </w:r>
      <w:r w:rsidR="00E94E13" w:rsidRPr="00C65CAA">
        <w:rPr>
          <w:rFonts w:ascii="Arial Narrow" w:eastAsia="Calibri" w:hAnsi="Arial Narrow"/>
          <w:sz w:val="22"/>
          <w:szCs w:val="22"/>
          <w:lang w:eastAsia="en-US"/>
        </w:rPr>
        <w:t>odvodovej odpočítateľnej položky na zdravotných odvodoch</w:t>
      </w:r>
      <w:r w:rsidRPr="00C65CAA">
        <w:rPr>
          <w:rFonts w:ascii="Arial Narrow" w:eastAsia="Calibri" w:hAnsi="Arial Narrow"/>
          <w:sz w:val="22"/>
          <w:szCs w:val="22"/>
          <w:lang w:eastAsia="en-US"/>
        </w:rPr>
        <w:t xml:space="preserve"> pre zamestnávateľa).</w:t>
      </w:r>
      <w:r w:rsidRPr="00C65CAA">
        <w:rPr>
          <w:rFonts w:ascii="Arial Narrow" w:eastAsia="Calibri" w:hAnsi="Arial Narrow"/>
          <w:i/>
          <w:sz w:val="22"/>
          <w:szCs w:val="22"/>
          <w:lang w:eastAsia="en-US"/>
        </w:rPr>
        <w:t xml:space="preserve"> </w:t>
      </w:r>
      <w:r w:rsidR="007137D2" w:rsidRPr="00C65CAA">
        <w:rPr>
          <w:rFonts w:ascii="Arial Narrow" w:eastAsia="Calibri" w:hAnsi="Arial Narrow"/>
          <w:sz w:val="22"/>
          <w:szCs w:val="22"/>
          <w:lang w:eastAsia="en-US"/>
        </w:rPr>
        <w:t>Zdravotné poisťovne</w:t>
      </w:r>
      <w:r w:rsidR="007137D2" w:rsidRPr="00C65CAA">
        <w:rPr>
          <w:rFonts w:ascii="Arial Narrow" w:eastAsia="Calibri" w:hAnsi="Arial Narrow"/>
          <w:i/>
          <w:sz w:val="22"/>
          <w:szCs w:val="22"/>
          <w:lang w:eastAsia="en-US"/>
        </w:rPr>
        <w:t xml:space="preserve"> </w:t>
      </w:r>
      <w:r w:rsidR="00375B44" w:rsidRPr="00C65CAA">
        <w:rPr>
          <w:rFonts w:ascii="Arial Narrow" w:eastAsia="Calibri" w:hAnsi="Arial Narrow"/>
          <w:sz w:val="22"/>
          <w:szCs w:val="22"/>
          <w:lang w:eastAsia="en-US"/>
        </w:rPr>
        <w:t xml:space="preserve">predpokladajú rast príjmov </w:t>
      </w:r>
      <w:r w:rsidRPr="00C65CAA">
        <w:rPr>
          <w:rFonts w:ascii="Arial Narrow" w:eastAsia="Calibri" w:hAnsi="Arial Narrow"/>
          <w:sz w:val="22"/>
          <w:szCs w:val="22"/>
          <w:lang w:eastAsia="en-US"/>
        </w:rPr>
        <w:t xml:space="preserve">o 13,2 %, </w:t>
      </w:r>
      <w:r w:rsidR="00375B44" w:rsidRPr="00C65CAA">
        <w:rPr>
          <w:rFonts w:ascii="Arial Narrow" w:eastAsia="Calibri" w:hAnsi="Arial Narrow"/>
          <w:sz w:val="22"/>
          <w:szCs w:val="22"/>
          <w:lang w:eastAsia="en-US"/>
        </w:rPr>
        <w:t>t. j.</w:t>
      </w:r>
      <w:r w:rsidRPr="00C65CAA">
        <w:rPr>
          <w:rFonts w:ascii="Arial Narrow" w:eastAsia="Calibri" w:hAnsi="Arial Narrow"/>
          <w:sz w:val="22"/>
          <w:szCs w:val="22"/>
          <w:lang w:eastAsia="en-US"/>
        </w:rPr>
        <w:t xml:space="preserve"> o</w:t>
      </w:r>
      <w:r w:rsidR="00E12EC0" w:rsidRPr="00C65CAA">
        <w:rPr>
          <w:rFonts w:ascii="Arial Narrow" w:eastAsia="Calibri" w:hAnsi="Arial Narrow"/>
          <w:sz w:val="22"/>
          <w:szCs w:val="22"/>
          <w:lang w:eastAsia="en-US"/>
        </w:rPr>
        <w:t> 468 </w:t>
      </w:r>
      <w:r w:rsidRPr="00C65CAA">
        <w:rPr>
          <w:rFonts w:ascii="Arial Narrow" w:eastAsia="Calibri" w:hAnsi="Arial Narrow"/>
          <w:sz w:val="22"/>
          <w:szCs w:val="22"/>
          <w:lang w:eastAsia="en-US"/>
        </w:rPr>
        <w:t xml:space="preserve">817 tis. eur viac oproti RVS </w:t>
      </w:r>
      <w:r w:rsidR="00375B44" w:rsidRPr="00C65CAA">
        <w:rPr>
          <w:rFonts w:ascii="Arial Narrow" w:eastAsia="Calibri" w:hAnsi="Arial Narrow"/>
          <w:sz w:val="22"/>
          <w:szCs w:val="22"/>
          <w:lang w:eastAsia="en-US"/>
        </w:rPr>
        <w:t xml:space="preserve">na rok </w:t>
      </w:r>
      <w:r w:rsidRPr="00C65CAA">
        <w:rPr>
          <w:rFonts w:ascii="Arial Narrow" w:eastAsia="Calibri" w:hAnsi="Arial Narrow"/>
          <w:sz w:val="22"/>
          <w:szCs w:val="22"/>
          <w:lang w:eastAsia="en-US"/>
        </w:rPr>
        <w:t>2018.</w:t>
      </w:r>
    </w:p>
    <w:p w:rsidR="006C2FC9" w:rsidRPr="00C65CAA" w:rsidRDefault="006C2FC9" w:rsidP="00256AF8">
      <w:pPr>
        <w:spacing w:before="100" w:after="100"/>
        <w:ind w:firstLine="851"/>
        <w:jc w:val="both"/>
        <w:rPr>
          <w:rFonts w:ascii="Arial Narrow" w:eastAsia="Calibri" w:hAnsi="Arial Narrow"/>
          <w:sz w:val="22"/>
          <w:szCs w:val="22"/>
          <w:lang w:eastAsia="en-US"/>
        </w:rPr>
      </w:pPr>
      <w:r w:rsidRPr="00C65CAA">
        <w:rPr>
          <w:rFonts w:ascii="Arial Narrow" w:eastAsia="Calibri" w:hAnsi="Arial Narrow"/>
          <w:sz w:val="22"/>
          <w:szCs w:val="22"/>
          <w:lang w:eastAsia="en-US"/>
        </w:rPr>
        <w:t xml:space="preserve">Odhadované daňové príjmy vzrastú o 8,6 % (1 344 586 tis. eur) oproti RVS 2018. Najrýchlejšie porastú dane z príjmov, ziskov a kapitálového majetku, v nasledujúcom roku si polepšia o 10,5 %, </w:t>
      </w:r>
      <w:r w:rsidR="00C44C9F" w:rsidRPr="00C65CAA">
        <w:rPr>
          <w:rFonts w:ascii="Arial Narrow" w:eastAsia="Calibri" w:hAnsi="Arial Narrow"/>
          <w:sz w:val="22"/>
          <w:szCs w:val="22"/>
          <w:lang w:eastAsia="en-US"/>
        </w:rPr>
        <w:t xml:space="preserve">t. j. </w:t>
      </w:r>
      <w:r w:rsidR="00375B44" w:rsidRPr="00C65CAA">
        <w:rPr>
          <w:rFonts w:ascii="Arial Narrow" w:eastAsia="Calibri" w:hAnsi="Arial Narrow"/>
          <w:sz w:val="22"/>
          <w:szCs w:val="22"/>
          <w:lang w:eastAsia="en-US"/>
        </w:rPr>
        <w:t xml:space="preserve">o </w:t>
      </w:r>
      <w:r w:rsidR="00C44C9F" w:rsidRPr="00C65CAA">
        <w:rPr>
          <w:rFonts w:ascii="Arial Narrow" w:eastAsia="Calibri" w:hAnsi="Arial Narrow"/>
          <w:sz w:val="22"/>
          <w:szCs w:val="22"/>
          <w:lang w:eastAsia="en-US"/>
        </w:rPr>
        <w:t>624 487 tis. eur</w:t>
      </w:r>
      <w:r w:rsidRPr="00C65CAA">
        <w:rPr>
          <w:rFonts w:ascii="Arial Narrow" w:eastAsia="Calibri" w:hAnsi="Arial Narrow"/>
          <w:sz w:val="22"/>
          <w:szCs w:val="22"/>
          <w:lang w:eastAsia="en-US"/>
        </w:rPr>
        <w:t xml:space="preserve"> oproti RVS </w:t>
      </w:r>
      <w:r w:rsidR="00375B44" w:rsidRPr="00C65CAA">
        <w:rPr>
          <w:rFonts w:ascii="Arial Narrow" w:eastAsia="Calibri" w:hAnsi="Arial Narrow"/>
          <w:sz w:val="22"/>
          <w:szCs w:val="22"/>
          <w:lang w:eastAsia="en-US"/>
        </w:rPr>
        <w:t xml:space="preserve">na rok </w:t>
      </w:r>
      <w:r w:rsidRPr="00C65CAA">
        <w:rPr>
          <w:rFonts w:ascii="Arial Narrow" w:eastAsia="Calibri" w:hAnsi="Arial Narrow"/>
          <w:sz w:val="22"/>
          <w:szCs w:val="22"/>
          <w:lang w:eastAsia="en-US"/>
        </w:rPr>
        <w:t>2018.</w:t>
      </w: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6C2FC9" w:rsidRPr="00C65CAA" w:rsidTr="001065C1">
        <w:trPr>
          <w:trHeight w:val="145"/>
        </w:trPr>
        <w:tc>
          <w:tcPr>
            <w:tcW w:w="5000" w:type="pct"/>
            <w:tcBorders>
              <w:top w:val="single" w:sz="4" w:space="0" w:color="auto"/>
              <w:bottom w:val="single" w:sz="4" w:space="0" w:color="auto"/>
            </w:tcBorders>
            <w:shd w:val="clear" w:color="auto" w:fill="0070C0"/>
          </w:tcPr>
          <w:p w:rsidR="006C2FC9" w:rsidRPr="00C65CAA" w:rsidRDefault="006C2FC9" w:rsidP="00B366F3">
            <w:pPr>
              <w:contextualSpacing/>
              <w:jc w:val="both"/>
              <w:rPr>
                <w:rFonts w:ascii="Arial Narrow" w:hAnsi="Arial Narrow"/>
                <w:b/>
              </w:rPr>
            </w:pPr>
            <w:r w:rsidRPr="00C65CAA">
              <w:rPr>
                <w:rFonts w:ascii="Arial Narrow" w:hAnsi="Arial Narrow"/>
                <w:b/>
                <w:color w:val="FFFFFF"/>
              </w:rPr>
              <w:t>Vývoj podielu jednotlivých druhov daní  na celk</w:t>
            </w:r>
            <w:r w:rsidR="00375B44" w:rsidRPr="00C65CAA">
              <w:rPr>
                <w:rFonts w:ascii="Arial Narrow" w:hAnsi="Arial Narrow"/>
                <w:b/>
                <w:color w:val="FFFFFF"/>
              </w:rPr>
              <w:t>ových príjmoch VS v rokoch 2011</w:t>
            </w:r>
            <w:r w:rsidRPr="00C65CAA">
              <w:rPr>
                <w:rFonts w:ascii="Arial Narrow" w:hAnsi="Arial Narrow"/>
                <w:b/>
                <w:color w:val="FFFFFF"/>
              </w:rPr>
              <w:t>- 2021 (v %)</w:t>
            </w:r>
          </w:p>
        </w:tc>
      </w:tr>
      <w:tr w:rsidR="006C2FC9" w:rsidRPr="00C65CAA" w:rsidTr="001065C1">
        <w:tblPrEx>
          <w:tblCellMar>
            <w:left w:w="70" w:type="dxa"/>
            <w:right w:w="70" w:type="dxa"/>
          </w:tblCellMar>
        </w:tblPrEx>
        <w:trPr>
          <w:trHeight w:val="2487"/>
        </w:trPr>
        <w:tc>
          <w:tcPr>
            <w:tcW w:w="5000" w:type="pct"/>
            <w:tcBorders>
              <w:top w:val="single" w:sz="4" w:space="0" w:color="auto"/>
              <w:bottom w:val="single" w:sz="4" w:space="0" w:color="auto"/>
            </w:tcBorders>
          </w:tcPr>
          <w:p w:rsidR="006C2FC9" w:rsidRPr="00C65CAA" w:rsidRDefault="006C2FC9" w:rsidP="00B366F3">
            <w:pPr>
              <w:contextualSpacing/>
              <w:jc w:val="both"/>
              <w:rPr>
                <w:rFonts w:ascii="Arial Narrow" w:hAnsi="Arial Narrow"/>
              </w:rPr>
            </w:pPr>
            <w:r w:rsidRPr="00C65CAA">
              <w:rPr>
                <w:rFonts w:ascii="Arial Narrow" w:hAnsi="Arial Narrow"/>
                <w:noProof/>
              </w:rPr>
              <w:drawing>
                <wp:inline distT="0" distB="0" distL="0" distR="0" wp14:anchorId="726EB206" wp14:editId="1BB084EC">
                  <wp:extent cx="5760720" cy="2092570"/>
                  <wp:effectExtent l="0" t="0" r="0" b="3175"/>
                  <wp:docPr id="7" name="Graf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6C2FC9" w:rsidRPr="00C65CAA" w:rsidRDefault="00375B44" w:rsidP="00B366F3">
      <w:pPr>
        <w:spacing w:after="100"/>
        <w:jc w:val="both"/>
        <w:rPr>
          <w:rFonts w:ascii="Arial Narrow" w:hAnsi="Arial Narrow"/>
          <w:sz w:val="18"/>
          <w:szCs w:val="18"/>
        </w:rPr>
      </w:pPr>
      <w:r w:rsidRPr="00C65CAA">
        <w:rPr>
          <w:rFonts w:ascii="Arial Narrow" w:hAnsi="Arial Narrow"/>
          <w:sz w:val="18"/>
          <w:szCs w:val="18"/>
        </w:rPr>
        <w:t>Zdroj: MF SR, RVS 2019-2021</w:t>
      </w:r>
      <w:r w:rsidR="006C2FC9" w:rsidRPr="00C65CAA">
        <w:rPr>
          <w:rFonts w:ascii="Arial Narrow" w:hAnsi="Arial Narrow"/>
          <w:sz w:val="18"/>
          <w:szCs w:val="18"/>
        </w:rPr>
        <w:t>, Prognóza Výboru pre makroekonomické prognózy z 12. septembra 2018.</w:t>
      </w:r>
    </w:p>
    <w:p w:rsidR="006C2FC9" w:rsidRPr="00C65CAA" w:rsidRDefault="006C2FC9" w:rsidP="00256AF8">
      <w:pPr>
        <w:spacing w:before="100" w:after="100"/>
        <w:ind w:firstLine="851"/>
        <w:jc w:val="both"/>
        <w:rPr>
          <w:rFonts w:ascii="Arial Narrow" w:eastAsia="Calibri" w:hAnsi="Arial Narrow"/>
          <w:sz w:val="22"/>
          <w:szCs w:val="22"/>
          <w:lang w:eastAsia="en-US"/>
        </w:rPr>
      </w:pPr>
      <w:r w:rsidRPr="00C65CAA">
        <w:rPr>
          <w:rFonts w:ascii="Arial Narrow" w:eastAsia="Calibri" w:hAnsi="Arial Narrow"/>
          <w:sz w:val="22"/>
          <w:szCs w:val="22"/>
          <w:lang w:eastAsia="en-US"/>
        </w:rPr>
        <w:t>Za posledných osem rokov došlo k zmene štruktúry daní. Návrhy rozpočtov kladú dôraz na</w:t>
      </w:r>
      <w:r w:rsidR="00AD079A" w:rsidRPr="00C65CAA">
        <w:rPr>
          <w:rFonts w:ascii="Arial Narrow" w:eastAsia="Calibri" w:hAnsi="Arial Narrow"/>
          <w:sz w:val="22"/>
          <w:szCs w:val="22"/>
          <w:lang w:eastAsia="en-US"/>
        </w:rPr>
        <w:t xml:space="preserve"> </w:t>
      </w:r>
      <w:r w:rsidRPr="00C65CAA">
        <w:rPr>
          <w:rFonts w:ascii="Arial Narrow" w:eastAsia="Calibri" w:hAnsi="Arial Narrow"/>
          <w:sz w:val="22"/>
          <w:szCs w:val="22"/>
          <w:lang w:eastAsia="en-US"/>
        </w:rPr>
        <w:t>posilnenie odvodov a daní z príjmov, teda dochádza k posunu bremena smerom k aktivite namiesto posilnenia spotrebných a majetkových daní. Efektivita zvýšenia výberu daní cez zdaňovanie práce sa j</w:t>
      </w:r>
      <w:r w:rsidR="00E12EC0" w:rsidRPr="00C65CAA">
        <w:rPr>
          <w:rFonts w:ascii="Arial Narrow" w:eastAsia="Calibri" w:hAnsi="Arial Narrow"/>
          <w:sz w:val="22"/>
          <w:szCs w:val="22"/>
          <w:lang w:eastAsia="en-US"/>
        </w:rPr>
        <w:t>aví ako jednoduchší nástroj pre </w:t>
      </w:r>
      <w:r w:rsidRPr="00C65CAA">
        <w:rPr>
          <w:rFonts w:ascii="Arial Narrow" w:eastAsia="Calibri" w:hAnsi="Arial Narrow"/>
          <w:sz w:val="22"/>
          <w:szCs w:val="22"/>
          <w:lang w:eastAsia="en-US"/>
        </w:rPr>
        <w:t>naplnenie rozpočtu</w:t>
      </w:r>
      <w:r w:rsidR="00C44C9F" w:rsidRPr="00C65CAA">
        <w:rPr>
          <w:rFonts w:ascii="Arial Narrow" w:eastAsia="Calibri" w:hAnsi="Arial Narrow"/>
          <w:sz w:val="22"/>
          <w:szCs w:val="22"/>
          <w:lang w:eastAsia="en-US"/>
        </w:rPr>
        <w:t>,</w:t>
      </w:r>
      <w:r w:rsidR="00AD079A" w:rsidRPr="00C65CAA">
        <w:rPr>
          <w:rFonts w:ascii="Arial Narrow" w:eastAsia="Calibri" w:hAnsi="Arial Narrow"/>
          <w:sz w:val="22"/>
          <w:szCs w:val="22"/>
          <w:lang w:eastAsia="en-US"/>
        </w:rPr>
        <w:t xml:space="preserve"> </w:t>
      </w:r>
      <w:r w:rsidRPr="00C65CAA">
        <w:rPr>
          <w:rFonts w:ascii="Arial Narrow" w:eastAsia="Calibri" w:hAnsi="Arial Narrow"/>
          <w:sz w:val="22"/>
          <w:szCs w:val="22"/>
          <w:lang w:eastAsia="en-US"/>
        </w:rPr>
        <w:t>než rýchlejšie zvyšovanie efektivity výberu DPH a majetkových daní (zdaňovanie nehnuteľností podľa cenovej mapy je v nedohľadne). Kumulatívne legislatívne rozhodnutia sa prejavili na zmene podielu odvodového zaťaženia, z 38,9 % v roku 2011 na 41,9 % v návrhu RVS na rok 2019. Naopak, dane za tovary a služby poklesli z 37,4 % na 30,8 %. Zostáva otázkou, ako štruktúra daní ovplyvňuje dlhodobý rast ekonomiky.</w:t>
      </w:r>
    </w:p>
    <w:p w:rsidR="006C2FC9" w:rsidRPr="00C65CAA" w:rsidRDefault="006C2FC9" w:rsidP="00256AF8">
      <w:pPr>
        <w:spacing w:before="100" w:after="100"/>
        <w:ind w:firstLine="708"/>
        <w:jc w:val="both"/>
        <w:rPr>
          <w:rFonts w:ascii="Arial Narrow" w:eastAsia="Calibri" w:hAnsi="Arial Narrow"/>
          <w:sz w:val="22"/>
          <w:szCs w:val="22"/>
          <w:lang w:eastAsia="en-US"/>
        </w:rPr>
      </w:pPr>
      <w:r w:rsidRPr="00C65CAA">
        <w:rPr>
          <w:rFonts w:ascii="Arial Narrow" w:eastAsia="Calibri" w:hAnsi="Arial Narrow"/>
          <w:sz w:val="22"/>
          <w:szCs w:val="22"/>
          <w:lang w:eastAsia="en-US"/>
        </w:rPr>
        <w:t>N</w:t>
      </w:r>
      <w:r w:rsidR="00375B44" w:rsidRPr="00C65CAA">
        <w:rPr>
          <w:rFonts w:ascii="Arial Narrow" w:eastAsia="Calibri" w:hAnsi="Arial Narrow"/>
          <w:sz w:val="22"/>
          <w:szCs w:val="22"/>
          <w:lang w:eastAsia="en-US"/>
        </w:rPr>
        <w:t>ávrh RVS na rok 2019 očakáva len</w:t>
      </w:r>
      <w:r w:rsidRPr="00C65CAA">
        <w:rPr>
          <w:rFonts w:ascii="Arial Narrow" w:eastAsia="Calibri" w:hAnsi="Arial Narrow"/>
          <w:sz w:val="22"/>
          <w:szCs w:val="22"/>
          <w:lang w:eastAsia="en-US"/>
        </w:rPr>
        <w:t xml:space="preserve"> veľmi miernu zmenu v čerpaní prostriedkov EÚ z</w:t>
      </w:r>
      <w:r w:rsidR="00375B44" w:rsidRPr="00C65CAA">
        <w:rPr>
          <w:rFonts w:ascii="Arial Narrow" w:eastAsia="Calibri" w:hAnsi="Arial Narrow"/>
          <w:sz w:val="22"/>
          <w:szCs w:val="22"/>
          <w:lang w:eastAsia="en-US"/>
        </w:rPr>
        <w:t xml:space="preserve"> 3. </w:t>
      </w:r>
      <w:r w:rsidRPr="00C65CAA">
        <w:rPr>
          <w:rFonts w:ascii="Arial Narrow" w:eastAsia="Calibri" w:hAnsi="Arial Narrow"/>
          <w:sz w:val="22"/>
          <w:szCs w:val="22"/>
          <w:lang w:eastAsia="en-US"/>
        </w:rPr>
        <w:t>programové</w:t>
      </w:r>
      <w:r w:rsidR="00375B44" w:rsidRPr="00C65CAA">
        <w:rPr>
          <w:rFonts w:ascii="Arial Narrow" w:eastAsia="Calibri" w:hAnsi="Arial Narrow"/>
          <w:sz w:val="22"/>
          <w:szCs w:val="22"/>
          <w:lang w:eastAsia="en-US"/>
        </w:rPr>
        <w:t>ho obdobia na roky 2014 až 2020.</w:t>
      </w:r>
      <w:r w:rsidRPr="00C65CAA">
        <w:rPr>
          <w:rFonts w:ascii="Arial Narrow" w:eastAsia="Calibri" w:hAnsi="Arial Narrow"/>
          <w:sz w:val="22"/>
          <w:szCs w:val="22"/>
          <w:lang w:eastAsia="en-US"/>
        </w:rPr>
        <w:t xml:space="preserve"> Najviac sa na tom podieľajú zahraničné transfery, konkrétne prostriedky z rozpočtu EÚ, kde rast rozpočtovaný</w:t>
      </w:r>
      <w:r w:rsidR="00E12EC0" w:rsidRPr="00C65CAA">
        <w:rPr>
          <w:rFonts w:ascii="Arial Narrow" w:eastAsia="Calibri" w:hAnsi="Arial Narrow"/>
          <w:sz w:val="22"/>
          <w:szCs w:val="22"/>
          <w:lang w:eastAsia="en-US"/>
        </w:rPr>
        <w:t xml:space="preserve">ch príjmov predstavuje 286 </w:t>
      </w:r>
      <w:r w:rsidR="00375B44" w:rsidRPr="00C65CAA">
        <w:rPr>
          <w:rFonts w:ascii="Arial Narrow" w:eastAsia="Calibri" w:hAnsi="Arial Narrow"/>
          <w:sz w:val="22"/>
          <w:szCs w:val="22"/>
          <w:lang w:eastAsia="en-US"/>
        </w:rPr>
        <w:t>mil. eur</w:t>
      </w:r>
      <w:r w:rsidRPr="00C65CAA">
        <w:rPr>
          <w:rFonts w:ascii="Arial Narrow" w:eastAsia="Calibri" w:hAnsi="Arial Narrow"/>
          <w:sz w:val="22"/>
          <w:szCs w:val="22"/>
          <w:lang w:eastAsia="en-US"/>
        </w:rPr>
        <w:t xml:space="preserve"> oproti RVS na rok 2018. V porovnaní s očakávanými výsledkami príjmov zo zahraničných transferov v roku 2018 navrhovaný RVS na rok 2019 počíta s rastom</w:t>
      </w:r>
      <w:r w:rsidR="00375B44" w:rsidRPr="00C65CAA">
        <w:rPr>
          <w:rFonts w:ascii="Arial Narrow" w:eastAsia="Calibri" w:hAnsi="Arial Narrow"/>
          <w:sz w:val="22"/>
          <w:szCs w:val="22"/>
          <w:lang w:eastAsia="en-US"/>
        </w:rPr>
        <w:t xml:space="preserve"> o 245 mil. </w:t>
      </w:r>
      <w:r w:rsidRPr="00C65CAA">
        <w:rPr>
          <w:rFonts w:ascii="Arial Narrow" w:eastAsia="Calibri" w:hAnsi="Arial Narrow"/>
          <w:sz w:val="22"/>
          <w:szCs w:val="22"/>
          <w:lang w:eastAsia="en-US"/>
        </w:rPr>
        <w:t>eur. Úroveň čerpania z roku 2016 by mala byť dosiahnutá až v rokoch 2020 a 2021.</w:t>
      </w:r>
    </w:p>
    <w:p w:rsidR="00563718" w:rsidRPr="00C65CAA" w:rsidRDefault="00563718" w:rsidP="00256AF8">
      <w:pPr>
        <w:spacing w:before="100" w:after="100"/>
        <w:ind w:firstLine="708"/>
        <w:jc w:val="both"/>
        <w:rPr>
          <w:rFonts w:ascii="Arial Narrow" w:eastAsia="Calibri" w:hAnsi="Arial Narrow"/>
          <w:sz w:val="22"/>
          <w:szCs w:val="22"/>
          <w:lang w:eastAsia="en-US"/>
        </w:rPr>
      </w:pPr>
    </w:p>
    <w:p w:rsidR="00563718" w:rsidRPr="00C65CAA" w:rsidRDefault="00563718" w:rsidP="00256AF8">
      <w:pPr>
        <w:spacing w:before="100" w:after="100"/>
        <w:ind w:firstLine="708"/>
        <w:jc w:val="both"/>
        <w:rPr>
          <w:rFonts w:ascii="Arial Narrow" w:eastAsia="Calibri" w:hAnsi="Arial Narrow"/>
          <w:sz w:val="22"/>
          <w:szCs w:val="22"/>
          <w:lang w:eastAsia="en-US"/>
        </w:rPr>
      </w:pPr>
    </w:p>
    <w:p w:rsidR="006C2FC9" w:rsidRPr="00C65CAA" w:rsidRDefault="006C2FC9" w:rsidP="00256AF8">
      <w:pPr>
        <w:spacing w:before="100" w:after="100"/>
        <w:rPr>
          <w:rFonts w:ascii="Arial Narrow" w:eastAsia="Calibri" w:hAnsi="Arial Narrow"/>
          <w:b/>
          <w:sz w:val="22"/>
          <w:szCs w:val="22"/>
          <w:lang w:eastAsia="en-US"/>
        </w:rPr>
      </w:pPr>
      <w:r w:rsidRPr="00C65CAA">
        <w:rPr>
          <w:rFonts w:ascii="Arial Narrow" w:eastAsia="Calibri" w:hAnsi="Arial Narrow"/>
          <w:b/>
          <w:sz w:val="22"/>
          <w:szCs w:val="22"/>
          <w:lang w:eastAsia="en-US"/>
        </w:rPr>
        <w:lastRenderedPageBreak/>
        <w:t>Daňové príjmy verejnej správy</w:t>
      </w:r>
    </w:p>
    <w:p w:rsidR="006C2FC9" w:rsidRPr="00C65CAA" w:rsidRDefault="006C2FC9" w:rsidP="00256AF8">
      <w:pPr>
        <w:pStyle w:val="Bezriadkovania"/>
        <w:spacing w:before="100" w:after="100"/>
        <w:ind w:firstLine="708"/>
        <w:rPr>
          <w:rFonts w:ascii="Arial Narrow" w:hAnsi="Arial Narrow"/>
          <w:sz w:val="22"/>
        </w:rPr>
      </w:pPr>
      <w:r w:rsidRPr="00C65CAA">
        <w:rPr>
          <w:rFonts w:ascii="Arial Narrow" w:hAnsi="Arial Narrow"/>
          <w:sz w:val="22"/>
        </w:rPr>
        <w:t>Makroekonomické výsledky slovenskej ekonomiky majú  pozitívny vplyv na daňové základne a následne na výber daní. Potvrdzuje sa tak prognóza, ktorá bola základom na zostavenie RVS 2018. Na tento vývoj nadviazala aj nová septembrová prognóza výberu daní</w:t>
      </w:r>
      <w:r w:rsidR="00375B44" w:rsidRPr="00C65CAA">
        <w:rPr>
          <w:rFonts w:ascii="Arial Narrow" w:hAnsi="Arial Narrow"/>
          <w:sz w:val="22"/>
        </w:rPr>
        <w:t xml:space="preserve"> na rok</w:t>
      </w:r>
      <w:r w:rsidRPr="00C65CAA">
        <w:rPr>
          <w:rFonts w:ascii="Arial Narrow" w:hAnsi="Arial Narrow"/>
          <w:sz w:val="22"/>
        </w:rPr>
        <w:t xml:space="preserve"> 2019. Hlavným ťahúňom bude pretrvávajúci pozitívny vývoj na trhu práce, ktorý priamo ovplyvňuje odvody a DPFO. Vyššie disponibilné príjmy domácností sa pretavujú do ich silnejšej spotreby a výberu DPH.</w:t>
      </w:r>
    </w:p>
    <w:p w:rsidR="006C2FC9" w:rsidRPr="00C65CAA" w:rsidRDefault="006C2FC9" w:rsidP="00256AF8">
      <w:pPr>
        <w:pStyle w:val="Bezriadkovania"/>
        <w:spacing w:before="100" w:after="100"/>
        <w:ind w:firstLine="708"/>
        <w:rPr>
          <w:rFonts w:ascii="Arial Narrow" w:hAnsi="Arial Narrow"/>
          <w:sz w:val="22"/>
        </w:rPr>
      </w:pPr>
      <w:r w:rsidRPr="00C65CAA">
        <w:rPr>
          <w:rFonts w:ascii="Arial Narrow" w:hAnsi="Arial Narrow"/>
          <w:sz w:val="22"/>
        </w:rPr>
        <w:t>Podiel hotovostných daňových príjmov na HDP, ktorý v období tesne po k</w:t>
      </w:r>
      <w:r w:rsidR="00AD079A" w:rsidRPr="00C65CAA">
        <w:rPr>
          <w:rFonts w:ascii="Arial Narrow" w:hAnsi="Arial Narrow"/>
          <w:sz w:val="22"/>
        </w:rPr>
        <w:t>ríze dosiahol svoje dno (cca 14 </w:t>
      </w:r>
      <w:r w:rsidRPr="00C65CAA">
        <w:rPr>
          <w:rFonts w:ascii="Arial Narrow" w:hAnsi="Arial Narrow"/>
          <w:sz w:val="22"/>
        </w:rPr>
        <w:t xml:space="preserve">%), sa v posledných rokoch vrátil na vyššie úrovne a stabilizoval na takmer 18 %. </w:t>
      </w:r>
    </w:p>
    <w:p w:rsidR="006C2FC9" w:rsidRPr="00C65CAA" w:rsidRDefault="006C2FC9" w:rsidP="00256AF8">
      <w:pPr>
        <w:spacing w:before="100" w:after="100"/>
        <w:ind w:firstLine="708"/>
        <w:jc w:val="both"/>
        <w:rPr>
          <w:rFonts w:ascii="Arial Narrow" w:hAnsi="Arial Narrow"/>
          <w:sz w:val="22"/>
          <w:szCs w:val="22"/>
        </w:rPr>
      </w:pPr>
      <w:r w:rsidRPr="00C65CAA">
        <w:rPr>
          <w:rFonts w:ascii="Arial Narrow" w:hAnsi="Arial Narrow"/>
          <w:sz w:val="22"/>
          <w:szCs w:val="22"/>
        </w:rPr>
        <w:t xml:space="preserve">Daňové a odvodové príjmy verejnej správy v akruálnej metodike (ESA 2010) sú na rok 2019 prognózované v celkovej výške </w:t>
      </w:r>
      <w:r w:rsidRPr="00C65CAA">
        <w:rPr>
          <w:rFonts w:ascii="Arial Narrow" w:hAnsi="Arial Narrow"/>
          <w:b/>
          <w:bCs/>
          <w:sz w:val="22"/>
          <w:szCs w:val="22"/>
        </w:rPr>
        <w:t xml:space="preserve">29 073 767 tis. eur </w:t>
      </w:r>
      <w:r w:rsidRPr="00C65CAA">
        <w:rPr>
          <w:rFonts w:ascii="Arial Narrow" w:hAnsi="Arial Narrow"/>
          <w:bCs/>
          <w:sz w:val="22"/>
          <w:szCs w:val="22"/>
        </w:rPr>
        <w:t>bez sankcií</w:t>
      </w:r>
      <w:r w:rsidRPr="00C65CAA">
        <w:rPr>
          <w:rFonts w:ascii="Arial Narrow" w:hAnsi="Arial Narrow"/>
          <w:b/>
          <w:bCs/>
          <w:sz w:val="22"/>
          <w:szCs w:val="22"/>
        </w:rPr>
        <w:t xml:space="preserve">, </w:t>
      </w:r>
      <w:r w:rsidR="00CD4C07">
        <w:rPr>
          <w:rFonts w:ascii="Arial Narrow" w:hAnsi="Arial Narrow"/>
          <w:bCs/>
          <w:sz w:val="22"/>
          <w:szCs w:val="22"/>
        </w:rPr>
        <w:t>čo predstavuje nárast 5,6</w:t>
      </w:r>
      <w:r w:rsidRPr="00C65CAA">
        <w:rPr>
          <w:rFonts w:ascii="Arial Narrow" w:hAnsi="Arial Narrow"/>
          <w:bCs/>
          <w:sz w:val="22"/>
          <w:szCs w:val="22"/>
        </w:rPr>
        <w:t xml:space="preserve"> % oproti </w:t>
      </w:r>
      <w:r w:rsidR="00E12EC0" w:rsidRPr="00C65CAA">
        <w:rPr>
          <w:rFonts w:ascii="Arial Narrow" w:hAnsi="Arial Narrow"/>
          <w:sz w:val="22"/>
          <w:szCs w:val="22"/>
        </w:rPr>
        <w:t>očakávaným príjmom za rok </w:t>
      </w:r>
      <w:r w:rsidRPr="00C65CAA">
        <w:rPr>
          <w:rFonts w:ascii="Arial Narrow" w:hAnsi="Arial Narrow"/>
          <w:sz w:val="22"/>
          <w:szCs w:val="22"/>
        </w:rPr>
        <w:t>2018. Odv</w:t>
      </w:r>
      <w:r w:rsidR="00CD4C07">
        <w:rPr>
          <w:rFonts w:ascii="Arial Narrow" w:hAnsi="Arial Narrow"/>
          <w:sz w:val="22"/>
          <w:szCs w:val="22"/>
        </w:rPr>
        <w:t>odové prímy budú rasť tempom 5,8</w:t>
      </w:r>
      <w:r w:rsidRPr="00C65CAA">
        <w:rPr>
          <w:rFonts w:ascii="Arial Narrow" w:hAnsi="Arial Narrow"/>
          <w:sz w:val="22"/>
          <w:szCs w:val="22"/>
        </w:rPr>
        <w:t xml:space="preserve"> % a sú rozpočtované v celkovom objeme 12 174 517 tis. eur, kým daňové príjmy</w:t>
      </w:r>
      <w:r w:rsidR="00CD4C07">
        <w:rPr>
          <w:rFonts w:ascii="Arial Narrow" w:hAnsi="Arial Narrow"/>
          <w:sz w:val="22"/>
          <w:szCs w:val="22"/>
        </w:rPr>
        <w:t xml:space="preserve"> VS by mali rásť pomalšie (o 5,5</w:t>
      </w:r>
      <w:r w:rsidRPr="00C65CAA">
        <w:rPr>
          <w:rFonts w:ascii="Arial Narrow" w:hAnsi="Arial Narrow"/>
          <w:sz w:val="22"/>
          <w:szCs w:val="22"/>
        </w:rPr>
        <w:t xml:space="preserve"> %) a predstavujú objem 16 899 250 tis. eur. Pod naplnením rozpočtu sa podpisuje hlavne vývoj príjmov v oblasti odvodov a DPH. Pozitívny vývoj na trhu práce významne zvyšuje príjmy, čo pozitívne ovplyvnilo aj výnos DPFO zo závislej činnosti.  </w:t>
      </w:r>
    </w:p>
    <w:p w:rsidR="006C2FC9" w:rsidRPr="00C65CAA" w:rsidRDefault="006C2FC9" w:rsidP="00256AF8">
      <w:pPr>
        <w:spacing w:before="100" w:after="100"/>
        <w:ind w:firstLine="708"/>
        <w:jc w:val="both"/>
        <w:rPr>
          <w:rFonts w:ascii="Arial Narrow" w:hAnsi="Arial Narrow"/>
          <w:sz w:val="22"/>
          <w:szCs w:val="22"/>
        </w:rPr>
      </w:pPr>
      <w:r w:rsidRPr="00C65CAA">
        <w:rPr>
          <w:rFonts w:ascii="Arial Narrow" w:hAnsi="Arial Narrow"/>
          <w:sz w:val="22"/>
          <w:szCs w:val="22"/>
        </w:rPr>
        <w:t xml:space="preserve">DPPO bola podľa RVS na rok 2018 prognózovaná v objeme 2 618 472 tis. eur, aktuálny septembrový odhad jej vývoja je na úrovni 2 741 091 tis. eur, čo je o 122 619 tis. eur viac. </w:t>
      </w:r>
      <w:r w:rsidR="00C44C9F" w:rsidRPr="00C65CAA">
        <w:rPr>
          <w:rFonts w:ascii="Arial Narrow" w:hAnsi="Arial Narrow"/>
          <w:sz w:val="22"/>
          <w:szCs w:val="22"/>
        </w:rPr>
        <w:t>To je</w:t>
      </w:r>
      <w:r w:rsidRPr="00C65CAA">
        <w:rPr>
          <w:rFonts w:ascii="Arial Narrow" w:hAnsi="Arial Narrow"/>
          <w:sz w:val="22"/>
          <w:szCs w:val="22"/>
        </w:rPr>
        <w:t> zvýšenie o 4,6 %</w:t>
      </w:r>
      <w:r w:rsidR="002C17F9" w:rsidRPr="00C65CAA">
        <w:rPr>
          <w:rFonts w:ascii="Arial Narrow" w:hAnsi="Arial Narrow"/>
          <w:sz w:val="22"/>
          <w:szCs w:val="22"/>
        </w:rPr>
        <w:t xml:space="preserve">. </w:t>
      </w:r>
      <w:r w:rsidRPr="00C65CAA">
        <w:rPr>
          <w:rFonts w:ascii="Arial Narrow" w:hAnsi="Arial Narrow"/>
          <w:sz w:val="22"/>
          <w:szCs w:val="22"/>
        </w:rPr>
        <w:t>Odhad vývoja je stanovený na základe lepšieho vyrovnania korporátnej dane za rok 2017, keďže vyrovnanie firiem z doteraz podaných daňových priznaní prekonalo februárové predpoklady.</w:t>
      </w:r>
      <w:r w:rsidR="00375B44" w:rsidRPr="00C65CAA">
        <w:rPr>
          <w:rFonts w:ascii="Arial Narrow" w:hAnsi="Arial Narrow"/>
          <w:i/>
          <w:sz w:val="22"/>
          <w:szCs w:val="22"/>
        </w:rPr>
        <w:t xml:space="preserve"> (Približne 150 tis.</w:t>
      </w:r>
      <w:r w:rsidRPr="00C65CAA">
        <w:rPr>
          <w:rFonts w:ascii="Arial Narrow" w:hAnsi="Arial Narrow"/>
          <w:i/>
          <w:sz w:val="22"/>
          <w:szCs w:val="22"/>
        </w:rPr>
        <w:t xml:space="preserve"> firiem podalo daňové priznanie do konca mája, z hľadiska objemu to predstavuje približne o 55 % viac z celkovej daňovej povinnosti na </w:t>
      </w:r>
      <w:r w:rsidR="00375B44" w:rsidRPr="00C65CAA">
        <w:rPr>
          <w:rFonts w:ascii="Arial Narrow" w:hAnsi="Arial Narrow"/>
          <w:i/>
          <w:sz w:val="22"/>
          <w:szCs w:val="22"/>
        </w:rPr>
        <w:t>základe porovnania s rokom 2016</w:t>
      </w:r>
      <w:r w:rsidRPr="00C65CAA">
        <w:rPr>
          <w:rFonts w:ascii="Arial Narrow" w:hAnsi="Arial Narrow"/>
          <w:i/>
          <w:sz w:val="22"/>
          <w:szCs w:val="22"/>
        </w:rPr>
        <w:t xml:space="preserve">). </w:t>
      </w:r>
      <w:r w:rsidRPr="00C65CAA">
        <w:rPr>
          <w:rFonts w:ascii="Arial Narrow" w:hAnsi="Arial Narrow"/>
          <w:sz w:val="22"/>
          <w:szCs w:val="22"/>
        </w:rPr>
        <w:t>MF SR si zachovalo optimistický pohľad na výber DPPO aj v nasledujúcom roku, plánovaný v objem</w:t>
      </w:r>
      <w:r w:rsidR="00E12EC0" w:rsidRPr="00C65CAA">
        <w:rPr>
          <w:rFonts w:ascii="Arial Narrow" w:hAnsi="Arial Narrow"/>
          <w:sz w:val="22"/>
          <w:szCs w:val="22"/>
        </w:rPr>
        <w:t>e</w:t>
      </w:r>
      <w:r w:rsidRPr="00C65CAA">
        <w:rPr>
          <w:rFonts w:ascii="Arial Narrow" w:hAnsi="Arial Narrow"/>
          <w:sz w:val="22"/>
          <w:szCs w:val="22"/>
        </w:rPr>
        <w:t xml:space="preserve"> 2 900 148 tis. eur, čo predstavuje rast o 159 057 tis.</w:t>
      </w:r>
      <w:r w:rsidR="00E12EC0" w:rsidRPr="00C65CAA">
        <w:rPr>
          <w:rFonts w:ascii="Arial Narrow" w:hAnsi="Arial Narrow"/>
          <w:sz w:val="22"/>
          <w:szCs w:val="22"/>
        </w:rPr>
        <w:t xml:space="preserve"> eur </w:t>
      </w:r>
      <w:r w:rsidR="00CD4C07">
        <w:rPr>
          <w:rFonts w:ascii="Arial Narrow" w:hAnsi="Arial Narrow"/>
          <w:sz w:val="22"/>
          <w:szCs w:val="22"/>
        </w:rPr>
        <w:t>(5,8</w:t>
      </w:r>
      <w:r w:rsidRPr="00C65CAA">
        <w:rPr>
          <w:rFonts w:ascii="Arial Narrow" w:hAnsi="Arial Narrow"/>
          <w:sz w:val="22"/>
          <w:szCs w:val="22"/>
        </w:rPr>
        <w:t xml:space="preserve"> %) oproti očakávanému vývoju v roku 2018. </w:t>
      </w:r>
    </w:p>
    <w:p w:rsidR="00EC79A1" w:rsidRPr="00C65CAA" w:rsidRDefault="006C2FC9" w:rsidP="00256AF8">
      <w:pPr>
        <w:spacing w:before="100" w:after="100"/>
        <w:ind w:firstLine="708"/>
        <w:jc w:val="both"/>
        <w:rPr>
          <w:rFonts w:ascii="Arial Narrow" w:hAnsi="Arial Narrow"/>
          <w:sz w:val="22"/>
        </w:rPr>
      </w:pPr>
      <w:r w:rsidRPr="00C65CAA">
        <w:rPr>
          <w:rFonts w:ascii="Arial Narrow" w:hAnsi="Arial Narrow"/>
          <w:sz w:val="22"/>
        </w:rPr>
        <w:t>Oproti predpokladom RVS 2018 dochádza k vyššej úspešnosti výberu DPH. Výnos DPH v roku 2018 dosiahne</w:t>
      </w:r>
      <w:r w:rsidR="00051478" w:rsidRPr="00C65CAA">
        <w:rPr>
          <w:rFonts w:ascii="Arial Narrow" w:hAnsi="Arial Narrow"/>
          <w:sz w:val="22"/>
        </w:rPr>
        <w:t xml:space="preserve"> </w:t>
      </w:r>
      <w:r w:rsidR="00AA4062" w:rsidRPr="00C65CAA">
        <w:rPr>
          <w:rFonts w:ascii="Arial Narrow" w:hAnsi="Arial Narrow"/>
          <w:sz w:val="22"/>
        </w:rPr>
        <w:t>6 </w:t>
      </w:r>
      <w:r w:rsidR="00051478" w:rsidRPr="00C65CAA">
        <w:rPr>
          <w:rFonts w:ascii="Arial Narrow" w:hAnsi="Arial Narrow"/>
          <w:sz w:val="22"/>
        </w:rPr>
        <w:t>349 511</w:t>
      </w:r>
      <w:r w:rsidRPr="00C65CAA">
        <w:rPr>
          <w:rFonts w:ascii="Arial Narrow" w:hAnsi="Arial Narrow"/>
          <w:sz w:val="22"/>
        </w:rPr>
        <w:t xml:space="preserve"> tis. eur, čo predstavuje rast o </w:t>
      </w:r>
      <w:r w:rsidR="00AA4062" w:rsidRPr="00C65CAA">
        <w:rPr>
          <w:rFonts w:ascii="Arial Narrow" w:hAnsi="Arial Narrow"/>
          <w:color w:val="000000"/>
          <w:sz w:val="22"/>
          <w:szCs w:val="22"/>
        </w:rPr>
        <w:t xml:space="preserve">245 094 </w:t>
      </w:r>
      <w:r w:rsidRPr="00C65CAA">
        <w:rPr>
          <w:rFonts w:ascii="Arial Narrow" w:hAnsi="Arial Narrow"/>
          <w:sz w:val="22"/>
        </w:rPr>
        <w:t xml:space="preserve">tis. eur oproti </w:t>
      </w:r>
      <w:r w:rsidR="00AA4062" w:rsidRPr="00C65CAA">
        <w:rPr>
          <w:rFonts w:ascii="Arial Narrow" w:hAnsi="Arial Narrow"/>
          <w:sz w:val="22"/>
        </w:rPr>
        <w:t xml:space="preserve">schválenému </w:t>
      </w:r>
      <w:r w:rsidRPr="00C65CAA">
        <w:rPr>
          <w:rFonts w:ascii="Arial Narrow" w:hAnsi="Arial Narrow"/>
          <w:sz w:val="22"/>
        </w:rPr>
        <w:t>rozpočtu</w:t>
      </w:r>
      <w:r w:rsidR="00AA4062" w:rsidRPr="00C65CAA">
        <w:rPr>
          <w:rFonts w:ascii="Arial Narrow" w:hAnsi="Arial Narrow"/>
          <w:sz w:val="22"/>
        </w:rPr>
        <w:t xml:space="preserve"> na rok 2018</w:t>
      </w:r>
      <w:r w:rsidRPr="00C65CAA">
        <w:rPr>
          <w:rFonts w:ascii="Arial Narrow" w:hAnsi="Arial Narrow"/>
          <w:sz w:val="22"/>
        </w:rPr>
        <w:t>. Prognóza na roky 2019 až 2021 predpokladá ďalší rast výnosu DPH</w:t>
      </w:r>
      <w:r w:rsidR="00C44C9F" w:rsidRPr="00C65CAA">
        <w:rPr>
          <w:rFonts w:ascii="Arial Narrow" w:hAnsi="Arial Narrow"/>
          <w:sz w:val="22"/>
        </w:rPr>
        <w:t>,</w:t>
      </w:r>
      <w:r w:rsidRPr="00C65CAA">
        <w:rPr>
          <w:rFonts w:ascii="Arial Narrow" w:hAnsi="Arial Narrow"/>
          <w:sz w:val="22"/>
        </w:rPr>
        <w:t xml:space="preserve"> podporený akcelerujúcou spotreb</w:t>
      </w:r>
      <w:r w:rsidR="00E12EC0" w:rsidRPr="00C65CAA">
        <w:rPr>
          <w:rFonts w:ascii="Arial Narrow" w:hAnsi="Arial Narrow"/>
          <w:sz w:val="22"/>
        </w:rPr>
        <w:t>ou domácností a online napojením</w:t>
      </w:r>
      <w:r w:rsidRPr="00C65CAA">
        <w:rPr>
          <w:rFonts w:ascii="Arial Narrow" w:hAnsi="Arial Narrow"/>
          <w:sz w:val="22"/>
        </w:rPr>
        <w:t xml:space="preserve"> všetkých pokladníc n</w:t>
      </w:r>
      <w:r w:rsidR="00EC79A1" w:rsidRPr="00C65CAA">
        <w:rPr>
          <w:rFonts w:ascii="Arial Narrow" w:hAnsi="Arial Narrow"/>
          <w:sz w:val="22"/>
        </w:rPr>
        <w:t>a portál finančnej správy eKasa, pričom dôjde k poklesu sadzby DPH na ubytovacie služby na 10</w:t>
      </w:r>
      <w:r w:rsidR="00E12EC0" w:rsidRPr="00C65CAA">
        <w:rPr>
          <w:rFonts w:ascii="Arial Narrow" w:hAnsi="Arial Narrow"/>
          <w:sz w:val="22"/>
        </w:rPr>
        <w:t xml:space="preserve"> </w:t>
      </w:r>
      <w:r w:rsidR="00EC79A1" w:rsidRPr="00C65CAA">
        <w:rPr>
          <w:rFonts w:ascii="Arial Narrow" w:hAnsi="Arial Narrow"/>
          <w:sz w:val="22"/>
        </w:rPr>
        <w:t>%</w:t>
      </w:r>
      <w:r w:rsidRPr="00C65CAA">
        <w:rPr>
          <w:rFonts w:ascii="Arial Narrow" w:hAnsi="Arial Narrow"/>
          <w:sz w:val="22"/>
        </w:rPr>
        <w:t>. Podľa odhadu daňovéh</w:t>
      </w:r>
      <w:r w:rsidR="00E12EC0" w:rsidRPr="00C65CAA">
        <w:rPr>
          <w:rFonts w:ascii="Arial Narrow" w:hAnsi="Arial Narrow"/>
          <w:sz w:val="22"/>
        </w:rPr>
        <w:t>o výboru EDS</w:t>
      </w:r>
      <w:r w:rsidRPr="00C65CAA">
        <w:rPr>
          <w:rFonts w:ascii="Arial Narrow" w:hAnsi="Arial Narrow"/>
          <w:sz w:val="22"/>
        </w:rPr>
        <w:t xml:space="preserve"> DPH za prvý polrok prekonala predpoklady júnovej prognózy a zvyšujú ju na priemer dvoch kvartálov vo výške 15,31 % pre celý horizont prognózy. V menšej miere pozitívne prispieva aj revidovaná spotreba domácností od roku 2019. </w:t>
      </w:r>
      <w:r w:rsidR="000A2022" w:rsidRPr="00C65CAA">
        <w:rPr>
          <w:rFonts w:ascii="Arial Narrow" w:hAnsi="Arial Narrow"/>
          <w:sz w:val="22"/>
        </w:rPr>
        <w:t>NKÚ SR poznamenáva, že EÚ</w:t>
      </w:r>
      <w:r w:rsidR="00EC79A1" w:rsidRPr="00C65CAA">
        <w:rPr>
          <w:rFonts w:ascii="Arial Narrow" w:hAnsi="Arial Narrow"/>
          <w:sz w:val="22"/>
        </w:rPr>
        <w:t xml:space="preserve"> schválila pravidlá pre uplatnenie prenesenia daňovej povinnosti na kon</w:t>
      </w:r>
      <w:r w:rsidR="00E12EC0" w:rsidRPr="00C65CAA">
        <w:rPr>
          <w:rFonts w:ascii="Arial Narrow" w:hAnsi="Arial Narrow"/>
          <w:sz w:val="22"/>
        </w:rPr>
        <w:t>eč</w:t>
      </w:r>
      <w:r w:rsidR="00EC79A1" w:rsidRPr="00C65CAA">
        <w:rPr>
          <w:rFonts w:ascii="Arial Narrow" w:hAnsi="Arial Narrow"/>
          <w:sz w:val="22"/>
        </w:rPr>
        <w:t>ného spotrebiteľa (reverse charge),</w:t>
      </w:r>
      <w:r w:rsidR="00E12EC0" w:rsidRPr="00C65CAA">
        <w:rPr>
          <w:rFonts w:ascii="Arial Narrow" w:hAnsi="Arial Narrow"/>
          <w:sz w:val="22"/>
        </w:rPr>
        <w:t xml:space="preserve"> na všetky transakcie tykajúce</w:t>
      </w:r>
      <w:r w:rsidR="00EC79A1" w:rsidRPr="00C65CAA">
        <w:rPr>
          <w:rFonts w:ascii="Arial Narrow" w:hAnsi="Arial Narrow"/>
          <w:sz w:val="22"/>
        </w:rPr>
        <w:t xml:space="preserve"> </w:t>
      </w:r>
      <w:r w:rsidR="00E12EC0" w:rsidRPr="00C65CAA">
        <w:rPr>
          <w:rFonts w:ascii="Arial Narrow" w:hAnsi="Arial Narrow"/>
          <w:sz w:val="22"/>
        </w:rPr>
        <w:t>sa tovarov a služieb presahujú</w:t>
      </w:r>
      <w:r w:rsidR="00AA4062" w:rsidRPr="00C65CAA">
        <w:rPr>
          <w:rFonts w:ascii="Arial Narrow" w:hAnsi="Arial Narrow"/>
          <w:sz w:val="22"/>
        </w:rPr>
        <w:t>c</w:t>
      </w:r>
      <w:r w:rsidR="00E12EC0" w:rsidRPr="00C65CAA">
        <w:rPr>
          <w:rFonts w:ascii="Arial Narrow" w:hAnsi="Arial Narrow"/>
          <w:sz w:val="22"/>
        </w:rPr>
        <w:t>e</w:t>
      </w:r>
      <w:r w:rsidR="00EC79A1" w:rsidRPr="00C65CAA">
        <w:rPr>
          <w:rFonts w:ascii="Arial Narrow" w:hAnsi="Arial Narrow"/>
          <w:sz w:val="22"/>
        </w:rPr>
        <w:t xml:space="preserve"> objem 17,5 tis. eur. Nový systém sa na Slovensku uplatňuje zatiaľ v stavebnom sektore, v prípade jeho rozšírenia môže dôjsť k výraznému ovplyvneniu systém výberu DPH. </w:t>
      </w:r>
    </w:p>
    <w:p w:rsidR="006C2FC9" w:rsidRPr="00C65CAA" w:rsidRDefault="006C2FC9" w:rsidP="00256AF8">
      <w:pPr>
        <w:spacing w:before="100" w:after="100"/>
        <w:ind w:firstLine="708"/>
        <w:jc w:val="both"/>
        <w:rPr>
          <w:rFonts w:ascii="Arial Narrow" w:hAnsi="Arial Narrow"/>
          <w:sz w:val="22"/>
          <w:szCs w:val="22"/>
        </w:rPr>
      </w:pPr>
      <w:r w:rsidRPr="00C65CAA">
        <w:rPr>
          <w:rFonts w:ascii="Arial Narrow" w:hAnsi="Arial Narrow"/>
          <w:sz w:val="22"/>
          <w:szCs w:val="22"/>
        </w:rPr>
        <w:t>Príjem do fondov sociálneho a zdravotného poistenia by mal byť v roku 2018 vyšší oproti očakávaniam rozpočtu o 494 566 tis. eur, vďaka zavedeným legislatívnym</w:t>
      </w:r>
      <w:r w:rsidR="00E12EC0" w:rsidRPr="00C65CAA">
        <w:rPr>
          <w:rFonts w:ascii="Arial Narrow" w:hAnsi="Arial Narrow"/>
          <w:sz w:val="22"/>
          <w:szCs w:val="22"/>
        </w:rPr>
        <w:t xml:space="preserve"> opatreniam</w:t>
      </w:r>
      <w:r w:rsidRPr="00C65CAA">
        <w:rPr>
          <w:rFonts w:ascii="Arial Narrow" w:hAnsi="Arial Narrow"/>
          <w:sz w:val="22"/>
          <w:szCs w:val="22"/>
        </w:rPr>
        <w:t xml:space="preserve"> a hlavne zásluhou lepšieho ako očakávaného vývoja na trhu práce. Plánova</w:t>
      </w:r>
      <w:r w:rsidR="00E12EC0" w:rsidRPr="00C65CAA">
        <w:rPr>
          <w:rFonts w:ascii="Arial Narrow" w:hAnsi="Arial Narrow"/>
          <w:sz w:val="22"/>
          <w:szCs w:val="22"/>
        </w:rPr>
        <w:t xml:space="preserve">ný výber rastie aj v roku 2019 </w:t>
      </w:r>
      <w:r w:rsidRPr="00C65CAA">
        <w:rPr>
          <w:rFonts w:ascii="Arial Narrow" w:hAnsi="Arial Narrow"/>
          <w:sz w:val="22"/>
          <w:szCs w:val="22"/>
        </w:rPr>
        <w:t>a je p</w:t>
      </w:r>
      <w:r w:rsidR="00E12EC0" w:rsidRPr="00C65CAA">
        <w:rPr>
          <w:rFonts w:ascii="Arial Narrow" w:hAnsi="Arial Narrow"/>
          <w:sz w:val="22"/>
          <w:szCs w:val="22"/>
        </w:rPr>
        <w:t>rognózovaný v objeme 12 174 517 </w:t>
      </w:r>
      <w:r w:rsidRPr="00C65CAA">
        <w:rPr>
          <w:rFonts w:ascii="Arial Narrow" w:hAnsi="Arial Narrow"/>
          <w:sz w:val="22"/>
          <w:szCs w:val="22"/>
        </w:rPr>
        <w:t>tis. eur, predstavuje tak  rast o 668 715 tis.</w:t>
      </w:r>
      <w:r w:rsidR="00E12EC0" w:rsidRPr="00C65CAA">
        <w:rPr>
          <w:rFonts w:ascii="Arial Narrow" w:hAnsi="Arial Narrow"/>
          <w:sz w:val="22"/>
          <w:szCs w:val="22"/>
        </w:rPr>
        <w:t xml:space="preserve"> eur</w:t>
      </w:r>
      <w:r w:rsidR="00CD4C07">
        <w:rPr>
          <w:rFonts w:ascii="Arial Narrow" w:hAnsi="Arial Narrow"/>
          <w:sz w:val="22"/>
          <w:szCs w:val="22"/>
        </w:rPr>
        <w:t xml:space="preserve"> (o 5,8</w:t>
      </w:r>
      <w:r w:rsidRPr="00C65CAA">
        <w:rPr>
          <w:rFonts w:ascii="Arial Narrow" w:hAnsi="Arial Narrow"/>
          <w:sz w:val="22"/>
          <w:szCs w:val="22"/>
        </w:rPr>
        <w:t xml:space="preserve"> %). Rýchlejšie budú rásť zdravotné odvody aj vďaka zrušeniu OOP pre zamestnávateľov.</w:t>
      </w:r>
    </w:p>
    <w:p w:rsidR="006C2FC9" w:rsidRPr="00C65CAA" w:rsidRDefault="00E12EC0" w:rsidP="00256AF8">
      <w:pPr>
        <w:spacing w:before="100" w:after="100"/>
        <w:ind w:firstLine="708"/>
        <w:jc w:val="both"/>
        <w:rPr>
          <w:rFonts w:ascii="Arial Narrow" w:hAnsi="Arial Narrow"/>
          <w:sz w:val="22"/>
          <w:szCs w:val="22"/>
        </w:rPr>
      </w:pPr>
      <w:r w:rsidRPr="00C65CAA">
        <w:rPr>
          <w:rFonts w:ascii="Arial Narrow" w:hAnsi="Arial Narrow"/>
          <w:sz w:val="22"/>
          <w:szCs w:val="22"/>
        </w:rPr>
        <w:t xml:space="preserve">Od </w:t>
      </w:r>
      <w:r w:rsidR="006C2FC9" w:rsidRPr="00C65CAA">
        <w:rPr>
          <w:rFonts w:ascii="Arial Narrow" w:hAnsi="Arial Narrow"/>
          <w:sz w:val="22"/>
          <w:szCs w:val="22"/>
        </w:rPr>
        <w:t>1.</w:t>
      </w:r>
      <w:r w:rsidRPr="00C65CAA">
        <w:rPr>
          <w:rFonts w:ascii="Arial Narrow" w:hAnsi="Arial Narrow"/>
          <w:sz w:val="22"/>
          <w:szCs w:val="22"/>
        </w:rPr>
        <w:t xml:space="preserve"> januára </w:t>
      </w:r>
      <w:r w:rsidR="006C2FC9" w:rsidRPr="00C65CAA">
        <w:rPr>
          <w:rFonts w:ascii="Arial Narrow" w:hAnsi="Arial Narrow"/>
          <w:sz w:val="22"/>
          <w:szCs w:val="22"/>
        </w:rPr>
        <w:t xml:space="preserve">2019 bude neživotné poistenie zdanené 8 % sadzbou dane. Daň z poistenia bude nepriamou daňou a do štátneho rozpočtu ju budú platiť poisťovne. Odhadovaný </w:t>
      </w:r>
      <w:r w:rsidRPr="00C65CAA">
        <w:rPr>
          <w:rFonts w:ascii="Arial Narrow" w:hAnsi="Arial Narrow"/>
          <w:sz w:val="22"/>
          <w:szCs w:val="22"/>
        </w:rPr>
        <w:t>výnos je 73 600 tis. eur v roku </w:t>
      </w:r>
      <w:r w:rsidR="006C2FC9" w:rsidRPr="00C65CAA">
        <w:rPr>
          <w:rFonts w:ascii="Arial Narrow" w:hAnsi="Arial Narrow"/>
          <w:sz w:val="22"/>
          <w:szCs w:val="22"/>
        </w:rPr>
        <w:t>2019, zároveň štátny rozpočet príde o výnos zo zrušeného poistného odvodu v objeme 20 000 tis. eur. Vzhľadom na profitabilitu v oblasti neži</w:t>
      </w:r>
      <w:r w:rsidRPr="00C65CAA">
        <w:rPr>
          <w:rFonts w:ascii="Arial Narrow" w:hAnsi="Arial Narrow"/>
          <w:sz w:val="22"/>
          <w:szCs w:val="22"/>
        </w:rPr>
        <w:t>votného poistenia, ktorá sa v EÚ</w:t>
      </w:r>
      <w:r w:rsidR="006C2FC9" w:rsidRPr="00C65CAA">
        <w:rPr>
          <w:rFonts w:ascii="Arial Narrow" w:hAnsi="Arial Narrow"/>
          <w:sz w:val="22"/>
          <w:szCs w:val="22"/>
        </w:rPr>
        <w:t xml:space="preserve"> pohybuje v rozmedzí od 3</w:t>
      </w:r>
      <w:r w:rsidRPr="00C65CAA">
        <w:rPr>
          <w:rFonts w:ascii="Arial Narrow" w:hAnsi="Arial Narrow"/>
          <w:sz w:val="22"/>
          <w:szCs w:val="22"/>
        </w:rPr>
        <w:t xml:space="preserve"> </w:t>
      </w:r>
      <w:r w:rsidR="006C2FC9" w:rsidRPr="00C65CAA">
        <w:rPr>
          <w:rFonts w:ascii="Arial Narrow" w:hAnsi="Arial Narrow"/>
          <w:sz w:val="22"/>
          <w:szCs w:val="22"/>
        </w:rPr>
        <w:t>% do 5 %, je viac ako otázne</w:t>
      </w:r>
      <w:r w:rsidR="00B82220" w:rsidRPr="00C65CAA">
        <w:rPr>
          <w:rFonts w:ascii="Arial Narrow" w:hAnsi="Arial Narrow"/>
          <w:sz w:val="22"/>
          <w:szCs w:val="22"/>
        </w:rPr>
        <w:t>,</w:t>
      </w:r>
      <w:r w:rsidR="006C2FC9" w:rsidRPr="00C65CAA">
        <w:rPr>
          <w:rFonts w:ascii="Arial Narrow" w:hAnsi="Arial Narrow"/>
          <w:sz w:val="22"/>
          <w:szCs w:val="22"/>
        </w:rPr>
        <w:t xml:space="preserve"> aké bremeno s platením dane prenesú poisťovne na svojich klientov. Zavedenie dane môže byť jedným z dôvodov zdraženia poistenia.  </w:t>
      </w:r>
    </w:p>
    <w:p w:rsidR="006C2FC9" w:rsidRPr="00C65CAA" w:rsidRDefault="006C2FC9" w:rsidP="00256AF8">
      <w:pPr>
        <w:spacing w:before="100" w:after="100"/>
        <w:ind w:firstLine="708"/>
        <w:jc w:val="both"/>
        <w:rPr>
          <w:rFonts w:ascii="Arial Narrow" w:hAnsi="Arial Narrow"/>
          <w:sz w:val="22"/>
          <w:szCs w:val="22"/>
        </w:rPr>
      </w:pPr>
      <w:r w:rsidRPr="00C65CAA">
        <w:rPr>
          <w:rFonts w:ascii="Arial Narrow" w:hAnsi="Arial Narrow"/>
          <w:sz w:val="22"/>
          <w:szCs w:val="22"/>
        </w:rPr>
        <w:t>Vývoj príjmov môže ovplyvniť aj pripravovaná legislatívna zmena, ktorou sa zakotví povinnosť platenia osobitného odvodu obchodnými reťazcami. Príjem by mal posilniť rozpočtované zdroje kapitoly M</w:t>
      </w:r>
      <w:r w:rsidR="00E12EC0" w:rsidRPr="00C65CAA">
        <w:rPr>
          <w:rFonts w:ascii="Arial Narrow" w:hAnsi="Arial Narrow"/>
          <w:sz w:val="22"/>
          <w:szCs w:val="22"/>
        </w:rPr>
        <w:t>PRV SR.</w:t>
      </w:r>
      <w:r w:rsidRPr="00C65CAA">
        <w:rPr>
          <w:rFonts w:ascii="Arial Narrow" w:hAnsi="Arial Narrow"/>
          <w:sz w:val="22"/>
          <w:szCs w:val="22"/>
        </w:rPr>
        <w:t xml:space="preserve"> Napriek nejasnosti podoby budúceho zákona a dopadu na sektor</w:t>
      </w:r>
      <w:r w:rsidR="00116B8F" w:rsidRPr="00C65CAA">
        <w:rPr>
          <w:rFonts w:ascii="Arial Narrow" w:hAnsi="Arial Narrow"/>
          <w:sz w:val="22"/>
          <w:szCs w:val="22"/>
        </w:rPr>
        <w:t>,</w:t>
      </w:r>
      <w:r w:rsidRPr="00C65CAA">
        <w:rPr>
          <w:rFonts w:ascii="Arial Narrow" w:hAnsi="Arial Narrow"/>
          <w:sz w:val="22"/>
          <w:szCs w:val="22"/>
        </w:rPr>
        <w:t xml:space="preserve"> sú už v kapitole napr</w:t>
      </w:r>
      <w:r w:rsidR="00EA24BE" w:rsidRPr="00C65CAA">
        <w:rPr>
          <w:rFonts w:ascii="Arial Narrow" w:hAnsi="Arial Narrow"/>
          <w:sz w:val="22"/>
          <w:szCs w:val="22"/>
        </w:rPr>
        <w:t xml:space="preserve">ojektované výdavky v objeme </w:t>
      </w:r>
      <w:r w:rsidR="00090281" w:rsidRPr="00C65CAA">
        <w:rPr>
          <w:rFonts w:ascii="Arial Narrow" w:hAnsi="Arial Narrow"/>
          <w:sz w:val="22"/>
          <w:szCs w:val="22"/>
        </w:rPr>
        <w:t>118 504 tis</w:t>
      </w:r>
      <w:r w:rsidRPr="00C65CAA">
        <w:rPr>
          <w:rFonts w:ascii="Arial Narrow" w:hAnsi="Arial Narrow"/>
          <w:sz w:val="22"/>
          <w:szCs w:val="22"/>
        </w:rPr>
        <w:t xml:space="preserve"> eur. NKÚ SR upozorňuje, že v RVS na rok 2019 sú zapracované návrhy legislatívnych zmien, ktoré v sebe neobsahujú dopadovú analýzu. Pri tomto návrhu napríklad hrozí, že reťazce náklady na daň prenesú na konečných spotrebiteľov. </w:t>
      </w:r>
    </w:p>
    <w:p w:rsidR="006C2FC9" w:rsidRPr="00C65CAA" w:rsidRDefault="006C2FC9" w:rsidP="00256AF8">
      <w:pPr>
        <w:spacing w:before="100" w:after="100"/>
        <w:ind w:firstLine="708"/>
        <w:jc w:val="both"/>
        <w:rPr>
          <w:rFonts w:ascii="Arial Narrow" w:hAnsi="Arial Narrow"/>
          <w:sz w:val="22"/>
          <w:szCs w:val="22"/>
        </w:rPr>
      </w:pPr>
      <w:r w:rsidRPr="00C65CAA">
        <w:rPr>
          <w:rFonts w:ascii="Arial Narrow" w:hAnsi="Arial Narrow"/>
          <w:sz w:val="22"/>
          <w:szCs w:val="22"/>
        </w:rPr>
        <w:lastRenderedPageBreak/>
        <w:t>Otázny je aj výber kapitálových príjmov, ktoré sú prognózované v objeme 52 691 tis. eur. Ich splnenie nie je reálne</w:t>
      </w:r>
      <w:r w:rsidR="00B82220" w:rsidRPr="00C65CAA">
        <w:rPr>
          <w:rFonts w:ascii="Arial Narrow" w:hAnsi="Arial Narrow"/>
          <w:sz w:val="22"/>
          <w:szCs w:val="22"/>
        </w:rPr>
        <w:t xml:space="preserve">. K 30. </w:t>
      </w:r>
      <w:r w:rsidR="00EA24BE" w:rsidRPr="00C65CAA">
        <w:rPr>
          <w:rFonts w:ascii="Arial Narrow" w:hAnsi="Arial Narrow"/>
          <w:sz w:val="22"/>
          <w:szCs w:val="22"/>
        </w:rPr>
        <w:t>9.</w:t>
      </w:r>
      <w:r w:rsidR="00B82220" w:rsidRPr="00C65CAA">
        <w:rPr>
          <w:rFonts w:ascii="Arial Narrow" w:hAnsi="Arial Narrow"/>
          <w:sz w:val="22"/>
          <w:szCs w:val="22"/>
        </w:rPr>
        <w:t xml:space="preserve"> </w:t>
      </w:r>
      <w:r w:rsidR="00EA24BE" w:rsidRPr="00C65CAA">
        <w:rPr>
          <w:rFonts w:ascii="Arial Narrow" w:hAnsi="Arial Narrow"/>
          <w:sz w:val="22"/>
          <w:szCs w:val="22"/>
        </w:rPr>
        <w:t xml:space="preserve">2018 dosiahli skutočnosť vo výške </w:t>
      </w:r>
      <w:r w:rsidRPr="00C65CAA">
        <w:rPr>
          <w:rFonts w:ascii="Arial Narrow" w:hAnsi="Arial Narrow"/>
          <w:sz w:val="22"/>
          <w:szCs w:val="22"/>
        </w:rPr>
        <w:t xml:space="preserve">8 834 tis. eur, pričom v RVS na rok 2018 boli plánované v objeme 44 488 tis. eur. Rozhodujúci objem predstavujú príjmy kapitoly MV SR, ktorá svoje ciele v tejto oblasti dlhodobo nenapĺňa. </w:t>
      </w:r>
    </w:p>
    <w:p w:rsidR="006C2FC9" w:rsidRPr="00C65CAA" w:rsidRDefault="006C2FC9" w:rsidP="00256AF8">
      <w:pPr>
        <w:spacing w:before="100" w:after="100"/>
        <w:ind w:firstLine="708"/>
        <w:jc w:val="both"/>
        <w:rPr>
          <w:rFonts w:ascii="Arial Narrow" w:hAnsi="Arial Narrow"/>
          <w:sz w:val="22"/>
          <w:szCs w:val="22"/>
        </w:rPr>
      </w:pPr>
      <w:r w:rsidRPr="00C65CAA">
        <w:rPr>
          <w:rFonts w:ascii="Arial Narrow" w:hAnsi="Arial Narrow"/>
          <w:sz w:val="22"/>
          <w:szCs w:val="22"/>
        </w:rPr>
        <w:t>Novelizácia zákona č.</w:t>
      </w:r>
      <w:r w:rsidR="00EA24BE" w:rsidRPr="00C65CAA">
        <w:rPr>
          <w:rFonts w:ascii="Arial Narrow" w:hAnsi="Arial Narrow"/>
          <w:sz w:val="22"/>
          <w:szCs w:val="22"/>
        </w:rPr>
        <w:t xml:space="preserve"> </w:t>
      </w:r>
      <w:r w:rsidRPr="00C65CAA">
        <w:rPr>
          <w:rFonts w:ascii="Arial Narrow" w:hAnsi="Arial Narrow"/>
          <w:sz w:val="22"/>
          <w:szCs w:val="22"/>
        </w:rPr>
        <w:t xml:space="preserve">595/2003 Z. z. o dani z príjmov zavádza oslobodenie príjmov z predaja akcií a obchodných podielov. Výpadok je prognózovaný v roku 2019 na úrovni 5 300 tis. eur, v roku 2020 v objeme 28 078 tis. eur. Prognózu možno považovať len za veľmi teoretickú a nepresnú. </w:t>
      </w:r>
      <w:r w:rsidR="00EC79A1" w:rsidRPr="00C65CAA">
        <w:rPr>
          <w:rFonts w:ascii="Arial Narrow" w:hAnsi="Arial Narrow"/>
          <w:sz w:val="22"/>
          <w:szCs w:val="22"/>
        </w:rPr>
        <w:t>Výpadok bude determinovaný dvoma faktormi: počtom, za týmto účelom novozaložených (prázdnych) obchodných spoločností v roku 2018</w:t>
      </w:r>
      <w:r w:rsidR="00B82220" w:rsidRPr="00C65CAA">
        <w:rPr>
          <w:rFonts w:ascii="Arial Narrow" w:hAnsi="Arial Narrow"/>
          <w:sz w:val="22"/>
          <w:szCs w:val="22"/>
        </w:rPr>
        <w:t>,</w:t>
      </w:r>
      <w:r w:rsidR="00EC79A1" w:rsidRPr="00C65CAA">
        <w:rPr>
          <w:rFonts w:ascii="Arial Narrow" w:hAnsi="Arial Narrow"/>
          <w:sz w:val="22"/>
          <w:szCs w:val="22"/>
        </w:rPr>
        <w:t xml:space="preserve"> a hodnotou obchodných podielov, ktoré sa budú v danom roku prevádzať. </w:t>
      </w:r>
      <w:r w:rsidR="00116B8F" w:rsidRPr="00C65CAA">
        <w:rPr>
          <w:rFonts w:ascii="Arial Narrow" w:hAnsi="Arial Narrow"/>
          <w:sz w:val="22"/>
          <w:szCs w:val="22"/>
        </w:rPr>
        <w:t>O</w:t>
      </w:r>
      <w:r w:rsidR="00EC79A1" w:rsidRPr="00C65CAA">
        <w:rPr>
          <w:rFonts w:ascii="Arial Narrow" w:hAnsi="Arial Narrow"/>
          <w:sz w:val="22"/>
          <w:szCs w:val="22"/>
        </w:rPr>
        <w:t xml:space="preserve">slobodenie bude platiť aj na už existujúce spoločnosti. </w:t>
      </w:r>
      <w:r w:rsidRPr="00C65CAA">
        <w:rPr>
          <w:rFonts w:ascii="Arial Narrow" w:hAnsi="Arial Narrow"/>
          <w:sz w:val="22"/>
          <w:szCs w:val="22"/>
        </w:rPr>
        <w:t>Možno konštatovať, že touto novelou sa pootvorili ďalšie medzery na m</w:t>
      </w:r>
      <w:r w:rsidR="00EA24BE" w:rsidRPr="00C65CAA">
        <w:rPr>
          <w:rFonts w:ascii="Arial Narrow" w:hAnsi="Arial Narrow"/>
          <w:sz w:val="22"/>
          <w:szCs w:val="22"/>
        </w:rPr>
        <w:t>ožný únik z daňových povinností</w:t>
      </w:r>
      <w:r w:rsidRPr="00C65CAA">
        <w:rPr>
          <w:rFonts w:ascii="Arial Narrow" w:hAnsi="Arial Narrow"/>
          <w:sz w:val="22"/>
          <w:szCs w:val="22"/>
        </w:rPr>
        <w:t>. Je aj diskutabilné, pre koho je táto novela potrebná. Väčšina podnikateľov vlastní svoje spoločnosti dlhodobo, preto časové kritérium mohlo by</w:t>
      </w:r>
      <w:r w:rsidR="00116B8F" w:rsidRPr="00C65CAA">
        <w:rPr>
          <w:rFonts w:ascii="Arial Narrow" w:hAnsi="Arial Narrow"/>
          <w:sz w:val="22"/>
          <w:szCs w:val="22"/>
        </w:rPr>
        <w:t>ť</w:t>
      </w:r>
      <w:r w:rsidRPr="00C65CAA">
        <w:rPr>
          <w:rFonts w:ascii="Arial Narrow" w:hAnsi="Arial Narrow"/>
          <w:sz w:val="22"/>
          <w:szCs w:val="22"/>
        </w:rPr>
        <w:t xml:space="preserve"> nastavené prísnejšie. </w:t>
      </w:r>
    </w:p>
    <w:p w:rsidR="00EB05EC" w:rsidRPr="00C65CAA" w:rsidRDefault="00EA24BE" w:rsidP="00256AF8">
      <w:pPr>
        <w:spacing w:before="100" w:after="100"/>
        <w:ind w:firstLine="708"/>
        <w:jc w:val="both"/>
        <w:rPr>
          <w:rFonts w:ascii="Arial Narrow" w:hAnsi="Arial Narrow"/>
          <w:sz w:val="22"/>
          <w:szCs w:val="22"/>
        </w:rPr>
      </w:pPr>
      <w:r w:rsidRPr="00C65CAA">
        <w:rPr>
          <w:rFonts w:ascii="Arial Narrow" w:hAnsi="Arial Narrow"/>
          <w:sz w:val="22"/>
          <w:szCs w:val="22"/>
        </w:rPr>
        <w:t>Od roku 2014</w:t>
      </w:r>
      <w:r w:rsidR="00EB05EC" w:rsidRPr="00C65CAA">
        <w:rPr>
          <w:rFonts w:ascii="Arial Narrow" w:hAnsi="Arial Narrow"/>
          <w:sz w:val="22"/>
          <w:szCs w:val="22"/>
        </w:rPr>
        <w:t xml:space="preserve"> každý nov</w:t>
      </w:r>
      <w:r w:rsidR="00116B8F" w:rsidRPr="00C65CAA">
        <w:rPr>
          <w:rFonts w:ascii="Arial Narrow" w:hAnsi="Arial Narrow"/>
          <w:sz w:val="22"/>
          <w:szCs w:val="22"/>
        </w:rPr>
        <w:t>ý návrh rozpočtu priniesol s</w:t>
      </w:r>
      <w:r w:rsidR="00EB05EC" w:rsidRPr="00C65CAA">
        <w:rPr>
          <w:rFonts w:ascii="Arial Narrow" w:hAnsi="Arial Narrow"/>
          <w:sz w:val="22"/>
          <w:szCs w:val="22"/>
        </w:rPr>
        <w:t>o sebou v priemere 1</w:t>
      </w:r>
      <w:r w:rsidRPr="00C65CAA">
        <w:rPr>
          <w:rFonts w:ascii="Arial Narrow" w:hAnsi="Arial Narrow"/>
          <w:sz w:val="22"/>
          <w:szCs w:val="22"/>
        </w:rPr>
        <w:t>3 legislatívnych zmien v oblasti</w:t>
      </w:r>
      <w:r w:rsidR="00EB05EC" w:rsidRPr="00C65CAA">
        <w:rPr>
          <w:rFonts w:ascii="Arial Narrow" w:hAnsi="Arial Narrow"/>
          <w:sz w:val="22"/>
          <w:szCs w:val="22"/>
        </w:rPr>
        <w:t xml:space="preserve"> daní a odvodov. Frekvencia zmien prináša neistotu v podnikateľskom prostredí, komplikuje napríklad plánovanie projektov presahujúcich obdobie jedného roka. Nestabilita a neprehľadnosť majú</w:t>
      </w:r>
      <w:r w:rsidRPr="00C65CAA">
        <w:rPr>
          <w:rFonts w:ascii="Arial Narrow" w:hAnsi="Arial Narrow"/>
          <w:sz w:val="22"/>
          <w:szCs w:val="22"/>
        </w:rPr>
        <w:t xml:space="preserve"> za následok tvorbu nákladov na </w:t>
      </w:r>
      <w:r w:rsidR="00EB05EC" w:rsidRPr="00C65CAA">
        <w:rPr>
          <w:rFonts w:ascii="Arial Narrow" w:hAnsi="Arial Narrow"/>
          <w:sz w:val="22"/>
        </w:rPr>
        <w:t>poradenské služby, čo ovplyvňuje výkon firiem na Slovensku a znižuje ich investičný potenciál.</w:t>
      </w:r>
    </w:p>
    <w:p w:rsidR="006C2FC9" w:rsidRPr="00C65CAA" w:rsidRDefault="006C2FC9" w:rsidP="00256AF8">
      <w:pPr>
        <w:spacing w:before="100" w:after="100"/>
        <w:ind w:firstLine="708"/>
        <w:jc w:val="both"/>
        <w:rPr>
          <w:rFonts w:ascii="Arial Narrow" w:hAnsi="Arial Narrow"/>
          <w:sz w:val="22"/>
        </w:rPr>
      </w:pPr>
      <w:r w:rsidRPr="00C65CAA">
        <w:rPr>
          <w:rFonts w:ascii="Arial Narrow" w:hAnsi="Arial Narrow"/>
          <w:sz w:val="22"/>
        </w:rPr>
        <w:t>Porovnanie prognózy daňových a odvodových príjmov VS (bez sankcií) na rok 2019 s očakávanou skutočnosťou za rok 2018</w:t>
      </w:r>
      <w:r w:rsidR="001D2AD7" w:rsidRPr="00C65CAA">
        <w:rPr>
          <w:rFonts w:ascii="Arial Narrow" w:hAnsi="Arial Narrow"/>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52"/>
        <w:gridCol w:w="1138"/>
        <w:gridCol w:w="993"/>
        <w:gridCol w:w="993"/>
        <w:gridCol w:w="993"/>
        <w:gridCol w:w="894"/>
      </w:tblGrid>
      <w:tr w:rsidR="006C2FC9" w:rsidRPr="00C65CAA" w:rsidTr="00035217">
        <w:trPr>
          <w:trHeight w:val="170"/>
          <w:tblHeader/>
        </w:trPr>
        <w:tc>
          <w:tcPr>
            <w:tcW w:w="2235" w:type="pct"/>
            <w:tcBorders>
              <w:right w:val="single" w:sz="4" w:space="0" w:color="FFFFFF" w:themeColor="background1"/>
            </w:tcBorders>
            <w:shd w:val="clear" w:color="000000" w:fill="0070C0"/>
            <w:vAlign w:val="center"/>
            <w:hideMark/>
          </w:tcPr>
          <w:p w:rsidR="006C2FC9" w:rsidRPr="00C65CAA" w:rsidRDefault="006C2FC9" w:rsidP="009879BE">
            <w:pPr>
              <w:jc w:val="center"/>
              <w:rPr>
                <w:rFonts w:ascii="Arial Narrow" w:hAnsi="Arial Narrow"/>
                <w:b/>
                <w:bCs/>
                <w:color w:val="FFFFFF"/>
                <w:sz w:val="20"/>
                <w:szCs w:val="20"/>
              </w:rPr>
            </w:pPr>
            <w:r w:rsidRPr="00C65CAA">
              <w:rPr>
                <w:rFonts w:ascii="Arial Narrow" w:hAnsi="Arial Narrow"/>
                <w:b/>
                <w:bCs/>
                <w:color w:val="FFFFFF"/>
                <w:sz w:val="20"/>
                <w:szCs w:val="20"/>
              </w:rPr>
              <w:t>Ukazovateľ (ESA 2010, v tis. eur)</w:t>
            </w:r>
          </w:p>
        </w:tc>
        <w:tc>
          <w:tcPr>
            <w:tcW w:w="628" w:type="pct"/>
            <w:tcBorders>
              <w:left w:val="single" w:sz="4" w:space="0" w:color="FFFFFF" w:themeColor="background1"/>
              <w:right w:val="single" w:sz="4" w:space="0" w:color="FFFFFF" w:themeColor="background1"/>
            </w:tcBorders>
            <w:shd w:val="clear" w:color="000000" w:fill="0070C0"/>
            <w:vAlign w:val="center"/>
            <w:hideMark/>
          </w:tcPr>
          <w:p w:rsidR="006C2FC9" w:rsidRPr="00C65CAA" w:rsidRDefault="006C2FC9" w:rsidP="009879BE">
            <w:pPr>
              <w:jc w:val="center"/>
              <w:rPr>
                <w:rFonts w:ascii="Arial Narrow" w:hAnsi="Arial Narrow"/>
                <w:b/>
                <w:bCs/>
                <w:color w:val="FFFFFF"/>
                <w:sz w:val="20"/>
                <w:szCs w:val="20"/>
              </w:rPr>
            </w:pPr>
            <w:r w:rsidRPr="00C65CAA">
              <w:rPr>
                <w:rFonts w:ascii="Arial Narrow" w:hAnsi="Arial Narrow"/>
                <w:b/>
                <w:bCs/>
                <w:color w:val="FFFFFF"/>
                <w:sz w:val="20"/>
                <w:szCs w:val="20"/>
              </w:rPr>
              <w:t>2017 Skutočnosť</w:t>
            </w:r>
          </w:p>
        </w:tc>
        <w:tc>
          <w:tcPr>
            <w:tcW w:w="548" w:type="pct"/>
            <w:tcBorders>
              <w:left w:val="single" w:sz="4" w:space="0" w:color="FFFFFF" w:themeColor="background1"/>
              <w:right w:val="single" w:sz="4" w:space="0" w:color="FFFFFF" w:themeColor="background1"/>
            </w:tcBorders>
            <w:shd w:val="clear" w:color="000000" w:fill="0070C0"/>
            <w:vAlign w:val="center"/>
            <w:hideMark/>
          </w:tcPr>
          <w:p w:rsidR="006C2FC9" w:rsidRPr="00C65CAA" w:rsidRDefault="006C2FC9" w:rsidP="009879BE">
            <w:pPr>
              <w:jc w:val="center"/>
              <w:rPr>
                <w:rFonts w:ascii="Arial Narrow" w:hAnsi="Arial Narrow"/>
                <w:b/>
                <w:bCs/>
                <w:color w:val="FFFFFF"/>
                <w:sz w:val="20"/>
                <w:szCs w:val="20"/>
              </w:rPr>
            </w:pPr>
            <w:r w:rsidRPr="00C65CAA">
              <w:rPr>
                <w:rFonts w:ascii="Arial Narrow" w:hAnsi="Arial Narrow"/>
                <w:b/>
                <w:bCs/>
                <w:color w:val="FFFFFF"/>
                <w:sz w:val="20"/>
                <w:szCs w:val="20"/>
              </w:rPr>
              <w:t>2018 OS</w:t>
            </w:r>
          </w:p>
        </w:tc>
        <w:tc>
          <w:tcPr>
            <w:tcW w:w="548" w:type="pct"/>
            <w:tcBorders>
              <w:left w:val="single" w:sz="4" w:space="0" w:color="FFFFFF" w:themeColor="background1"/>
              <w:right w:val="single" w:sz="4" w:space="0" w:color="FFFFFF" w:themeColor="background1"/>
            </w:tcBorders>
            <w:shd w:val="clear" w:color="000000" w:fill="0070C0"/>
            <w:vAlign w:val="center"/>
            <w:hideMark/>
          </w:tcPr>
          <w:p w:rsidR="006C2FC9" w:rsidRPr="00C65CAA" w:rsidRDefault="006C2FC9" w:rsidP="009879BE">
            <w:pPr>
              <w:jc w:val="center"/>
              <w:rPr>
                <w:rFonts w:ascii="Arial Narrow" w:hAnsi="Arial Narrow"/>
                <w:b/>
                <w:bCs/>
                <w:color w:val="FFFFFF"/>
                <w:sz w:val="20"/>
                <w:szCs w:val="20"/>
              </w:rPr>
            </w:pPr>
            <w:r w:rsidRPr="00C65CAA">
              <w:rPr>
                <w:rFonts w:ascii="Arial Narrow" w:hAnsi="Arial Narrow"/>
                <w:b/>
                <w:bCs/>
                <w:color w:val="FFFFFF"/>
                <w:sz w:val="20"/>
                <w:szCs w:val="20"/>
              </w:rPr>
              <w:t>2019 RVS</w:t>
            </w:r>
          </w:p>
        </w:tc>
        <w:tc>
          <w:tcPr>
            <w:tcW w:w="548" w:type="pct"/>
            <w:tcBorders>
              <w:left w:val="single" w:sz="4" w:space="0" w:color="FFFFFF" w:themeColor="background1"/>
              <w:right w:val="single" w:sz="4" w:space="0" w:color="FFFFFF" w:themeColor="background1"/>
            </w:tcBorders>
            <w:shd w:val="clear" w:color="000000" w:fill="0070C0"/>
            <w:vAlign w:val="center"/>
            <w:hideMark/>
          </w:tcPr>
          <w:p w:rsidR="006C2FC9" w:rsidRPr="00C65CAA" w:rsidRDefault="006C2FC9" w:rsidP="009879BE">
            <w:pPr>
              <w:jc w:val="center"/>
              <w:rPr>
                <w:rFonts w:ascii="Arial Narrow" w:hAnsi="Arial Narrow"/>
                <w:b/>
                <w:bCs/>
                <w:color w:val="FFFFFF"/>
                <w:sz w:val="20"/>
                <w:szCs w:val="20"/>
              </w:rPr>
            </w:pPr>
            <w:r w:rsidRPr="00C65CAA">
              <w:rPr>
                <w:rFonts w:ascii="Arial Narrow" w:hAnsi="Arial Narrow"/>
                <w:b/>
                <w:bCs/>
                <w:color w:val="FFFFFF"/>
                <w:sz w:val="20"/>
                <w:szCs w:val="20"/>
              </w:rPr>
              <w:t>Rozdiel 2019 RVS</w:t>
            </w:r>
            <w:r w:rsidR="00B82220" w:rsidRPr="00C65CAA">
              <w:rPr>
                <w:rFonts w:ascii="Arial Narrow" w:hAnsi="Arial Narrow"/>
                <w:b/>
                <w:bCs/>
                <w:color w:val="FFFFFF"/>
                <w:sz w:val="20"/>
                <w:szCs w:val="20"/>
              </w:rPr>
              <w:t xml:space="preserve"> </w:t>
            </w:r>
            <w:r w:rsidRPr="00C65CAA">
              <w:rPr>
                <w:rFonts w:ascii="Arial Narrow" w:hAnsi="Arial Narrow"/>
                <w:b/>
                <w:bCs/>
                <w:color w:val="FFFFFF"/>
                <w:sz w:val="20"/>
                <w:szCs w:val="20"/>
              </w:rPr>
              <w:t>-2018 OS</w:t>
            </w:r>
          </w:p>
        </w:tc>
        <w:tc>
          <w:tcPr>
            <w:tcW w:w="493" w:type="pct"/>
            <w:tcBorders>
              <w:left w:val="single" w:sz="4" w:space="0" w:color="FFFFFF" w:themeColor="background1"/>
            </w:tcBorders>
            <w:shd w:val="clear" w:color="000000" w:fill="0070C0"/>
            <w:vAlign w:val="center"/>
            <w:hideMark/>
          </w:tcPr>
          <w:p w:rsidR="006C2FC9" w:rsidRPr="00C65CAA" w:rsidRDefault="006C2FC9" w:rsidP="009879BE">
            <w:pPr>
              <w:jc w:val="center"/>
              <w:rPr>
                <w:rFonts w:ascii="Arial Narrow" w:hAnsi="Arial Narrow"/>
                <w:b/>
                <w:bCs/>
                <w:color w:val="FFFFFF"/>
                <w:sz w:val="20"/>
                <w:szCs w:val="20"/>
              </w:rPr>
            </w:pPr>
            <w:r w:rsidRPr="00C65CAA">
              <w:rPr>
                <w:rFonts w:ascii="Arial Narrow" w:hAnsi="Arial Narrow"/>
                <w:b/>
                <w:bCs/>
                <w:color w:val="FFFFFF"/>
                <w:sz w:val="20"/>
                <w:szCs w:val="20"/>
              </w:rPr>
              <w:t>Podiel</w:t>
            </w:r>
          </w:p>
          <w:p w:rsidR="006C2FC9" w:rsidRPr="00C65CAA" w:rsidRDefault="006C2FC9" w:rsidP="009879BE">
            <w:pPr>
              <w:jc w:val="center"/>
              <w:rPr>
                <w:rFonts w:ascii="Arial Narrow" w:hAnsi="Arial Narrow"/>
                <w:b/>
                <w:bCs/>
                <w:color w:val="FFFFFF"/>
                <w:sz w:val="20"/>
                <w:szCs w:val="20"/>
              </w:rPr>
            </w:pPr>
            <w:r w:rsidRPr="00C65CAA">
              <w:rPr>
                <w:rFonts w:ascii="Arial Narrow" w:hAnsi="Arial Narrow"/>
                <w:b/>
                <w:bCs/>
                <w:color w:val="FFFFFF"/>
                <w:sz w:val="20"/>
                <w:szCs w:val="20"/>
              </w:rPr>
              <w:t>v  %</w:t>
            </w:r>
          </w:p>
        </w:tc>
      </w:tr>
      <w:tr w:rsidR="006C2FC9" w:rsidRPr="00C65CAA" w:rsidTr="00035217">
        <w:trPr>
          <w:trHeight w:val="170"/>
          <w:tblHeader/>
        </w:trPr>
        <w:tc>
          <w:tcPr>
            <w:tcW w:w="2235" w:type="pct"/>
            <w:shd w:val="clear" w:color="auto" w:fill="auto"/>
            <w:noWrap/>
            <w:vAlign w:val="center"/>
          </w:tcPr>
          <w:p w:rsidR="006C2FC9" w:rsidRPr="00C65CAA" w:rsidRDefault="006C2FC9" w:rsidP="009879BE">
            <w:pPr>
              <w:jc w:val="center"/>
              <w:rPr>
                <w:rFonts w:ascii="Arial Narrow" w:hAnsi="Arial Narrow"/>
                <w:bCs/>
                <w:color w:val="000000"/>
                <w:sz w:val="20"/>
                <w:szCs w:val="20"/>
              </w:rPr>
            </w:pPr>
            <w:r w:rsidRPr="00C65CAA">
              <w:rPr>
                <w:rFonts w:ascii="Arial Narrow" w:hAnsi="Arial Narrow"/>
                <w:bCs/>
                <w:color w:val="000000"/>
                <w:sz w:val="20"/>
                <w:szCs w:val="20"/>
              </w:rPr>
              <w:t>a</w:t>
            </w:r>
          </w:p>
        </w:tc>
        <w:tc>
          <w:tcPr>
            <w:tcW w:w="628" w:type="pct"/>
            <w:shd w:val="clear" w:color="auto" w:fill="auto"/>
            <w:noWrap/>
            <w:vAlign w:val="center"/>
          </w:tcPr>
          <w:p w:rsidR="006C2FC9" w:rsidRPr="00C65CAA" w:rsidRDefault="006C2FC9" w:rsidP="009879BE">
            <w:pPr>
              <w:jc w:val="center"/>
              <w:rPr>
                <w:rFonts w:ascii="Arial Narrow" w:hAnsi="Arial Narrow"/>
                <w:bCs/>
                <w:color w:val="000000"/>
                <w:sz w:val="20"/>
                <w:szCs w:val="20"/>
              </w:rPr>
            </w:pPr>
            <w:r w:rsidRPr="00C65CAA">
              <w:rPr>
                <w:rFonts w:ascii="Arial Narrow" w:hAnsi="Arial Narrow"/>
                <w:bCs/>
                <w:color w:val="000000"/>
                <w:sz w:val="20"/>
                <w:szCs w:val="20"/>
              </w:rPr>
              <w:t>1</w:t>
            </w:r>
          </w:p>
        </w:tc>
        <w:tc>
          <w:tcPr>
            <w:tcW w:w="548" w:type="pct"/>
            <w:shd w:val="clear" w:color="auto" w:fill="auto"/>
            <w:noWrap/>
            <w:vAlign w:val="center"/>
          </w:tcPr>
          <w:p w:rsidR="006C2FC9" w:rsidRPr="00C65CAA" w:rsidRDefault="006C2FC9" w:rsidP="009879BE">
            <w:pPr>
              <w:jc w:val="center"/>
              <w:rPr>
                <w:rFonts w:ascii="Arial Narrow" w:hAnsi="Arial Narrow"/>
                <w:bCs/>
                <w:color w:val="000000"/>
                <w:sz w:val="20"/>
                <w:szCs w:val="20"/>
              </w:rPr>
            </w:pPr>
            <w:r w:rsidRPr="00C65CAA">
              <w:rPr>
                <w:rFonts w:ascii="Arial Narrow" w:hAnsi="Arial Narrow"/>
                <w:bCs/>
                <w:color w:val="000000"/>
                <w:sz w:val="20"/>
                <w:szCs w:val="20"/>
              </w:rPr>
              <w:t>2</w:t>
            </w:r>
          </w:p>
        </w:tc>
        <w:tc>
          <w:tcPr>
            <w:tcW w:w="548" w:type="pct"/>
            <w:shd w:val="clear" w:color="auto" w:fill="auto"/>
            <w:noWrap/>
            <w:vAlign w:val="center"/>
          </w:tcPr>
          <w:p w:rsidR="006C2FC9" w:rsidRPr="00C65CAA" w:rsidRDefault="006C2FC9" w:rsidP="009879BE">
            <w:pPr>
              <w:jc w:val="center"/>
              <w:rPr>
                <w:rFonts w:ascii="Arial Narrow" w:hAnsi="Arial Narrow"/>
                <w:bCs/>
                <w:color w:val="000000"/>
                <w:sz w:val="20"/>
                <w:szCs w:val="20"/>
              </w:rPr>
            </w:pPr>
            <w:r w:rsidRPr="00C65CAA">
              <w:rPr>
                <w:rFonts w:ascii="Arial Narrow" w:hAnsi="Arial Narrow"/>
                <w:bCs/>
                <w:color w:val="000000"/>
                <w:sz w:val="20"/>
                <w:szCs w:val="20"/>
              </w:rPr>
              <w:t>3</w:t>
            </w:r>
          </w:p>
        </w:tc>
        <w:tc>
          <w:tcPr>
            <w:tcW w:w="548" w:type="pct"/>
            <w:shd w:val="clear" w:color="auto" w:fill="auto"/>
            <w:noWrap/>
            <w:vAlign w:val="bottom"/>
          </w:tcPr>
          <w:p w:rsidR="006C2FC9" w:rsidRPr="00C65CAA" w:rsidRDefault="006C2FC9" w:rsidP="009879BE">
            <w:pPr>
              <w:jc w:val="center"/>
              <w:rPr>
                <w:rFonts w:ascii="Arial Narrow" w:hAnsi="Arial Narrow"/>
                <w:bCs/>
                <w:color w:val="000000"/>
                <w:sz w:val="20"/>
                <w:szCs w:val="20"/>
              </w:rPr>
            </w:pPr>
            <w:r w:rsidRPr="00C65CAA">
              <w:rPr>
                <w:rFonts w:ascii="Arial Narrow" w:hAnsi="Arial Narrow"/>
                <w:bCs/>
                <w:color w:val="000000"/>
                <w:sz w:val="20"/>
                <w:szCs w:val="20"/>
              </w:rPr>
              <w:t>4=3-2</w:t>
            </w:r>
          </w:p>
        </w:tc>
        <w:tc>
          <w:tcPr>
            <w:tcW w:w="493" w:type="pct"/>
            <w:shd w:val="clear" w:color="auto" w:fill="auto"/>
            <w:noWrap/>
            <w:vAlign w:val="bottom"/>
          </w:tcPr>
          <w:p w:rsidR="006C2FC9" w:rsidRPr="00C65CAA" w:rsidRDefault="00CD4C07" w:rsidP="009879BE">
            <w:pPr>
              <w:jc w:val="center"/>
              <w:rPr>
                <w:rFonts w:ascii="Arial Narrow" w:hAnsi="Arial Narrow"/>
                <w:bCs/>
                <w:color w:val="000000"/>
                <w:sz w:val="20"/>
                <w:szCs w:val="20"/>
              </w:rPr>
            </w:pPr>
            <w:r>
              <w:rPr>
                <w:rFonts w:ascii="Arial Narrow" w:hAnsi="Arial Narrow"/>
                <w:bCs/>
                <w:color w:val="000000"/>
                <w:sz w:val="20"/>
                <w:szCs w:val="20"/>
              </w:rPr>
              <w:t>5=100*4</w:t>
            </w:r>
            <w:r w:rsidR="006C2FC9" w:rsidRPr="00C65CAA">
              <w:rPr>
                <w:rFonts w:ascii="Arial Narrow" w:hAnsi="Arial Narrow"/>
                <w:bCs/>
                <w:color w:val="000000"/>
                <w:sz w:val="20"/>
                <w:szCs w:val="20"/>
              </w:rPr>
              <w:t>/2</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rPr>
                <w:rFonts w:ascii="Arial Narrow" w:hAnsi="Arial Narrow"/>
                <w:b/>
                <w:bCs/>
                <w:color w:val="000000"/>
                <w:sz w:val="20"/>
                <w:szCs w:val="20"/>
              </w:rPr>
            </w:pPr>
            <w:r w:rsidRPr="00C65CAA">
              <w:rPr>
                <w:rFonts w:ascii="Arial Narrow" w:hAnsi="Arial Narrow"/>
                <w:b/>
                <w:bCs/>
                <w:color w:val="000000"/>
                <w:sz w:val="20"/>
                <w:szCs w:val="20"/>
              </w:rPr>
              <w:t>Dane z príjmov, ziskov a kapitálového majetku</w:t>
            </w:r>
          </w:p>
        </w:tc>
        <w:tc>
          <w:tcPr>
            <w:tcW w:w="62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5 809 893</w:t>
            </w:r>
          </w:p>
        </w:tc>
        <w:tc>
          <w:tcPr>
            <w:tcW w:w="54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6 160 472</w:t>
            </w:r>
          </w:p>
        </w:tc>
        <w:tc>
          <w:tcPr>
            <w:tcW w:w="54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6 562 689</w:t>
            </w:r>
          </w:p>
        </w:tc>
        <w:tc>
          <w:tcPr>
            <w:tcW w:w="54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402 217</w:t>
            </w:r>
          </w:p>
        </w:tc>
        <w:tc>
          <w:tcPr>
            <w:tcW w:w="493"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6,5</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200" w:firstLine="400"/>
              <w:rPr>
                <w:rFonts w:ascii="Arial Narrow" w:hAnsi="Arial Narrow"/>
                <w:color w:val="000000"/>
                <w:sz w:val="20"/>
                <w:szCs w:val="20"/>
              </w:rPr>
            </w:pPr>
            <w:r w:rsidRPr="00C65CAA">
              <w:rPr>
                <w:rFonts w:ascii="Arial Narrow" w:hAnsi="Arial Narrow"/>
                <w:color w:val="000000"/>
                <w:sz w:val="20"/>
                <w:szCs w:val="20"/>
              </w:rPr>
              <w:t xml:space="preserve">Daň z príjmov fyzických osôb </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2 855 910</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3 189 633</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3 426 902</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237 269</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7,4</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400" w:firstLine="800"/>
              <w:rPr>
                <w:rFonts w:ascii="Arial Narrow" w:hAnsi="Arial Narrow"/>
                <w:color w:val="000000"/>
                <w:sz w:val="20"/>
                <w:szCs w:val="20"/>
              </w:rPr>
            </w:pPr>
            <w:r w:rsidRPr="00C65CAA">
              <w:rPr>
                <w:rFonts w:ascii="Arial Narrow" w:hAnsi="Arial Narrow"/>
                <w:color w:val="000000"/>
                <w:sz w:val="20"/>
                <w:szCs w:val="20"/>
              </w:rPr>
              <w:t>DPFO zo závislej činnosti</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2 746 625</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3 075 325</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3 307 288</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231 963</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7,5</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400" w:firstLine="800"/>
              <w:rPr>
                <w:rFonts w:ascii="Arial Narrow" w:hAnsi="Arial Narrow"/>
                <w:color w:val="000000"/>
                <w:sz w:val="20"/>
                <w:szCs w:val="20"/>
              </w:rPr>
            </w:pPr>
            <w:r w:rsidRPr="00C65CAA">
              <w:rPr>
                <w:rFonts w:ascii="Arial Narrow" w:hAnsi="Arial Narrow"/>
                <w:color w:val="000000"/>
                <w:sz w:val="20"/>
                <w:szCs w:val="20"/>
              </w:rPr>
              <w:t>DPFO z podnikania</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109 285</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114 308</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119 614</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5 306</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4,6</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200" w:firstLine="400"/>
              <w:rPr>
                <w:rFonts w:ascii="Arial Narrow" w:hAnsi="Arial Narrow"/>
                <w:color w:val="000000"/>
                <w:sz w:val="20"/>
                <w:szCs w:val="20"/>
              </w:rPr>
            </w:pPr>
            <w:r w:rsidRPr="00C65CAA">
              <w:rPr>
                <w:rFonts w:ascii="Arial Narrow" w:hAnsi="Arial Narrow"/>
                <w:color w:val="000000"/>
                <w:sz w:val="20"/>
                <w:szCs w:val="20"/>
              </w:rPr>
              <w:t xml:space="preserve">                  do štátneho rozpočtu</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287 994</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345 462</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316 571</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-28 891</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-8,4</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200" w:firstLine="400"/>
              <w:rPr>
                <w:rFonts w:ascii="Arial Narrow" w:hAnsi="Arial Narrow"/>
                <w:color w:val="000000"/>
                <w:sz w:val="20"/>
                <w:szCs w:val="20"/>
              </w:rPr>
            </w:pPr>
            <w:r w:rsidRPr="00C65CAA">
              <w:rPr>
                <w:rFonts w:ascii="Arial Narrow" w:hAnsi="Arial Narrow"/>
                <w:color w:val="000000"/>
                <w:sz w:val="20"/>
                <w:szCs w:val="20"/>
              </w:rPr>
              <w:t xml:space="preserve">                  do obcí</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1 797 541</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1 990 920</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2 177 231</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186 311</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9,4</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200" w:firstLine="400"/>
              <w:rPr>
                <w:rFonts w:ascii="Arial Narrow" w:hAnsi="Arial Narrow"/>
                <w:color w:val="000000"/>
                <w:sz w:val="20"/>
                <w:szCs w:val="20"/>
              </w:rPr>
            </w:pPr>
            <w:r w:rsidRPr="00C65CAA">
              <w:rPr>
                <w:rFonts w:ascii="Arial Narrow" w:hAnsi="Arial Narrow"/>
                <w:color w:val="000000"/>
                <w:sz w:val="20"/>
                <w:szCs w:val="20"/>
              </w:rPr>
              <w:t xml:space="preserve">                  do VÚC</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770 375</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853 251</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933 100</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79 849</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9,4</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200" w:firstLine="400"/>
              <w:rPr>
                <w:rFonts w:ascii="Arial Narrow" w:hAnsi="Arial Narrow"/>
                <w:color w:val="000000"/>
                <w:sz w:val="20"/>
                <w:szCs w:val="20"/>
              </w:rPr>
            </w:pPr>
            <w:r w:rsidRPr="00C65CAA">
              <w:rPr>
                <w:rFonts w:ascii="Arial Narrow" w:hAnsi="Arial Narrow"/>
                <w:color w:val="000000"/>
                <w:sz w:val="20"/>
                <w:szCs w:val="20"/>
              </w:rPr>
              <w:t xml:space="preserve">Daň z príjmov právnických osôb </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2 775 552</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2 741 091</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2 900 148</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159 057</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5,8</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200" w:firstLine="400"/>
              <w:rPr>
                <w:rFonts w:ascii="Arial Narrow" w:hAnsi="Arial Narrow"/>
                <w:color w:val="000000"/>
                <w:sz w:val="20"/>
                <w:szCs w:val="20"/>
              </w:rPr>
            </w:pPr>
            <w:r w:rsidRPr="00C65CAA">
              <w:rPr>
                <w:rFonts w:ascii="Arial Narrow" w:hAnsi="Arial Narrow"/>
                <w:color w:val="000000"/>
                <w:sz w:val="20"/>
                <w:szCs w:val="20"/>
              </w:rPr>
              <w:t>Daň z príjmov vyberaná zrážkou</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178 431</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229 748</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235 639</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5 891</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2,6</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rPr>
                <w:rFonts w:ascii="Arial Narrow" w:hAnsi="Arial Narrow"/>
                <w:b/>
                <w:bCs/>
                <w:color w:val="000000"/>
                <w:sz w:val="20"/>
                <w:szCs w:val="20"/>
              </w:rPr>
            </w:pPr>
            <w:r w:rsidRPr="00C65CAA">
              <w:rPr>
                <w:rFonts w:ascii="Arial Narrow" w:hAnsi="Arial Narrow"/>
                <w:b/>
                <w:bCs/>
                <w:color w:val="000000"/>
                <w:sz w:val="20"/>
                <w:szCs w:val="20"/>
              </w:rPr>
              <w:t>Dane na tovary a služby</w:t>
            </w:r>
          </w:p>
        </w:tc>
        <w:tc>
          <w:tcPr>
            <w:tcW w:w="62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8 167 391</w:t>
            </w:r>
          </w:p>
        </w:tc>
        <w:tc>
          <w:tcPr>
            <w:tcW w:w="54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8 676 860</w:t>
            </w:r>
          </w:p>
        </w:tc>
        <w:tc>
          <w:tcPr>
            <w:tcW w:w="54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9 090 089</w:t>
            </w:r>
          </w:p>
        </w:tc>
        <w:tc>
          <w:tcPr>
            <w:tcW w:w="54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413 229</w:t>
            </w:r>
          </w:p>
        </w:tc>
        <w:tc>
          <w:tcPr>
            <w:tcW w:w="493"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4,8</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200" w:firstLine="400"/>
              <w:rPr>
                <w:rFonts w:ascii="Arial Narrow" w:hAnsi="Arial Narrow"/>
                <w:color w:val="000000"/>
                <w:sz w:val="20"/>
                <w:szCs w:val="20"/>
              </w:rPr>
            </w:pPr>
            <w:r w:rsidRPr="00C65CAA">
              <w:rPr>
                <w:rFonts w:ascii="Arial Narrow" w:hAnsi="Arial Narrow"/>
                <w:color w:val="000000"/>
                <w:sz w:val="20"/>
                <w:szCs w:val="20"/>
              </w:rPr>
              <w:t>Daň z pridanej hodnoty</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5 916 502</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6 349 511</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6 663 664</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314 153</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4,9</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200" w:firstLine="400"/>
              <w:rPr>
                <w:rFonts w:ascii="Arial Narrow" w:hAnsi="Arial Narrow"/>
                <w:color w:val="000000"/>
                <w:sz w:val="20"/>
                <w:szCs w:val="20"/>
              </w:rPr>
            </w:pPr>
            <w:r w:rsidRPr="00C65CAA">
              <w:rPr>
                <w:rFonts w:ascii="Arial Narrow" w:hAnsi="Arial Narrow"/>
                <w:color w:val="000000"/>
                <w:sz w:val="20"/>
                <w:szCs w:val="20"/>
              </w:rPr>
              <w:t>Spotrebné dane</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2 250 888</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2 327 349</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2 426 425</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99 076</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4,3</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400" w:firstLine="800"/>
              <w:rPr>
                <w:rFonts w:ascii="Arial Narrow" w:hAnsi="Arial Narrow"/>
                <w:color w:val="000000"/>
                <w:sz w:val="20"/>
                <w:szCs w:val="20"/>
              </w:rPr>
            </w:pPr>
            <w:r w:rsidRPr="00C65CAA">
              <w:rPr>
                <w:rFonts w:ascii="Arial Narrow" w:hAnsi="Arial Narrow"/>
                <w:color w:val="000000"/>
                <w:sz w:val="20"/>
                <w:szCs w:val="20"/>
              </w:rPr>
              <w:t>Z minerálnych olejov</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1 229 542</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1 279 642</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1 337 220</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57 578</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4,5</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400" w:firstLine="800"/>
              <w:rPr>
                <w:rFonts w:ascii="Arial Narrow" w:hAnsi="Arial Narrow"/>
                <w:color w:val="000000"/>
                <w:sz w:val="20"/>
                <w:szCs w:val="20"/>
              </w:rPr>
            </w:pPr>
            <w:r w:rsidRPr="00C65CAA">
              <w:rPr>
                <w:rFonts w:ascii="Arial Narrow" w:hAnsi="Arial Narrow"/>
                <w:color w:val="000000"/>
                <w:sz w:val="20"/>
                <w:szCs w:val="20"/>
              </w:rPr>
              <w:t>Z liehu</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212 301</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218 582</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219 979</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1 397</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0,6</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400" w:firstLine="800"/>
              <w:rPr>
                <w:rFonts w:ascii="Arial Narrow" w:hAnsi="Arial Narrow"/>
                <w:color w:val="000000"/>
                <w:sz w:val="20"/>
                <w:szCs w:val="20"/>
              </w:rPr>
            </w:pPr>
            <w:r w:rsidRPr="00C65CAA">
              <w:rPr>
                <w:rFonts w:ascii="Arial Narrow" w:hAnsi="Arial Narrow"/>
                <w:color w:val="000000"/>
                <w:sz w:val="20"/>
                <w:szCs w:val="20"/>
              </w:rPr>
              <w:t>Z piva</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57 291</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59 840</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61 173</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1 333</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2,2</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400" w:firstLine="800"/>
              <w:rPr>
                <w:rFonts w:ascii="Arial Narrow" w:hAnsi="Arial Narrow"/>
                <w:color w:val="000000"/>
                <w:sz w:val="20"/>
                <w:szCs w:val="20"/>
              </w:rPr>
            </w:pPr>
            <w:r w:rsidRPr="00C65CAA">
              <w:rPr>
                <w:rFonts w:ascii="Arial Narrow" w:hAnsi="Arial Narrow"/>
                <w:color w:val="000000"/>
                <w:sz w:val="20"/>
                <w:szCs w:val="20"/>
              </w:rPr>
              <w:t>Z vína</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4 148</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4 557</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4 646</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89</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2,0</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400" w:firstLine="800"/>
              <w:rPr>
                <w:rFonts w:ascii="Arial Narrow" w:hAnsi="Arial Narrow"/>
                <w:color w:val="000000"/>
                <w:sz w:val="20"/>
                <w:szCs w:val="20"/>
              </w:rPr>
            </w:pPr>
            <w:r w:rsidRPr="00C65CAA">
              <w:rPr>
                <w:rFonts w:ascii="Arial Narrow" w:hAnsi="Arial Narrow"/>
                <w:color w:val="000000"/>
                <w:sz w:val="20"/>
                <w:szCs w:val="20"/>
              </w:rPr>
              <w:t>Z tabaku a tabakových výrobkov</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710 688</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728 048</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765 590</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37 542</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5,2</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400" w:firstLine="800"/>
              <w:rPr>
                <w:rFonts w:ascii="Arial Narrow" w:hAnsi="Arial Narrow"/>
                <w:color w:val="000000"/>
                <w:sz w:val="20"/>
                <w:szCs w:val="20"/>
              </w:rPr>
            </w:pPr>
            <w:r w:rsidRPr="00C65CAA">
              <w:rPr>
                <w:rFonts w:ascii="Arial Narrow" w:hAnsi="Arial Narrow"/>
                <w:color w:val="000000"/>
                <w:sz w:val="20"/>
                <w:szCs w:val="20"/>
              </w:rPr>
              <w:t>Z elektrickej energie</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11 175</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11 303</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11 632</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329</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2,9</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400" w:firstLine="800"/>
              <w:rPr>
                <w:rFonts w:ascii="Arial Narrow" w:hAnsi="Arial Narrow"/>
                <w:color w:val="000000"/>
                <w:sz w:val="20"/>
                <w:szCs w:val="20"/>
              </w:rPr>
            </w:pPr>
            <w:r w:rsidRPr="00C65CAA">
              <w:rPr>
                <w:rFonts w:ascii="Arial Narrow" w:hAnsi="Arial Narrow"/>
                <w:color w:val="000000"/>
                <w:sz w:val="20"/>
                <w:szCs w:val="20"/>
              </w:rPr>
              <w:t>Zo zemného plynu</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25 638</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24 980</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25 776</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796</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3,2</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400" w:firstLine="800"/>
              <w:rPr>
                <w:rFonts w:ascii="Arial Narrow" w:hAnsi="Arial Narrow"/>
                <w:color w:val="000000"/>
                <w:sz w:val="20"/>
                <w:szCs w:val="20"/>
              </w:rPr>
            </w:pPr>
            <w:r w:rsidRPr="00C65CAA">
              <w:rPr>
                <w:rFonts w:ascii="Arial Narrow" w:hAnsi="Arial Narrow"/>
                <w:color w:val="000000"/>
                <w:sz w:val="20"/>
                <w:szCs w:val="20"/>
              </w:rPr>
              <w:t>Z uhlia</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105</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397</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409</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12</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3,0</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rPr>
                <w:rFonts w:ascii="Arial Narrow" w:hAnsi="Arial Narrow"/>
                <w:b/>
                <w:bCs/>
                <w:color w:val="000000"/>
                <w:sz w:val="20"/>
                <w:szCs w:val="20"/>
              </w:rPr>
            </w:pPr>
            <w:r w:rsidRPr="00C65CAA">
              <w:rPr>
                <w:rFonts w:ascii="Arial Narrow" w:hAnsi="Arial Narrow"/>
                <w:b/>
                <w:bCs/>
                <w:color w:val="000000"/>
                <w:sz w:val="20"/>
                <w:szCs w:val="20"/>
              </w:rPr>
              <w:t>Dane z medzinárodného obchodu a transakcií</w:t>
            </w:r>
          </w:p>
        </w:tc>
        <w:tc>
          <w:tcPr>
            <w:tcW w:w="62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22 433</w:t>
            </w:r>
          </w:p>
        </w:tc>
        <w:tc>
          <w:tcPr>
            <w:tcW w:w="54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21 095</w:t>
            </w:r>
          </w:p>
        </w:tc>
        <w:tc>
          <w:tcPr>
            <w:tcW w:w="54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21 517</w:t>
            </w:r>
          </w:p>
        </w:tc>
        <w:tc>
          <w:tcPr>
            <w:tcW w:w="54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422</w:t>
            </w:r>
          </w:p>
        </w:tc>
        <w:tc>
          <w:tcPr>
            <w:tcW w:w="493"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2,0</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200" w:firstLine="400"/>
              <w:rPr>
                <w:rFonts w:ascii="Arial Narrow" w:hAnsi="Arial Narrow"/>
                <w:color w:val="000000"/>
                <w:sz w:val="20"/>
                <w:szCs w:val="20"/>
              </w:rPr>
            </w:pPr>
            <w:r w:rsidRPr="00C65CAA">
              <w:rPr>
                <w:rFonts w:ascii="Arial Narrow" w:hAnsi="Arial Narrow"/>
                <w:color w:val="000000"/>
                <w:sz w:val="20"/>
                <w:szCs w:val="20"/>
              </w:rPr>
              <w:t>Dovozné clo</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9</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0</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0</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0</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0,0</w:t>
            </w:r>
          </w:p>
        </w:tc>
      </w:tr>
      <w:tr w:rsidR="006C2FC9" w:rsidRPr="00C65CAA" w:rsidTr="00035217">
        <w:trPr>
          <w:trHeight w:val="113"/>
        </w:trPr>
        <w:tc>
          <w:tcPr>
            <w:tcW w:w="2235" w:type="pct"/>
            <w:shd w:val="clear" w:color="auto" w:fill="auto"/>
            <w:noWrap/>
            <w:vAlign w:val="center"/>
            <w:hideMark/>
          </w:tcPr>
          <w:p w:rsidR="006C2FC9" w:rsidRPr="00C65CAA" w:rsidRDefault="006C2FC9" w:rsidP="009879BE">
            <w:pPr>
              <w:ind w:firstLineChars="200" w:firstLine="400"/>
              <w:rPr>
                <w:rFonts w:ascii="Arial Narrow" w:hAnsi="Arial Narrow"/>
                <w:color w:val="000000"/>
                <w:sz w:val="20"/>
                <w:szCs w:val="20"/>
              </w:rPr>
            </w:pPr>
            <w:r w:rsidRPr="00C65CAA">
              <w:rPr>
                <w:rFonts w:ascii="Arial Narrow" w:hAnsi="Arial Narrow"/>
                <w:color w:val="000000"/>
                <w:sz w:val="20"/>
                <w:szCs w:val="20"/>
              </w:rPr>
              <w:t>Dovozná prirážka</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3</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0</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0</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0</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0,0</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200" w:firstLine="400"/>
              <w:rPr>
                <w:rFonts w:ascii="Arial Narrow" w:hAnsi="Arial Narrow"/>
                <w:color w:val="000000"/>
                <w:sz w:val="20"/>
                <w:szCs w:val="20"/>
              </w:rPr>
            </w:pPr>
            <w:r w:rsidRPr="00C65CAA">
              <w:rPr>
                <w:rFonts w:ascii="Arial Narrow" w:hAnsi="Arial Narrow"/>
                <w:color w:val="000000"/>
                <w:sz w:val="20"/>
                <w:szCs w:val="20"/>
              </w:rPr>
              <w:t>Podiel na vybraných finančných prostriedkoch</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22 420</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21 095</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21 517</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422</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2,0</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rPr>
                <w:rFonts w:ascii="Arial Narrow" w:hAnsi="Arial Narrow"/>
                <w:b/>
                <w:bCs/>
                <w:color w:val="000000"/>
                <w:sz w:val="20"/>
                <w:szCs w:val="20"/>
              </w:rPr>
            </w:pPr>
            <w:r w:rsidRPr="00C65CAA">
              <w:rPr>
                <w:rFonts w:ascii="Arial Narrow" w:hAnsi="Arial Narrow"/>
                <w:b/>
                <w:bCs/>
                <w:color w:val="000000"/>
                <w:sz w:val="20"/>
                <w:szCs w:val="20"/>
              </w:rPr>
              <w:t>Miestne dane</w:t>
            </w:r>
          </w:p>
        </w:tc>
        <w:tc>
          <w:tcPr>
            <w:tcW w:w="62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544 083</w:t>
            </w:r>
          </w:p>
        </w:tc>
        <w:tc>
          <w:tcPr>
            <w:tcW w:w="54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567 974</w:t>
            </w:r>
          </w:p>
        </w:tc>
        <w:tc>
          <w:tcPr>
            <w:tcW w:w="54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573 032</w:t>
            </w:r>
          </w:p>
        </w:tc>
        <w:tc>
          <w:tcPr>
            <w:tcW w:w="54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5 058</w:t>
            </w:r>
          </w:p>
        </w:tc>
        <w:tc>
          <w:tcPr>
            <w:tcW w:w="493"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0,9</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200" w:firstLine="400"/>
              <w:rPr>
                <w:rFonts w:ascii="Arial Narrow" w:hAnsi="Arial Narrow"/>
                <w:color w:val="000000"/>
                <w:sz w:val="20"/>
                <w:szCs w:val="20"/>
              </w:rPr>
            </w:pPr>
            <w:r w:rsidRPr="00C65CAA">
              <w:rPr>
                <w:rFonts w:ascii="Arial Narrow" w:hAnsi="Arial Narrow"/>
                <w:color w:val="000000"/>
                <w:sz w:val="20"/>
                <w:szCs w:val="20"/>
              </w:rPr>
              <w:t>Daň z nehnuteľnosti</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347 899</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352 047</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358 985</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6 938</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2,0</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200" w:firstLine="400"/>
              <w:rPr>
                <w:rFonts w:ascii="Arial Narrow" w:hAnsi="Arial Narrow"/>
                <w:color w:val="000000"/>
                <w:sz w:val="20"/>
                <w:szCs w:val="20"/>
              </w:rPr>
            </w:pPr>
            <w:r w:rsidRPr="00C65CAA">
              <w:rPr>
                <w:rFonts w:ascii="Arial Narrow" w:hAnsi="Arial Narrow"/>
                <w:color w:val="000000"/>
                <w:sz w:val="20"/>
                <w:szCs w:val="20"/>
              </w:rPr>
              <w:t>Dane za špecifické služby</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196 184</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215 927</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214 047</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-1 880</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-0,9</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rPr>
                <w:rFonts w:ascii="Arial Narrow" w:hAnsi="Arial Narrow"/>
                <w:b/>
                <w:bCs/>
                <w:color w:val="000000"/>
                <w:sz w:val="20"/>
                <w:szCs w:val="20"/>
              </w:rPr>
            </w:pPr>
            <w:r w:rsidRPr="00C65CAA">
              <w:rPr>
                <w:rFonts w:ascii="Arial Narrow" w:hAnsi="Arial Narrow"/>
                <w:b/>
                <w:bCs/>
                <w:color w:val="000000"/>
                <w:sz w:val="20"/>
                <w:szCs w:val="20"/>
              </w:rPr>
              <w:t>Ostatné dane</w:t>
            </w:r>
          </w:p>
        </w:tc>
        <w:tc>
          <w:tcPr>
            <w:tcW w:w="628" w:type="pct"/>
            <w:shd w:val="clear" w:color="auto" w:fill="auto"/>
            <w:noWrap/>
            <w:vAlign w:val="center"/>
          </w:tcPr>
          <w:p w:rsidR="006C2FC9" w:rsidRPr="00C65CAA" w:rsidRDefault="00CD4C07" w:rsidP="009879BE">
            <w:pPr>
              <w:jc w:val="right"/>
              <w:rPr>
                <w:rFonts w:ascii="Arial Narrow" w:hAnsi="Arial Narrow"/>
                <w:b/>
                <w:bCs/>
                <w:color w:val="000000"/>
                <w:sz w:val="20"/>
                <w:szCs w:val="20"/>
              </w:rPr>
            </w:pPr>
            <w:r>
              <w:rPr>
                <w:rFonts w:ascii="Arial Narrow" w:hAnsi="Arial Narrow"/>
                <w:b/>
                <w:bCs/>
                <w:color w:val="000000"/>
                <w:sz w:val="20"/>
                <w:szCs w:val="20"/>
              </w:rPr>
              <w:t>541 636</w:t>
            </w:r>
          </w:p>
        </w:tc>
        <w:tc>
          <w:tcPr>
            <w:tcW w:w="548" w:type="pct"/>
            <w:shd w:val="clear" w:color="auto" w:fill="auto"/>
            <w:noWrap/>
            <w:vAlign w:val="center"/>
          </w:tcPr>
          <w:p w:rsidR="006C2FC9" w:rsidRPr="00C65CAA" w:rsidRDefault="00CD4C07" w:rsidP="009879BE">
            <w:pPr>
              <w:jc w:val="right"/>
              <w:rPr>
                <w:rFonts w:ascii="Arial Narrow" w:hAnsi="Arial Narrow"/>
                <w:b/>
                <w:bCs/>
                <w:color w:val="000000"/>
                <w:sz w:val="20"/>
                <w:szCs w:val="20"/>
              </w:rPr>
            </w:pPr>
            <w:r>
              <w:rPr>
                <w:rFonts w:ascii="Arial Narrow" w:hAnsi="Arial Narrow"/>
                <w:b/>
                <w:bCs/>
                <w:color w:val="000000"/>
                <w:sz w:val="20"/>
                <w:szCs w:val="20"/>
              </w:rPr>
              <w:t>595 903</w:t>
            </w:r>
          </w:p>
        </w:tc>
        <w:tc>
          <w:tcPr>
            <w:tcW w:w="54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651 923</w:t>
            </w:r>
          </w:p>
        </w:tc>
        <w:tc>
          <w:tcPr>
            <w:tcW w:w="54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56 030</w:t>
            </w:r>
          </w:p>
        </w:tc>
        <w:tc>
          <w:tcPr>
            <w:tcW w:w="493"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9,4</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200" w:firstLine="400"/>
              <w:rPr>
                <w:rFonts w:ascii="Arial Narrow" w:hAnsi="Arial Narrow"/>
                <w:color w:val="000000"/>
                <w:sz w:val="20"/>
                <w:szCs w:val="20"/>
              </w:rPr>
            </w:pPr>
            <w:r w:rsidRPr="00C65CAA">
              <w:rPr>
                <w:rFonts w:ascii="Arial Narrow" w:hAnsi="Arial Narrow"/>
                <w:color w:val="000000"/>
                <w:sz w:val="20"/>
                <w:szCs w:val="20"/>
              </w:rPr>
              <w:t xml:space="preserve">Daň z motorových vozidiel </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149 904</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159 567</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170 903</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11 336</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7,1</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200" w:firstLine="400"/>
              <w:rPr>
                <w:rFonts w:ascii="Arial Narrow" w:hAnsi="Arial Narrow"/>
                <w:color w:val="000000"/>
                <w:sz w:val="20"/>
                <w:szCs w:val="20"/>
              </w:rPr>
            </w:pPr>
            <w:r w:rsidRPr="00C65CAA">
              <w:rPr>
                <w:rFonts w:ascii="Arial Narrow" w:hAnsi="Arial Narrow"/>
                <w:color w:val="000000"/>
                <w:sz w:val="20"/>
                <w:szCs w:val="20"/>
              </w:rPr>
              <w:t>Osobitný odvod vybraných fin. inštitúcií</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127 284</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134 212</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143 076</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8 864</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6,6</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200" w:firstLine="400"/>
              <w:rPr>
                <w:rFonts w:ascii="Arial Narrow" w:hAnsi="Arial Narrow"/>
                <w:color w:val="000000"/>
                <w:sz w:val="20"/>
                <w:szCs w:val="20"/>
              </w:rPr>
            </w:pPr>
            <w:r w:rsidRPr="00C65CAA">
              <w:rPr>
                <w:rFonts w:ascii="Arial Narrow" w:hAnsi="Arial Narrow"/>
                <w:color w:val="000000"/>
                <w:sz w:val="20"/>
                <w:szCs w:val="20"/>
              </w:rPr>
              <w:t>Osobitný odvod z podnikania v reg. odvetviach</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165 294</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161 728</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125 452</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-36 276</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-22,4</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200" w:firstLine="400"/>
              <w:rPr>
                <w:rFonts w:ascii="Arial Narrow" w:hAnsi="Arial Narrow"/>
                <w:color w:val="000000"/>
                <w:sz w:val="20"/>
                <w:szCs w:val="20"/>
              </w:rPr>
            </w:pPr>
            <w:r w:rsidRPr="00C65CAA">
              <w:rPr>
                <w:rFonts w:ascii="Arial Narrow" w:hAnsi="Arial Narrow"/>
                <w:color w:val="000000"/>
                <w:sz w:val="20"/>
                <w:szCs w:val="20"/>
              </w:rPr>
              <w:t>Úhrada za služby verejnosti poskytované RTVS</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80 982</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82 453</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82 453</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0</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0,0</w:t>
            </w:r>
          </w:p>
        </w:tc>
      </w:tr>
      <w:tr w:rsidR="006C2FC9" w:rsidRPr="00C65CAA" w:rsidTr="00035217">
        <w:trPr>
          <w:trHeight w:val="170"/>
        </w:trPr>
        <w:tc>
          <w:tcPr>
            <w:tcW w:w="2235" w:type="pct"/>
            <w:shd w:val="clear" w:color="auto" w:fill="auto"/>
            <w:noWrap/>
            <w:vAlign w:val="center"/>
          </w:tcPr>
          <w:p w:rsidR="006C2FC9" w:rsidRPr="00C65CAA" w:rsidRDefault="006C2FC9" w:rsidP="009879BE">
            <w:pPr>
              <w:ind w:firstLineChars="200" w:firstLine="400"/>
              <w:rPr>
                <w:rFonts w:ascii="Arial Narrow" w:hAnsi="Arial Narrow"/>
                <w:color w:val="000000"/>
                <w:sz w:val="20"/>
                <w:szCs w:val="20"/>
              </w:rPr>
            </w:pPr>
            <w:r w:rsidRPr="00C65CAA">
              <w:rPr>
                <w:rFonts w:ascii="Arial Narrow" w:hAnsi="Arial Narrow"/>
                <w:color w:val="000000"/>
                <w:sz w:val="20"/>
                <w:szCs w:val="20"/>
              </w:rPr>
              <w:t>Iné dane</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16 378</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57 333</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101 437</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44 104</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76,9</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rPr>
                <w:rFonts w:ascii="Arial Narrow" w:hAnsi="Arial Narrow"/>
                <w:b/>
                <w:bCs/>
                <w:color w:val="000000"/>
                <w:sz w:val="20"/>
                <w:szCs w:val="20"/>
              </w:rPr>
            </w:pPr>
            <w:r w:rsidRPr="00C65CAA">
              <w:rPr>
                <w:rFonts w:ascii="Arial Narrow" w:hAnsi="Arial Narrow"/>
                <w:b/>
                <w:bCs/>
                <w:color w:val="000000"/>
                <w:sz w:val="20"/>
                <w:szCs w:val="20"/>
              </w:rPr>
              <w:lastRenderedPageBreak/>
              <w:t>Fondy sociálneho a zdravotného poistenia (FSZP)</w:t>
            </w:r>
          </w:p>
        </w:tc>
        <w:tc>
          <w:tcPr>
            <w:tcW w:w="62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10 423 833</w:t>
            </w:r>
          </w:p>
        </w:tc>
        <w:tc>
          <w:tcPr>
            <w:tcW w:w="54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11 505 802</w:t>
            </w:r>
          </w:p>
        </w:tc>
        <w:tc>
          <w:tcPr>
            <w:tcW w:w="54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12 174 517</w:t>
            </w:r>
          </w:p>
        </w:tc>
        <w:tc>
          <w:tcPr>
            <w:tcW w:w="54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668 715</w:t>
            </w:r>
          </w:p>
        </w:tc>
        <w:tc>
          <w:tcPr>
            <w:tcW w:w="493"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5,8</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200" w:firstLine="400"/>
              <w:rPr>
                <w:rFonts w:ascii="Arial Narrow" w:hAnsi="Arial Narrow"/>
                <w:color w:val="000000"/>
                <w:sz w:val="20"/>
                <w:szCs w:val="20"/>
              </w:rPr>
            </w:pPr>
            <w:r w:rsidRPr="00C65CAA">
              <w:rPr>
                <w:rFonts w:ascii="Arial Narrow" w:hAnsi="Arial Narrow"/>
                <w:color w:val="000000"/>
                <w:sz w:val="20"/>
                <w:szCs w:val="20"/>
              </w:rPr>
              <w:t>Sociálna poisťovňa</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7 094 755</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7 838 603</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8 152 696</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314 093</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4,0</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200" w:firstLine="400"/>
              <w:rPr>
                <w:rFonts w:ascii="Arial Narrow" w:hAnsi="Arial Narrow"/>
                <w:color w:val="000000"/>
                <w:sz w:val="20"/>
                <w:szCs w:val="20"/>
              </w:rPr>
            </w:pPr>
            <w:r w:rsidRPr="00C65CAA">
              <w:rPr>
                <w:rFonts w:ascii="Arial Narrow" w:hAnsi="Arial Narrow"/>
                <w:color w:val="000000"/>
                <w:sz w:val="20"/>
                <w:szCs w:val="20"/>
              </w:rPr>
              <w:t>Zdravotné poisťovne</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3 329 078</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3 667 199</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4 021 821</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354 622</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9,7</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rPr>
                <w:rFonts w:ascii="Arial Narrow" w:hAnsi="Arial Narrow"/>
                <w:b/>
                <w:bCs/>
                <w:color w:val="000000"/>
                <w:sz w:val="20"/>
                <w:szCs w:val="20"/>
              </w:rPr>
            </w:pPr>
            <w:r w:rsidRPr="00C65CAA">
              <w:rPr>
                <w:rFonts w:ascii="Arial Narrow" w:hAnsi="Arial Narrow"/>
                <w:b/>
                <w:bCs/>
                <w:color w:val="000000"/>
                <w:sz w:val="20"/>
                <w:szCs w:val="20"/>
              </w:rPr>
              <w:t>Daňové príjmy VS spolu</w:t>
            </w:r>
          </w:p>
        </w:tc>
        <w:tc>
          <w:tcPr>
            <w:tcW w:w="62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15 085 435</w:t>
            </w:r>
          </w:p>
        </w:tc>
        <w:tc>
          <w:tcPr>
            <w:tcW w:w="54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16 022 304</w:t>
            </w:r>
          </w:p>
        </w:tc>
        <w:tc>
          <w:tcPr>
            <w:tcW w:w="54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16 899 250</w:t>
            </w:r>
          </w:p>
        </w:tc>
        <w:tc>
          <w:tcPr>
            <w:tcW w:w="54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876 946</w:t>
            </w:r>
          </w:p>
        </w:tc>
        <w:tc>
          <w:tcPr>
            <w:tcW w:w="493"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5,5</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200" w:firstLine="400"/>
              <w:rPr>
                <w:rFonts w:ascii="Arial Narrow" w:hAnsi="Arial Narrow"/>
                <w:color w:val="000000"/>
                <w:sz w:val="20"/>
                <w:szCs w:val="20"/>
              </w:rPr>
            </w:pPr>
            <w:r w:rsidRPr="00C65CAA">
              <w:rPr>
                <w:rFonts w:ascii="Arial Narrow" w:hAnsi="Arial Narrow"/>
                <w:color w:val="000000"/>
                <w:sz w:val="20"/>
                <w:szCs w:val="20"/>
              </w:rPr>
              <w:t>Daňové príjmy ŠR</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11 598 076</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12 203 423</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12 808 569</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605 146</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5,0</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200" w:firstLine="400"/>
              <w:rPr>
                <w:rFonts w:ascii="Arial Narrow" w:hAnsi="Arial Narrow"/>
                <w:color w:val="000000"/>
                <w:sz w:val="20"/>
                <w:szCs w:val="20"/>
              </w:rPr>
            </w:pPr>
            <w:r w:rsidRPr="00C65CAA">
              <w:rPr>
                <w:rFonts w:ascii="Arial Narrow" w:hAnsi="Arial Narrow"/>
                <w:color w:val="000000"/>
                <w:sz w:val="20"/>
                <w:szCs w:val="20"/>
              </w:rPr>
              <w:t>Štátne finančné aktíva</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284 958</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295 940</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268 528</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-27 412</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-9,3</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200" w:firstLine="400"/>
              <w:rPr>
                <w:rFonts w:ascii="Arial Narrow" w:hAnsi="Arial Narrow"/>
                <w:color w:val="000000"/>
                <w:sz w:val="20"/>
                <w:szCs w:val="20"/>
              </w:rPr>
            </w:pPr>
            <w:r w:rsidRPr="00C65CAA">
              <w:rPr>
                <w:rFonts w:ascii="Arial Narrow" w:hAnsi="Arial Narrow"/>
                <w:color w:val="000000"/>
                <w:sz w:val="20"/>
                <w:szCs w:val="20"/>
              </w:rPr>
              <w:t xml:space="preserve">Daňové príjmy obcí </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2 342 206</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2 559 392</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2 750 761</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191 369</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7,5</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200" w:firstLine="400"/>
              <w:rPr>
                <w:rFonts w:ascii="Arial Narrow" w:hAnsi="Arial Narrow"/>
                <w:color w:val="000000"/>
                <w:sz w:val="20"/>
                <w:szCs w:val="20"/>
              </w:rPr>
            </w:pPr>
            <w:r w:rsidRPr="00C65CAA">
              <w:rPr>
                <w:rFonts w:ascii="Arial Narrow" w:hAnsi="Arial Narrow"/>
                <w:color w:val="000000"/>
                <w:sz w:val="20"/>
                <w:szCs w:val="20"/>
              </w:rPr>
              <w:t>Daňové príjmy VÚC</w:t>
            </w:r>
          </w:p>
        </w:tc>
        <w:tc>
          <w:tcPr>
            <w:tcW w:w="628" w:type="pct"/>
            <w:shd w:val="clear" w:color="auto" w:fill="auto"/>
            <w:noWrap/>
            <w:vAlign w:val="center"/>
          </w:tcPr>
          <w:p w:rsidR="006C2FC9" w:rsidRPr="00C65CAA" w:rsidRDefault="00CD4C07" w:rsidP="009879BE">
            <w:pPr>
              <w:jc w:val="right"/>
              <w:rPr>
                <w:rFonts w:ascii="Arial Narrow" w:hAnsi="Arial Narrow"/>
                <w:color w:val="000000"/>
                <w:sz w:val="20"/>
                <w:szCs w:val="20"/>
              </w:rPr>
            </w:pPr>
            <w:r>
              <w:rPr>
                <w:rFonts w:ascii="Arial Narrow" w:hAnsi="Arial Narrow"/>
                <w:color w:val="000000"/>
                <w:sz w:val="20"/>
                <w:szCs w:val="20"/>
              </w:rPr>
              <w:t>770 378</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853 251</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933 100</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79 849</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9,4</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200" w:firstLine="400"/>
              <w:rPr>
                <w:rFonts w:ascii="Arial Narrow" w:hAnsi="Arial Narrow"/>
                <w:color w:val="000000"/>
                <w:sz w:val="20"/>
                <w:szCs w:val="20"/>
              </w:rPr>
            </w:pPr>
            <w:r w:rsidRPr="00C65CAA">
              <w:rPr>
                <w:rFonts w:ascii="Arial Narrow" w:hAnsi="Arial Narrow"/>
                <w:color w:val="000000"/>
                <w:sz w:val="20"/>
                <w:szCs w:val="20"/>
              </w:rPr>
              <w:t xml:space="preserve">Daňové príjmy Rozhlasu a televízie Slovenska </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80 982</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82 453</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82 453</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788</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0,0</w:t>
            </w:r>
          </w:p>
        </w:tc>
      </w:tr>
      <w:tr w:rsidR="006C2FC9" w:rsidRPr="00C65CAA" w:rsidTr="00035217">
        <w:trPr>
          <w:trHeight w:val="170"/>
        </w:trPr>
        <w:tc>
          <w:tcPr>
            <w:tcW w:w="2235" w:type="pct"/>
            <w:shd w:val="clear" w:color="auto" w:fill="auto"/>
            <w:noWrap/>
            <w:vAlign w:val="center"/>
            <w:hideMark/>
          </w:tcPr>
          <w:p w:rsidR="006C2FC9" w:rsidRPr="00C65CAA" w:rsidRDefault="006C2FC9" w:rsidP="009879BE">
            <w:pPr>
              <w:ind w:firstLineChars="200" w:firstLine="400"/>
              <w:rPr>
                <w:rFonts w:ascii="Arial Narrow" w:hAnsi="Arial Narrow"/>
                <w:color w:val="000000"/>
                <w:sz w:val="20"/>
                <w:szCs w:val="20"/>
              </w:rPr>
            </w:pPr>
            <w:r w:rsidRPr="00C65CAA">
              <w:rPr>
                <w:rFonts w:ascii="Arial Narrow" w:hAnsi="Arial Narrow"/>
                <w:color w:val="000000"/>
                <w:sz w:val="20"/>
                <w:szCs w:val="20"/>
              </w:rPr>
              <w:t>Environmentálny fond</w:t>
            </w:r>
          </w:p>
        </w:tc>
        <w:tc>
          <w:tcPr>
            <w:tcW w:w="62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1 215</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1 100</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28 002</w:t>
            </w:r>
          </w:p>
        </w:tc>
        <w:tc>
          <w:tcPr>
            <w:tcW w:w="548"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26 902</w:t>
            </w:r>
          </w:p>
        </w:tc>
        <w:tc>
          <w:tcPr>
            <w:tcW w:w="493" w:type="pct"/>
            <w:shd w:val="clear" w:color="auto" w:fill="auto"/>
            <w:noWrap/>
            <w:vAlign w:val="center"/>
          </w:tcPr>
          <w:p w:rsidR="006C2FC9" w:rsidRPr="00C65CAA" w:rsidRDefault="006C2FC9" w:rsidP="009879BE">
            <w:pPr>
              <w:jc w:val="right"/>
              <w:rPr>
                <w:rFonts w:ascii="Arial Narrow" w:hAnsi="Arial Narrow"/>
                <w:color w:val="000000"/>
                <w:sz w:val="20"/>
                <w:szCs w:val="20"/>
              </w:rPr>
            </w:pPr>
            <w:r w:rsidRPr="00C65CAA">
              <w:rPr>
                <w:rFonts w:ascii="Arial Narrow" w:hAnsi="Arial Narrow"/>
                <w:color w:val="000000"/>
                <w:sz w:val="20"/>
                <w:szCs w:val="20"/>
              </w:rPr>
              <w:t>0,0</w:t>
            </w:r>
          </w:p>
        </w:tc>
      </w:tr>
      <w:tr w:rsidR="006C2FC9" w:rsidRPr="00C65CAA" w:rsidTr="00035217">
        <w:trPr>
          <w:trHeight w:val="170"/>
        </w:trPr>
        <w:tc>
          <w:tcPr>
            <w:tcW w:w="2235" w:type="pct"/>
            <w:shd w:val="clear" w:color="auto" w:fill="auto"/>
            <w:vAlign w:val="center"/>
            <w:hideMark/>
          </w:tcPr>
          <w:p w:rsidR="006C2FC9" w:rsidRPr="00C65CAA" w:rsidRDefault="006C2FC9" w:rsidP="009879BE">
            <w:pPr>
              <w:rPr>
                <w:rFonts w:ascii="Arial Narrow" w:hAnsi="Arial Narrow"/>
                <w:b/>
                <w:bCs/>
                <w:color w:val="000000"/>
                <w:sz w:val="20"/>
                <w:szCs w:val="20"/>
              </w:rPr>
            </w:pPr>
            <w:r w:rsidRPr="00C65CAA">
              <w:rPr>
                <w:rFonts w:ascii="Arial Narrow" w:hAnsi="Arial Narrow"/>
                <w:b/>
                <w:bCs/>
                <w:color w:val="000000"/>
                <w:sz w:val="20"/>
                <w:szCs w:val="20"/>
              </w:rPr>
              <w:t>FSZP spolu</w:t>
            </w:r>
          </w:p>
        </w:tc>
        <w:tc>
          <w:tcPr>
            <w:tcW w:w="62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10 423 833</w:t>
            </w:r>
          </w:p>
        </w:tc>
        <w:tc>
          <w:tcPr>
            <w:tcW w:w="54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11 505 802</w:t>
            </w:r>
          </w:p>
        </w:tc>
        <w:tc>
          <w:tcPr>
            <w:tcW w:w="54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12 174 517</w:t>
            </w:r>
          </w:p>
        </w:tc>
        <w:tc>
          <w:tcPr>
            <w:tcW w:w="54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668 715</w:t>
            </w:r>
          </w:p>
        </w:tc>
        <w:tc>
          <w:tcPr>
            <w:tcW w:w="493"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5,8</w:t>
            </w:r>
          </w:p>
        </w:tc>
      </w:tr>
      <w:tr w:rsidR="006C2FC9" w:rsidRPr="00C65CAA" w:rsidTr="00035217">
        <w:trPr>
          <w:trHeight w:val="170"/>
        </w:trPr>
        <w:tc>
          <w:tcPr>
            <w:tcW w:w="2235" w:type="pct"/>
            <w:shd w:val="clear" w:color="auto" w:fill="auto"/>
            <w:vAlign w:val="center"/>
            <w:hideMark/>
          </w:tcPr>
          <w:p w:rsidR="006C2FC9" w:rsidRPr="00C65CAA" w:rsidRDefault="006C2FC9" w:rsidP="009879BE">
            <w:pPr>
              <w:rPr>
                <w:rFonts w:ascii="Arial Narrow" w:hAnsi="Arial Narrow"/>
                <w:b/>
                <w:bCs/>
                <w:color w:val="000000"/>
                <w:sz w:val="20"/>
                <w:szCs w:val="20"/>
              </w:rPr>
            </w:pPr>
            <w:r w:rsidRPr="00C65CAA">
              <w:rPr>
                <w:rFonts w:ascii="Arial Narrow" w:hAnsi="Arial Narrow"/>
                <w:b/>
                <w:bCs/>
                <w:color w:val="000000"/>
                <w:sz w:val="20"/>
                <w:szCs w:val="20"/>
              </w:rPr>
              <w:t>Daňové príjmy a príjmy FSZP spolu</w:t>
            </w:r>
          </w:p>
        </w:tc>
        <w:tc>
          <w:tcPr>
            <w:tcW w:w="62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25 509 268</w:t>
            </w:r>
          </w:p>
        </w:tc>
        <w:tc>
          <w:tcPr>
            <w:tcW w:w="54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27 528 106</w:t>
            </w:r>
          </w:p>
        </w:tc>
        <w:tc>
          <w:tcPr>
            <w:tcW w:w="54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29 073 767</w:t>
            </w:r>
          </w:p>
        </w:tc>
        <w:tc>
          <w:tcPr>
            <w:tcW w:w="548"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1 545 661</w:t>
            </w:r>
          </w:p>
        </w:tc>
        <w:tc>
          <w:tcPr>
            <w:tcW w:w="493" w:type="pct"/>
            <w:shd w:val="clear" w:color="auto" w:fill="auto"/>
            <w:noWrap/>
            <w:vAlign w:val="center"/>
          </w:tcPr>
          <w:p w:rsidR="006C2FC9" w:rsidRPr="00C65CAA" w:rsidRDefault="006C2FC9" w:rsidP="009879BE">
            <w:pPr>
              <w:jc w:val="right"/>
              <w:rPr>
                <w:rFonts w:ascii="Arial Narrow" w:hAnsi="Arial Narrow"/>
                <w:b/>
                <w:bCs/>
                <w:color w:val="000000"/>
                <w:sz w:val="20"/>
                <w:szCs w:val="20"/>
              </w:rPr>
            </w:pPr>
            <w:r w:rsidRPr="00C65CAA">
              <w:rPr>
                <w:rFonts w:ascii="Arial Narrow" w:hAnsi="Arial Narrow"/>
                <w:b/>
                <w:bCs/>
                <w:color w:val="000000"/>
                <w:sz w:val="20"/>
                <w:szCs w:val="20"/>
              </w:rPr>
              <w:t>5,6</w:t>
            </w:r>
          </w:p>
        </w:tc>
      </w:tr>
    </w:tbl>
    <w:p w:rsidR="006C2FC9" w:rsidRPr="00C65CAA" w:rsidRDefault="006C2FC9" w:rsidP="009879BE">
      <w:pPr>
        <w:spacing w:after="100"/>
        <w:rPr>
          <w:rFonts w:ascii="Arial Narrow" w:hAnsi="Arial Narrow"/>
          <w:sz w:val="18"/>
          <w:szCs w:val="18"/>
        </w:rPr>
      </w:pPr>
      <w:r w:rsidRPr="00C65CAA">
        <w:rPr>
          <w:rFonts w:ascii="Arial Narrow" w:hAnsi="Arial Narrow"/>
          <w:sz w:val="18"/>
          <w:szCs w:val="18"/>
        </w:rPr>
        <w:t>Zdroj: RVS na roky 2019 až 2021, Prognóza VpDP - september 2018</w:t>
      </w:r>
    </w:p>
    <w:tbl>
      <w:tblPr>
        <w:tblStyle w:val="Mriekatabuky"/>
        <w:tblW w:w="923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230"/>
      </w:tblGrid>
      <w:tr w:rsidR="006C2FC9" w:rsidRPr="00C65CAA" w:rsidTr="00EB05EC">
        <w:trPr>
          <w:trHeight w:val="278"/>
        </w:trPr>
        <w:tc>
          <w:tcPr>
            <w:tcW w:w="9230" w:type="dxa"/>
            <w:tcBorders>
              <w:top w:val="single" w:sz="4" w:space="0" w:color="auto"/>
              <w:bottom w:val="single" w:sz="4" w:space="0" w:color="auto"/>
            </w:tcBorders>
            <w:shd w:val="clear" w:color="auto" w:fill="0070C0"/>
          </w:tcPr>
          <w:p w:rsidR="006C2FC9" w:rsidRPr="00C65CAA" w:rsidRDefault="006C2FC9" w:rsidP="00B366F3">
            <w:pPr>
              <w:jc w:val="both"/>
              <w:rPr>
                <w:rFonts w:ascii="Arial Narrow" w:hAnsi="Arial Narrow"/>
                <w:b/>
                <w:sz w:val="20"/>
                <w:szCs w:val="20"/>
              </w:rPr>
            </w:pPr>
            <w:r w:rsidRPr="00C65CAA">
              <w:rPr>
                <w:rFonts w:ascii="Arial Narrow" w:hAnsi="Arial Narrow"/>
                <w:b/>
                <w:color w:val="FFFFFF"/>
                <w:sz w:val="20"/>
                <w:szCs w:val="20"/>
              </w:rPr>
              <w:t>Porovnanie prognózy daňových príjmov VS v roku 2019 a vybraných daní s očakávanou skutočnosťou za rok 2018</w:t>
            </w:r>
          </w:p>
        </w:tc>
      </w:tr>
      <w:tr w:rsidR="006C2FC9" w:rsidRPr="00C65CAA" w:rsidTr="00EB05EC">
        <w:tblPrEx>
          <w:tblCellMar>
            <w:left w:w="70" w:type="dxa"/>
            <w:right w:w="70" w:type="dxa"/>
          </w:tblCellMar>
        </w:tblPrEx>
        <w:trPr>
          <w:trHeight w:val="2665"/>
        </w:trPr>
        <w:tc>
          <w:tcPr>
            <w:tcW w:w="9230" w:type="dxa"/>
            <w:tcBorders>
              <w:top w:val="single" w:sz="4" w:space="0" w:color="auto"/>
            </w:tcBorders>
          </w:tcPr>
          <w:p w:rsidR="006C2FC9" w:rsidRPr="00C65CAA" w:rsidRDefault="006C2FC9" w:rsidP="00B366F3">
            <w:pPr>
              <w:rPr>
                <w:rFonts w:ascii="Arial Narrow" w:hAnsi="Arial Narrow"/>
                <w:sz w:val="20"/>
                <w:szCs w:val="20"/>
              </w:rPr>
            </w:pPr>
            <w:r w:rsidRPr="00C65CAA">
              <w:rPr>
                <w:rFonts w:ascii="Arial Narrow" w:hAnsi="Arial Narrow"/>
                <w:noProof/>
                <w:sz w:val="20"/>
                <w:szCs w:val="20"/>
              </w:rPr>
              <w:drawing>
                <wp:inline distT="0" distB="0" distL="0" distR="0" wp14:anchorId="5DE80535" wp14:editId="291CBA4A">
                  <wp:extent cx="5760720" cy="1987061"/>
                  <wp:effectExtent l="0" t="0" r="11430" b="13335"/>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6C2FC9" w:rsidRPr="00C65CAA" w:rsidRDefault="006C2FC9" w:rsidP="009879BE">
      <w:pPr>
        <w:jc w:val="both"/>
        <w:rPr>
          <w:rFonts w:ascii="Arial Narrow" w:hAnsi="Arial Narrow"/>
          <w:sz w:val="18"/>
          <w:szCs w:val="18"/>
        </w:rPr>
      </w:pPr>
      <w:r w:rsidRPr="00C65CAA">
        <w:rPr>
          <w:rFonts w:ascii="Arial Narrow" w:hAnsi="Arial Narrow"/>
          <w:sz w:val="18"/>
          <w:szCs w:val="18"/>
        </w:rPr>
        <w:t>Poznámka: % predstavuje predpokladaný rast podľa prognózy z rozpočtu VS na rok 2019 oproti očakávanej skutočnosti 2018</w:t>
      </w:r>
    </w:p>
    <w:p w:rsidR="006C2FC9" w:rsidRPr="00C65CAA" w:rsidRDefault="006C2FC9" w:rsidP="009879BE">
      <w:pPr>
        <w:rPr>
          <w:rFonts w:ascii="Arial Narrow" w:hAnsi="Arial Narrow"/>
          <w:sz w:val="18"/>
          <w:szCs w:val="18"/>
        </w:rPr>
      </w:pPr>
      <w:r w:rsidRPr="00C65CAA">
        <w:rPr>
          <w:rFonts w:ascii="Arial Narrow" w:hAnsi="Arial Narrow"/>
          <w:sz w:val="18"/>
          <w:szCs w:val="18"/>
        </w:rPr>
        <w:t xml:space="preserve">Zdroj: RVS na roky 2019 až 2021, Prognóza </w:t>
      </w:r>
      <w:r w:rsidR="00B82220" w:rsidRPr="00C65CAA">
        <w:rPr>
          <w:rFonts w:ascii="Arial Narrow" w:hAnsi="Arial Narrow"/>
          <w:sz w:val="18"/>
          <w:szCs w:val="18"/>
        </w:rPr>
        <w:t>VpDP –</w:t>
      </w:r>
      <w:r w:rsidRPr="00C65CAA">
        <w:rPr>
          <w:rFonts w:ascii="Arial Narrow" w:hAnsi="Arial Narrow"/>
          <w:sz w:val="18"/>
          <w:szCs w:val="18"/>
        </w:rPr>
        <w:t xml:space="preserve"> september 2018</w:t>
      </w:r>
    </w:p>
    <w:p w:rsidR="006C2FC9" w:rsidRPr="00C65CAA" w:rsidRDefault="006C2FC9" w:rsidP="00256AF8">
      <w:pPr>
        <w:spacing w:before="100" w:after="100"/>
        <w:ind w:firstLine="708"/>
        <w:jc w:val="both"/>
        <w:rPr>
          <w:rFonts w:ascii="Arial Narrow" w:hAnsi="Arial Narrow"/>
          <w:sz w:val="22"/>
          <w:szCs w:val="22"/>
        </w:rPr>
      </w:pPr>
      <w:r w:rsidRPr="00C65CAA">
        <w:rPr>
          <w:rFonts w:ascii="Arial Narrow" w:hAnsi="Arial Narrow"/>
          <w:sz w:val="22"/>
          <w:szCs w:val="22"/>
        </w:rPr>
        <w:t>K daňovým a odvodovým príjmom VS (bez sankcií) je potrebné zohľadniť aj samotné sankcie. Predpokladanú výšku sankcií v súlade s klasifikáciou zobrazuje nasledovná tabuľka. V rozpočte na rok 2019 sa predpokladá približne rovnaký objem sankcií ako v roku 2017.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4"/>
        <w:gridCol w:w="1135"/>
        <w:gridCol w:w="778"/>
        <w:gridCol w:w="779"/>
        <w:gridCol w:w="778"/>
        <w:gridCol w:w="779"/>
      </w:tblGrid>
      <w:tr w:rsidR="0083441E" w:rsidRPr="00C65CAA" w:rsidTr="0083441E">
        <w:trPr>
          <w:trHeight w:val="252"/>
          <w:tblHeader/>
        </w:trPr>
        <w:tc>
          <w:tcPr>
            <w:tcW w:w="2656" w:type="pct"/>
            <w:vMerge w:val="restart"/>
            <w:tcBorders>
              <w:right w:val="single" w:sz="4" w:space="0" w:color="FFFFFF"/>
            </w:tcBorders>
            <w:shd w:val="clear" w:color="auto" w:fill="0070C0"/>
            <w:noWrap/>
            <w:vAlign w:val="center"/>
            <w:hideMark/>
          </w:tcPr>
          <w:p w:rsidR="0083441E" w:rsidRPr="00C65CAA" w:rsidRDefault="0083441E" w:rsidP="009879BE">
            <w:pPr>
              <w:jc w:val="center"/>
              <w:rPr>
                <w:rFonts w:ascii="Arial Narrow" w:hAnsi="Arial Narrow"/>
                <w:b/>
                <w:bCs/>
                <w:color w:val="FFFFFF"/>
                <w:sz w:val="20"/>
                <w:szCs w:val="20"/>
              </w:rPr>
            </w:pPr>
            <w:r w:rsidRPr="00C65CAA">
              <w:rPr>
                <w:rFonts w:ascii="Arial Narrow" w:hAnsi="Arial Narrow"/>
                <w:b/>
                <w:bCs/>
                <w:color w:val="FFFFFF"/>
                <w:sz w:val="20"/>
                <w:szCs w:val="20"/>
              </w:rPr>
              <w:t>Predpokladaný vývoj sankcií ( v tis. eur)</w:t>
            </w:r>
          </w:p>
        </w:tc>
        <w:tc>
          <w:tcPr>
            <w:tcW w:w="626" w:type="pct"/>
            <w:vMerge w:val="restart"/>
            <w:tcBorders>
              <w:left w:val="single" w:sz="4" w:space="0" w:color="FFFFFF"/>
              <w:right w:val="single" w:sz="4" w:space="0" w:color="FFFFFF" w:themeColor="background1"/>
            </w:tcBorders>
            <w:shd w:val="clear" w:color="auto" w:fill="0070C0"/>
            <w:vAlign w:val="center"/>
          </w:tcPr>
          <w:p w:rsidR="0083441E" w:rsidRPr="00C65CAA" w:rsidRDefault="0083441E" w:rsidP="009879BE">
            <w:pPr>
              <w:jc w:val="center"/>
              <w:rPr>
                <w:rFonts w:ascii="Arial Narrow" w:hAnsi="Arial Narrow"/>
                <w:b/>
                <w:bCs/>
                <w:color w:val="FFFFFF"/>
                <w:sz w:val="20"/>
                <w:szCs w:val="20"/>
              </w:rPr>
            </w:pPr>
            <w:r w:rsidRPr="00C65CAA">
              <w:rPr>
                <w:rFonts w:ascii="Arial Narrow" w:hAnsi="Arial Narrow"/>
                <w:b/>
                <w:bCs/>
                <w:color w:val="FFFFFF"/>
                <w:sz w:val="20"/>
                <w:szCs w:val="20"/>
              </w:rPr>
              <w:t>Skutočnosť</w:t>
            </w:r>
          </w:p>
          <w:p w:rsidR="0083441E" w:rsidRPr="00C65CAA" w:rsidRDefault="0083441E" w:rsidP="009879BE">
            <w:pPr>
              <w:jc w:val="center"/>
              <w:rPr>
                <w:rFonts w:ascii="Arial Narrow" w:hAnsi="Arial Narrow"/>
                <w:b/>
                <w:bCs/>
                <w:color w:val="FFFFFF"/>
                <w:sz w:val="20"/>
                <w:szCs w:val="20"/>
              </w:rPr>
            </w:pPr>
            <w:r w:rsidRPr="00C65CAA">
              <w:rPr>
                <w:rFonts w:ascii="Arial Narrow" w:hAnsi="Arial Narrow"/>
                <w:b/>
                <w:bCs/>
                <w:color w:val="FFFFFF"/>
                <w:sz w:val="20"/>
                <w:szCs w:val="20"/>
              </w:rPr>
              <w:t>2017</w:t>
            </w:r>
          </w:p>
        </w:tc>
        <w:tc>
          <w:tcPr>
            <w:tcW w:w="1718" w:type="pct"/>
            <w:gridSpan w:val="4"/>
            <w:tcBorders>
              <w:left w:val="single" w:sz="4" w:space="0" w:color="FFFFFF" w:themeColor="background1"/>
              <w:bottom w:val="single" w:sz="4" w:space="0" w:color="FFFFFF" w:themeColor="background1"/>
            </w:tcBorders>
            <w:shd w:val="clear" w:color="auto" w:fill="0070C0"/>
            <w:vAlign w:val="center"/>
          </w:tcPr>
          <w:p w:rsidR="0083441E" w:rsidRPr="00C65CAA" w:rsidRDefault="0083441E" w:rsidP="009879BE">
            <w:pPr>
              <w:jc w:val="center"/>
              <w:rPr>
                <w:rFonts w:ascii="Arial Narrow" w:eastAsia="Calibri" w:hAnsi="Arial Narrow"/>
                <w:b/>
                <w:bCs/>
                <w:color w:val="FFFFFF"/>
                <w:sz w:val="18"/>
                <w:szCs w:val="18"/>
                <w:lang w:eastAsia="en-US"/>
              </w:rPr>
            </w:pPr>
            <w:r w:rsidRPr="00C65CAA">
              <w:rPr>
                <w:rFonts w:ascii="Arial Narrow" w:eastAsia="Calibri" w:hAnsi="Arial Narrow"/>
                <w:b/>
                <w:bCs/>
                <w:color w:val="FFFFFF"/>
                <w:sz w:val="18"/>
                <w:szCs w:val="18"/>
                <w:lang w:eastAsia="en-US"/>
              </w:rPr>
              <w:t>Prognóza</w:t>
            </w:r>
          </w:p>
        </w:tc>
      </w:tr>
      <w:tr w:rsidR="0083441E" w:rsidRPr="00C65CAA" w:rsidTr="0083441E">
        <w:trPr>
          <w:trHeight w:val="297"/>
          <w:tblHeader/>
        </w:trPr>
        <w:tc>
          <w:tcPr>
            <w:tcW w:w="2656" w:type="pct"/>
            <w:vMerge/>
            <w:tcBorders>
              <w:right w:val="single" w:sz="4" w:space="0" w:color="FFFFFF"/>
            </w:tcBorders>
            <w:shd w:val="clear" w:color="auto" w:fill="0070C0"/>
            <w:noWrap/>
            <w:vAlign w:val="center"/>
          </w:tcPr>
          <w:p w:rsidR="0083441E" w:rsidRPr="00C65CAA" w:rsidRDefault="0083441E" w:rsidP="009879BE">
            <w:pPr>
              <w:jc w:val="center"/>
              <w:rPr>
                <w:rFonts w:ascii="Arial Narrow" w:hAnsi="Arial Narrow"/>
                <w:b/>
                <w:bCs/>
                <w:color w:val="FFFFFF"/>
                <w:sz w:val="20"/>
                <w:szCs w:val="20"/>
              </w:rPr>
            </w:pPr>
          </w:p>
        </w:tc>
        <w:tc>
          <w:tcPr>
            <w:tcW w:w="626" w:type="pct"/>
            <w:vMerge/>
            <w:tcBorders>
              <w:left w:val="single" w:sz="4" w:space="0" w:color="FFFFFF"/>
              <w:right w:val="single" w:sz="4" w:space="0" w:color="FFFFFF" w:themeColor="background1"/>
            </w:tcBorders>
            <w:shd w:val="clear" w:color="auto" w:fill="0070C0"/>
            <w:vAlign w:val="center"/>
          </w:tcPr>
          <w:p w:rsidR="0083441E" w:rsidRPr="00C65CAA" w:rsidRDefault="0083441E" w:rsidP="009879BE">
            <w:pPr>
              <w:jc w:val="center"/>
              <w:rPr>
                <w:rFonts w:ascii="Arial Narrow" w:hAnsi="Arial Narrow"/>
                <w:b/>
                <w:bCs/>
                <w:color w:val="FFFFFF"/>
                <w:sz w:val="20"/>
                <w:szCs w:val="20"/>
              </w:rPr>
            </w:pPr>
          </w:p>
        </w:tc>
        <w:tc>
          <w:tcPr>
            <w:tcW w:w="429" w:type="pct"/>
            <w:tcBorders>
              <w:top w:val="single" w:sz="4" w:space="0" w:color="FFFFFF" w:themeColor="background1"/>
              <w:left w:val="single" w:sz="4" w:space="0" w:color="FFFFFF" w:themeColor="background1"/>
              <w:right w:val="single" w:sz="4" w:space="0" w:color="FFFFFF" w:themeColor="background1"/>
            </w:tcBorders>
            <w:shd w:val="clear" w:color="auto" w:fill="0070C0"/>
            <w:vAlign w:val="center"/>
          </w:tcPr>
          <w:p w:rsidR="0083441E" w:rsidRPr="00C65CAA" w:rsidRDefault="0083441E" w:rsidP="009879BE">
            <w:pPr>
              <w:jc w:val="center"/>
              <w:rPr>
                <w:rFonts w:ascii="Arial Narrow" w:eastAsia="Calibri" w:hAnsi="Arial Narrow"/>
                <w:b/>
                <w:bCs/>
                <w:color w:val="FFFFFF"/>
                <w:sz w:val="18"/>
                <w:szCs w:val="18"/>
                <w:lang w:eastAsia="en-US"/>
              </w:rPr>
            </w:pPr>
            <w:r w:rsidRPr="00C65CAA">
              <w:rPr>
                <w:rFonts w:ascii="Arial Narrow" w:eastAsia="Calibri" w:hAnsi="Arial Narrow"/>
                <w:b/>
                <w:bCs/>
                <w:color w:val="FFFFFF"/>
                <w:sz w:val="18"/>
                <w:szCs w:val="18"/>
                <w:lang w:eastAsia="en-US"/>
              </w:rPr>
              <w:t>2018</w:t>
            </w:r>
          </w:p>
        </w:tc>
        <w:tc>
          <w:tcPr>
            <w:tcW w:w="430" w:type="pct"/>
            <w:tcBorders>
              <w:top w:val="single" w:sz="4" w:space="0" w:color="FFFFFF" w:themeColor="background1"/>
              <w:left w:val="single" w:sz="4" w:space="0" w:color="FFFFFF" w:themeColor="background1"/>
              <w:right w:val="single" w:sz="4" w:space="0" w:color="FFFFFF" w:themeColor="background1"/>
            </w:tcBorders>
            <w:shd w:val="clear" w:color="auto" w:fill="0070C0"/>
            <w:vAlign w:val="center"/>
          </w:tcPr>
          <w:p w:rsidR="0083441E" w:rsidRPr="00C65CAA" w:rsidRDefault="0083441E" w:rsidP="009879BE">
            <w:pPr>
              <w:jc w:val="center"/>
              <w:rPr>
                <w:rFonts w:ascii="Arial Narrow" w:eastAsia="Calibri" w:hAnsi="Arial Narrow"/>
                <w:b/>
                <w:bCs/>
                <w:color w:val="FFFFFF"/>
                <w:sz w:val="18"/>
                <w:szCs w:val="18"/>
                <w:lang w:eastAsia="en-US"/>
              </w:rPr>
            </w:pPr>
            <w:r w:rsidRPr="00C65CAA">
              <w:rPr>
                <w:rFonts w:ascii="Arial Narrow" w:eastAsia="Calibri" w:hAnsi="Arial Narrow"/>
                <w:b/>
                <w:bCs/>
                <w:color w:val="FFFFFF"/>
                <w:sz w:val="18"/>
                <w:szCs w:val="18"/>
                <w:lang w:eastAsia="en-US"/>
              </w:rPr>
              <w:t>2019</w:t>
            </w:r>
          </w:p>
        </w:tc>
        <w:tc>
          <w:tcPr>
            <w:tcW w:w="429" w:type="pct"/>
            <w:tcBorders>
              <w:top w:val="single" w:sz="4" w:space="0" w:color="FFFFFF" w:themeColor="background1"/>
              <w:left w:val="single" w:sz="4" w:space="0" w:color="FFFFFF" w:themeColor="background1"/>
              <w:right w:val="single" w:sz="4" w:space="0" w:color="FFFFFF" w:themeColor="background1"/>
            </w:tcBorders>
            <w:shd w:val="clear" w:color="auto" w:fill="0070C0"/>
            <w:vAlign w:val="center"/>
          </w:tcPr>
          <w:p w:rsidR="0083441E" w:rsidRPr="00C65CAA" w:rsidRDefault="0083441E" w:rsidP="009879BE">
            <w:pPr>
              <w:jc w:val="center"/>
              <w:rPr>
                <w:rFonts w:ascii="Arial Narrow" w:eastAsia="Calibri" w:hAnsi="Arial Narrow"/>
                <w:b/>
                <w:bCs/>
                <w:color w:val="FFFFFF"/>
                <w:sz w:val="18"/>
                <w:szCs w:val="18"/>
                <w:lang w:eastAsia="en-US"/>
              </w:rPr>
            </w:pPr>
            <w:r w:rsidRPr="00C65CAA">
              <w:rPr>
                <w:rFonts w:ascii="Arial Narrow" w:eastAsia="Calibri" w:hAnsi="Arial Narrow"/>
                <w:b/>
                <w:bCs/>
                <w:color w:val="FFFFFF"/>
                <w:sz w:val="18"/>
                <w:szCs w:val="18"/>
                <w:lang w:eastAsia="en-US"/>
              </w:rPr>
              <w:t>2020</w:t>
            </w:r>
          </w:p>
        </w:tc>
        <w:tc>
          <w:tcPr>
            <w:tcW w:w="430" w:type="pct"/>
            <w:tcBorders>
              <w:top w:val="single" w:sz="4" w:space="0" w:color="FFFFFF" w:themeColor="background1"/>
              <w:left w:val="single" w:sz="4" w:space="0" w:color="FFFFFF" w:themeColor="background1"/>
            </w:tcBorders>
            <w:shd w:val="clear" w:color="auto" w:fill="0070C0"/>
            <w:vAlign w:val="center"/>
          </w:tcPr>
          <w:p w:rsidR="0083441E" w:rsidRPr="00C65CAA" w:rsidRDefault="0083441E" w:rsidP="009879BE">
            <w:pPr>
              <w:jc w:val="center"/>
              <w:rPr>
                <w:rFonts w:ascii="Arial Narrow" w:eastAsia="Calibri" w:hAnsi="Arial Narrow"/>
                <w:b/>
                <w:bCs/>
                <w:color w:val="FFFFFF"/>
                <w:sz w:val="18"/>
                <w:szCs w:val="18"/>
                <w:lang w:eastAsia="en-US"/>
              </w:rPr>
            </w:pPr>
            <w:r w:rsidRPr="00C65CAA">
              <w:rPr>
                <w:rFonts w:ascii="Arial Narrow" w:eastAsia="Calibri" w:hAnsi="Arial Narrow"/>
                <w:b/>
                <w:bCs/>
                <w:color w:val="FFFFFF"/>
                <w:sz w:val="18"/>
                <w:szCs w:val="18"/>
                <w:lang w:eastAsia="en-US"/>
              </w:rPr>
              <w:t>2021</w:t>
            </w:r>
          </w:p>
        </w:tc>
      </w:tr>
      <w:tr w:rsidR="0083441E" w:rsidRPr="00C65CAA" w:rsidTr="0083441E">
        <w:trPr>
          <w:trHeight w:val="182"/>
        </w:trPr>
        <w:tc>
          <w:tcPr>
            <w:tcW w:w="2656" w:type="pct"/>
            <w:shd w:val="clear" w:color="auto" w:fill="FFFFFF"/>
            <w:noWrap/>
            <w:vAlign w:val="center"/>
            <w:hideMark/>
          </w:tcPr>
          <w:p w:rsidR="0083441E" w:rsidRPr="00C65CAA" w:rsidRDefault="0083441E" w:rsidP="009879BE">
            <w:pPr>
              <w:rPr>
                <w:rFonts w:ascii="Arial Narrow" w:hAnsi="Arial Narrow"/>
                <w:b/>
                <w:bCs/>
                <w:color w:val="000000"/>
                <w:sz w:val="20"/>
                <w:szCs w:val="20"/>
              </w:rPr>
            </w:pPr>
            <w:r w:rsidRPr="00C65CAA">
              <w:rPr>
                <w:rFonts w:ascii="Arial Narrow" w:hAnsi="Arial Narrow"/>
                <w:b/>
                <w:bCs/>
                <w:color w:val="000000"/>
                <w:sz w:val="20"/>
                <w:szCs w:val="20"/>
              </w:rPr>
              <w:t>SANKCIE SPOLU</w:t>
            </w:r>
          </w:p>
        </w:tc>
        <w:tc>
          <w:tcPr>
            <w:tcW w:w="626" w:type="pct"/>
            <w:shd w:val="clear" w:color="auto" w:fill="FFFFFF"/>
            <w:noWrap/>
            <w:vAlign w:val="center"/>
          </w:tcPr>
          <w:p w:rsidR="0083441E" w:rsidRPr="00C65CAA" w:rsidRDefault="0083441E" w:rsidP="009879BE">
            <w:pPr>
              <w:jc w:val="right"/>
              <w:rPr>
                <w:rFonts w:ascii="Arial Narrow" w:hAnsi="Arial Narrow"/>
                <w:b/>
                <w:color w:val="000000"/>
                <w:sz w:val="20"/>
                <w:szCs w:val="20"/>
              </w:rPr>
            </w:pPr>
            <w:r w:rsidRPr="00C65CAA">
              <w:rPr>
                <w:rFonts w:ascii="Arial Narrow" w:hAnsi="Arial Narrow"/>
                <w:b/>
                <w:color w:val="000000"/>
                <w:sz w:val="20"/>
                <w:szCs w:val="20"/>
              </w:rPr>
              <w:t>34 741</w:t>
            </w:r>
          </w:p>
        </w:tc>
        <w:tc>
          <w:tcPr>
            <w:tcW w:w="429" w:type="pct"/>
            <w:shd w:val="clear" w:color="auto" w:fill="FFFFFF"/>
            <w:noWrap/>
            <w:vAlign w:val="center"/>
          </w:tcPr>
          <w:p w:rsidR="0083441E" w:rsidRPr="00C65CAA" w:rsidRDefault="0083441E" w:rsidP="009879BE">
            <w:pPr>
              <w:jc w:val="right"/>
              <w:rPr>
                <w:rFonts w:ascii="Arial Narrow" w:hAnsi="Arial Narrow"/>
                <w:b/>
                <w:sz w:val="20"/>
                <w:szCs w:val="20"/>
              </w:rPr>
            </w:pPr>
            <w:r w:rsidRPr="00C65CAA">
              <w:rPr>
                <w:rFonts w:ascii="Arial Narrow" w:hAnsi="Arial Narrow"/>
                <w:b/>
                <w:sz w:val="20"/>
                <w:szCs w:val="20"/>
              </w:rPr>
              <w:t>33 086</w:t>
            </w:r>
          </w:p>
        </w:tc>
        <w:tc>
          <w:tcPr>
            <w:tcW w:w="430" w:type="pct"/>
            <w:shd w:val="clear" w:color="auto" w:fill="FFFFFF"/>
            <w:vAlign w:val="center"/>
          </w:tcPr>
          <w:p w:rsidR="0083441E" w:rsidRPr="00C65CAA" w:rsidRDefault="0083441E" w:rsidP="009879BE">
            <w:pPr>
              <w:jc w:val="right"/>
              <w:rPr>
                <w:rFonts w:ascii="Arial Narrow" w:hAnsi="Arial Narrow"/>
                <w:b/>
                <w:sz w:val="20"/>
                <w:szCs w:val="20"/>
              </w:rPr>
            </w:pPr>
            <w:r w:rsidRPr="00C65CAA">
              <w:rPr>
                <w:rFonts w:ascii="Arial Narrow" w:hAnsi="Arial Narrow"/>
                <w:b/>
                <w:sz w:val="20"/>
                <w:szCs w:val="20"/>
              </w:rPr>
              <w:t>33 055</w:t>
            </w:r>
          </w:p>
        </w:tc>
        <w:tc>
          <w:tcPr>
            <w:tcW w:w="429" w:type="pct"/>
            <w:shd w:val="clear" w:color="auto" w:fill="FFFFFF"/>
          </w:tcPr>
          <w:p w:rsidR="0083441E" w:rsidRPr="00C65CAA" w:rsidRDefault="0083441E" w:rsidP="009879BE">
            <w:pPr>
              <w:jc w:val="right"/>
              <w:rPr>
                <w:rFonts w:ascii="Arial Narrow" w:hAnsi="Arial Narrow"/>
                <w:sz w:val="20"/>
                <w:szCs w:val="20"/>
              </w:rPr>
            </w:pPr>
            <w:r w:rsidRPr="00C65CAA">
              <w:rPr>
                <w:rFonts w:ascii="Arial Narrow" w:hAnsi="Arial Narrow"/>
                <w:b/>
                <w:sz w:val="20"/>
                <w:szCs w:val="20"/>
              </w:rPr>
              <w:t>33 055</w:t>
            </w:r>
          </w:p>
        </w:tc>
        <w:tc>
          <w:tcPr>
            <w:tcW w:w="430" w:type="pct"/>
            <w:shd w:val="clear" w:color="auto" w:fill="FFFFFF"/>
          </w:tcPr>
          <w:p w:rsidR="0083441E" w:rsidRPr="00C65CAA" w:rsidRDefault="0083441E" w:rsidP="009879BE">
            <w:pPr>
              <w:jc w:val="right"/>
              <w:rPr>
                <w:rFonts w:ascii="Arial Narrow" w:hAnsi="Arial Narrow"/>
                <w:sz w:val="20"/>
                <w:szCs w:val="20"/>
              </w:rPr>
            </w:pPr>
            <w:r w:rsidRPr="00C65CAA">
              <w:rPr>
                <w:rFonts w:ascii="Arial Narrow" w:hAnsi="Arial Narrow"/>
                <w:b/>
                <w:sz w:val="20"/>
                <w:szCs w:val="20"/>
              </w:rPr>
              <w:t>33 055</w:t>
            </w:r>
          </w:p>
        </w:tc>
      </w:tr>
      <w:tr w:rsidR="0083441E" w:rsidRPr="00C65CAA" w:rsidTr="0083441E">
        <w:trPr>
          <w:trHeight w:val="182"/>
        </w:trPr>
        <w:tc>
          <w:tcPr>
            <w:tcW w:w="2656" w:type="pct"/>
            <w:shd w:val="clear" w:color="auto" w:fill="FFFFFF"/>
            <w:noWrap/>
            <w:vAlign w:val="center"/>
          </w:tcPr>
          <w:p w:rsidR="0083441E" w:rsidRPr="00C65CAA" w:rsidRDefault="0083441E" w:rsidP="009879BE">
            <w:pPr>
              <w:rPr>
                <w:rFonts w:ascii="Arial Narrow" w:hAnsi="Arial Narrow"/>
                <w:sz w:val="20"/>
                <w:szCs w:val="20"/>
              </w:rPr>
            </w:pPr>
            <w:r w:rsidRPr="00C65CAA">
              <w:rPr>
                <w:rFonts w:ascii="Arial Narrow" w:hAnsi="Arial Narrow"/>
                <w:sz w:val="20"/>
                <w:szCs w:val="20"/>
              </w:rPr>
              <w:t xml:space="preserve">             Daň z príjmov fyzických osôb</w:t>
            </w:r>
          </w:p>
        </w:tc>
        <w:tc>
          <w:tcPr>
            <w:tcW w:w="626" w:type="pct"/>
            <w:shd w:val="clear" w:color="auto" w:fill="FFFFFF"/>
            <w:noWrap/>
            <w:vAlign w:val="center"/>
          </w:tcPr>
          <w:p w:rsidR="0083441E" w:rsidRPr="00C65CAA" w:rsidRDefault="0083441E" w:rsidP="009879BE">
            <w:pPr>
              <w:jc w:val="right"/>
              <w:rPr>
                <w:rFonts w:ascii="Arial Narrow" w:hAnsi="Arial Narrow"/>
                <w:sz w:val="20"/>
                <w:szCs w:val="20"/>
              </w:rPr>
            </w:pPr>
            <w:r w:rsidRPr="00C65CAA">
              <w:rPr>
                <w:rFonts w:ascii="Arial Narrow" w:hAnsi="Arial Narrow"/>
                <w:sz w:val="20"/>
                <w:szCs w:val="20"/>
              </w:rPr>
              <w:t>2 786</w:t>
            </w:r>
          </w:p>
        </w:tc>
        <w:tc>
          <w:tcPr>
            <w:tcW w:w="429" w:type="pct"/>
            <w:shd w:val="clear" w:color="auto" w:fill="FFFFFF"/>
            <w:noWrap/>
            <w:vAlign w:val="center"/>
          </w:tcPr>
          <w:p w:rsidR="0083441E" w:rsidRPr="00C65CAA" w:rsidRDefault="0083441E" w:rsidP="009879BE">
            <w:pPr>
              <w:jc w:val="right"/>
              <w:rPr>
                <w:rFonts w:ascii="Arial Narrow" w:eastAsia="Calibri" w:hAnsi="Arial Narrow"/>
                <w:sz w:val="20"/>
                <w:szCs w:val="20"/>
                <w:lang w:eastAsia="en-US"/>
              </w:rPr>
            </w:pPr>
            <w:r w:rsidRPr="00C65CAA">
              <w:rPr>
                <w:rFonts w:ascii="Arial Narrow" w:eastAsia="Calibri" w:hAnsi="Arial Narrow"/>
                <w:sz w:val="20"/>
                <w:szCs w:val="20"/>
                <w:lang w:eastAsia="en-US"/>
              </w:rPr>
              <w:t>2 786</w:t>
            </w:r>
          </w:p>
        </w:tc>
        <w:tc>
          <w:tcPr>
            <w:tcW w:w="430" w:type="pct"/>
            <w:shd w:val="clear" w:color="auto" w:fill="FFFFFF"/>
            <w:vAlign w:val="center"/>
          </w:tcPr>
          <w:p w:rsidR="0083441E" w:rsidRPr="00C65CAA" w:rsidRDefault="0083441E" w:rsidP="009879BE">
            <w:pPr>
              <w:jc w:val="right"/>
              <w:rPr>
                <w:rFonts w:ascii="Arial Narrow" w:eastAsia="Calibri" w:hAnsi="Arial Narrow"/>
                <w:sz w:val="20"/>
                <w:szCs w:val="20"/>
                <w:lang w:eastAsia="en-US"/>
              </w:rPr>
            </w:pPr>
            <w:r w:rsidRPr="00C65CAA">
              <w:rPr>
                <w:rFonts w:ascii="Arial Narrow" w:eastAsia="Calibri" w:hAnsi="Arial Narrow"/>
                <w:sz w:val="20"/>
                <w:szCs w:val="20"/>
                <w:lang w:eastAsia="en-US"/>
              </w:rPr>
              <w:t>2 786</w:t>
            </w:r>
          </w:p>
        </w:tc>
        <w:tc>
          <w:tcPr>
            <w:tcW w:w="429" w:type="pct"/>
            <w:shd w:val="clear" w:color="auto" w:fill="FFFFFF"/>
            <w:vAlign w:val="center"/>
          </w:tcPr>
          <w:p w:rsidR="0083441E" w:rsidRPr="00C65CAA" w:rsidRDefault="0083441E" w:rsidP="009879BE">
            <w:pPr>
              <w:jc w:val="right"/>
              <w:rPr>
                <w:rFonts w:ascii="Arial Narrow" w:eastAsia="Calibri" w:hAnsi="Arial Narrow"/>
                <w:sz w:val="20"/>
                <w:szCs w:val="20"/>
                <w:lang w:eastAsia="en-US"/>
              </w:rPr>
            </w:pPr>
            <w:r w:rsidRPr="00C65CAA">
              <w:rPr>
                <w:rFonts w:ascii="Arial Narrow" w:eastAsia="Calibri" w:hAnsi="Arial Narrow"/>
                <w:sz w:val="20"/>
                <w:szCs w:val="20"/>
                <w:lang w:eastAsia="en-US"/>
              </w:rPr>
              <w:t>2 786</w:t>
            </w:r>
          </w:p>
        </w:tc>
        <w:tc>
          <w:tcPr>
            <w:tcW w:w="430" w:type="pct"/>
            <w:shd w:val="clear" w:color="auto" w:fill="FFFFFF"/>
            <w:vAlign w:val="center"/>
          </w:tcPr>
          <w:p w:rsidR="0083441E" w:rsidRPr="00C65CAA" w:rsidRDefault="0083441E" w:rsidP="009879BE">
            <w:pPr>
              <w:jc w:val="right"/>
              <w:rPr>
                <w:rFonts w:ascii="Arial Narrow" w:eastAsia="Calibri" w:hAnsi="Arial Narrow"/>
                <w:sz w:val="20"/>
                <w:szCs w:val="20"/>
                <w:lang w:eastAsia="en-US"/>
              </w:rPr>
            </w:pPr>
            <w:r w:rsidRPr="00C65CAA">
              <w:rPr>
                <w:rFonts w:ascii="Arial Narrow" w:eastAsia="Calibri" w:hAnsi="Arial Narrow"/>
                <w:sz w:val="20"/>
                <w:szCs w:val="20"/>
                <w:lang w:eastAsia="en-US"/>
              </w:rPr>
              <w:t>2 786</w:t>
            </w:r>
          </w:p>
        </w:tc>
      </w:tr>
      <w:tr w:rsidR="0083441E" w:rsidRPr="00C65CAA" w:rsidTr="0083441E">
        <w:trPr>
          <w:trHeight w:val="182"/>
        </w:trPr>
        <w:tc>
          <w:tcPr>
            <w:tcW w:w="2656" w:type="pct"/>
            <w:shd w:val="clear" w:color="auto" w:fill="FFFFFF"/>
            <w:noWrap/>
            <w:vAlign w:val="center"/>
          </w:tcPr>
          <w:p w:rsidR="0083441E" w:rsidRPr="00C65CAA" w:rsidRDefault="0083441E" w:rsidP="009879BE">
            <w:pPr>
              <w:rPr>
                <w:rFonts w:ascii="Arial Narrow" w:hAnsi="Arial Narrow"/>
                <w:sz w:val="20"/>
                <w:szCs w:val="20"/>
              </w:rPr>
            </w:pPr>
            <w:r w:rsidRPr="00C65CAA">
              <w:rPr>
                <w:rFonts w:ascii="Arial Narrow" w:hAnsi="Arial Narrow"/>
                <w:sz w:val="20"/>
                <w:szCs w:val="20"/>
              </w:rPr>
              <w:t xml:space="preserve">             Daň z príjmov právnických osôb</w:t>
            </w:r>
          </w:p>
        </w:tc>
        <w:tc>
          <w:tcPr>
            <w:tcW w:w="626" w:type="pct"/>
            <w:shd w:val="clear" w:color="auto" w:fill="FFFFFF"/>
            <w:noWrap/>
            <w:vAlign w:val="center"/>
          </w:tcPr>
          <w:p w:rsidR="0083441E" w:rsidRPr="00C65CAA" w:rsidRDefault="0083441E" w:rsidP="009879BE">
            <w:pPr>
              <w:jc w:val="right"/>
              <w:rPr>
                <w:rFonts w:ascii="Arial Narrow" w:hAnsi="Arial Narrow"/>
                <w:sz w:val="20"/>
                <w:szCs w:val="20"/>
              </w:rPr>
            </w:pPr>
            <w:r w:rsidRPr="00C65CAA">
              <w:rPr>
                <w:rFonts w:ascii="Arial Narrow" w:hAnsi="Arial Narrow"/>
                <w:sz w:val="20"/>
                <w:szCs w:val="20"/>
              </w:rPr>
              <w:t>2 248</w:t>
            </w:r>
          </w:p>
        </w:tc>
        <w:tc>
          <w:tcPr>
            <w:tcW w:w="429" w:type="pct"/>
            <w:shd w:val="clear" w:color="auto" w:fill="FFFFFF"/>
            <w:noWrap/>
            <w:vAlign w:val="center"/>
          </w:tcPr>
          <w:p w:rsidR="0083441E" w:rsidRPr="00C65CAA" w:rsidRDefault="0083441E" w:rsidP="009879BE">
            <w:pPr>
              <w:jc w:val="right"/>
              <w:rPr>
                <w:rFonts w:ascii="Arial Narrow" w:eastAsia="Calibri" w:hAnsi="Arial Narrow"/>
                <w:sz w:val="20"/>
                <w:szCs w:val="20"/>
                <w:lang w:eastAsia="en-US"/>
              </w:rPr>
            </w:pPr>
            <w:r w:rsidRPr="00C65CAA">
              <w:rPr>
                <w:rFonts w:ascii="Arial Narrow" w:eastAsia="Calibri" w:hAnsi="Arial Narrow"/>
                <w:sz w:val="20"/>
                <w:szCs w:val="20"/>
                <w:lang w:eastAsia="en-US"/>
              </w:rPr>
              <w:t>1 611</w:t>
            </w:r>
          </w:p>
        </w:tc>
        <w:tc>
          <w:tcPr>
            <w:tcW w:w="430" w:type="pct"/>
            <w:shd w:val="clear" w:color="auto" w:fill="FFFFFF"/>
            <w:vAlign w:val="center"/>
          </w:tcPr>
          <w:p w:rsidR="0083441E" w:rsidRPr="00C65CAA" w:rsidRDefault="0083441E" w:rsidP="009879BE">
            <w:pPr>
              <w:jc w:val="right"/>
              <w:rPr>
                <w:rFonts w:ascii="Arial Narrow" w:eastAsia="Calibri" w:hAnsi="Arial Narrow"/>
                <w:sz w:val="20"/>
                <w:szCs w:val="20"/>
                <w:lang w:eastAsia="en-US"/>
              </w:rPr>
            </w:pPr>
            <w:r w:rsidRPr="00C65CAA">
              <w:rPr>
                <w:rFonts w:ascii="Arial Narrow" w:eastAsia="Calibri" w:hAnsi="Arial Narrow"/>
                <w:sz w:val="20"/>
                <w:szCs w:val="20"/>
                <w:lang w:eastAsia="en-US"/>
              </w:rPr>
              <w:t>1 611</w:t>
            </w:r>
          </w:p>
        </w:tc>
        <w:tc>
          <w:tcPr>
            <w:tcW w:w="429" w:type="pct"/>
            <w:shd w:val="clear" w:color="auto" w:fill="FFFFFF"/>
            <w:vAlign w:val="center"/>
          </w:tcPr>
          <w:p w:rsidR="0083441E" w:rsidRPr="00C65CAA" w:rsidRDefault="0083441E" w:rsidP="009879BE">
            <w:pPr>
              <w:jc w:val="right"/>
              <w:rPr>
                <w:rFonts w:ascii="Arial Narrow" w:eastAsia="Calibri" w:hAnsi="Arial Narrow"/>
                <w:sz w:val="20"/>
                <w:szCs w:val="20"/>
                <w:lang w:eastAsia="en-US"/>
              </w:rPr>
            </w:pPr>
            <w:r w:rsidRPr="00C65CAA">
              <w:rPr>
                <w:rFonts w:ascii="Arial Narrow" w:eastAsia="Calibri" w:hAnsi="Arial Narrow"/>
                <w:sz w:val="20"/>
                <w:szCs w:val="20"/>
                <w:lang w:eastAsia="en-US"/>
              </w:rPr>
              <w:t>1 611</w:t>
            </w:r>
          </w:p>
        </w:tc>
        <w:tc>
          <w:tcPr>
            <w:tcW w:w="430" w:type="pct"/>
            <w:shd w:val="clear" w:color="auto" w:fill="FFFFFF"/>
            <w:vAlign w:val="center"/>
          </w:tcPr>
          <w:p w:rsidR="0083441E" w:rsidRPr="00C65CAA" w:rsidRDefault="0083441E" w:rsidP="009879BE">
            <w:pPr>
              <w:jc w:val="right"/>
              <w:rPr>
                <w:rFonts w:ascii="Arial Narrow" w:eastAsia="Calibri" w:hAnsi="Arial Narrow"/>
                <w:sz w:val="20"/>
                <w:szCs w:val="20"/>
                <w:lang w:eastAsia="en-US"/>
              </w:rPr>
            </w:pPr>
            <w:r w:rsidRPr="00C65CAA">
              <w:rPr>
                <w:rFonts w:ascii="Arial Narrow" w:eastAsia="Calibri" w:hAnsi="Arial Narrow"/>
                <w:sz w:val="20"/>
                <w:szCs w:val="20"/>
                <w:lang w:eastAsia="en-US"/>
              </w:rPr>
              <w:t>1 611</w:t>
            </w:r>
          </w:p>
        </w:tc>
      </w:tr>
      <w:tr w:rsidR="0083441E" w:rsidRPr="00C65CAA" w:rsidTr="0083441E">
        <w:trPr>
          <w:trHeight w:val="182"/>
        </w:trPr>
        <w:tc>
          <w:tcPr>
            <w:tcW w:w="2656" w:type="pct"/>
            <w:shd w:val="clear" w:color="auto" w:fill="FFFFFF"/>
            <w:noWrap/>
            <w:vAlign w:val="center"/>
          </w:tcPr>
          <w:p w:rsidR="0083441E" w:rsidRPr="00C65CAA" w:rsidRDefault="0083441E" w:rsidP="009879BE">
            <w:pPr>
              <w:rPr>
                <w:rFonts w:ascii="Arial Narrow" w:hAnsi="Arial Narrow"/>
                <w:sz w:val="20"/>
                <w:szCs w:val="20"/>
              </w:rPr>
            </w:pPr>
            <w:r w:rsidRPr="00C65CAA">
              <w:rPr>
                <w:rFonts w:ascii="Arial Narrow" w:hAnsi="Arial Narrow"/>
                <w:sz w:val="20"/>
                <w:szCs w:val="20"/>
              </w:rPr>
              <w:t xml:space="preserve">             Daň z príjmov vyberaná zrážkou</w:t>
            </w:r>
          </w:p>
        </w:tc>
        <w:tc>
          <w:tcPr>
            <w:tcW w:w="626" w:type="pct"/>
            <w:shd w:val="clear" w:color="auto" w:fill="FFFFFF"/>
            <w:noWrap/>
            <w:vAlign w:val="center"/>
          </w:tcPr>
          <w:p w:rsidR="0083441E" w:rsidRPr="00C65CAA" w:rsidRDefault="0083441E" w:rsidP="009879BE">
            <w:pPr>
              <w:jc w:val="right"/>
              <w:rPr>
                <w:rFonts w:ascii="Arial Narrow" w:hAnsi="Arial Narrow"/>
                <w:sz w:val="20"/>
                <w:szCs w:val="20"/>
              </w:rPr>
            </w:pPr>
            <w:r w:rsidRPr="00C65CAA">
              <w:rPr>
                <w:rFonts w:ascii="Arial Narrow" w:hAnsi="Arial Narrow"/>
                <w:sz w:val="20"/>
                <w:szCs w:val="20"/>
              </w:rPr>
              <w:t>79</w:t>
            </w:r>
          </w:p>
        </w:tc>
        <w:tc>
          <w:tcPr>
            <w:tcW w:w="429" w:type="pct"/>
            <w:shd w:val="clear" w:color="auto" w:fill="FFFFFF"/>
            <w:noWrap/>
            <w:vAlign w:val="center"/>
          </w:tcPr>
          <w:p w:rsidR="0083441E" w:rsidRPr="00C65CAA" w:rsidRDefault="0083441E" w:rsidP="009879BE">
            <w:pPr>
              <w:jc w:val="right"/>
              <w:rPr>
                <w:rFonts w:ascii="Arial Narrow" w:hAnsi="Arial Narrow"/>
                <w:sz w:val="20"/>
                <w:szCs w:val="20"/>
              </w:rPr>
            </w:pPr>
            <w:r w:rsidRPr="00C65CAA">
              <w:rPr>
                <w:rFonts w:ascii="Arial Narrow" w:hAnsi="Arial Narrow"/>
                <w:sz w:val="20"/>
                <w:szCs w:val="20"/>
              </w:rPr>
              <w:t>79</w:t>
            </w:r>
          </w:p>
        </w:tc>
        <w:tc>
          <w:tcPr>
            <w:tcW w:w="430" w:type="pct"/>
            <w:shd w:val="clear" w:color="auto" w:fill="FFFFFF"/>
            <w:vAlign w:val="center"/>
          </w:tcPr>
          <w:p w:rsidR="0083441E" w:rsidRPr="00C65CAA" w:rsidRDefault="0083441E" w:rsidP="009879BE">
            <w:pPr>
              <w:jc w:val="right"/>
              <w:rPr>
                <w:rFonts w:ascii="Arial Narrow" w:hAnsi="Arial Narrow"/>
                <w:sz w:val="20"/>
                <w:szCs w:val="20"/>
              </w:rPr>
            </w:pPr>
            <w:r w:rsidRPr="00C65CAA">
              <w:rPr>
                <w:rFonts w:ascii="Arial Narrow" w:hAnsi="Arial Narrow"/>
                <w:sz w:val="20"/>
                <w:szCs w:val="20"/>
              </w:rPr>
              <w:t>79</w:t>
            </w:r>
          </w:p>
        </w:tc>
        <w:tc>
          <w:tcPr>
            <w:tcW w:w="429" w:type="pct"/>
            <w:shd w:val="clear" w:color="auto" w:fill="FFFFFF"/>
            <w:vAlign w:val="center"/>
          </w:tcPr>
          <w:p w:rsidR="0083441E" w:rsidRPr="00C65CAA" w:rsidRDefault="0083441E" w:rsidP="009879BE">
            <w:pPr>
              <w:jc w:val="right"/>
              <w:rPr>
                <w:rFonts w:ascii="Arial Narrow" w:hAnsi="Arial Narrow"/>
                <w:sz w:val="20"/>
                <w:szCs w:val="20"/>
              </w:rPr>
            </w:pPr>
            <w:r w:rsidRPr="00C65CAA">
              <w:rPr>
                <w:rFonts w:ascii="Arial Narrow" w:hAnsi="Arial Narrow"/>
                <w:sz w:val="20"/>
                <w:szCs w:val="20"/>
              </w:rPr>
              <w:t>79</w:t>
            </w:r>
          </w:p>
        </w:tc>
        <w:tc>
          <w:tcPr>
            <w:tcW w:w="430" w:type="pct"/>
            <w:shd w:val="clear" w:color="auto" w:fill="FFFFFF"/>
            <w:vAlign w:val="center"/>
          </w:tcPr>
          <w:p w:rsidR="0083441E" w:rsidRPr="00C65CAA" w:rsidRDefault="0083441E" w:rsidP="009879BE">
            <w:pPr>
              <w:jc w:val="right"/>
              <w:rPr>
                <w:rFonts w:ascii="Arial Narrow" w:hAnsi="Arial Narrow"/>
                <w:sz w:val="20"/>
                <w:szCs w:val="20"/>
              </w:rPr>
            </w:pPr>
            <w:r w:rsidRPr="00C65CAA">
              <w:rPr>
                <w:rFonts w:ascii="Arial Narrow" w:hAnsi="Arial Narrow"/>
                <w:sz w:val="20"/>
                <w:szCs w:val="20"/>
              </w:rPr>
              <w:t>79</w:t>
            </w:r>
          </w:p>
        </w:tc>
      </w:tr>
      <w:tr w:rsidR="0083441E" w:rsidRPr="00C65CAA" w:rsidTr="0083441E">
        <w:trPr>
          <w:trHeight w:val="182"/>
        </w:trPr>
        <w:tc>
          <w:tcPr>
            <w:tcW w:w="2656" w:type="pct"/>
            <w:shd w:val="clear" w:color="auto" w:fill="FFFFFF"/>
            <w:noWrap/>
            <w:vAlign w:val="center"/>
          </w:tcPr>
          <w:p w:rsidR="0083441E" w:rsidRPr="00C65CAA" w:rsidRDefault="0083441E" w:rsidP="009879BE">
            <w:pPr>
              <w:rPr>
                <w:rFonts w:ascii="Arial Narrow" w:hAnsi="Arial Narrow"/>
                <w:sz w:val="20"/>
                <w:szCs w:val="20"/>
              </w:rPr>
            </w:pPr>
            <w:r w:rsidRPr="00C65CAA">
              <w:rPr>
                <w:rFonts w:ascii="Arial Narrow" w:hAnsi="Arial Narrow"/>
                <w:sz w:val="20"/>
                <w:szCs w:val="20"/>
              </w:rPr>
              <w:t xml:space="preserve">             Daň z pridanej hodnoty</w:t>
            </w:r>
          </w:p>
        </w:tc>
        <w:tc>
          <w:tcPr>
            <w:tcW w:w="626" w:type="pct"/>
            <w:shd w:val="clear" w:color="auto" w:fill="FFFFFF"/>
            <w:noWrap/>
            <w:vAlign w:val="center"/>
          </w:tcPr>
          <w:p w:rsidR="0083441E" w:rsidRPr="00C65CAA" w:rsidRDefault="0083441E" w:rsidP="009879BE">
            <w:pPr>
              <w:jc w:val="right"/>
              <w:rPr>
                <w:rFonts w:ascii="Arial Narrow" w:hAnsi="Arial Narrow"/>
                <w:sz w:val="20"/>
                <w:szCs w:val="20"/>
              </w:rPr>
            </w:pPr>
            <w:r w:rsidRPr="00C65CAA">
              <w:rPr>
                <w:rFonts w:ascii="Arial Narrow" w:hAnsi="Arial Narrow"/>
                <w:sz w:val="20"/>
                <w:szCs w:val="20"/>
              </w:rPr>
              <w:t>9 345</w:t>
            </w:r>
          </w:p>
        </w:tc>
        <w:tc>
          <w:tcPr>
            <w:tcW w:w="429" w:type="pct"/>
            <w:shd w:val="clear" w:color="auto" w:fill="FFFFFF"/>
            <w:noWrap/>
            <w:vAlign w:val="center"/>
          </w:tcPr>
          <w:p w:rsidR="0083441E" w:rsidRPr="00C65CAA" w:rsidRDefault="0083441E" w:rsidP="009879BE">
            <w:pPr>
              <w:jc w:val="right"/>
              <w:rPr>
                <w:rFonts w:ascii="Arial Narrow" w:hAnsi="Arial Narrow"/>
                <w:sz w:val="20"/>
                <w:szCs w:val="20"/>
              </w:rPr>
            </w:pPr>
            <w:r w:rsidRPr="00C65CAA">
              <w:rPr>
                <w:rFonts w:ascii="Arial Narrow" w:hAnsi="Arial Narrow"/>
                <w:sz w:val="20"/>
                <w:szCs w:val="20"/>
              </w:rPr>
              <w:t>9 345</w:t>
            </w:r>
          </w:p>
        </w:tc>
        <w:tc>
          <w:tcPr>
            <w:tcW w:w="430" w:type="pct"/>
            <w:shd w:val="clear" w:color="auto" w:fill="FFFFFF"/>
            <w:vAlign w:val="center"/>
          </w:tcPr>
          <w:p w:rsidR="0083441E" w:rsidRPr="00C65CAA" w:rsidRDefault="0083441E" w:rsidP="009879BE">
            <w:pPr>
              <w:jc w:val="right"/>
              <w:rPr>
                <w:rFonts w:ascii="Arial Narrow" w:hAnsi="Arial Narrow"/>
                <w:sz w:val="20"/>
                <w:szCs w:val="20"/>
              </w:rPr>
            </w:pPr>
            <w:r w:rsidRPr="00C65CAA">
              <w:rPr>
                <w:rFonts w:ascii="Arial Narrow" w:hAnsi="Arial Narrow"/>
                <w:sz w:val="20"/>
                <w:szCs w:val="20"/>
              </w:rPr>
              <w:t>9 345</w:t>
            </w:r>
          </w:p>
        </w:tc>
        <w:tc>
          <w:tcPr>
            <w:tcW w:w="429" w:type="pct"/>
            <w:shd w:val="clear" w:color="auto" w:fill="FFFFFF"/>
            <w:vAlign w:val="center"/>
          </w:tcPr>
          <w:p w:rsidR="0083441E" w:rsidRPr="00C65CAA" w:rsidRDefault="0083441E" w:rsidP="009879BE">
            <w:pPr>
              <w:jc w:val="right"/>
              <w:rPr>
                <w:rFonts w:ascii="Arial Narrow" w:hAnsi="Arial Narrow"/>
                <w:sz w:val="20"/>
                <w:szCs w:val="20"/>
              </w:rPr>
            </w:pPr>
            <w:r w:rsidRPr="00C65CAA">
              <w:rPr>
                <w:rFonts w:ascii="Arial Narrow" w:hAnsi="Arial Narrow"/>
                <w:sz w:val="20"/>
                <w:szCs w:val="20"/>
              </w:rPr>
              <w:t>9 345</w:t>
            </w:r>
          </w:p>
        </w:tc>
        <w:tc>
          <w:tcPr>
            <w:tcW w:w="430" w:type="pct"/>
            <w:shd w:val="clear" w:color="auto" w:fill="FFFFFF"/>
            <w:vAlign w:val="center"/>
          </w:tcPr>
          <w:p w:rsidR="0083441E" w:rsidRPr="00C65CAA" w:rsidRDefault="0083441E" w:rsidP="009879BE">
            <w:pPr>
              <w:jc w:val="right"/>
              <w:rPr>
                <w:rFonts w:ascii="Arial Narrow" w:hAnsi="Arial Narrow"/>
                <w:sz w:val="20"/>
                <w:szCs w:val="20"/>
              </w:rPr>
            </w:pPr>
            <w:r w:rsidRPr="00C65CAA">
              <w:rPr>
                <w:rFonts w:ascii="Arial Narrow" w:hAnsi="Arial Narrow"/>
                <w:sz w:val="20"/>
                <w:szCs w:val="20"/>
              </w:rPr>
              <w:t>9 345</w:t>
            </w:r>
          </w:p>
        </w:tc>
      </w:tr>
      <w:tr w:rsidR="0083441E" w:rsidRPr="00C65CAA" w:rsidTr="0083441E">
        <w:trPr>
          <w:trHeight w:val="182"/>
        </w:trPr>
        <w:tc>
          <w:tcPr>
            <w:tcW w:w="2656" w:type="pct"/>
            <w:shd w:val="clear" w:color="auto" w:fill="FFFFFF"/>
            <w:noWrap/>
            <w:vAlign w:val="center"/>
          </w:tcPr>
          <w:p w:rsidR="0083441E" w:rsidRPr="00C65CAA" w:rsidRDefault="0083441E" w:rsidP="009879BE">
            <w:pPr>
              <w:rPr>
                <w:rFonts w:ascii="Arial Narrow" w:hAnsi="Arial Narrow"/>
                <w:sz w:val="20"/>
                <w:szCs w:val="20"/>
              </w:rPr>
            </w:pPr>
            <w:r w:rsidRPr="00C65CAA">
              <w:rPr>
                <w:rFonts w:ascii="Arial Narrow" w:hAnsi="Arial Narrow"/>
                <w:sz w:val="20"/>
                <w:szCs w:val="20"/>
              </w:rPr>
              <w:t xml:space="preserve">             Spotrebné dane</w:t>
            </w:r>
          </w:p>
        </w:tc>
        <w:tc>
          <w:tcPr>
            <w:tcW w:w="626" w:type="pct"/>
            <w:shd w:val="clear" w:color="auto" w:fill="FFFFFF"/>
            <w:noWrap/>
            <w:vAlign w:val="center"/>
          </w:tcPr>
          <w:p w:rsidR="0083441E" w:rsidRPr="00C65CAA" w:rsidRDefault="0083441E" w:rsidP="009879BE">
            <w:pPr>
              <w:jc w:val="right"/>
              <w:rPr>
                <w:rFonts w:ascii="Arial Narrow" w:hAnsi="Arial Narrow"/>
                <w:sz w:val="20"/>
                <w:szCs w:val="20"/>
              </w:rPr>
            </w:pPr>
            <w:r w:rsidRPr="00C65CAA">
              <w:rPr>
                <w:rFonts w:ascii="Arial Narrow" w:hAnsi="Arial Narrow"/>
                <w:sz w:val="20"/>
                <w:szCs w:val="20"/>
              </w:rPr>
              <w:t>48</w:t>
            </w:r>
          </w:p>
        </w:tc>
        <w:tc>
          <w:tcPr>
            <w:tcW w:w="429" w:type="pct"/>
            <w:shd w:val="clear" w:color="auto" w:fill="FFFFFF"/>
            <w:noWrap/>
            <w:vAlign w:val="center"/>
          </w:tcPr>
          <w:p w:rsidR="0083441E" w:rsidRPr="00C65CAA" w:rsidRDefault="0083441E" w:rsidP="009879BE">
            <w:pPr>
              <w:jc w:val="right"/>
              <w:rPr>
                <w:rFonts w:ascii="Arial Narrow" w:eastAsia="Calibri" w:hAnsi="Arial Narrow"/>
                <w:sz w:val="20"/>
                <w:szCs w:val="20"/>
                <w:lang w:eastAsia="en-US"/>
              </w:rPr>
            </w:pPr>
            <w:r w:rsidRPr="00C65CAA">
              <w:rPr>
                <w:rFonts w:ascii="Arial Narrow" w:eastAsia="Calibri" w:hAnsi="Arial Narrow"/>
                <w:sz w:val="20"/>
                <w:szCs w:val="20"/>
                <w:lang w:eastAsia="en-US"/>
              </w:rPr>
              <w:t>0</w:t>
            </w:r>
          </w:p>
        </w:tc>
        <w:tc>
          <w:tcPr>
            <w:tcW w:w="430" w:type="pct"/>
            <w:shd w:val="clear" w:color="auto" w:fill="FFFFFF"/>
            <w:vAlign w:val="center"/>
          </w:tcPr>
          <w:p w:rsidR="0083441E" w:rsidRPr="00C65CAA" w:rsidRDefault="0083441E" w:rsidP="009879BE">
            <w:pPr>
              <w:jc w:val="right"/>
              <w:rPr>
                <w:rFonts w:ascii="Arial Narrow" w:eastAsia="Calibri" w:hAnsi="Arial Narrow"/>
                <w:sz w:val="20"/>
                <w:szCs w:val="20"/>
                <w:lang w:eastAsia="en-US"/>
              </w:rPr>
            </w:pPr>
            <w:r w:rsidRPr="00C65CAA">
              <w:rPr>
                <w:rFonts w:ascii="Arial Narrow" w:eastAsia="Calibri" w:hAnsi="Arial Narrow"/>
                <w:sz w:val="20"/>
                <w:szCs w:val="20"/>
                <w:lang w:eastAsia="en-US"/>
              </w:rPr>
              <w:t>0</w:t>
            </w:r>
          </w:p>
        </w:tc>
        <w:tc>
          <w:tcPr>
            <w:tcW w:w="429" w:type="pct"/>
            <w:shd w:val="clear" w:color="auto" w:fill="FFFFFF"/>
            <w:vAlign w:val="center"/>
          </w:tcPr>
          <w:p w:rsidR="0083441E" w:rsidRPr="00C65CAA" w:rsidRDefault="0083441E" w:rsidP="009879BE">
            <w:pPr>
              <w:jc w:val="right"/>
              <w:rPr>
                <w:rFonts w:ascii="Arial Narrow" w:eastAsia="Calibri" w:hAnsi="Arial Narrow"/>
                <w:sz w:val="20"/>
                <w:szCs w:val="20"/>
                <w:lang w:eastAsia="en-US"/>
              </w:rPr>
            </w:pPr>
            <w:r w:rsidRPr="00C65CAA">
              <w:rPr>
                <w:rFonts w:ascii="Arial Narrow" w:eastAsia="Calibri" w:hAnsi="Arial Narrow"/>
                <w:sz w:val="20"/>
                <w:szCs w:val="20"/>
                <w:lang w:eastAsia="en-US"/>
              </w:rPr>
              <w:t>0</w:t>
            </w:r>
          </w:p>
        </w:tc>
        <w:tc>
          <w:tcPr>
            <w:tcW w:w="430" w:type="pct"/>
            <w:shd w:val="clear" w:color="auto" w:fill="FFFFFF"/>
            <w:vAlign w:val="center"/>
          </w:tcPr>
          <w:p w:rsidR="0083441E" w:rsidRPr="00C65CAA" w:rsidRDefault="0083441E" w:rsidP="009879BE">
            <w:pPr>
              <w:jc w:val="right"/>
              <w:rPr>
                <w:rFonts w:ascii="Arial Narrow" w:eastAsia="Calibri" w:hAnsi="Arial Narrow"/>
                <w:sz w:val="20"/>
                <w:szCs w:val="20"/>
                <w:lang w:eastAsia="en-US"/>
              </w:rPr>
            </w:pPr>
            <w:r w:rsidRPr="00C65CAA">
              <w:rPr>
                <w:rFonts w:ascii="Arial Narrow" w:eastAsia="Calibri" w:hAnsi="Arial Narrow"/>
                <w:sz w:val="20"/>
                <w:szCs w:val="20"/>
                <w:lang w:eastAsia="en-US"/>
              </w:rPr>
              <w:t>0</w:t>
            </w:r>
          </w:p>
        </w:tc>
      </w:tr>
      <w:tr w:rsidR="0083441E" w:rsidRPr="00C65CAA" w:rsidTr="0083441E">
        <w:trPr>
          <w:trHeight w:val="182"/>
        </w:trPr>
        <w:tc>
          <w:tcPr>
            <w:tcW w:w="2656" w:type="pct"/>
            <w:shd w:val="clear" w:color="auto" w:fill="FFFFFF"/>
            <w:noWrap/>
            <w:vAlign w:val="center"/>
          </w:tcPr>
          <w:p w:rsidR="0083441E" w:rsidRPr="00C65CAA" w:rsidRDefault="0083441E" w:rsidP="009879BE">
            <w:pPr>
              <w:rPr>
                <w:rFonts w:ascii="Arial Narrow" w:hAnsi="Arial Narrow"/>
                <w:sz w:val="20"/>
                <w:szCs w:val="20"/>
              </w:rPr>
            </w:pPr>
            <w:r w:rsidRPr="00C65CAA">
              <w:rPr>
                <w:rFonts w:ascii="Arial Narrow" w:hAnsi="Arial Narrow"/>
                <w:sz w:val="20"/>
                <w:szCs w:val="20"/>
              </w:rPr>
              <w:t xml:space="preserve">             Miestne dane</w:t>
            </w:r>
          </w:p>
        </w:tc>
        <w:tc>
          <w:tcPr>
            <w:tcW w:w="626" w:type="pct"/>
            <w:shd w:val="clear" w:color="auto" w:fill="FFFFFF"/>
            <w:noWrap/>
            <w:vAlign w:val="center"/>
          </w:tcPr>
          <w:p w:rsidR="0083441E" w:rsidRPr="00C65CAA" w:rsidRDefault="0083441E" w:rsidP="009879BE">
            <w:pPr>
              <w:jc w:val="right"/>
              <w:rPr>
                <w:rFonts w:ascii="Arial Narrow" w:hAnsi="Arial Narrow"/>
                <w:sz w:val="20"/>
                <w:szCs w:val="20"/>
              </w:rPr>
            </w:pPr>
            <w:r w:rsidRPr="00C65CAA">
              <w:rPr>
                <w:rFonts w:ascii="Arial Narrow" w:hAnsi="Arial Narrow"/>
                <w:sz w:val="20"/>
                <w:szCs w:val="20"/>
              </w:rPr>
              <w:t>0</w:t>
            </w:r>
          </w:p>
        </w:tc>
        <w:tc>
          <w:tcPr>
            <w:tcW w:w="429" w:type="pct"/>
            <w:shd w:val="clear" w:color="auto" w:fill="FFFFFF"/>
            <w:noWrap/>
            <w:vAlign w:val="center"/>
          </w:tcPr>
          <w:p w:rsidR="0083441E" w:rsidRPr="00C65CAA" w:rsidRDefault="0083441E" w:rsidP="009879BE">
            <w:pPr>
              <w:jc w:val="right"/>
              <w:rPr>
                <w:rFonts w:ascii="Arial Narrow" w:eastAsia="Calibri" w:hAnsi="Arial Narrow"/>
                <w:sz w:val="20"/>
                <w:szCs w:val="20"/>
                <w:lang w:eastAsia="en-US"/>
              </w:rPr>
            </w:pPr>
            <w:r w:rsidRPr="00C65CAA">
              <w:rPr>
                <w:rFonts w:ascii="Arial Narrow" w:eastAsia="Calibri" w:hAnsi="Arial Narrow"/>
                <w:sz w:val="20"/>
                <w:szCs w:val="20"/>
                <w:lang w:eastAsia="en-US"/>
              </w:rPr>
              <w:t>0</w:t>
            </w:r>
          </w:p>
        </w:tc>
        <w:tc>
          <w:tcPr>
            <w:tcW w:w="430" w:type="pct"/>
            <w:shd w:val="clear" w:color="auto" w:fill="FFFFFF"/>
            <w:vAlign w:val="center"/>
          </w:tcPr>
          <w:p w:rsidR="0083441E" w:rsidRPr="00C65CAA" w:rsidRDefault="0083441E" w:rsidP="009879BE">
            <w:pPr>
              <w:jc w:val="right"/>
              <w:rPr>
                <w:rFonts w:ascii="Arial Narrow" w:eastAsia="Calibri" w:hAnsi="Arial Narrow"/>
                <w:sz w:val="20"/>
                <w:szCs w:val="20"/>
                <w:lang w:eastAsia="en-US"/>
              </w:rPr>
            </w:pPr>
            <w:r w:rsidRPr="00C65CAA">
              <w:rPr>
                <w:rFonts w:ascii="Arial Narrow" w:eastAsia="Calibri" w:hAnsi="Arial Narrow"/>
                <w:sz w:val="20"/>
                <w:szCs w:val="20"/>
                <w:lang w:eastAsia="en-US"/>
              </w:rPr>
              <w:t>0</w:t>
            </w:r>
          </w:p>
        </w:tc>
        <w:tc>
          <w:tcPr>
            <w:tcW w:w="429" w:type="pct"/>
            <w:shd w:val="clear" w:color="auto" w:fill="FFFFFF"/>
            <w:vAlign w:val="center"/>
          </w:tcPr>
          <w:p w:rsidR="0083441E" w:rsidRPr="00C65CAA" w:rsidRDefault="0083441E" w:rsidP="009879BE">
            <w:pPr>
              <w:jc w:val="right"/>
              <w:rPr>
                <w:rFonts w:ascii="Arial Narrow" w:eastAsia="Calibri" w:hAnsi="Arial Narrow"/>
                <w:sz w:val="20"/>
                <w:szCs w:val="20"/>
                <w:lang w:eastAsia="en-US"/>
              </w:rPr>
            </w:pPr>
            <w:r w:rsidRPr="00C65CAA">
              <w:rPr>
                <w:rFonts w:ascii="Arial Narrow" w:eastAsia="Calibri" w:hAnsi="Arial Narrow"/>
                <w:sz w:val="20"/>
                <w:szCs w:val="20"/>
                <w:lang w:eastAsia="en-US"/>
              </w:rPr>
              <w:t>0</w:t>
            </w:r>
          </w:p>
        </w:tc>
        <w:tc>
          <w:tcPr>
            <w:tcW w:w="430" w:type="pct"/>
            <w:shd w:val="clear" w:color="auto" w:fill="FFFFFF"/>
            <w:vAlign w:val="center"/>
          </w:tcPr>
          <w:p w:rsidR="0083441E" w:rsidRPr="00C65CAA" w:rsidRDefault="0083441E" w:rsidP="009879BE">
            <w:pPr>
              <w:jc w:val="right"/>
              <w:rPr>
                <w:rFonts w:ascii="Arial Narrow" w:eastAsia="Calibri" w:hAnsi="Arial Narrow"/>
                <w:sz w:val="20"/>
                <w:szCs w:val="20"/>
                <w:lang w:eastAsia="en-US"/>
              </w:rPr>
            </w:pPr>
            <w:r w:rsidRPr="00C65CAA">
              <w:rPr>
                <w:rFonts w:ascii="Arial Narrow" w:eastAsia="Calibri" w:hAnsi="Arial Narrow"/>
                <w:sz w:val="20"/>
                <w:szCs w:val="20"/>
                <w:lang w:eastAsia="en-US"/>
              </w:rPr>
              <w:t>0</w:t>
            </w:r>
          </w:p>
        </w:tc>
      </w:tr>
      <w:tr w:rsidR="0083441E" w:rsidRPr="00C65CAA" w:rsidTr="0083441E">
        <w:trPr>
          <w:trHeight w:val="182"/>
        </w:trPr>
        <w:tc>
          <w:tcPr>
            <w:tcW w:w="2656" w:type="pct"/>
            <w:shd w:val="clear" w:color="auto" w:fill="FFFFFF"/>
            <w:noWrap/>
            <w:vAlign w:val="center"/>
          </w:tcPr>
          <w:p w:rsidR="0083441E" w:rsidRPr="00C65CAA" w:rsidRDefault="0083441E" w:rsidP="009879BE">
            <w:pPr>
              <w:rPr>
                <w:rFonts w:ascii="Arial Narrow" w:hAnsi="Arial Narrow"/>
                <w:sz w:val="20"/>
                <w:szCs w:val="20"/>
              </w:rPr>
            </w:pPr>
            <w:r w:rsidRPr="00C65CAA">
              <w:rPr>
                <w:rFonts w:ascii="Arial Narrow" w:hAnsi="Arial Narrow"/>
                <w:sz w:val="20"/>
                <w:szCs w:val="20"/>
              </w:rPr>
              <w:t xml:space="preserve">             Ostatné dane + dane z medz. obchodu a transakcií</w:t>
            </w:r>
          </w:p>
        </w:tc>
        <w:tc>
          <w:tcPr>
            <w:tcW w:w="626" w:type="pct"/>
            <w:shd w:val="clear" w:color="auto" w:fill="FFFFFF"/>
            <w:noWrap/>
            <w:vAlign w:val="center"/>
          </w:tcPr>
          <w:p w:rsidR="0083441E" w:rsidRPr="00C65CAA" w:rsidRDefault="0083441E" w:rsidP="009879BE">
            <w:pPr>
              <w:jc w:val="right"/>
              <w:rPr>
                <w:rFonts w:ascii="Arial Narrow" w:hAnsi="Arial Narrow"/>
                <w:sz w:val="20"/>
                <w:szCs w:val="20"/>
              </w:rPr>
            </w:pPr>
            <w:r w:rsidRPr="00C65CAA">
              <w:rPr>
                <w:rFonts w:ascii="Arial Narrow" w:hAnsi="Arial Narrow"/>
                <w:sz w:val="20"/>
                <w:szCs w:val="20"/>
              </w:rPr>
              <w:t>608</w:t>
            </w:r>
          </w:p>
        </w:tc>
        <w:tc>
          <w:tcPr>
            <w:tcW w:w="429" w:type="pct"/>
            <w:shd w:val="clear" w:color="auto" w:fill="FFFFFF"/>
            <w:noWrap/>
            <w:vAlign w:val="center"/>
          </w:tcPr>
          <w:p w:rsidR="0083441E" w:rsidRPr="00C65CAA" w:rsidRDefault="0083441E" w:rsidP="009879BE">
            <w:pPr>
              <w:jc w:val="right"/>
              <w:rPr>
                <w:rFonts w:ascii="Arial Narrow" w:eastAsia="Calibri" w:hAnsi="Arial Narrow"/>
                <w:sz w:val="20"/>
                <w:szCs w:val="20"/>
                <w:lang w:eastAsia="en-US"/>
              </w:rPr>
            </w:pPr>
            <w:r w:rsidRPr="00C65CAA">
              <w:rPr>
                <w:rFonts w:ascii="Arial Narrow" w:eastAsia="Calibri" w:hAnsi="Arial Narrow"/>
                <w:sz w:val="20"/>
                <w:szCs w:val="20"/>
                <w:lang w:eastAsia="en-US"/>
              </w:rPr>
              <w:t>532</w:t>
            </w:r>
          </w:p>
        </w:tc>
        <w:tc>
          <w:tcPr>
            <w:tcW w:w="430" w:type="pct"/>
            <w:shd w:val="clear" w:color="auto" w:fill="FFFFFF"/>
            <w:vAlign w:val="center"/>
          </w:tcPr>
          <w:p w:rsidR="0083441E" w:rsidRPr="00C65CAA" w:rsidRDefault="0083441E" w:rsidP="009879BE">
            <w:pPr>
              <w:jc w:val="right"/>
              <w:rPr>
                <w:rFonts w:ascii="Arial Narrow" w:hAnsi="Arial Narrow"/>
                <w:color w:val="000000"/>
                <w:sz w:val="20"/>
                <w:szCs w:val="20"/>
              </w:rPr>
            </w:pPr>
            <w:r w:rsidRPr="00C65CAA">
              <w:rPr>
                <w:rFonts w:ascii="Arial Narrow" w:hAnsi="Arial Narrow"/>
                <w:color w:val="000000"/>
                <w:sz w:val="20"/>
                <w:szCs w:val="20"/>
              </w:rPr>
              <w:t>501</w:t>
            </w:r>
          </w:p>
        </w:tc>
        <w:tc>
          <w:tcPr>
            <w:tcW w:w="429" w:type="pct"/>
            <w:shd w:val="clear" w:color="auto" w:fill="FFFFFF"/>
          </w:tcPr>
          <w:p w:rsidR="0083441E" w:rsidRPr="00C65CAA" w:rsidRDefault="0083441E" w:rsidP="009879BE">
            <w:pPr>
              <w:jc w:val="right"/>
              <w:rPr>
                <w:rFonts w:ascii="Arial Narrow" w:hAnsi="Arial Narrow"/>
                <w:sz w:val="20"/>
                <w:szCs w:val="20"/>
              </w:rPr>
            </w:pPr>
            <w:r w:rsidRPr="00C65CAA">
              <w:rPr>
                <w:rFonts w:ascii="Arial Narrow" w:hAnsi="Arial Narrow"/>
                <w:color w:val="000000"/>
                <w:sz w:val="20"/>
                <w:szCs w:val="20"/>
              </w:rPr>
              <w:t>501</w:t>
            </w:r>
          </w:p>
        </w:tc>
        <w:tc>
          <w:tcPr>
            <w:tcW w:w="430" w:type="pct"/>
            <w:shd w:val="clear" w:color="auto" w:fill="FFFFFF"/>
          </w:tcPr>
          <w:p w:rsidR="0083441E" w:rsidRPr="00C65CAA" w:rsidRDefault="0083441E" w:rsidP="009879BE">
            <w:pPr>
              <w:jc w:val="right"/>
              <w:rPr>
                <w:rFonts w:ascii="Arial Narrow" w:hAnsi="Arial Narrow"/>
                <w:sz w:val="20"/>
                <w:szCs w:val="20"/>
              </w:rPr>
            </w:pPr>
            <w:r w:rsidRPr="00C65CAA">
              <w:rPr>
                <w:rFonts w:ascii="Arial Narrow" w:hAnsi="Arial Narrow"/>
                <w:color w:val="000000"/>
                <w:sz w:val="20"/>
                <w:szCs w:val="20"/>
              </w:rPr>
              <w:t>501</w:t>
            </w:r>
          </w:p>
        </w:tc>
      </w:tr>
      <w:tr w:rsidR="0083441E" w:rsidRPr="00C65CAA" w:rsidTr="0083441E">
        <w:trPr>
          <w:trHeight w:val="182"/>
        </w:trPr>
        <w:tc>
          <w:tcPr>
            <w:tcW w:w="2656" w:type="pct"/>
            <w:shd w:val="clear" w:color="auto" w:fill="FFFFFF"/>
            <w:noWrap/>
            <w:vAlign w:val="center"/>
          </w:tcPr>
          <w:p w:rsidR="0083441E" w:rsidRPr="00C65CAA" w:rsidRDefault="0083441E" w:rsidP="009879BE">
            <w:pPr>
              <w:rPr>
                <w:rFonts w:ascii="Arial Narrow" w:hAnsi="Arial Narrow"/>
                <w:sz w:val="20"/>
                <w:szCs w:val="20"/>
              </w:rPr>
            </w:pPr>
            <w:r w:rsidRPr="00C65CAA">
              <w:rPr>
                <w:rFonts w:ascii="Arial Narrow" w:hAnsi="Arial Narrow"/>
                <w:sz w:val="20"/>
                <w:szCs w:val="20"/>
              </w:rPr>
              <w:t xml:space="preserve">             Sankcie uložené v daňovom konaní</w:t>
            </w:r>
          </w:p>
        </w:tc>
        <w:tc>
          <w:tcPr>
            <w:tcW w:w="626" w:type="pct"/>
            <w:shd w:val="clear" w:color="auto" w:fill="FFFFFF"/>
            <w:noWrap/>
            <w:vAlign w:val="center"/>
          </w:tcPr>
          <w:p w:rsidR="0083441E" w:rsidRPr="00C65CAA" w:rsidRDefault="0083441E" w:rsidP="009879BE">
            <w:pPr>
              <w:jc w:val="right"/>
              <w:rPr>
                <w:rFonts w:ascii="Arial Narrow" w:hAnsi="Arial Narrow"/>
                <w:sz w:val="20"/>
                <w:szCs w:val="20"/>
              </w:rPr>
            </w:pPr>
            <w:r w:rsidRPr="00C65CAA">
              <w:rPr>
                <w:rFonts w:ascii="Arial Narrow" w:hAnsi="Arial Narrow"/>
                <w:sz w:val="20"/>
                <w:szCs w:val="20"/>
              </w:rPr>
              <w:t>1 968</w:t>
            </w:r>
          </w:p>
        </w:tc>
        <w:tc>
          <w:tcPr>
            <w:tcW w:w="429" w:type="pct"/>
            <w:shd w:val="clear" w:color="auto" w:fill="FFFFFF"/>
            <w:noWrap/>
            <w:vAlign w:val="center"/>
          </w:tcPr>
          <w:p w:rsidR="0083441E" w:rsidRPr="00C65CAA" w:rsidRDefault="0083441E" w:rsidP="009879BE">
            <w:pPr>
              <w:jc w:val="right"/>
              <w:rPr>
                <w:rFonts w:ascii="Arial Narrow" w:hAnsi="Arial Narrow"/>
                <w:sz w:val="20"/>
                <w:szCs w:val="20"/>
              </w:rPr>
            </w:pPr>
            <w:r w:rsidRPr="00C65CAA">
              <w:rPr>
                <w:rFonts w:ascii="Arial Narrow" w:hAnsi="Arial Narrow"/>
                <w:sz w:val="20"/>
                <w:szCs w:val="20"/>
              </w:rPr>
              <w:t>1 968</w:t>
            </w:r>
          </w:p>
        </w:tc>
        <w:tc>
          <w:tcPr>
            <w:tcW w:w="430" w:type="pct"/>
            <w:shd w:val="clear" w:color="auto" w:fill="FFFFFF"/>
            <w:vAlign w:val="center"/>
          </w:tcPr>
          <w:p w:rsidR="0083441E" w:rsidRPr="00C65CAA" w:rsidRDefault="0083441E" w:rsidP="009879BE">
            <w:pPr>
              <w:jc w:val="right"/>
              <w:rPr>
                <w:rFonts w:ascii="Arial Narrow" w:hAnsi="Arial Narrow"/>
                <w:sz w:val="20"/>
                <w:szCs w:val="20"/>
              </w:rPr>
            </w:pPr>
            <w:r w:rsidRPr="00C65CAA">
              <w:rPr>
                <w:rFonts w:ascii="Arial Narrow" w:hAnsi="Arial Narrow"/>
                <w:sz w:val="20"/>
                <w:szCs w:val="20"/>
              </w:rPr>
              <w:t>1 968</w:t>
            </w:r>
          </w:p>
        </w:tc>
        <w:tc>
          <w:tcPr>
            <w:tcW w:w="429" w:type="pct"/>
            <w:shd w:val="clear" w:color="auto" w:fill="FFFFFF"/>
            <w:vAlign w:val="center"/>
          </w:tcPr>
          <w:p w:rsidR="0083441E" w:rsidRPr="00C65CAA" w:rsidRDefault="0083441E" w:rsidP="009879BE">
            <w:pPr>
              <w:jc w:val="right"/>
              <w:rPr>
                <w:rFonts w:ascii="Arial Narrow" w:hAnsi="Arial Narrow"/>
                <w:sz w:val="20"/>
                <w:szCs w:val="20"/>
              </w:rPr>
            </w:pPr>
            <w:r w:rsidRPr="00C65CAA">
              <w:rPr>
                <w:rFonts w:ascii="Arial Narrow" w:hAnsi="Arial Narrow"/>
                <w:sz w:val="20"/>
                <w:szCs w:val="20"/>
              </w:rPr>
              <w:t>1 968</w:t>
            </w:r>
          </w:p>
        </w:tc>
        <w:tc>
          <w:tcPr>
            <w:tcW w:w="430" w:type="pct"/>
            <w:shd w:val="clear" w:color="auto" w:fill="FFFFFF"/>
            <w:vAlign w:val="center"/>
          </w:tcPr>
          <w:p w:rsidR="0083441E" w:rsidRPr="00C65CAA" w:rsidRDefault="0083441E" w:rsidP="009879BE">
            <w:pPr>
              <w:jc w:val="right"/>
              <w:rPr>
                <w:rFonts w:ascii="Arial Narrow" w:hAnsi="Arial Narrow"/>
                <w:sz w:val="20"/>
                <w:szCs w:val="20"/>
              </w:rPr>
            </w:pPr>
            <w:r w:rsidRPr="00C65CAA">
              <w:rPr>
                <w:rFonts w:ascii="Arial Narrow" w:hAnsi="Arial Narrow"/>
                <w:sz w:val="20"/>
                <w:szCs w:val="20"/>
              </w:rPr>
              <w:t>1 968</w:t>
            </w:r>
          </w:p>
        </w:tc>
      </w:tr>
      <w:tr w:rsidR="0083441E" w:rsidRPr="00C65CAA" w:rsidTr="0083441E">
        <w:trPr>
          <w:trHeight w:val="182"/>
        </w:trPr>
        <w:tc>
          <w:tcPr>
            <w:tcW w:w="2656" w:type="pct"/>
            <w:shd w:val="clear" w:color="auto" w:fill="FFFFFF"/>
            <w:noWrap/>
            <w:vAlign w:val="center"/>
          </w:tcPr>
          <w:p w:rsidR="0083441E" w:rsidRPr="00C65CAA" w:rsidRDefault="0083441E" w:rsidP="009879BE">
            <w:pPr>
              <w:rPr>
                <w:rFonts w:ascii="Arial Narrow" w:hAnsi="Arial Narrow"/>
                <w:sz w:val="20"/>
                <w:szCs w:val="20"/>
              </w:rPr>
            </w:pPr>
            <w:r w:rsidRPr="00C65CAA">
              <w:rPr>
                <w:rFonts w:ascii="Arial Narrow" w:hAnsi="Arial Narrow"/>
                <w:sz w:val="20"/>
                <w:szCs w:val="20"/>
              </w:rPr>
              <w:t xml:space="preserve">             Sociálna poisťovňa</w:t>
            </w:r>
          </w:p>
        </w:tc>
        <w:tc>
          <w:tcPr>
            <w:tcW w:w="626" w:type="pct"/>
            <w:shd w:val="clear" w:color="auto" w:fill="FFFFFF"/>
            <w:noWrap/>
            <w:vAlign w:val="center"/>
          </w:tcPr>
          <w:p w:rsidR="0083441E" w:rsidRPr="00C65CAA" w:rsidRDefault="0083441E" w:rsidP="009879BE">
            <w:pPr>
              <w:jc w:val="right"/>
              <w:rPr>
                <w:rFonts w:ascii="Arial Narrow" w:hAnsi="Arial Narrow"/>
                <w:sz w:val="20"/>
                <w:szCs w:val="20"/>
              </w:rPr>
            </w:pPr>
            <w:r w:rsidRPr="00C65CAA">
              <w:rPr>
                <w:rFonts w:ascii="Arial Narrow" w:hAnsi="Arial Narrow"/>
                <w:sz w:val="20"/>
                <w:szCs w:val="20"/>
              </w:rPr>
              <w:t>16 494</w:t>
            </w:r>
          </w:p>
        </w:tc>
        <w:tc>
          <w:tcPr>
            <w:tcW w:w="429" w:type="pct"/>
            <w:shd w:val="clear" w:color="auto" w:fill="FFFFFF"/>
            <w:noWrap/>
            <w:vAlign w:val="center"/>
          </w:tcPr>
          <w:p w:rsidR="0083441E" w:rsidRPr="00C65CAA" w:rsidRDefault="0083441E" w:rsidP="009879BE">
            <w:pPr>
              <w:jc w:val="right"/>
              <w:rPr>
                <w:rFonts w:ascii="Arial Narrow" w:eastAsia="Calibri" w:hAnsi="Arial Narrow"/>
                <w:sz w:val="20"/>
                <w:szCs w:val="20"/>
                <w:lang w:eastAsia="en-US"/>
              </w:rPr>
            </w:pPr>
            <w:r w:rsidRPr="00C65CAA">
              <w:rPr>
                <w:rFonts w:ascii="Arial Narrow" w:eastAsia="Calibri" w:hAnsi="Arial Narrow"/>
                <w:sz w:val="20"/>
                <w:szCs w:val="20"/>
                <w:lang w:eastAsia="en-US"/>
              </w:rPr>
              <w:t>15 600</w:t>
            </w:r>
          </w:p>
        </w:tc>
        <w:tc>
          <w:tcPr>
            <w:tcW w:w="430" w:type="pct"/>
            <w:shd w:val="clear" w:color="auto" w:fill="FFFFFF"/>
          </w:tcPr>
          <w:p w:rsidR="0083441E" w:rsidRPr="00C65CAA" w:rsidRDefault="0083441E" w:rsidP="009879BE">
            <w:pPr>
              <w:jc w:val="right"/>
              <w:rPr>
                <w:rFonts w:ascii="Arial Narrow" w:hAnsi="Arial Narrow"/>
                <w:sz w:val="20"/>
                <w:szCs w:val="20"/>
              </w:rPr>
            </w:pPr>
            <w:r w:rsidRPr="00C65CAA">
              <w:rPr>
                <w:rFonts w:ascii="Arial Narrow" w:eastAsia="Calibri" w:hAnsi="Arial Narrow"/>
                <w:sz w:val="20"/>
                <w:szCs w:val="20"/>
                <w:lang w:eastAsia="en-US"/>
              </w:rPr>
              <w:t>15 600</w:t>
            </w:r>
          </w:p>
        </w:tc>
        <w:tc>
          <w:tcPr>
            <w:tcW w:w="429" w:type="pct"/>
            <w:shd w:val="clear" w:color="auto" w:fill="FFFFFF"/>
          </w:tcPr>
          <w:p w:rsidR="0083441E" w:rsidRPr="00C65CAA" w:rsidRDefault="0083441E" w:rsidP="009879BE">
            <w:pPr>
              <w:jc w:val="right"/>
              <w:rPr>
                <w:rFonts w:ascii="Arial Narrow" w:hAnsi="Arial Narrow"/>
                <w:sz w:val="20"/>
                <w:szCs w:val="20"/>
              </w:rPr>
            </w:pPr>
            <w:r w:rsidRPr="00C65CAA">
              <w:rPr>
                <w:rFonts w:ascii="Arial Narrow" w:eastAsia="Calibri" w:hAnsi="Arial Narrow"/>
                <w:sz w:val="20"/>
                <w:szCs w:val="20"/>
                <w:lang w:eastAsia="en-US"/>
              </w:rPr>
              <w:t>15 600</w:t>
            </w:r>
          </w:p>
        </w:tc>
        <w:tc>
          <w:tcPr>
            <w:tcW w:w="430" w:type="pct"/>
            <w:shd w:val="clear" w:color="auto" w:fill="FFFFFF"/>
          </w:tcPr>
          <w:p w:rsidR="0083441E" w:rsidRPr="00C65CAA" w:rsidRDefault="0083441E" w:rsidP="009879BE">
            <w:pPr>
              <w:jc w:val="right"/>
              <w:rPr>
                <w:rFonts w:ascii="Arial Narrow" w:hAnsi="Arial Narrow"/>
                <w:sz w:val="20"/>
                <w:szCs w:val="20"/>
              </w:rPr>
            </w:pPr>
            <w:r w:rsidRPr="00C65CAA">
              <w:rPr>
                <w:rFonts w:ascii="Arial Narrow" w:eastAsia="Calibri" w:hAnsi="Arial Narrow"/>
                <w:sz w:val="20"/>
                <w:szCs w:val="20"/>
                <w:lang w:eastAsia="en-US"/>
              </w:rPr>
              <w:t>15 600</w:t>
            </w:r>
          </w:p>
        </w:tc>
      </w:tr>
      <w:tr w:rsidR="0083441E" w:rsidRPr="00C65CAA" w:rsidTr="0083441E">
        <w:trPr>
          <w:trHeight w:val="182"/>
        </w:trPr>
        <w:tc>
          <w:tcPr>
            <w:tcW w:w="2656" w:type="pct"/>
            <w:shd w:val="clear" w:color="auto" w:fill="FFFFFF"/>
            <w:noWrap/>
            <w:vAlign w:val="center"/>
          </w:tcPr>
          <w:p w:rsidR="0083441E" w:rsidRPr="00C65CAA" w:rsidRDefault="0083441E" w:rsidP="009879BE">
            <w:pPr>
              <w:rPr>
                <w:rFonts w:ascii="Arial Narrow" w:hAnsi="Arial Narrow"/>
                <w:bCs/>
                <w:color w:val="000000"/>
                <w:sz w:val="20"/>
                <w:szCs w:val="20"/>
              </w:rPr>
            </w:pPr>
            <w:r w:rsidRPr="00C65CAA">
              <w:rPr>
                <w:rFonts w:ascii="Arial Narrow" w:hAnsi="Arial Narrow"/>
                <w:b/>
                <w:bCs/>
                <w:color w:val="000000"/>
                <w:sz w:val="20"/>
                <w:szCs w:val="20"/>
              </w:rPr>
              <w:t xml:space="preserve">             </w:t>
            </w:r>
            <w:r w:rsidRPr="00C65CAA">
              <w:rPr>
                <w:rFonts w:ascii="Arial Narrow" w:hAnsi="Arial Narrow"/>
                <w:bCs/>
                <w:color w:val="000000"/>
                <w:sz w:val="20"/>
                <w:szCs w:val="20"/>
              </w:rPr>
              <w:t>Zdravotné poisťovne</w:t>
            </w:r>
          </w:p>
        </w:tc>
        <w:tc>
          <w:tcPr>
            <w:tcW w:w="626" w:type="pct"/>
            <w:shd w:val="clear" w:color="auto" w:fill="FFFFFF"/>
            <w:noWrap/>
            <w:vAlign w:val="center"/>
          </w:tcPr>
          <w:p w:rsidR="0083441E" w:rsidRPr="00C65CAA" w:rsidRDefault="0083441E" w:rsidP="009879BE">
            <w:pPr>
              <w:jc w:val="right"/>
              <w:rPr>
                <w:rFonts w:ascii="Arial Narrow" w:hAnsi="Arial Narrow"/>
                <w:sz w:val="20"/>
                <w:szCs w:val="20"/>
              </w:rPr>
            </w:pPr>
            <w:r w:rsidRPr="00C65CAA">
              <w:rPr>
                <w:rFonts w:ascii="Arial Narrow" w:hAnsi="Arial Narrow"/>
                <w:sz w:val="20"/>
                <w:szCs w:val="20"/>
              </w:rPr>
              <w:t>1 165</w:t>
            </w:r>
          </w:p>
        </w:tc>
        <w:tc>
          <w:tcPr>
            <w:tcW w:w="429" w:type="pct"/>
            <w:shd w:val="clear" w:color="auto" w:fill="FFFFFF"/>
            <w:noWrap/>
          </w:tcPr>
          <w:p w:rsidR="0083441E" w:rsidRPr="00C65CAA" w:rsidRDefault="0083441E" w:rsidP="009879BE">
            <w:pPr>
              <w:jc w:val="right"/>
              <w:rPr>
                <w:rFonts w:ascii="Arial Narrow" w:hAnsi="Arial Narrow"/>
                <w:sz w:val="20"/>
                <w:szCs w:val="20"/>
              </w:rPr>
            </w:pPr>
            <w:r w:rsidRPr="00C65CAA">
              <w:rPr>
                <w:rFonts w:ascii="Arial Narrow" w:hAnsi="Arial Narrow"/>
                <w:sz w:val="20"/>
                <w:szCs w:val="20"/>
              </w:rPr>
              <w:t>1 165</w:t>
            </w:r>
          </w:p>
        </w:tc>
        <w:tc>
          <w:tcPr>
            <w:tcW w:w="430" w:type="pct"/>
            <w:shd w:val="clear" w:color="auto" w:fill="FFFFFF"/>
          </w:tcPr>
          <w:p w:rsidR="0083441E" w:rsidRPr="00C65CAA" w:rsidRDefault="0083441E" w:rsidP="009879BE">
            <w:pPr>
              <w:jc w:val="right"/>
              <w:rPr>
                <w:rFonts w:ascii="Arial Narrow" w:hAnsi="Arial Narrow"/>
                <w:sz w:val="20"/>
                <w:szCs w:val="20"/>
              </w:rPr>
            </w:pPr>
            <w:r w:rsidRPr="00C65CAA">
              <w:rPr>
                <w:rFonts w:ascii="Arial Narrow" w:hAnsi="Arial Narrow"/>
                <w:sz w:val="20"/>
                <w:szCs w:val="20"/>
              </w:rPr>
              <w:t>1 165</w:t>
            </w:r>
          </w:p>
        </w:tc>
        <w:tc>
          <w:tcPr>
            <w:tcW w:w="429" w:type="pct"/>
            <w:shd w:val="clear" w:color="auto" w:fill="FFFFFF"/>
          </w:tcPr>
          <w:p w:rsidR="0083441E" w:rsidRPr="00C65CAA" w:rsidRDefault="0083441E" w:rsidP="009879BE">
            <w:pPr>
              <w:jc w:val="right"/>
              <w:rPr>
                <w:rFonts w:ascii="Arial Narrow" w:hAnsi="Arial Narrow"/>
                <w:sz w:val="20"/>
                <w:szCs w:val="20"/>
              </w:rPr>
            </w:pPr>
            <w:r w:rsidRPr="00C65CAA">
              <w:rPr>
                <w:rFonts w:ascii="Arial Narrow" w:hAnsi="Arial Narrow"/>
                <w:sz w:val="20"/>
                <w:szCs w:val="20"/>
              </w:rPr>
              <w:t>1 165</w:t>
            </w:r>
          </w:p>
        </w:tc>
        <w:tc>
          <w:tcPr>
            <w:tcW w:w="430" w:type="pct"/>
            <w:shd w:val="clear" w:color="auto" w:fill="FFFFFF"/>
          </w:tcPr>
          <w:p w:rsidR="0083441E" w:rsidRPr="00C65CAA" w:rsidRDefault="0083441E" w:rsidP="009879BE">
            <w:pPr>
              <w:jc w:val="right"/>
              <w:rPr>
                <w:rFonts w:ascii="Arial Narrow" w:hAnsi="Arial Narrow"/>
                <w:sz w:val="20"/>
                <w:szCs w:val="20"/>
              </w:rPr>
            </w:pPr>
            <w:r w:rsidRPr="00C65CAA">
              <w:rPr>
                <w:rFonts w:ascii="Arial Narrow" w:hAnsi="Arial Narrow"/>
                <w:sz w:val="20"/>
                <w:szCs w:val="20"/>
              </w:rPr>
              <w:t>1 165</w:t>
            </w:r>
          </w:p>
        </w:tc>
      </w:tr>
    </w:tbl>
    <w:p w:rsidR="006C2FC9" w:rsidRPr="00C65CAA" w:rsidRDefault="006C2FC9" w:rsidP="00B366F3">
      <w:pPr>
        <w:rPr>
          <w:rFonts w:ascii="Arial Narrow" w:hAnsi="Arial Narrow"/>
          <w:sz w:val="18"/>
          <w:szCs w:val="18"/>
        </w:rPr>
      </w:pPr>
      <w:r w:rsidRPr="00C65CAA">
        <w:rPr>
          <w:rFonts w:ascii="Arial Narrow" w:hAnsi="Arial Narrow"/>
          <w:sz w:val="18"/>
          <w:szCs w:val="18"/>
        </w:rPr>
        <w:t>Zdroj: Návrh RVS 2019</w:t>
      </w:r>
      <w:r w:rsidR="00B82220" w:rsidRPr="00C65CAA">
        <w:rPr>
          <w:rFonts w:ascii="Arial Narrow" w:hAnsi="Arial Narrow"/>
          <w:sz w:val="18"/>
          <w:szCs w:val="18"/>
        </w:rPr>
        <w:t xml:space="preserve"> – </w:t>
      </w:r>
      <w:r w:rsidRPr="00C65CAA">
        <w:rPr>
          <w:rFonts w:ascii="Arial Narrow" w:hAnsi="Arial Narrow"/>
          <w:sz w:val="18"/>
          <w:szCs w:val="18"/>
        </w:rPr>
        <w:t>2021</w:t>
      </w:r>
      <w:r w:rsidRPr="00C65CAA">
        <w:rPr>
          <w:rFonts w:ascii="Arial Narrow" w:hAnsi="Arial Narrow"/>
          <w:sz w:val="18"/>
          <w:szCs w:val="18"/>
        </w:rPr>
        <w:tab/>
      </w:r>
      <w:r w:rsidRPr="00C65CAA">
        <w:rPr>
          <w:rFonts w:ascii="Arial Narrow" w:hAnsi="Arial Narrow"/>
          <w:sz w:val="18"/>
          <w:szCs w:val="18"/>
        </w:rPr>
        <w:tab/>
      </w:r>
      <w:r w:rsidRPr="00C65CAA">
        <w:rPr>
          <w:rFonts w:ascii="Arial Narrow" w:hAnsi="Arial Narrow"/>
          <w:sz w:val="18"/>
          <w:szCs w:val="18"/>
        </w:rPr>
        <w:tab/>
      </w:r>
      <w:r w:rsidRPr="00C65CAA">
        <w:rPr>
          <w:rFonts w:ascii="Arial Narrow" w:hAnsi="Arial Narrow"/>
          <w:sz w:val="18"/>
          <w:szCs w:val="18"/>
        </w:rPr>
        <w:tab/>
      </w:r>
      <w:r w:rsidRPr="00C65CAA">
        <w:rPr>
          <w:rFonts w:ascii="Arial Narrow" w:hAnsi="Arial Narrow"/>
          <w:sz w:val="18"/>
          <w:szCs w:val="18"/>
        </w:rPr>
        <w:tab/>
      </w:r>
      <w:r w:rsidRPr="00C65CAA">
        <w:rPr>
          <w:rFonts w:ascii="Arial Narrow" w:hAnsi="Arial Narrow"/>
          <w:sz w:val="18"/>
          <w:szCs w:val="18"/>
        </w:rPr>
        <w:tab/>
      </w:r>
      <w:r w:rsidRPr="00C65CAA">
        <w:rPr>
          <w:rFonts w:ascii="Arial Narrow" w:hAnsi="Arial Narrow"/>
          <w:sz w:val="18"/>
          <w:szCs w:val="18"/>
        </w:rPr>
        <w:tab/>
      </w:r>
      <w:r w:rsidRPr="00C65CAA">
        <w:rPr>
          <w:rFonts w:ascii="Arial Narrow" w:hAnsi="Arial Narrow"/>
          <w:sz w:val="18"/>
          <w:szCs w:val="18"/>
        </w:rPr>
        <w:tab/>
        <w:t xml:space="preserve">            </w:t>
      </w:r>
    </w:p>
    <w:p w:rsidR="006C2FC9" w:rsidRPr="00C65CAA" w:rsidRDefault="006C2FC9" w:rsidP="00B366F3">
      <w:pPr>
        <w:rPr>
          <w:rFonts w:ascii="Arial Narrow" w:hAnsi="Arial Narrow"/>
          <w:sz w:val="18"/>
          <w:szCs w:val="18"/>
        </w:rPr>
      </w:pPr>
      <w:r w:rsidRPr="00C65CAA">
        <w:rPr>
          <w:rFonts w:ascii="Arial Narrow" w:hAnsi="Arial Narrow"/>
          <w:sz w:val="18"/>
          <w:szCs w:val="18"/>
        </w:rPr>
        <w:t>(Sankcie sú identické podľa hotovostnej aj akruálnej metodiky)</w:t>
      </w:r>
    </w:p>
    <w:p w:rsidR="00D23611" w:rsidRPr="00C65CAA" w:rsidRDefault="00D23611" w:rsidP="00256AF8">
      <w:pPr>
        <w:pStyle w:val="Nadpis2"/>
        <w:numPr>
          <w:ilvl w:val="1"/>
          <w:numId w:val="92"/>
        </w:numPr>
        <w:spacing w:before="100" w:after="100"/>
        <w:rPr>
          <w:szCs w:val="22"/>
        </w:rPr>
      </w:pPr>
      <w:bookmarkStart w:id="10" w:name="_Toc495316427"/>
      <w:bookmarkStart w:id="11" w:name="_Toc529507590"/>
      <w:r w:rsidRPr="00C65CAA">
        <w:rPr>
          <w:szCs w:val="22"/>
        </w:rPr>
        <w:t>Stanovisko k fiškálnemu rámcu návrhu RVS na rok 201</w:t>
      </w:r>
      <w:bookmarkEnd w:id="10"/>
      <w:r w:rsidR="0047702E" w:rsidRPr="00C65CAA">
        <w:rPr>
          <w:szCs w:val="22"/>
        </w:rPr>
        <w:t>9</w:t>
      </w:r>
      <w:bookmarkEnd w:id="11"/>
    </w:p>
    <w:p w:rsidR="009649CB" w:rsidRPr="00C65CAA" w:rsidRDefault="009649CB" w:rsidP="00256AF8">
      <w:pPr>
        <w:spacing w:before="100" w:after="100"/>
        <w:ind w:firstLine="708"/>
        <w:jc w:val="both"/>
        <w:rPr>
          <w:rFonts w:ascii="Arial Narrow" w:eastAsia="Calibri" w:hAnsi="Arial Narrow"/>
          <w:sz w:val="22"/>
          <w:szCs w:val="22"/>
          <w:lang w:eastAsia="en-US"/>
        </w:rPr>
      </w:pPr>
      <w:r w:rsidRPr="00C65CAA">
        <w:rPr>
          <w:rFonts w:ascii="Arial Narrow" w:eastAsia="Calibri" w:hAnsi="Arial Narrow"/>
          <w:sz w:val="22"/>
          <w:szCs w:val="22"/>
          <w:lang w:eastAsia="en-US"/>
        </w:rPr>
        <w:t xml:space="preserve">Podľa predbežných výsledkov hospodárenia </w:t>
      </w:r>
      <w:r w:rsidR="00BA55E8" w:rsidRPr="00C65CAA">
        <w:rPr>
          <w:rFonts w:ascii="Arial Narrow" w:eastAsia="Calibri" w:hAnsi="Arial Narrow"/>
          <w:sz w:val="22"/>
          <w:szCs w:val="22"/>
          <w:lang w:eastAsia="en-US"/>
        </w:rPr>
        <w:t xml:space="preserve">deficit </w:t>
      </w:r>
      <w:r w:rsidRPr="00C65CAA">
        <w:rPr>
          <w:rFonts w:ascii="Arial Narrow" w:eastAsia="Calibri" w:hAnsi="Arial Narrow"/>
          <w:sz w:val="22"/>
          <w:szCs w:val="22"/>
          <w:lang w:eastAsia="en-US"/>
        </w:rPr>
        <w:t>VS v metodike ESA 20</w:t>
      </w:r>
      <w:r w:rsidR="00F44294" w:rsidRPr="00C65CAA">
        <w:rPr>
          <w:rFonts w:ascii="Arial Narrow" w:eastAsia="Calibri" w:hAnsi="Arial Narrow"/>
          <w:sz w:val="22"/>
          <w:szCs w:val="22"/>
          <w:lang w:eastAsia="en-US"/>
        </w:rPr>
        <w:t>10 dosiahne za rok 2018 úroveň</w:t>
      </w:r>
      <w:r w:rsidRPr="00C65CAA">
        <w:rPr>
          <w:rFonts w:ascii="Arial Narrow" w:eastAsia="Calibri" w:hAnsi="Arial Narrow"/>
          <w:sz w:val="22"/>
          <w:szCs w:val="22"/>
          <w:lang w:eastAsia="en-US"/>
        </w:rPr>
        <w:t xml:space="preserve"> 0,60 % HDP, </w:t>
      </w:r>
      <w:r w:rsidR="00BA55E8" w:rsidRPr="00C65CAA">
        <w:rPr>
          <w:rFonts w:ascii="Arial Narrow" w:eastAsia="Calibri" w:hAnsi="Arial Narrow"/>
          <w:sz w:val="22"/>
          <w:szCs w:val="22"/>
          <w:lang w:eastAsia="en-US"/>
        </w:rPr>
        <w:t>čo je o 0,23 % me</w:t>
      </w:r>
      <w:r w:rsidR="004434A5" w:rsidRPr="00C65CAA">
        <w:rPr>
          <w:rFonts w:ascii="Arial Narrow" w:eastAsia="Calibri" w:hAnsi="Arial Narrow"/>
          <w:sz w:val="22"/>
          <w:szCs w:val="22"/>
          <w:lang w:eastAsia="en-US"/>
        </w:rPr>
        <w:t>nej oproti rozpočtu na rok 2018.</w:t>
      </w:r>
      <w:r w:rsidRPr="00C65CAA">
        <w:rPr>
          <w:rFonts w:ascii="Arial Narrow" w:eastAsia="Calibri" w:hAnsi="Arial Narrow"/>
          <w:bCs/>
          <w:sz w:val="22"/>
          <w:szCs w:val="22"/>
        </w:rPr>
        <w:t xml:space="preserve"> Znamená to, že </w:t>
      </w:r>
      <w:r w:rsidRPr="00C65CAA">
        <w:rPr>
          <w:rFonts w:ascii="Arial Narrow" w:eastAsia="Calibri" w:hAnsi="Arial Narrow"/>
          <w:sz w:val="22"/>
          <w:szCs w:val="22"/>
          <w:lang w:eastAsia="en-US"/>
        </w:rPr>
        <w:t>kľúčový cieľ rozpoč</w:t>
      </w:r>
      <w:r w:rsidR="004434A5" w:rsidRPr="00C65CAA">
        <w:rPr>
          <w:rFonts w:ascii="Arial Narrow" w:eastAsia="Calibri" w:hAnsi="Arial Narrow"/>
          <w:sz w:val="22"/>
          <w:szCs w:val="22"/>
          <w:lang w:eastAsia="en-US"/>
        </w:rPr>
        <w:t>tu VS na rok </w:t>
      </w:r>
      <w:r w:rsidR="00BA55E8" w:rsidRPr="00C65CAA">
        <w:rPr>
          <w:rFonts w:ascii="Arial Narrow" w:eastAsia="Calibri" w:hAnsi="Arial Narrow"/>
          <w:sz w:val="22"/>
          <w:szCs w:val="22"/>
          <w:lang w:eastAsia="en-US"/>
        </w:rPr>
        <w:t>2018</w:t>
      </w:r>
      <w:r w:rsidRPr="00C65CAA">
        <w:rPr>
          <w:rFonts w:ascii="Arial Narrow" w:eastAsia="Calibri" w:hAnsi="Arial Narrow"/>
          <w:sz w:val="22"/>
          <w:szCs w:val="22"/>
          <w:lang w:eastAsia="en-US"/>
        </w:rPr>
        <w:t xml:space="preserve"> bude splnený. </w:t>
      </w:r>
      <w:r w:rsidRPr="00C65CAA">
        <w:rPr>
          <w:rFonts w:ascii="Arial Narrow" w:eastAsia="Calibri" w:hAnsi="Arial Narrow"/>
          <w:b/>
          <w:sz w:val="22"/>
          <w:szCs w:val="22"/>
          <w:lang w:eastAsia="en-US"/>
        </w:rPr>
        <w:t>Pri takomto východiskovom stave je schodok</w:t>
      </w:r>
      <w:r w:rsidR="004434A5" w:rsidRPr="00C65CAA">
        <w:rPr>
          <w:rFonts w:ascii="Arial Narrow" w:eastAsia="Calibri" w:hAnsi="Arial Narrow"/>
          <w:b/>
          <w:sz w:val="22"/>
          <w:szCs w:val="22"/>
          <w:lang w:eastAsia="en-US"/>
        </w:rPr>
        <w:t xml:space="preserve"> RVS na rok 2019 naplánovaný </w:t>
      </w:r>
      <w:r w:rsidR="004434A5" w:rsidRPr="00C65CAA">
        <w:rPr>
          <w:rFonts w:ascii="Arial Narrow" w:eastAsia="Calibri" w:hAnsi="Arial Narrow"/>
          <w:b/>
          <w:sz w:val="22"/>
          <w:szCs w:val="22"/>
          <w:lang w:eastAsia="en-US"/>
        </w:rPr>
        <w:lastRenderedPageBreak/>
        <w:t>na </w:t>
      </w:r>
      <w:r w:rsidRPr="00C65CAA">
        <w:rPr>
          <w:rFonts w:ascii="Arial Narrow" w:eastAsia="Calibri" w:hAnsi="Arial Narrow"/>
          <w:b/>
          <w:sz w:val="22"/>
          <w:szCs w:val="22"/>
          <w:lang w:eastAsia="en-US"/>
        </w:rPr>
        <w:t>úrovni 0,10</w:t>
      </w:r>
      <w:r w:rsidR="00BA55E8" w:rsidRPr="00C65CAA">
        <w:rPr>
          <w:rFonts w:ascii="Arial Narrow" w:eastAsia="Calibri" w:hAnsi="Arial Narrow"/>
          <w:b/>
          <w:sz w:val="22"/>
          <w:szCs w:val="22"/>
          <w:lang w:eastAsia="en-US"/>
        </w:rPr>
        <w:t xml:space="preserve"> % HDP, čo predstavuje zníženie</w:t>
      </w:r>
      <w:r w:rsidRPr="00C65CAA">
        <w:rPr>
          <w:rFonts w:ascii="Arial Narrow" w:eastAsia="Calibri" w:hAnsi="Arial Narrow"/>
          <w:b/>
          <w:sz w:val="22"/>
          <w:szCs w:val="22"/>
          <w:lang w:eastAsia="en-US"/>
        </w:rPr>
        <w:t xml:space="preserve"> pôvodne naplánovaného cieľa na úrovni 0,32 % HDP</w:t>
      </w:r>
      <w:r w:rsidR="00BA55E8" w:rsidRPr="00C65CAA">
        <w:rPr>
          <w:rFonts w:ascii="Arial Narrow" w:eastAsia="Calibri" w:hAnsi="Arial Narrow"/>
          <w:b/>
          <w:sz w:val="22"/>
          <w:szCs w:val="22"/>
          <w:lang w:eastAsia="en-US"/>
        </w:rPr>
        <w:t xml:space="preserve">. </w:t>
      </w:r>
      <w:r w:rsidR="00BA55E8" w:rsidRPr="00C65CAA">
        <w:rPr>
          <w:rFonts w:ascii="Arial Narrow" w:eastAsia="Calibri" w:hAnsi="Arial Narrow"/>
          <w:sz w:val="22"/>
          <w:szCs w:val="22"/>
          <w:lang w:eastAsia="en-US"/>
        </w:rPr>
        <w:t>Vy</w:t>
      </w:r>
      <w:r w:rsidR="00F44294" w:rsidRPr="00C65CAA">
        <w:rPr>
          <w:rFonts w:ascii="Arial Narrow" w:eastAsia="Calibri" w:hAnsi="Arial Narrow"/>
          <w:sz w:val="22"/>
          <w:szCs w:val="22"/>
          <w:lang w:eastAsia="en-US"/>
        </w:rPr>
        <w:t>rovnaný rozpočet VS</w:t>
      </w:r>
      <w:r w:rsidRPr="00C65CAA">
        <w:rPr>
          <w:rFonts w:ascii="Arial Narrow" w:eastAsia="Calibri" w:hAnsi="Arial Narrow"/>
          <w:sz w:val="22"/>
          <w:szCs w:val="22"/>
          <w:lang w:eastAsia="en-US"/>
        </w:rPr>
        <w:t> </w:t>
      </w:r>
      <w:r w:rsidR="00BA55E8" w:rsidRPr="00C65CAA">
        <w:rPr>
          <w:rFonts w:ascii="Arial Narrow" w:eastAsia="Calibri" w:hAnsi="Arial Narrow"/>
          <w:sz w:val="22"/>
          <w:szCs w:val="22"/>
          <w:lang w:eastAsia="en-US"/>
        </w:rPr>
        <w:t>je n</w:t>
      </w:r>
      <w:r w:rsidRPr="00C65CAA">
        <w:rPr>
          <w:rFonts w:ascii="Arial Narrow" w:eastAsia="Calibri" w:hAnsi="Arial Narrow"/>
          <w:sz w:val="22"/>
          <w:szCs w:val="22"/>
          <w:lang w:eastAsia="en-US"/>
        </w:rPr>
        <w:t>aplánovaný na rok 2020</w:t>
      </w:r>
      <w:r w:rsidR="00BA55E8" w:rsidRPr="00C65CAA">
        <w:rPr>
          <w:rFonts w:ascii="Arial Narrow" w:eastAsia="Calibri" w:hAnsi="Arial Narrow"/>
          <w:sz w:val="22"/>
          <w:szCs w:val="22"/>
          <w:lang w:eastAsia="en-US"/>
        </w:rPr>
        <w:t xml:space="preserve"> a </w:t>
      </w:r>
      <w:r w:rsidRPr="00C65CAA">
        <w:rPr>
          <w:rFonts w:ascii="Arial Narrow" w:eastAsia="Calibri" w:hAnsi="Arial Narrow"/>
          <w:sz w:val="22"/>
          <w:szCs w:val="22"/>
          <w:lang w:eastAsia="en-US"/>
        </w:rPr>
        <w:t xml:space="preserve">prebytok na úrovni 0,20 % HDP by mal byť dosiahnutý </w:t>
      </w:r>
      <w:r w:rsidR="00BA55E8" w:rsidRPr="00C65CAA">
        <w:rPr>
          <w:rFonts w:ascii="Arial Narrow" w:eastAsia="Calibri" w:hAnsi="Arial Narrow"/>
          <w:sz w:val="22"/>
          <w:szCs w:val="22"/>
          <w:lang w:eastAsia="en-US"/>
        </w:rPr>
        <w:t>prvýkrát v roku 2021.</w:t>
      </w:r>
    </w:p>
    <w:p w:rsidR="009649CB" w:rsidRPr="00C65CAA" w:rsidRDefault="009649CB" w:rsidP="00256AF8">
      <w:pPr>
        <w:spacing w:before="100" w:after="100"/>
        <w:ind w:firstLine="708"/>
        <w:rPr>
          <w:rFonts w:ascii="Arial Narrow" w:hAnsi="Arial Narrow"/>
          <w:bCs/>
          <w:sz w:val="22"/>
        </w:rPr>
      </w:pPr>
      <w:r w:rsidRPr="00C65CAA">
        <w:rPr>
          <w:rFonts w:ascii="Arial Narrow" w:hAnsi="Arial Narrow"/>
          <w:bCs/>
          <w:sz w:val="22"/>
        </w:rPr>
        <w:t>Vývoj schodku VS v rokoch 2015 až 2021</w:t>
      </w:r>
      <w:r w:rsidR="001D2AD7" w:rsidRPr="00C65CAA">
        <w:rPr>
          <w:rFonts w:ascii="Arial Narrow" w:hAnsi="Arial Narrow"/>
          <w:bCs/>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40"/>
        <w:gridCol w:w="789"/>
        <w:gridCol w:w="790"/>
        <w:gridCol w:w="950"/>
        <w:gridCol w:w="948"/>
        <w:gridCol w:w="948"/>
        <w:gridCol w:w="948"/>
        <w:gridCol w:w="950"/>
      </w:tblGrid>
      <w:tr w:rsidR="00CD4C07" w:rsidRPr="00C65CAA" w:rsidTr="00CD4C07">
        <w:trPr>
          <w:trHeight w:val="267"/>
          <w:tblHeader/>
        </w:trPr>
        <w:tc>
          <w:tcPr>
            <w:tcW w:w="1511" w:type="pct"/>
            <w:tcBorders>
              <w:right w:val="single" w:sz="4" w:space="0" w:color="FFFFFF" w:themeColor="background1"/>
            </w:tcBorders>
            <w:shd w:val="clear" w:color="auto" w:fill="0070C0"/>
            <w:noWrap/>
            <w:vAlign w:val="center"/>
            <w:hideMark/>
          </w:tcPr>
          <w:p w:rsidR="00CD4C07" w:rsidRPr="00C65CAA" w:rsidRDefault="00CD4C07" w:rsidP="009879BE">
            <w:pPr>
              <w:rPr>
                <w:rFonts w:ascii="Arial Narrow" w:hAnsi="Arial Narrow"/>
                <w:b/>
                <w:bCs/>
                <w:color w:val="FFFFFF"/>
                <w:sz w:val="18"/>
                <w:szCs w:val="18"/>
              </w:rPr>
            </w:pPr>
            <w:r w:rsidRPr="00C65CAA">
              <w:rPr>
                <w:rFonts w:ascii="Arial Narrow" w:hAnsi="Arial Narrow"/>
                <w:b/>
                <w:bCs/>
                <w:color w:val="FFFFFF"/>
                <w:sz w:val="18"/>
                <w:szCs w:val="18"/>
              </w:rPr>
              <w:t>Schodok VS</w:t>
            </w:r>
          </w:p>
          <w:p w:rsidR="00CD4C07" w:rsidRPr="00C65CAA" w:rsidRDefault="00CD4C07" w:rsidP="009879BE">
            <w:pPr>
              <w:rPr>
                <w:rFonts w:ascii="Arial Narrow" w:hAnsi="Arial Narrow"/>
                <w:b/>
                <w:bCs/>
                <w:color w:val="FFFFFF"/>
                <w:sz w:val="18"/>
                <w:szCs w:val="18"/>
              </w:rPr>
            </w:pPr>
            <w:r w:rsidRPr="00C65CAA">
              <w:rPr>
                <w:rFonts w:ascii="Arial Narrow" w:hAnsi="Arial Narrow"/>
                <w:b/>
                <w:bCs/>
                <w:color w:val="FFFFFF"/>
                <w:sz w:val="18"/>
                <w:szCs w:val="18"/>
              </w:rPr>
              <w:t>(ESA 2010, v mil. eur)</w:t>
            </w:r>
          </w:p>
        </w:tc>
        <w:tc>
          <w:tcPr>
            <w:tcW w:w="435" w:type="pct"/>
            <w:tcBorders>
              <w:left w:val="single" w:sz="4" w:space="0" w:color="FFFFFF" w:themeColor="background1"/>
              <w:right w:val="single" w:sz="4" w:space="0" w:color="FFFFFF" w:themeColor="background1"/>
            </w:tcBorders>
            <w:shd w:val="clear" w:color="auto" w:fill="0070C0"/>
            <w:noWrap/>
            <w:vAlign w:val="center"/>
            <w:hideMark/>
          </w:tcPr>
          <w:p w:rsidR="00CD4C07" w:rsidRPr="00C65CAA" w:rsidRDefault="00CD4C07" w:rsidP="009879BE">
            <w:pPr>
              <w:jc w:val="center"/>
              <w:rPr>
                <w:rFonts w:ascii="Arial Narrow" w:hAnsi="Arial Narrow"/>
                <w:b/>
                <w:bCs/>
                <w:color w:val="FFFFFF"/>
                <w:sz w:val="18"/>
                <w:szCs w:val="18"/>
              </w:rPr>
            </w:pPr>
            <w:r w:rsidRPr="00C65CAA">
              <w:rPr>
                <w:rFonts w:ascii="Arial Narrow" w:hAnsi="Arial Narrow"/>
                <w:b/>
                <w:bCs/>
                <w:color w:val="FFFFFF"/>
                <w:sz w:val="18"/>
                <w:szCs w:val="18"/>
              </w:rPr>
              <w:t>2016</w:t>
            </w:r>
          </w:p>
        </w:tc>
        <w:tc>
          <w:tcPr>
            <w:tcW w:w="436" w:type="pct"/>
            <w:tcBorders>
              <w:left w:val="single" w:sz="4" w:space="0" w:color="FFFFFF" w:themeColor="background1"/>
              <w:right w:val="single" w:sz="4" w:space="0" w:color="FFFFFF" w:themeColor="background1"/>
            </w:tcBorders>
            <w:shd w:val="clear" w:color="auto" w:fill="0070C0"/>
            <w:noWrap/>
            <w:vAlign w:val="center"/>
            <w:hideMark/>
          </w:tcPr>
          <w:p w:rsidR="00CD4C07" w:rsidRPr="00C65CAA" w:rsidRDefault="00CD4C07" w:rsidP="009879BE">
            <w:pPr>
              <w:jc w:val="center"/>
              <w:rPr>
                <w:rFonts w:ascii="Arial Narrow" w:hAnsi="Arial Narrow"/>
                <w:b/>
                <w:bCs/>
                <w:color w:val="FFFFFF"/>
                <w:sz w:val="18"/>
                <w:szCs w:val="18"/>
              </w:rPr>
            </w:pPr>
            <w:r w:rsidRPr="00C65CAA">
              <w:rPr>
                <w:rFonts w:ascii="Arial Narrow" w:hAnsi="Arial Narrow"/>
                <w:b/>
                <w:bCs/>
                <w:color w:val="FFFFFF"/>
                <w:sz w:val="18"/>
                <w:szCs w:val="18"/>
              </w:rPr>
              <w:t>2017</w:t>
            </w:r>
          </w:p>
        </w:tc>
        <w:tc>
          <w:tcPr>
            <w:tcW w:w="524" w:type="pct"/>
            <w:tcBorders>
              <w:left w:val="single" w:sz="4" w:space="0" w:color="FFFFFF" w:themeColor="background1"/>
              <w:right w:val="single" w:sz="4" w:space="0" w:color="FFFFFF" w:themeColor="background1"/>
            </w:tcBorders>
            <w:shd w:val="clear" w:color="auto" w:fill="0070C0"/>
            <w:noWrap/>
            <w:vAlign w:val="center"/>
            <w:hideMark/>
          </w:tcPr>
          <w:p w:rsidR="00CD4C07" w:rsidRPr="00C65CAA" w:rsidRDefault="00CD4C07" w:rsidP="009879BE">
            <w:pPr>
              <w:jc w:val="center"/>
              <w:rPr>
                <w:rFonts w:ascii="Arial Narrow" w:hAnsi="Arial Narrow"/>
                <w:b/>
                <w:bCs/>
                <w:color w:val="FFFFFF"/>
                <w:sz w:val="18"/>
                <w:szCs w:val="18"/>
              </w:rPr>
            </w:pPr>
            <w:r w:rsidRPr="00C65CAA">
              <w:rPr>
                <w:rFonts w:ascii="Arial Narrow" w:hAnsi="Arial Narrow"/>
                <w:b/>
                <w:bCs/>
                <w:color w:val="FFFFFF"/>
                <w:sz w:val="18"/>
                <w:szCs w:val="18"/>
              </w:rPr>
              <w:t>2018 OS</w:t>
            </w:r>
          </w:p>
        </w:tc>
        <w:tc>
          <w:tcPr>
            <w:tcW w:w="523" w:type="pct"/>
            <w:tcBorders>
              <w:left w:val="single" w:sz="4" w:space="0" w:color="FFFFFF" w:themeColor="background1"/>
              <w:right w:val="single" w:sz="4" w:space="0" w:color="FFFFFF" w:themeColor="background1"/>
            </w:tcBorders>
            <w:shd w:val="clear" w:color="auto" w:fill="0070C0"/>
            <w:noWrap/>
            <w:vAlign w:val="center"/>
            <w:hideMark/>
          </w:tcPr>
          <w:p w:rsidR="00CD4C07" w:rsidRPr="00C65CAA" w:rsidRDefault="00CD4C07" w:rsidP="009879BE">
            <w:pPr>
              <w:jc w:val="center"/>
              <w:rPr>
                <w:rFonts w:ascii="Arial Narrow" w:hAnsi="Arial Narrow"/>
                <w:b/>
                <w:bCs/>
                <w:color w:val="FFFFFF"/>
                <w:sz w:val="18"/>
                <w:szCs w:val="18"/>
              </w:rPr>
            </w:pPr>
            <w:r w:rsidRPr="00C65CAA">
              <w:rPr>
                <w:rFonts w:ascii="Arial Narrow" w:hAnsi="Arial Narrow"/>
                <w:b/>
                <w:bCs/>
                <w:color w:val="FFFFFF"/>
                <w:sz w:val="18"/>
                <w:szCs w:val="18"/>
              </w:rPr>
              <w:t>2019 RVS</w:t>
            </w:r>
          </w:p>
        </w:tc>
        <w:tc>
          <w:tcPr>
            <w:tcW w:w="523" w:type="pct"/>
            <w:tcBorders>
              <w:left w:val="single" w:sz="4" w:space="0" w:color="FFFFFF" w:themeColor="background1"/>
              <w:right w:val="single" w:sz="4" w:space="0" w:color="FFFFFF" w:themeColor="background1"/>
            </w:tcBorders>
            <w:shd w:val="clear" w:color="auto" w:fill="0070C0"/>
            <w:noWrap/>
            <w:vAlign w:val="center"/>
            <w:hideMark/>
          </w:tcPr>
          <w:p w:rsidR="00CD4C07" w:rsidRPr="00C65CAA" w:rsidRDefault="00CD4C07" w:rsidP="009879BE">
            <w:pPr>
              <w:jc w:val="center"/>
              <w:rPr>
                <w:rFonts w:ascii="Arial Narrow" w:hAnsi="Arial Narrow"/>
                <w:b/>
                <w:bCs/>
                <w:color w:val="FFFFFF"/>
                <w:sz w:val="18"/>
                <w:szCs w:val="18"/>
              </w:rPr>
            </w:pPr>
            <w:r w:rsidRPr="00C65CAA">
              <w:rPr>
                <w:rFonts w:ascii="Arial Narrow" w:hAnsi="Arial Narrow"/>
                <w:b/>
                <w:bCs/>
                <w:color w:val="FFFFFF"/>
                <w:sz w:val="18"/>
                <w:szCs w:val="18"/>
              </w:rPr>
              <w:t>2020 RVS</w:t>
            </w:r>
          </w:p>
        </w:tc>
        <w:tc>
          <w:tcPr>
            <w:tcW w:w="523" w:type="pct"/>
            <w:tcBorders>
              <w:left w:val="single" w:sz="4" w:space="0" w:color="FFFFFF" w:themeColor="background1"/>
              <w:right w:val="single" w:sz="4" w:space="0" w:color="FFFFFF" w:themeColor="background1"/>
            </w:tcBorders>
            <w:shd w:val="clear" w:color="auto" w:fill="0070C0"/>
            <w:vAlign w:val="center"/>
          </w:tcPr>
          <w:p w:rsidR="00CD4C07" w:rsidRPr="00C65CAA" w:rsidRDefault="00CD4C07" w:rsidP="009879BE">
            <w:pPr>
              <w:jc w:val="center"/>
              <w:rPr>
                <w:rFonts w:ascii="Arial Narrow" w:hAnsi="Arial Narrow"/>
                <w:b/>
                <w:bCs/>
                <w:color w:val="FFFFFF"/>
                <w:sz w:val="18"/>
                <w:szCs w:val="18"/>
              </w:rPr>
            </w:pPr>
            <w:r w:rsidRPr="00C65CAA">
              <w:rPr>
                <w:rFonts w:ascii="Arial Narrow" w:hAnsi="Arial Narrow"/>
                <w:b/>
                <w:bCs/>
                <w:color w:val="FFFFFF"/>
                <w:sz w:val="18"/>
                <w:szCs w:val="18"/>
              </w:rPr>
              <w:t>2021 RVS</w:t>
            </w:r>
          </w:p>
        </w:tc>
        <w:tc>
          <w:tcPr>
            <w:tcW w:w="524" w:type="pct"/>
            <w:tcBorders>
              <w:left w:val="single" w:sz="4" w:space="0" w:color="FFFFFF" w:themeColor="background1"/>
            </w:tcBorders>
            <w:shd w:val="clear" w:color="auto" w:fill="0070C0"/>
          </w:tcPr>
          <w:p w:rsidR="00CD4C07" w:rsidRPr="00C65CAA" w:rsidRDefault="00CD4C07" w:rsidP="009879BE">
            <w:pPr>
              <w:jc w:val="center"/>
              <w:rPr>
                <w:rFonts w:ascii="Arial Narrow" w:hAnsi="Arial Narrow"/>
                <w:b/>
                <w:bCs/>
                <w:color w:val="FFFFFF"/>
                <w:sz w:val="18"/>
                <w:szCs w:val="18"/>
              </w:rPr>
            </w:pPr>
            <w:r w:rsidRPr="00C65CAA">
              <w:rPr>
                <w:rFonts w:ascii="Arial Narrow" w:hAnsi="Arial Narrow"/>
                <w:b/>
                <w:bCs/>
                <w:color w:val="FFFFFF"/>
                <w:sz w:val="18"/>
                <w:szCs w:val="18"/>
              </w:rPr>
              <w:t>Rozdiel         2019 RVS /  2018 OS</w:t>
            </w:r>
          </w:p>
        </w:tc>
      </w:tr>
      <w:tr w:rsidR="00CD4C07" w:rsidRPr="00C65CAA" w:rsidTr="00CD4C07">
        <w:trPr>
          <w:trHeight w:val="257"/>
        </w:trPr>
        <w:tc>
          <w:tcPr>
            <w:tcW w:w="1511" w:type="pct"/>
            <w:shd w:val="clear" w:color="auto" w:fill="auto"/>
            <w:noWrap/>
            <w:vAlign w:val="center"/>
            <w:hideMark/>
          </w:tcPr>
          <w:p w:rsidR="00CD4C07" w:rsidRPr="00C65CAA" w:rsidRDefault="00CD4C07" w:rsidP="009879BE">
            <w:pPr>
              <w:rPr>
                <w:rFonts w:ascii="Arial Narrow" w:hAnsi="Arial Narrow"/>
                <w:sz w:val="20"/>
                <w:szCs w:val="20"/>
              </w:rPr>
            </w:pPr>
            <w:r w:rsidRPr="00C65CAA">
              <w:rPr>
                <w:rFonts w:ascii="Arial Narrow" w:hAnsi="Arial Narrow"/>
                <w:sz w:val="20"/>
                <w:szCs w:val="20"/>
              </w:rPr>
              <w:t>Príjmy spolu</w:t>
            </w:r>
          </w:p>
        </w:tc>
        <w:tc>
          <w:tcPr>
            <w:tcW w:w="435" w:type="pct"/>
            <w:shd w:val="clear" w:color="auto" w:fill="auto"/>
            <w:noWrap/>
            <w:vAlign w:val="bottom"/>
            <w:hideMark/>
          </w:tcPr>
          <w:p w:rsidR="00CD4C07" w:rsidRPr="00C65CAA" w:rsidRDefault="00CD4C07" w:rsidP="009879BE">
            <w:pPr>
              <w:jc w:val="right"/>
              <w:rPr>
                <w:rFonts w:ascii="Arial Narrow" w:hAnsi="Arial Narrow"/>
                <w:sz w:val="20"/>
                <w:szCs w:val="20"/>
              </w:rPr>
            </w:pPr>
            <w:r w:rsidRPr="00C65CAA">
              <w:rPr>
                <w:rFonts w:ascii="Arial Narrow" w:hAnsi="Arial Narrow"/>
                <w:sz w:val="20"/>
                <w:szCs w:val="20"/>
              </w:rPr>
              <w:t>31 864</w:t>
            </w:r>
          </w:p>
        </w:tc>
        <w:tc>
          <w:tcPr>
            <w:tcW w:w="436" w:type="pct"/>
            <w:shd w:val="clear" w:color="auto" w:fill="auto"/>
            <w:noWrap/>
            <w:vAlign w:val="bottom"/>
            <w:hideMark/>
          </w:tcPr>
          <w:p w:rsidR="00CD4C07" w:rsidRPr="00C65CAA" w:rsidRDefault="00CD4C07" w:rsidP="009879BE">
            <w:pPr>
              <w:jc w:val="right"/>
              <w:rPr>
                <w:rFonts w:ascii="Arial Narrow" w:hAnsi="Arial Narrow" w:cs="Calibri"/>
                <w:sz w:val="20"/>
                <w:szCs w:val="20"/>
              </w:rPr>
            </w:pPr>
            <w:r w:rsidRPr="00C65CAA">
              <w:rPr>
                <w:rFonts w:ascii="Arial Narrow" w:hAnsi="Arial Narrow" w:cs="Calibri"/>
                <w:sz w:val="20"/>
                <w:szCs w:val="20"/>
              </w:rPr>
              <w:t>33 444</w:t>
            </w:r>
          </w:p>
        </w:tc>
        <w:tc>
          <w:tcPr>
            <w:tcW w:w="524" w:type="pct"/>
            <w:shd w:val="clear" w:color="auto" w:fill="auto"/>
            <w:noWrap/>
            <w:vAlign w:val="bottom"/>
            <w:hideMark/>
          </w:tcPr>
          <w:p w:rsidR="00CD4C07" w:rsidRPr="00C65CAA" w:rsidRDefault="00CD4C07" w:rsidP="009879BE">
            <w:pPr>
              <w:jc w:val="right"/>
              <w:rPr>
                <w:rFonts w:ascii="Arial Narrow" w:hAnsi="Arial Narrow" w:cs="Calibri"/>
                <w:sz w:val="20"/>
                <w:szCs w:val="20"/>
              </w:rPr>
            </w:pPr>
            <w:r w:rsidRPr="00C65CAA">
              <w:rPr>
                <w:rFonts w:ascii="Arial Narrow" w:hAnsi="Arial Narrow" w:cs="Calibri"/>
                <w:sz w:val="20"/>
                <w:szCs w:val="20"/>
              </w:rPr>
              <w:t>35 388</w:t>
            </w:r>
          </w:p>
        </w:tc>
        <w:tc>
          <w:tcPr>
            <w:tcW w:w="523" w:type="pct"/>
            <w:shd w:val="clear" w:color="auto" w:fill="auto"/>
            <w:noWrap/>
            <w:vAlign w:val="bottom"/>
            <w:hideMark/>
          </w:tcPr>
          <w:p w:rsidR="00CD4C07" w:rsidRPr="00C65CAA" w:rsidRDefault="00CD4C07" w:rsidP="009879BE">
            <w:pPr>
              <w:jc w:val="right"/>
              <w:rPr>
                <w:rFonts w:ascii="Arial Narrow" w:hAnsi="Arial Narrow" w:cs="Calibri"/>
                <w:sz w:val="20"/>
                <w:szCs w:val="20"/>
              </w:rPr>
            </w:pPr>
            <w:r w:rsidRPr="00C65CAA">
              <w:rPr>
                <w:rFonts w:ascii="Arial Narrow" w:hAnsi="Arial Narrow" w:cs="Calibri"/>
                <w:sz w:val="20"/>
                <w:szCs w:val="20"/>
              </w:rPr>
              <w:t>37 161</w:t>
            </w:r>
          </w:p>
        </w:tc>
        <w:tc>
          <w:tcPr>
            <w:tcW w:w="523" w:type="pct"/>
            <w:shd w:val="clear" w:color="auto" w:fill="auto"/>
            <w:noWrap/>
            <w:vAlign w:val="bottom"/>
            <w:hideMark/>
          </w:tcPr>
          <w:p w:rsidR="00CD4C07" w:rsidRPr="00C65CAA" w:rsidRDefault="00CD4C07" w:rsidP="009879BE">
            <w:pPr>
              <w:jc w:val="right"/>
              <w:rPr>
                <w:rFonts w:ascii="Arial Narrow" w:hAnsi="Arial Narrow" w:cs="Calibri"/>
                <w:sz w:val="20"/>
                <w:szCs w:val="20"/>
              </w:rPr>
            </w:pPr>
            <w:r w:rsidRPr="00C65CAA">
              <w:rPr>
                <w:rFonts w:ascii="Arial Narrow" w:hAnsi="Arial Narrow" w:cs="Calibri"/>
                <w:sz w:val="20"/>
                <w:szCs w:val="20"/>
              </w:rPr>
              <w:t>39 745</w:t>
            </w:r>
          </w:p>
        </w:tc>
        <w:tc>
          <w:tcPr>
            <w:tcW w:w="523" w:type="pct"/>
            <w:vAlign w:val="bottom"/>
          </w:tcPr>
          <w:p w:rsidR="00CD4C07" w:rsidRPr="00C65CAA" w:rsidRDefault="00CD4C07" w:rsidP="009879BE">
            <w:pPr>
              <w:jc w:val="right"/>
              <w:rPr>
                <w:rFonts w:ascii="Arial Narrow" w:hAnsi="Arial Narrow" w:cs="Calibri"/>
                <w:sz w:val="20"/>
                <w:szCs w:val="20"/>
              </w:rPr>
            </w:pPr>
            <w:r w:rsidRPr="00C65CAA">
              <w:rPr>
                <w:rFonts w:ascii="Arial Narrow" w:hAnsi="Arial Narrow" w:cs="Calibri"/>
                <w:sz w:val="20"/>
                <w:szCs w:val="20"/>
              </w:rPr>
              <w:t>41 077</w:t>
            </w:r>
          </w:p>
        </w:tc>
        <w:tc>
          <w:tcPr>
            <w:tcW w:w="524" w:type="pct"/>
            <w:vAlign w:val="bottom"/>
          </w:tcPr>
          <w:p w:rsidR="00CD4C07" w:rsidRPr="00C65CAA" w:rsidRDefault="00CD4C07" w:rsidP="009879BE">
            <w:pPr>
              <w:jc w:val="right"/>
              <w:rPr>
                <w:rFonts w:ascii="Arial Narrow" w:hAnsi="Arial Narrow" w:cs="Calibri"/>
                <w:sz w:val="20"/>
                <w:szCs w:val="20"/>
              </w:rPr>
            </w:pPr>
            <w:r w:rsidRPr="00C65CAA">
              <w:rPr>
                <w:rFonts w:ascii="Arial Narrow" w:hAnsi="Arial Narrow" w:cs="Calibri"/>
                <w:sz w:val="20"/>
                <w:szCs w:val="20"/>
              </w:rPr>
              <w:t>1 773</w:t>
            </w:r>
          </w:p>
        </w:tc>
      </w:tr>
      <w:tr w:rsidR="00CD4C07" w:rsidRPr="00C65CAA" w:rsidTr="00CD4C07">
        <w:trPr>
          <w:trHeight w:val="257"/>
        </w:trPr>
        <w:tc>
          <w:tcPr>
            <w:tcW w:w="1511" w:type="pct"/>
            <w:shd w:val="clear" w:color="auto" w:fill="auto"/>
            <w:noWrap/>
            <w:vAlign w:val="center"/>
            <w:hideMark/>
          </w:tcPr>
          <w:p w:rsidR="00CD4C07" w:rsidRPr="00C65CAA" w:rsidRDefault="00CD4C07" w:rsidP="009879BE">
            <w:pPr>
              <w:rPr>
                <w:rFonts w:ascii="Arial Narrow" w:hAnsi="Arial Narrow"/>
                <w:sz w:val="20"/>
                <w:szCs w:val="20"/>
              </w:rPr>
            </w:pPr>
            <w:r w:rsidRPr="00C65CAA">
              <w:rPr>
                <w:rFonts w:ascii="Arial Narrow" w:hAnsi="Arial Narrow"/>
                <w:sz w:val="20"/>
                <w:szCs w:val="20"/>
              </w:rPr>
              <w:t>Výdavky spolu</w:t>
            </w:r>
          </w:p>
        </w:tc>
        <w:tc>
          <w:tcPr>
            <w:tcW w:w="435" w:type="pct"/>
            <w:shd w:val="clear" w:color="auto" w:fill="auto"/>
            <w:noWrap/>
            <w:vAlign w:val="bottom"/>
            <w:hideMark/>
          </w:tcPr>
          <w:p w:rsidR="00CD4C07" w:rsidRPr="00C65CAA" w:rsidRDefault="00CD4C07" w:rsidP="009879BE">
            <w:pPr>
              <w:jc w:val="right"/>
              <w:rPr>
                <w:rFonts w:ascii="Arial Narrow" w:hAnsi="Arial Narrow"/>
                <w:sz w:val="20"/>
                <w:szCs w:val="20"/>
              </w:rPr>
            </w:pPr>
            <w:r w:rsidRPr="00C65CAA">
              <w:rPr>
                <w:rFonts w:ascii="Arial Narrow" w:hAnsi="Arial Narrow"/>
                <w:sz w:val="20"/>
                <w:szCs w:val="20"/>
              </w:rPr>
              <w:t>33 669</w:t>
            </w:r>
          </w:p>
        </w:tc>
        <w:tc>
          <w:tcPr>
            <w:tcW w:w="436" w:type="pct"/>
            <w:shd w:val="clear" w:color="auto" w:fill="auto"/>
            <w:noWrap/>
            <w:vAlign w:val="bottom"/>
            <w:hideMark/>
          </w:tcPr>
          <w:p w:rsidR="00CD4C07" w:rsidRPr="00C65CAA" w:rsidRDefault="00CD4C07" w:rsidP="009879BE">
            <w:pPr>
              <w:jc w:val="right"/>
              <w:rPr>
                <w:rFonts w:ascii="Arial Narrow" w:hAnsi="Arial Narrow" w:cs="Calibri"/>
                <w:color w:val="000000"/>
                <w:sz w:val="20"/>
                <w:szCs w:val="20"/>
              </w:rPr>
            </w:pPr>
            <w:r w:rsidRPr="00C65CAA">
              <w:rPr>
                <w:rFonts w:ascii="Arial Narrow" w:hAnsi="Arial Narrow" w:cs="Calibri"/>
                <w:color w:val="000000"/>
                <w:sz w:val="20"/>
                <w:szCs w:val="20"/>
              </w:rPr>
              <w:t>34 103</w:t>
            </w:r>
          </w:p>
        </w:tc>
        <w:tc>
          <w:tcPr>
            <w:tcW w:w="524" w:type="pct"/>
            <w:shd w:val="clear" w:color="auto" w:fill="auto"/>
            <w:noWrap/>
            <w:vAlign w:val="bottom"/>
            <w:hideMark/>
          </w:tcPr>
          <w:p w:rsidR="00CD4C07" w:rsidRPr="00C65CAA" w:rsidRDefault="00CD4C07" w:rsidP="009879BE">
            <w:pPr>
              <w:jc w:val="right"/>
              <w:rPr>
                <w:rFonts w:ascii="Arial Narrow" w:hAnsi="Arial Narrow" w:cs="Calibri"/>
                <w:color w:val="000000"/>
                <w:sz w:val="20"/>
                <w:szCs w:val="20"/>
              </w:rPr>
            </w:pPr>
            <w:r w:rsidRPr="00C65CAA">
              <w:rPr>
                <w:rFonts w:ascii="Arial Narrow" w:hAnsi="Arial Narrow" w:cs="Calibri"/>
                <w:color w:val="000000"/>
                <w:sz w:val="20"/>
                <w:szCs w:val="20"/>
              </w:rPr>
              <w:t>35 931</w:t>
            </w:r>
          </w:p>
        </w:tc>
        <w:tc>
          <w:tcPr>
            <w:tcW w:w="523" w:type="pct"/>
            <w:shd w:val="clear" w:color="auto" w:fill="auto"/>
            <w:noWrap/>
            <w:vAlign w:val="bottom"/>
            <w:hideMark/>
          </w:tcPr>
          <w:p w:rsidR="00CD4C07" w:rsidRPr="00C65CAA" w:rsidRDefault="00CD4C07" w:rsidP="009879BE">
            <w:pPr>
              <w:jc w:val="right"/>
              <w:rPr>
                <w:rFonts w:ascii="Arial Narrow" w:hAnsi="Arial Narrow" w:cs="Calibri"/>
                <w:color w:val="000000"/>
                <w:sz w:val="20"/>
                <w:szCs w:val="20"/>
              </w:rPr>
            </w:pPr>
            <w:r w:rsidRPr="00C65CAA">
              <w:rPr>
                <w:rFonts w:ascii="Arial Narrow" w:hAnsi="Arial Narrow" w:cs="Calibri"/>
                <w:color w:val="000000"/>
                <w:sz w:val="20"/>
                <w:szCs w:val="20"/>
              </w:rPr>
              <w:t>37 258</w:t>
            </w:r>
          </w:p>
        </w:tc>
        <w:tc>
          <w:tcPr>
            <w:tcW w:w="523" w:type="pct"/>
            <w:shd w:val="clear" w:color="auto" w:fill="auto"/>
            <w:noWrap/>
            <w:vAlign w:val="bottom"/>
            <w:hideMark/>
          </w:tcPr>
          <w:p w:rsidR="00CD4C07" w:rsidRPr="00C65CAA" w:rsidRDefault="00CD4C07" w:rsidP="009879BE">
            <w:pPr>
              <w:jc w:val="right"/>
              <w:rPr>
                <w:rFonts w:ascii="Arial Narrow" w:hAnsi="Arial Narrow" w:cs="Calibri"/>
                <w:color w:val="000000"/>
                <w:sz w:val="20"/>
                <w:szCs w:val="20"/>
              </w:rPr>
            </w:pPr>
            <w:r w:rsidRPr="00C65CAA">
              <w:rPr>
                <w:rFonts w:ascii="Arial Narrow" w:hAnsi="Arial Narrow" w:cs="Calibri"/>
                <w:color w:val="000000"/>
                <w:sz w:val="20"/>
                <w:szCs w:val="20"/>
              </w:rPr>
              <w:t>39 745</w:t>
            </w:r>
          </w:p>
        </w:tc>
        <w:tc>
          <w:tcPr>
            <w:tcW w:w="523" w:type="pct"/>
            <w:vAlign w:val="bottom"/>
          </w:tcPr>
          <w:p w:rsidR="00CD4C07" w:rsidRPr="00C65CAA" w:rsidRDefault="00CD4C07" w:rsidP="009879BE">
            <w:pPr>
              <w:jc w:val="right"/>
              <w:rPr>
                <w:rFonts w:ascii="Arial Narrow" w:hAnsi="Arial Narrow" w:cs="Calibri"/>
                <w:color w:val="000000"/>
                <w:sz w:val="20"/>
                <w:szCs w:val="20"/>
              </w:rPr>
            </w:pPr>
            <w:r w:rsidRPr="00C65CAA">
              <w:rPr>
                <w:rFonts w:ascii="Arial Narrow" w:hAnsi="Arial Narrow" w:cs="Calibri"/>
                <w:color w:val="000000"/>
                <w:sz w:val="20"/>
                <w:szCs w:val="20"/>
              </w:rPr>
              <w:t>40 858</w:t>
            </w:r>
          </w:p>
        </w:tc>
        <w:tc>
          <w:tcPr>
            <w:tcW w:w="524" w:type="pct"/>
            <w:vAlign w:val="bottom"/>
          </w:tcPr>
          <w:p w:rsidR="00CD4C07" w:rsidRPr="00C65CAA" w:rsidRDefault="00CD4C07" w:rsidP="009879BE">
            <w:pPr>
              <w:jc w:val="right"/>
              <w:rPr>
                <w:rFonts w:ascii="Arial Narrow" w:hAnsi="Arial Narrow" w:cs="Calibri"/>
                <w:color w:val="000000"/>
                <w:sz w:val="20"/>
                <w:szCs w:val="20"/>
              </w:rPr>
            </w:pPr>
            <w:r w:rsidRPr="00C65CAA">
              <w:rPr>
                <w:rFonts w:ascii="Arial Narrow" w:hAnsi="Arial Narrow" w:cs="Calibri"/>
                <w:color w:val="000000"/>
                <w:sz w:val="20"/>
                <w:szCs w:val="20"/>
              </w:rPr>
              <w:t>1 327</w:t>
            </w:r>
          </w:p>
        </w:tc>
      </w:tr>
      <w:tr w:rsidR="00CD4C07" w:rsidRPr="00C65CAA" w:rsidTr="00CD4C07">
        <w:trPr>
          <w:trHeight w:val="257"/>
        </w:trPr>
        <w:tc>
          <w:tcPr>
            <w:tcW w:w="1511" w:type="pct"/>
            <w:shd w:val="clear" w:color="auto" w:fill="auto"/>
            <w:noWrap/>
            <w:vAlign w:val="bottom"/>
            <w:hideMark/>
          </w:tcPr>
          <w:p w:rsidR="00CD4C07" w:rsidRPr="00C65CAA" w:rsidRDefault="00CD4C07" w:rsidP="009879BE">
            <w:pPr>
              <w:rPr>
                <w:rFonts w:ascii="Arial Narrow" w:hAnsi="Arial Narrow"/>
                <w:bCs/>
                <w:sz w:val="20"/>
                <w:szCs w:val="20"/>
              </w:rPr>
            </w:pPr>
            <w:r w:rsidRPr="00C65CAA">
              <w:rPr>
                <w:rFonts w:ascii="Arial Narrow" w:hAnsi="Arial Narrow"/>
                <w:bCs/>
                <w:sz w:val="20"/>
                <w:szCs w:val="20"/>
              </w:rPr>
              <w:t xml:space="preserve">Schodok </w:t>
            </w:r>
          </w:p>
        </w:tc>
        <w:tc>
          <w:tcPr>
            <w:tcW w:w="435" w:type="pct"/>
            <w:shd w:val="clear" w:color="auto" w:fill="auto"/>
            <w:noWrap/>
            <w:vAlign w:val="bottom"/>
            <w:hideMark/>
          </w:tcPr>
          <w:p w:rsidR="00CD4C07" w:rsidRPr="00C65CAA" w:rsidRDefault="00CD4C07" w:rsidP="009879BE">
            <w:pPr>
              <w:jc w:val="right"/>
              <w:rPr>
                <w:rFonts w:ascii="Arial Narrow" w:hAnsi="Arial Narrow"/>
                <w:b/>
                <w:sz w:val="20"/>
                <w:szCs w:val="20"/>
              </w:rPr>
            </w:pPr>
            <w:r w:rsidRPr="00C65CAA">
              <w:rPr>
                <w:rFonts w:ascii="Arial Narrow" w:hAnsi="Arial Narrow"/>
                <w:b/>
                <w:sz w:val="20"/>
                <w:szCs w:val="20"/>
              </w:rPr>
              <w:t>-1 805</w:t>
            </w:r>
          </w:p>
        </w:tc>
        <w:tc>
          <w:tcPr>
            <w:tcW w:w="436" w:type="pct"/>
            <w:shd w:val="clear" w:color="auto" w:fill="auto"/>
            <w:noWrap/>
            <w:vAlign w:val="bottom"/>
            <w:hideMark/>
          </w:tcPr>
          <w:p w:rsidR="00CD4C07" w:rsidRPr="00C65CAA" w:rsidRDefault="00CD4C07" w:rsidP="009879BE">
            <w:pPr>
              <w:jc w:val="right"/>
              <w:rPr>
                <w:rFonts w:ascii="Arial Narrow" w:hAnsi="Arial Narrow" w:cs="Calibri"/>
                <w:b/>
                <w:bCs/>
                <w:color w:val="000000"/>
                <w:sz w:val="20"/>
                <w:szCs w:val="20"/>
              </w:rPr>
            </w:pPr>
            <w:r w:rsidRPr="00C65CAA">
              <w:rPr>
                <w:rFonts w:ascii="Arial Narrow" w:hAnsi="Arial Narrow" w:cs="Calibri"/>
                <w:b/>
                <w:bCs/>
                <w:color w:val="000000"/>
                <w:sz w:val="20"/>
                <w:szCs w:val="20"/>
              </w:rPr>
              <w:t>-659</w:t>
            </w:r>
          </w:p>
        </w:tc>
        <w:tc>
          <w:tcPr>
            <w:tcW w:w="524" w:type="pct"/>
            <w:shd w:val="clear" w:color="auto" w:fill="auto"/>
            <w:noWrap/>
            <w:vAlign w:val="bottom"/>
            <w:hideMark/>
          </w:tcPr>
          <w:p w:rsidR="00CD4C07" w:rsidRPr="00C65CAA" w:rsidRDefault="00CD4C07" w:rsidP="009879BE">
            <w:pPr>
              <w:jc w:val="right"/>
              <w:rPr>
                <w:rFonts w:ascii="Arial Narrow" w:hAnsi="Arial Narrow" w:cs="Calibri"/>
                <w:b/>
                <w:bCs/>
                <w:color w:val="000000"/>
                <w:sz w:val="20"/>
                <w:szCs w:val="20"/>
              </w:rPr>
            </w:pPr>
            <w:r w:rsidRPr="00C65CAA">
              <w:rPr>
                <w:rFonts w:ascii="Arial Narrow" w:hAnsi="Arial Narrow" w:cs="Calibri"/>
                <w:b/>
                <w:bCs/>
                <w:color w:val="000000"/>
                <w:sz w:val="20"/>
                <w:szCs w:val="20"/>
              </w:rPr>
              <w:t>-543</w:t>
            </w:r>
          </w:p>
        </w:tc>
        <w:tc>
          <w:tcPr>
            <w:tcW w:w="523" w:type="pct"/>
            <w:shd w:val="clear" w:color="auto" w:fill="auto"/>
            <w:noWrap/>
            <w:vAlign w:val="bottom"/>
            <w:hideMark/>
          </w:tcPr>
          <w:p w:rsidR="00CD4C07" w:rsidRPr="00C65CAA" w:rsidRDefault="00CD4C07" w:rsidP="009879BE">
            <w:pPr>
              <w:jc w:val="right"/>
              <w:rPr>
                <w:rFonts w:ascii="Arial Narrow" w:hAnsi="Arial Narrow" w:cs="Calibri"/>
                <w:b/>
                <w:bCs/>
                <w:color w:val="000000"/>
                <w:sz w:val="20"/>
                <w:szCs w:val="20"/>
              </w:rPr>
            </w:pPr>
            <w:r w:rsidRPr="00C65CAA">
              <w:rPr>
                <w:rFonts w:ascii="Arial Narrow" w:hAnsi="Arial Narrow" w:cs="Calibri"/>
                <w:b/>
                <w:bCs/>
                <w:color w:val="000000"/>
                <w:sz w:val="20"/>
                <w:szCs w:val="20"/>
              </w:rPr>
              <w:t>-97</w:t>
            </w:r>
          </w:p>
        </w:tc>
        <w:tc>
          <w:tcPr>
            <w:tcW w:w="523" w:type="pct"/>
            <w:shd w:val="clear" w:color="auto" w:fill="auto"/>
            <w:noWrap/>
            <w:vAlign w:val="bottom"/>
            <w:hideMark/>
          </w:tcPr>
          <w:p w:rsidR="00CD4C07" w:rsidRPr="00C65CAA" w:rsidRDefault="00CD4C07" w:rsidP="009879BE">
            <w:pPr>
              <w:jc w:val="right"/>
              <w:rPr>
                <w:rFonts w:ascii="Arial Narrow" w:hAnsi="Arial Narrow" w:cs="Calibri"/>
                <w:b/>
                <w:bCs/>
                <w:color w:val="000000"/>
                <w:sz w:val="20"/>
                <w:szCs w:val="20"/>
              </w:rPr>
            </w:pPr>
            <w:r w:rsidRPr="00C65CAA">
              <w:rPr>
                <w:rFonts w:ascii="Arial Narrow" w:hAnsi="Arial Narrow" w:cs="Calibri"/>
                <w:b/>
                <w:bCs/>
                <w:color w:val="000000"/>
                <w:sz w:val="20"/>
                <w:szCs w:val="20"/>
              </w:rPr>
              <w:t>0</w:t>
            </w:r>
          </w:p>
        </w:tc>
        <w:tc>
          <w:tcPr>
            <w:tcW w:w="523" w:type="pct"/>
            <w:vAlign w:val="bottom"/>
          </w:tcPr>
          <w:p w:rsidR="00CD4C07" w:rsidRPr="00C65CAA" w:rsidRDefault="00CD4C07" w:rsidP="009879BE">
            <w:pPr>
              <w:jc w:val="right"/>
              <w:rPr>
                <w:rFonts w:ascii="Arial Narrow" w:hAnsi="Arial Narrow" w:cs="Calibri"/>
                <w:b/>
                <w:bCs/>
                <w:color w:val="000000"/>
                <w:sz w:val="20"/>
                <w:szCs w:val="20"/>
              </w:rPr>
            </w:pPr>
            <w:r w:rsidRPr="00C65CAA">
              <w:rPr>
                <w:rFonts w:ascii="Arial Narrow" w:hAnsi="Arial Narrow" w:cs="Calibri"/>
                <w:b/>
                <w:bCs/>
                <w:color w:val="000000"/>
                <w:sz w:val="20"/>
                <w:szCs w:val="20"/>
              </w:rPr>
              <w:t>219</w:t>
            </w:r>
          </w:p>
        </w:tc>
        <w:tc>
          <w:tcPr>
            <w:tcW w:w="524" w:type="pct"/>
            <w:vAlign w:val="bottom"/>
          </w:tcPr>
          <w:p w:rsidR="00CD4C07" w:rsidRPr="00C65CAA" w:rsidRDefault="00CD4C07" w:rsidP="009879BE">
            <w:pPr>
              <w:jc w:val="right"/>
              <w:rPr>
                <w:rFonts w:ascii="Arial Narrow" w:hAnsi="Arial Narrow" w:cs="Calibri"/>
                <w:b/>
                <w:bCs/>
                <w:color w:val="000000"/>
                <w:sz w:val="20"/>
                <w:szCs w:val="20"/>
              </w:rPr>
            </w:pPr>
            <w:r w:rsidRPr="00C65CAA">
              <w:rPr>
                <w:rFonts w:ascii="Arial Narrow" w:hAnsi="Arial Narrow" w:cs="Calibri"/>
                <w:b/>
                <w:bCs/>
                <w:color w:val="000000"/>
                <w:sz w:val="20"/>
                <w:szCs w:val="20"/>
              </w:rPr>
              <w:t>446</w:t>
            </w:r>
          </w:p>
        </w:tc>
      </w:tr>
      <w:tr w:rsidR="00CD4C07" w:rsidRPr="00C65CAA" w:rsidTr="00CD4C07">
        <w:trPr>
          <w:trHeight w:val="257"/>
        </w:trPr>
        <w:tc>
          <w:tcPr>
            <w:tcW w:w="1511" w:type="pct"/>
            <w:shd w:val="clear" w:color="auto" w:fill="auto"/>
            <w:noWrap/>
            <w:vAlign w:val="bottom"/>
            <w:hideMark/>
          </w:tcPr>
          <w:p w:rsidR="00CD4C07" w:rsidRPr="00C65CAA" w:rsidRDefault="00CD4C07" w:rsidP="009879BE">
            <w:pPr>
              <w:rPr>
                <w:rFonts w:ascii="Arial Narrow" w:hAnsi="Arial Narrow"/>
                <w:b/>
                <w:bCs/>
                <w:sz w:val="20"/>
                <w:szCs w:val="20"/>
              </w:rPr>
            </w:pPr>
            <w:r w:rsidRPr="00C65CAA">
              <w:rPr>
                <w:rFonts w:ascii="Arial Narrow" w:hAnsi="Arial Narrow"/>
                <w:b/>
                <w:bCs/>
                <w:sz w:val="20"/>
                <w:szCs w:val="20"/>
              </w:rPr>
              <w:t>Schodok k HDP (%)</w:t>
            </w:r>
          </w:p>
        </w:tc>
        <w:tc>
          <w:tcPr>
            <w:tcW w:w="435" w:type="pct"/>
            <w:shd w:val="clear" w:color="auto" w:fill="auto"/>
            <w:noWrap/>
            <w:vAlign w:val="bottom"/>
            <w:hideMark/>
          </w:tcPr>
          <w:p w:rsidR="00CD4C07" w:rsidRPr="00C65CAA" w:rsidRDefault="00CD4C07" w:rsidP="009879BE">
            <w:pPr>
              <w:jc w:val="right"/>
              <w:rPr>
                <w:rFonts w:ascii="Arial Narrow" w:hAnsi="Arial Narrow"/>
                <w:b/>
                <w:sz w:val="20"/>
                <w:szCs w:val="20"/>
              </w:rPr>
            </w:pPr>
            <w:r w:rsidRPr="00C65CAA">
              <w:rPr>
                <w:rFonts w:ascii="Arial Narrow" w:hAnsi="Arial Narrow"/>
                <w:b/>
                <w:sz w:val="20"/>
                <w:szCs w:val="20"/>
              </w:rPr>
              <w:t>-2,22</w:t>
            </w:r>
          </w:p>
        </w:tc>
        <w:tc>
          <w:tcPr>
            <w:tcW w:w="436" w:type="pct"/>
            <w:shd w:val="clear" w:color="auto" w:fill="auto"/>
            <w:noWrap/>
            <w:vAlign w:val="bottom"/>
            <w:hideMark/>
          </w:tcPr>
          <w:p w:rsidR="00CD4C07" w:rsidRPr="00C65CAA" w:rsidRDefault="00CD4C07" w:rsidP="009879BE">
            <w:pPr>
              <w:jc w:val="right"/>
              <w:rPr>
                <w:rFonts w:ascii="Arial Narrow" w:hAnsi="Arial Narrow" w:cs="Calibri"/>
                <w:b/>
                <w:bCs/>
                <w:color w:val="000000"/>
                <w:sz w:val="20"/>
                <w:szCs w:val="20"/>
              </w:rPr>
            </w:pPr>
            <w:r w:rsidRPr="00C65CAA">
              <w:rPr>
                <w:rFonts w:ascii="Arial Narrow" w:hAnsi="Arial Narrow" w:cs="Calibri"/>
                <w:b/>
                <w:bCs/>
                <w:color w:val="000000"/>
                <w:sz w:val="20"/>
                <w:szCs w:val="20"/>
              </w:rPr>
              <w:t>-0,78</w:t>
            </w:r>
          </w:p>
        </w:tc>
        <w:tc>
          <w:tcPr>
            <w:tcW w:w="524" w:type="pct"/>
            <w:shd w:val="clear" w:color="auto" w:fill="auto"/>
            <w:noWrap/>
            <w:vAlign w:val="bottom"/>
            <w:hideMark/>
          </w:tcPr>
          <w:p w:rsidR="00CD4C07" w:rsidRPr="00C65CAA" w:rsidRDefault="00CD4C07" w:rsidP="009879BE">
            <w:pPr>
              <w:jc w:val="right"/>
              <w:rPr>
                <w:rFonts w:ascii="Arial Narrow" w:hAnsi="Arial Narrow" w:cs="Calibri"/>
                <w:b/>
                <w:bCs/>
                <w:color w:val="000000"/>
                <w:sz w:val="20"/>
                <w:szCs w:val="20"/>
              </w:rPr>
            </w:pPr>
            <w:r w:rsidRPr="00C65CAA">
              <w:rPr>
                <w:rFonts w:ascii="Arial Narrow" w:hAnsi="Arial Narrow" w:cs="Calibri"/>
                <w:b/>
                <w:bCs/>
                <w:color w:val="000000"/>
                <w:sz w:val="20"/>
                <w:szCs w:val="20"/>
              </w:rPr>
              <w:t>-0,60</w:t>
            </w:r>
          </w:p>
        </w:tc>
        <w:tc>
          <w:tcPr>
            <w:tcW w:w="523" w:type="pct"/>
            <w:shd w:val="clear" w:color="auto" w:fill="auto"/>
            <w:noWrap/>
            <w:vAlign w:val="bottom"/>
            <w:hideMark/>
          </w:tcPr>
          <w:p w:rsidR="00CD4C07" w:rsidRPr="00C65CAA" w:rsidRDefault="00CD4C07" w:rsidP="009879BE">
            <w:pPr>
              <w:jc w:val="right"/>
              <w:rPr>
                <w:rFonts w:ascii="Arial Narrow" w:hAnsi="Arial Narrow" w:cs="Calibri"/>
                <w:b/>
                <w:bCs/>
                <w:color w:val="000000"/>
                <w:sz w:val="20"/>
                <w:szCs w:val="20"/>
              </w:rPr>
            </w:pPr>
            <w:r w:rsidRPr="00C65CAA">
              <w:rPr>
                <w:rFonts w:ascii="Arial Narrow" w:hAnsi="Arial Narrow" w:cs="Calibri"/>
                <w:b/>
                <w:bCs/>
                <w:color w:val="000000"/>
                <w:sz w:val="20"/>
                <w:szCs w:val="20"/>
              </w:rPr>
              <w:t>-0,10</w:t>
            </w:r>
          </w:p>
        </w:tc>
        <w:tc>
          <w:tcPr>
            <w:tcW w:w="523" w:type="pct"/>
            <w:shd w:val="clear" w:color="auto" w:fill="auto"/>
            <w:noWrap/>
            <w:vAlign w:val="bottom"/>
            <w:hideMark/>
          </w:tcPr>
          <w:p w:rsidR="00CD4C07" w:rsidRPr="00C65CAA" w:rsidRDefault="00CD4C07" w:rsidP="009879BE">
            <w:pPr>
              <w:jc w:val="right"/>
              <w:rPr>
                <w:rFonts w:ascii="Arial Narrow" w:hAnsi="Arial Narrow" w:cs="Calibri"/>
                <w:b/>
                <w:bCs/>
                <w:color w:val="000000"/>
                <w:sz w:val="20"/>
                <w:szCs w:val="20"/>
              </w:rPr>
            </w:pPr>
            <w:r w:rsidRPr="00C65CAA">
              <w:rPr>
                <w:rFonts w:ascii="Arial Narrow" w:hAnsi="Arial Narrow" w:cs="Calibri"/>
                <w:b/>
                <w:bCs/>
                <w:color w:val="000000"/>
                <w:sz w:val="20"/>
                <w:szCs w:val="20"/>
              </w:rPr>
              <w:t>0,00</w:t>
            </w:r>
          </w:p>
        </w:tc>
        <w:tc>
          <w:tcPr>
            <w:tcW w:w="523" w:type="pct"/>
            <w:vAlign w:val="bottom"/>
          </w:tcPr>
          <w:p w:rsidR="00CD4C07" w:rsidRPr="00C65CAA" w:rsidRDefault="00CD4C07" w:rsidP="009879BE">
            <w:pPr>
              <w:jc w:val="right"/>
              <w:rPr>
                <w:rFonts w:ascii="Arial Narrow" w:hAnsi="Arial Narrow" w:cs="Calibri"/>
                <w:b/>
                <w:bCs/>
                <w:color w:val="000000"/>
                <w:sz w:val="20"/>
                <w:szCs w:val="20"/>
              </w:rPr>
            </w:pPr>
            <w:r w:rsidRPr="00C65CAA">
              <w:rPr>
                <w:rFonts w:ascii="Arial Narrow" w:hAnsi="Arial Narrow" w:cs="Calibri"/>
                <w:b/>
                <w:bCs/>
                <w:color w:val="000000"/>
                <w:sz w:val="20"/>
                <w:szCs w:val="20"/>
              </w:rPr>
              <w:t>0,20</w:t>
            </w:r>
          </w:p>
        </w:tc>
        <w:tc>
          <w:tcPr>
            <w:tcW w:w="524" w:type="pct"/>
            <w:vAlign w:val="bottom"/>
          </w:tcPr>
          <w:p w:rsidR="00CD4C07" w:rsidRPr="00C65CAA" w:rsidRDefault="00CD4C07" w:rsidP="009879BE">
            <w:pPr>
              <w:jc w:val="right"/>
              <w:rPr>
                <w:rFonts w:ascii="Arial Narrow" w:hAnsi="Arial Narrow" w:cs="Calibri"/>
                <w:b/>
                <w:bCs/>
                <w:color w:val="000000"/>
                <w:sz w:val="20"/>
                <w:szCs w:val="20"/>
              </w:rPr>
            </w:pPr>
            <w:r w:rsidRPr="00C65CAA">
              <w:rPr>
                <w:rFonts w:ascii="Arial Narrow" w:hAnsi="Arial Narrow" w:cs="Calibri"/>
                <w:b/>
                <w:bCs/>
                <w:color w:val="000000"/>
                <w:sz w:val="20"/>
                <w:szCs w:val="20"/>
              </w:rPr>
              <w:t>0,50</w:t>
            </w:r>
          </w:p>
        </w:tc>
      </w:tr>
      <w:tr w:rsidR="00CD4C07" w:rsidRPr="00C65CAA" w:rsidTr="00CD4C07">
        <w:trPr>
          <w:trHeight w:val="257"/>
        </w:trPr>
        <w:tc>
          <w:tcPr>
            <w:tcW w:w="1511" w:type="pct"/>
            <w:shd w:val="clear" w:color="auto" w:fill="auto"/>
            <w:noWrap/>
            <w:vAlign w:val="center"/>
            <w:hideMark/>
          </w:tcPr>
          <w:p w:rsidR="00CD4C07" w:rsidRPr="00C65CAA" w:rsidRDefault="00CD4C07" w:rsidP="009879BE">
            <w:pPr>
              <w:rPr>
                <w:rFonts w:ascii="Arial Narrow" w:hAnsi="Arial Narrow"/>
                <w:sz w:val="20"/>
                <w:szCs w:val="20"/>
              </w:rPr>
            </w:pPr>
            <w:r w:rsidRPr="00C65CAA">
              <w:rPr>
                <w:rFonts w:ascii="Arial Narrow" w:hAnsi="Arial Narrow"/>
                <w:sz w:val="20"/>
                <w:szCs w:val="20"/>
              </w:rPr>
              <w:t>Cieľový schodok RVS (mil. eur)</w:t>
            </w:r>
          </w:p>
        </w:tc>
        <w:tc>
          <w:tcPr>
            <w:tcW w:w="435" w:type="pct"/>
            <w:shd w:val="clear" w:color="auto" w:fill="auto"/>
            <w:noWrap/>
            <w:vAlign w:val="bottom"/>
            <w:hideMark/>
          </w:tcPr>
          <w:p w:rsidR="00CD4C07" w:rsidRPr="00C65CAA" w:rsidRDefault="00CD4C07" w:rsidP="009879BE">
            <w:pPr>
              <w:jc w:val="right"/>
              <w:rPr>
                <w:rFonts w:ascii="Arial Narrow" w:hAnsi="Arial Narrow"/>
                <w:sz w:val="20"/>
                <w:szCs w:val="20"/>
              </w:rPr>
            </w:pPr>
            <w:r w:rsidRPr="00C65CAA">
              <w:rPr>
                <w:rFonts w:ascii="Arial Narrow" w:hAnsi="Arial Narrow"/>
                <w:sz w:val="20"/>
                <w:szCs w:val="20"/>
              </w:rPr>
              <w:t>-1 557</w:t>
            </w:r>
          </w:p>
        </w:tc>
        <w:tc>
          <w:tcPr>
            <w:tcW w:w="436" w:type="pct"/>
            <w:shd w:val="clear" w:color="auto" w:fill="auto"/>
            <w:noWrap/>
            <w:vAlign w:val="bottom"/>
            <w:hideMark/>
          </w:tcPr>
          <w:p w:rsidR="00CD4C07" w:rsidRPr="00C65CAA" w:rsidRDefault="00CD4C07" w:rsidP="009879BE">
            <w:pPr>
              <w:jc w:val="right"/>
              <w:rPr>
                <w:rFonts w:ascii="Arial Narrow" w:hAnsi="Arial Narrow" w:cs="Calibri"/>
                <w:sz w:val="20"/>
                <w:szCs w:val="20"/>
              </w:rPr>
            </w:pPr>
            <w:r w:rsidRPr="00C65CAA">
              <w:rPr>
                <w:rFonts w:ascii="Arial Narrow" w:hAnsi="Arial Narrow" w:cs="Calibri"/>
                <w:sz w:val="20"/>
                <w:szCs w:val="20"/>
              </w:rPr>
              <w:t>-1 083</w:t>
            </w:r>
          </w:p>
        </w:tc>
        <w:tc>
          <w:tcPr>
            <w:tcW w:w="524" w:type="pct"/>
            <w:shd w:val="clear" w:color="auto" w:fill="auto"/>
            <w:noWrap/>
            <w:vAlign w:val="bottom"/>
            <w:hideMark/>
          </w:tcPr>
          <w:p w:rsidR="00CD4C07" w:rsidRPr="00C65CAA" w:rsidRDefault="00CD4C07" w:rsidP="009879BE">
            <w:pPr>
              <w:jc w:val="right"/>
              <w:rPr>
                <w:rFonts w:ascii="Arial Narrow" w:hAnsi="Arial Narrow" w:cs="Calibri"/>
                <w:sz w:val="20"/>
                <w:szCs w:val="20"/>
              </w:rPr>
            </w:pPr>
            <w:r w:rsidRPr="00C65CAA">
              <w:rPr>
                <w:rFonts w:ascii="Arial Narrow" w:hAnsi="Arial Narrow" w:cs="Calibri"/>
                <w:sz w:val="20"/>
                <w:szCs w:val="20"/>
              </w:rPr>
              <w:t>-743</w:t>
            </w:r>
          </w:p>
        </w:tc>
        <w:tc>
          <w:tcPr>
            <w:tcW w:w="523" w:type="pct"/>
            <w:shd w:val="clear" w:color="auto" w:fill="auto"/>
            <w:noWrap/>
            <w:vAlign w:val="bottom"/>
            <w:hideMark/>
          </w:tcPr>
          <w:p w:rsidR="00CD4C07" w:rsidRPr="00C65CAA" w:rsidRDefault="00CD4C07" w:rsidP="009879BE">
            <w:pPr>
              <w:jc w:val="right"/>
              <w:rPr>
                <w:rFonts w:ascii="Arial Narrow" w:hAnsi="Arial Narrow" w:cs="Calibri"/>
                <w:sz w:val="20"/>
                <w:szCs w:val="20"/>
              </w:rPr>
            </w:pPr>
            <w:r w:rsidRPr="00C65CAA">
              <w:rPr>
                <w:rFonts w:ascii="Arial Narrow" w:hAnsi="Arial Narrow" w:cs="Calibri"/>
                <w:sz w:val="20"/>
                <w:szCs w:val="20"/>
              </w:rPr>
              <w:t>-97</w:t>
            </w:r>
          </w:p>
        </w:tc>
        <w:tc>
          <w:tcPr>
            <w:tcW w:w="523" w:type="pct"/>
            <w:shd w:val="clear" w:color="auto" w:fill="auto"/>
            <w:noWrap/>
            <w:vAlign w:val="bottom"/>
            <w:hideMark/>
          </w:tcPr>
          <w:p w:rsidR="00CD4C07" w:rsidRPr="00C65CAA" w:rsidRDefault="00CD4C07" w:rsidP="009879BE">
            <w:pPr>
              <w:jc w:val="right"/>
              <w:rPr>
                <w:rFonts w:ascii="Arial Narrow" w:hAnsi="Arial Narrow" w:cs="Calibri"/>
                <w:sz w:val="20"/>
                <w:szCs w:val="20"/>
              </w:rPr>
            </w:pPr>
            <w:r w:rsidRPr="00C65CAA">
              <w:rPr>
                <w:rFonts w:ascii="Arial Narrow" w:hAnsi="Arial Narrow" w:cs="Calibri"/>
                <w:sz w:val="20"/>
                <w:szCs w:val="20"/>
              </w:rPr>
              <w:t>0</w:t>
            </w:r>
          </w:p>
        </w:tc>
        <w:tc>
          <w:tcPr>
            <w:tcW w:w="523" w:type="pct"/>
            <w:vAlign w:val="bottom"/>
          </w:tcPr>
          <w:p w:rsidR="00CD4C07" w:rsidRPr="00C65CAA" w:rsidRDefault="00CD4C07" w:rsidP="009879BE">
            <w:pPr>
              <w:jc w:val="right"/>
              <w:rPr>
                <w:rFonts w:ascii="Arial Narrow" w:hAnsi="Arial Narrow" w:cs="Calibri"/>
                <w:sz w:val="20"/>
                <w:szCs w:val="20"/>
              </w:rPr>
            </w:pPr>
            <w:r w:rsidRPr="00C65CAA">
              <w:rPr>
                <w:rFonts w:ascii="Arial Narrow" w:hAnsi="Arial Narrow" w:cs="Calibri"/>
                <w:sz w:val="20"/>
                <w:szCs w:val="20"/>
              </w:rPr>
              <w:t>219</w:t>
            </w:r>
          </w:p>
        </w:tc>
        <w:tc>
          <w:tcPr>
            <w:tcW w:w="524" w:type="pct"/>
            <w:vAlign w:val="bottom"/>
          </w:tcPr>
          <w:p w:rsidR="00CD4C07" w:rsidRPr="00C65CAA" w:rsidRDefault="00CD4C07" w:rsidP="009879BE">
            <w:pPr>
              <w:jc w:val="right"/>
              <w:rPr>
                <w:rFonts w:ascii="Arial Narrow" w:hAnsi="Arial Narrow" w:cs="Calibri"/>
                <w:sz w:val="20"/>
                <w:szCs w:val="20"/>
              </w:rPr>
            </w:pPr>
            <w:r w:rsidRPr="00C65CAA">
              <w:rPr>
                <w:rFonts w:ascii="Arial Narrow" w:hAnsi="Arial Narrow" w:cs="Calibri"/>
                <w:sz w:val="20"/>
                <w:szCs w:val="20"/>
              </w:rPr>
              <w:t>646</w:t>
            </w:r>
          </w:p>
        </w:tc>
      </w:tr>
      <w:tr w:rsidR="00CD4C07" w:rsidRPr="00C65CAA" w:rsidTr="00CD4C07">
        <w:trPr>
          <w:trHeight w:val="257"/>
        </w:trPr>
        <w:tc>
          <w:tcPr>
            <w:tcW w:w="1511" w:type="pct"/>
            <w:shd w:val="clear" w:color="auto" w:fill="auto"/>
            <w:noWrap/>
            <w:vAlign w:val="center"/>
            <w:hideMark/>
          </w:tcPr>
          <w:p w:rsidR="00CD4C07" w:rsidRPr="00C65CAA" w:rsidRDefault="00CD4C07" w:rsidP="009879BE">
            <w:pPr>
              <w:rPr>
                <w:rFonts w:ascii="Arial Narrow" w:hAnsi="Arial Narrow"/>
                <w:sz w:val="20"/>
                <w:szCs w:val="20"/>
              </w:rPr>
            </w:pPr>
            <w:r w:rsidRPr="00C65CAA">
              <w:rPr>
                <w:rFonts w:ascii="Arial Narrow" w:hAnsi="Arial Narrow"/>
                <w:sz w:val="20"/>
                <w:szCs w:val="20"/>
              </w:rPr>
              <w:t>Cieľový schodok RVS (% HDP)</w:t>
            </w:r>
          </w:p>
        </w:tc>
        <w:tc>
          <w:tcPr>
            <w:tcW w:w="435" w:type="pct"/>
            <w:shd w:val="clear" w:color="auto" w:fill="auto"/>
            <w:noWrap/>
            <w:vAlign w:val="bottom"/>
            <w:hideMark/>
          </w:tcPr>
          <w:p w:rsidR="00CD4C07" w:rsidRPr="00C65CAA" w:rsidRDefault="00CD4C07" w:rsidP="009879BE">
            <w:pPr>
              <w:jc w:val="right"/>
              <w:rPr>
                <w:rFonts w:ascii="Arial Narrow" w:hAnsi="Arial Narrow"/>
                <w:sz w:val="20"/>
                <w:szCs w:val="20"/>
              </w:rPr>
            </w:pPr>
            <w:r w:rsidRPr="00C65CAA">
              <w:rPr>
                <w:rFonts w:ascii="Arial Narrow" w:hAnsi="Arial Narrow"/>
                <w:sz w:val="20"/>
                <w:szCs w:val="20"/>
              </w:rPr>
              <w:t>-1,93</w:t>
            </w:r>
          </w:p>
        </w:tc>
        <w:tc>
          <w:tcPr>
            <w:tcW w:w="436" w:type="pct"/>
            <w:shd w:val="clear" w:color="auto" w:fill="auto"/>
            <w:noWrap/>
            <w:vAlign w:val="bottom"/>
            <w:hideMark/>
          </w:tcPr>
          <w:p w:rsidR="00CD4C07" w:rsidRPr="00C65CAA" w:rsidRDefault="00CD4C07" w:rsidP="009879BE">
            <w:pPr>
              <w:jc w:val="right"/>
              <w:rPr>
                <w:rFonts w:ascii="Arial Narrow" w:hAnsi="Arial Narrow" w:cs="Calibri"/>
                <w:sz w:val="20"/>
                <w:szCs w:val="20"/>
              </w:rPr>
            </w:pPr>
            <w:r w:rsidRPr="00C65CAA">
              <w:rPr>
                <w:rFonts w:ascii="Arial Narrow" w:hAnsi="Arial Narrow" w:cs="Calibri"/>
                <w:sz w:val="20"/>
                <w:szCs w:val="20"/>
              </w:rPr>
              <w:t>-1,29</w:t>
            </w:r>
          </w:p>
        </w:tc>
        <w:tc>
          <w:tcPr>
            <w:tcW w:w="524" w:type="pct"/>
            <w:shd w:val="clear" w:color="auto" w:fill="auto"/>
            <w:noWrap/>
            <w:vAlign w:val="bottom"/>
            <w:hideMark/>
          </w:tcPr>
          <w:p w:rsidR="00CD4C07" w:rsidRPr="00C65CAA" w:rsidRDefault="00CD4C07" w:rsidP="009879BE">
            <w:pPr>
              <w:jc w:val="right"/>
              <w:rPr>
                <w:rFonts w:ascii="Arial Narrow" w:hAnsi="Arial Narrow" w:cs="Calibri"/>
                <w:sz w:val="20"/>
                <w:szCs w:val="20"/>
              </w:rPr>
            </w:pPr>
            <w:r w:rsidRPr="00C65CAA">
              <w:rPr>
                <w:rFonts w:ascii="Arial Narrow" w:hAnsi="Arial Narrow" w:cs="Calibri"/>
                <w:sz w:val="20"/>
                <w:szCs w:val="20"/>
              </w:rPr>
              <w:t>-0,83</w:t>
            </w:r>
          </w:p>
        </w:tc>
        <w:tc>
          <w:tcPr>
            <w:tcW w:w="523" w:type="pct"/>
            <w:shd w:val="clear" w:color="auto" w:fill="auto"/>
            <w:noWrap/>
            <w:vAlign w:val="bottom"/>
            <w:hideMark/>
          </w:tcPr>
          <w:p w:rsidR="00CD4C07" w:rsidRPr="00C65CAA" w:rsidRDefault="00CD4C07" w:rsidP="009879BE">
            <w:pPr>
              <w:jc w:val="right"/>
              <w:rPr>
                <w:rFonts w:ascii="Arial Narrow" w:hAnsi="Arial Narrow" w:cs="Calibri"/>
                <w:sz w:val="20"/>
                <w:szCs w:val="20"/>
              </w:rPr>
            </w:pPr>
            <w:r w:rsidRPr="00C65CAA">
              <w:rPr>
                <w:rFonts w:ascii="Arial Narrow" w:hAnsi="Arial Narrow" w:cs="Calibri"/>
                <w:sz w:val="20"/>
                <w:szCs w:val="20"/>
              </w:rPr>
              <w:t>-0,10</w:t>
            </w:r>
          </w:p>
        </w:tc>
        <w:tc>
          <w:tcPr>
            <w:tcW w:w="523" w:type="pct"/>
            <w:shd w:val="clear" w:color="auto" w:fill="auto"/>
            <w:noWrap/>
            <w:vAlign w:val="bottom"/>
            <w:hideMark/>
          </w:tcPr>
          <w:p w:rsidR="00CD4C07" w:rsidRPr="00C65CAA" w:rsidRDefault="00CD4C07" w:rsidP="009879BE">
            <w:pPr>
              <w:jc w:val="right"/>
              <w:rPr>
                <w:rFonts w:ascii="Arial Narrow" w:hAnsi="Arial Narrow" w:cs="Calibri"/>
                <w:sz w:val="20"/>
                <w:szCs w:val="20"/>
              </w:rPr>
            </w:pPr>
            <w:r w:rsidRPr="00C65CAA">
              <w:rPr>
                <w:rFonts w:ascii="Arial Narrow" w:hAnsi="Arial Narrow" w:cs="Calibri"/>
                <w:sz w:val="20"/>
                <w:szCs w:val="20"/>
              </w:rPr>
              <w:t>0,00</w:t>
            </w:r>
          </w:p>
        </w:tc>
        <w:tc>
          <w:tcPr>
            <w:tcW w:w="523" w:type="pct"/>
            <w:vAlign w:val="bottom"/>
          </w:tcPr>
          <w:p w:rsidR="00CD4C07" w:rsidRPr="00C65CAA" w:rsidRDefault="00CD4C07" w:rsidP="009879BE">
            <w:pPr>
              <w:jc w:val="right"/>
              <w:rPr>
                <w:rFonts w:ascii="Arial Narrow" w:hAnsi="Arial Narrow" w:cs="Calibri"/>
                <w:sz w:val="20"/>
                <w:szCs w:val="20"/>
              </w:rPr>
            </w:pPr>
            <w:r w:rsidRPr="00C65CAA">
              <w:rPr>
                <w:rFonts w:ascii="Arial Narrow" w:hAnsi="Arial Narrow" w:cs="Calibri"/>
                <w:sz w:val="20"/>
                <w:szCs w:val="20"/>
              </w:rPr>
              <w:t>0,20</w:t>
            </w:r>
          </w:p>
        </w:tc>
        <w:tc>
          <w:tcPr>
            <w:tcW w:w="524" w:type="pct"/>
            <w:vAlign w:val="bottom"/>
          </w:tcPr>
          <w:p w:rsidR="00CD4C07" w:rsidRPr="00C65CAA" w:rsidRDefault="00CD4C07" w:rsidP="009879BE">
            <w:pPr>
              <w:jc w:val="right"/>
              <w:rPr>
                <w:rFonts w:ascii="Arial Narrow" w:hAnsi="Arial Narrow" w:cs="Calibri"/>
                <w:sz w:val="20"/>
                <w:szCs w:val="20"/>
              </w:rPr>
            </w:pPr>
            <w:r w:rsidRPr="00C65CAA">
              <w:rPr>
                <w:rFonts w:ascii="Arial Narrow" w:hAnsi="Arial Narrow" w:cs="Calibri"/>
                <w:sz w:val="20"/>
                <w:szCs w:val="20"/>
              </w:rPr>
              <w:t>0,73</w:t>
            </w:r>
          </w:p>
        </w:tc>
      </w:tr>
      <w:tr w:rsidR="00CD4C07" w:rsidRPr="00C65CAA" w:rsidTr="00CD4C07">
        <w:trPr>
          <w:trHeight w:val="257"/>
        </w:trPr>
        <w:tc>
          <w:tcPr>
            <w:tcW w:w="1511" w:type="pct"/>
            <w:shd w:val="clear" w:color="auto" w:fill="auto"/>
            <w:noWrap/>
            <w:vAlign w:val="bottom"/>
            <w:hideMark/>
          </w:tcPr>
          <w:p w:rsidR="00CD4C07" w:rsidRPr="00C65CAA" w:rsidRDefault="00CD4C07" w:rsidP="009879BE">
            <w:pPr>
              <w:rPr>
                <w:rFonts w:ascii="Arial Narrow" w:hAnsi="Arial Narrow"/>
                <w:sz w:val="20"/>
                <w:szCs w:val="20"/>
              </w:rPr>
            </w:pPr>
            <w:r w:rsidRPr="00C65CAA">
              <w:rPr>
                <w:rFonts w:ascii="Arial Narrow" w:hAnsi="Arial Narrow"/>
                <w:sz w:val="20"/>
                <w:szCs w:val="20"/>
              </w:rPr>
              <w:t>HDP (mil. eur, b.c.)</w:t>
            </w:r>
          </w:p>
        </w:tc>
        <w:tc>
          <w:tcPr>
            <w:tcW w:w="435" w:type="pct"/>
            <w:shd w:val="clear" w:color="auto" w:fill="auto"/>
            <w:noWrap/>
            <w:vAlign w:val="bottom"/>
            <w:hideMark/>
          </w:tcPr>
          <w:p w:rsidR="00CD4C07" w:rsidRPr="00C65CAA" w:rsidRDefault="00CD4C07" w:rsidP="009879BE">
            <w:pPr>
              <w:jc w:val="right"/>
              <w:rPr>
                <w:rFonts w:ascii="Arial Narrow" w:hAnsi="Arial Narrow"/>
                <w:sz w:val="20"/>
                <w:szCs w:val="20"/>
              </w:rPr>
            </w:pPr>
            <w:r w:rsidRPr="00C65CAA">
              <w:rPr>
                <w:rFonts w:ascii="Arial Narrow" w:hAnsi="Arial Narrow"/>
                <w:sz w:val="20"/>
                <w:szCs w:val="20"/>
              </w:rPr>
              <w:t>81 226</w:t>
            </w:r>
          </w:p>
        </w:tc>
        <w:tc>
          <w:tcPr>
            <w:tcW w:w="436" w:type="pct"/>
            <w:shd w:val="clear" w:color="auto" w:fill="auto"/>
            <w:noWrap/>
            <w:vAlign w:val="bottom"/>
            <w:hideMark/>
          </w:tcPr>
          <w:p w:rsidR="00CD4C07" w:rsidRPr="00C65CAA" w:rsidRDefault="00CD4C07" w:rsidP="009879BE">
            <w:pPr>
              <w:jc w:val="right"/>
              <w:rPr>
                <w:rFonts w:ascii="Arial Narrow" w:hAnsi="Arial Narrow" w:cs="Calibri"/>
                <w:color w:val="000000"/>
                <w:sz w:val="20"/>
                <w:szCs w:val="20"/>
              </w:rPr>
            </w:pPr>
            <w:r w:rsidRPr="00C65CAA">
              <w:rPr>
                <w:rFonts w:ascii="Arial Narrow" w:hAnsi="Arial Narrow"/>
                <w:color w:val="000000"/>
                <w:sz w:val="20"/>
                <w:szCs w:val="20"/>
              </w:rPr>
              <w:t>84 851</w:t>
            </w:r>
          </w:p>
        </w:tc>
        <w:tc>
          <w:tcPr>
            <w:tcW w:w="524" w:type="pct"/>
            <w:shd w:val="clear" w:color="auto" w:fill="auto"/>
            <w:noWrap/>
            <w:vAlign w:val="bottom"/>
            <w:hideMark/>
          </w:tcPr>
          <w:p w:rsidR="00CD4C07" w:rsidRPr="00C65CAA" w:rsidRDefault="00CD4C07" w:rsidP="009879BE">
            <w:pPr>
              <w:jc w:val="right"/>
              <w:rPr>
                <w:rFonts w:ascii="Arial Narrow" w:hAnsi="Arial Narrow" w:cs="Calibri"/>
                <w:sz w:val="20"/>
                <w:szCs w:val="20"/>
              </w:rPr>
            </w:pPr>
            <w:r w:rsidRPr="00C65CAA">
              <w:rPr>
                <w:rFonts w:ascii="Arial Narrow" w:hAnsi="Arial Narrow" w:cs="Calibri"/>
                <w:sz w:val="20"/>
                <w:szCs w:val="20"/>
              </w:rPr>
              <w:t>90 464</w:t>
            </w:r>
          </w:p>
        </w:tc>
        <w:tc>
          <w:tcPr>
            <w:tcW w:w="523" w:type="pct"/>
            <w:shd w:val="clear" w:color="auto" w:fill="auto"/>
            <w:noWrap/>
            <w:vAlign w:val="bottom"/>
            <w:hideMark/>
          </w:tcPr>
          <w:p w:rsidR="00CD4C07" w:rsidRPr="00C65CAA" w:rsidRDefault="00CD4C07" w:rsidP="009879BE">
            <w:pPr>
              <w:jc w:val="right"/>
              <w:rPr>
                <w:rFonts w:ascii="Arial Narrow" w:hAnsi="Arial Narrow" w:cs="Calibri"/>
                <w:sz w:val="20"/>
                <w:szCs w:val="20"/>
              </w:rPr>
            </w:pPr>
            <w:r w:rsidRPr="00C65CAA">
              <w:rPr>
                <w:rFonts w:ascii="Arial Narrow" w:hAnsi="Arial Narrow" w:cs="Calibri"/>
                <w:sz w:val="20"/>
                <w:szCs w:val="20"/>
              </w:rPr>
              <w:t>96 890</w:t>
            </w:r>
          </w:p>
        </w:tc>
        <w:tc>
          <w:tcPr>
            <w:tcW w:w="523" w:type="pct"/>
            <w:shd w:val="clear" w:color="auto" w:fill="auto"/>
            <w:noWrap/>
            <w:vAlign w:val="bottom"/>
            <w:hideMark/>
          </w:tcPr>
          <w:p w:rsidR="00CD4C07" w:rsidRPr="00C65CAA" w:rsidRDefault="00CD4C07" w:rsidP="009879BE">
            <w:pPr>
              <w:jc w:val="right"/>
              <w:rPr>
                <w:rFonts w:ascii="Arial Narrow" w:hAnsi="Arial Narrow" w:cs="Calibri"/>
                <w:sz w:val="20"/>
                <w:szCs w:val="20"/>
              </w:rPr>
            </w:pPr>
            <w:r w:rsidRPr="00C65CAA">
              <w:rPr>
                <w:rFonts w:ascii="Arial Narrow" w:hAnsi="Arial Narrow" w:cs="Calibri"/>
                <w:sz w:val="20"/>
                <w:szCs w:val="20"/>
              </w:rPr>
              <w:t>103 189</w:t>
            </w:r>
          </w:p>
        </w:tc>
        <w:tc>
          <w:tcPr>
            <w:tcW w:w="523" w:type="pct"/>
            <w:vAlign w:val="bottom"/>
          </w:tcPr>
          <w:p w:rsidR="00CD4C07" w:rsidRPr="00C65CAA" w:rsidRDefault="00CD4C07" w:rsidP="009879BE">
            <w:pPr>
              <w:jc w:val="right"/>
              <w:rPr>
                <w:rFonts w:ascii="Arial Narrow" w:hAnsi="Arial Narrow" w:cs="Calibri"/>
                <w:sz w:val="20"/>
                <w:szCs w:val="20"/>
              </w:rPr>
            </w:pPr>
            <w:r w:rsidRPr="00C65CAA">
              <w:rPr>
                <w:rFonts w:ascii="Arial Narrow" w:hAnsi="Arial Narrow" w:cs="Calibri"/>
                <w:sz w:val="20"/>
                <w:szCs w:val="20"/>
              </w:rPr>
              <w:t>109 273</w:t>
            </w:r>
          </w:p>
        </w:tc>
        <w:tc>
          <w:tcPr>
            <w:tcW w:w="524" w:type="pct"/>
            <w:vAlign w:val="bottom"/>
          </w:tcPr>
          <w:p w:rsidR="00CD4C07" w:rsidRPr="00C65CAA" w:rsidRDefault="00CD4C07" w:rsidP="009879BE">
            <w:pPr>
              <w:jc w:val="right"/>
              <w:rPr>
                <w:rFonts w:ascii="Arial Narrow" w:hAnsi="Arial Narrow" w:cs="Calibri"/>
                <w:sz w:val="20"/>
                <w:szCs w:val="20"/>
              </w:rPr>
            </w:pPr>
            <w:r w:rsidRPr="00C65CAA">
              <w:rPr>
                <w:rFonts w:ascii="Arial Narrow" w:hAnsi="Arial Narrow" w:cs="Calibri"/>
                <w:sz w:val="20"/>
                <w:szCs w:val="20"/>
              </w:rPr>
              <w:t>6 427</w:t>
            </w:r>
          </w:p>
        </w:tc>
      </w:tr>
      <w:tr w:rsidR="00CD4C07" w:rsidRPr="00C65CAA" w:rsidTr="00CD4C07">
        <w:trPr>
          <w:trHeight w:val="257"/>
        </w:trPr>
        <w:tc>
          <w:tcPr>
            <w:tcW w:w="1511" w:type="pct"/>
            <w:shd w:val="clear" w:color="auto" w:fill="auto"/>
            <w:noWrap/>
            <w:vAlign w:val="bottom"/>
            <w:hideMark/>
          </w:tcPr>
          <w:p w:rsidR="00CD4C07" w:rsidRPr="00C65CAA" w:rsidRDefault="00CD4C07" w:rsidP="009879BE">
            <w:pPr>
              <w:rPr>
                <w:rFonts w:ascii="Arial Narrow" w:hAnsi="Arial Narrow"/>
                <w:sz w:val="20"/>
                <w:szCs w:val="20"/>
              </w:rPr>
            </w:pPr>
            <w:r w:rsidRPr="00C65CAA">
              <w:rPr>
                <w:rFonts w:ascii="Arial Narrow" w:hAnsi="Arial Narrow"/>
                <w:sz w:val="20"/>
                <w:szCs w:val="20"/>
              </w:rPr>
              <w:t>Príjmy spolu (% HDP)</w:t>
            </w:r>
          </w:p>
        </w:tc>
        <w:tc>
          <w:tcPr>
            <w:tcW w:w="435" w:type="pct"/>
            <w:shd w:val="clear" w:color="auto" w:fill="auto"/>
            <w:noWrap/>
            <w:vAlign w:val="bottom"/>
            <w:hideMark/>
          </w:tcPr>
          <w:p w:rsidR="00CD4C07" w:rsidRPr="00C65CAA" w:rsidRDefault="00CD4C07" w:rsidP="009879BE">
            <w:pPr>
              <w:jc w:val="right"/>
              <w:rPr>
                <w:rFonts w:ascii="Arial Narrow" w:hAnsi="Arial Narrow" w:cs="Calibri"/>
                <w:color w:val="000000"/>
                <w:sz w:val="20"/>
                <w:szCs w:val="20"/>
              </w:rPr>
            </w:pPr>
            <w:r w:rsidRPr="00C65CAA">
              <w:rPr>
                <w:rFonts w:ascii="Arial Narrow" w:hAnsi="Arial Narrow" w:cs="Calibri"/>
                <w:color w:val="000000"/>
                <w:sz w:val="20"/>
                <w:szCs w:val="20"/>
              </w:rPr>
              <w:t>39,23</w:t>
            </w:r>
          </w:p>
        </w:tc>
        <w:tc>
          <w:tcPr>
            <w:tcW w:w="436" w:type="pct"/>
            <w:shd w:val="clear" w:color="auto" w:fill="auto"/>
            <w:noWrap/>
            <w:vAlign w:val="bottom"/>
            <w:hideMark/>
          </w:tcPr>
          <w:p w:rsidR="00CD4C07" w:rsidRPr="00C65CAA" w:rsidRDefault="00CD4C07" w:rsidP="009879BE">
            <w:pPr>
              <w:jc w:val="right"/>
              <w:rPr>
                <w:rFonts w:ascii="Arial Narrow" w:hAnsi="Arial Narrow" w:cs="Calibri"/>
                <w:color w:val="000000"/>
                <w:sz w:val="20"/>
                <w:szCs w:val="20"/>
              </w:rPr>
            </w:pPr>
            <w:r>
              <w:rPr>
                <w:rFonts w:ascii="Arial Narrow" w:hAnsi="Arial Narrow" w:cs="Calibri"/>
                <w:color w:val="000000"/>
                <w:sz w:val="20"/>
                <w:szCs w:val="20"/>
              </w:rPr>
              <w:t>39,41</w:t>
            </w:r>
          </w:p>
        </w:tc>
        <w:tc>
          <w:tcPr>
            <w:tcW w:w="524" w:type="pct"/>
            <w:shd w:val="clear" w:color="auto" w:fill="auto"/>
            <w:noWrap/>
            <w:vAlign w:val="bottom"/>
            <w:hideMark/>
          </w:tcPr>
          <w:p w:rsidR="00CD4C07" w:rsidRPr="00C65CAA" w:rsidRDefault="00CD4C07" w:rsidP="009879BE">
            <w:pPr>
              <w:jc w:val="right"/>
              <w:rPr>
                <w:rFonts w:ascii="Arial Narrow" w:hAnsi="Arial Narrow" w:cs="Calibri"/>
                <w:color w:val="000000"/>
                <w:sz w:val="20"/>
                <w:szCs w:val="20"/>
              </w:rPr>
            </w:pPr>
            <w:r w:rsidRPr="00C65CAA">
              <w:rPr>
                <w:rFonts w:ascii="Arial Narrow" w:hAnsi="Arial Narrow" w:cs="Calibri"/>
                <w:color w:val="000000"/>
                <w:sz w:val="20"/>
                <w:szCs w:val="20"/>
              </w:rPr>
              <w:t>39,12</w:t>
            </w:r>
          </w:p>
        </w:tc>
        <w:tc>
          <w:tcPr>
            <w:tcW w:w="523" w:type="pct"/>
            <w:shd w:val="clear" w:color="auto" w:fill="auto"/>
            <w:noWrap/>
            <w:vAlign w:val="bottom"/>
            <w:hideMark/>
          </w:tcPr>
          <w:p w:rsidR="00CD4C07" w:rsidRPr="00C65CAA" w:rsidRDefault="00CD4C07" w:rsidP="009879BE">
            <w:pPr>
              <w:jc w:val="right"/>
              <w:rPr>
                <w:rFonts w:ascii="Arial Narrow" w:hAnsi="Arial Narrow" w:cs="Calibri"/>
                <w:color w:val="000000"/>
                <w:sz w:val="20"/>
                <w:szCs w:val="20"/>
              </w:rPr>
            </w:pPr>
            <w:r w:rsidRPr="00C65CAA">
              <w:rPr>
                <w:rFonts w:ascii="Arial Narrow" w:hAnsi="Arial Narrow" w:cs="Calibri"/>
                <w:color w:val="000000"/>
                <w:sz w:val="20"/>
                <w:szCs w:val="20"/>
              </w:rPr>
              <w:t>38,35</w:t>
            </w:r>
          </w:p>
        </w:tc>
        <w:tc>
          <w:tcPr>
            <w:tcW w:w="523" w:type="pct"/>
            <w:shd w:val="clear" w:color="auto" w:fill="auto"/>
            <w:noWrap/>
            <w:vAlign w:val="bottom"/>
            <w:hideMark/>
          </w:tcPr>
          <w:p w:rsidR="00CD4C07" w:rsidRPr="00C65CAA" w:rsidRDefault="00CD4C07" w:rsidP="009879BE">
            <w:pPr>
              <w:jc w:val="right"/>
              <w:rPr>
                <w:rFonts w:ascii="Arial Narrow" w:hAnsi="Arial Narrow" w:cs="Calibri"/>
                <w:color w:val="000000"/>
                <w:sz w:val="20"/>
                <w:szCs w:val="20"/>
              </w:rPr>
            </w:pPr>
            <w:r w:rsidRPr="00C65CAA">
              <w:rPr>
                <w:rFonts w:ascii="Arial Narrow" w:hAnsi="Arial Narrow" w:cs="Calibri"/>
                <w:color w:val="000000"/>
                <w:sz w:val="20"/>
                <w:szCs w:val="20"/>
              </w:rPr>
              <w:t>38,52</w:t>
            </w:r>
          </w:p>
        </w:tc>
        <w:tc>
          <w:tcPr>
            <w:tcW w:w="523" w:type="pct"/>
            <w:vAlign w:val="bottom"/>
          </w:tcPr>
          <w:p w:rsidR="00CD4C07" w:rsidRPr="00C65CAA" w:rsidRDefault="00CD4C07" w:rsidP="009879BE">
            <w:pPr>
              <w:jc w:val="right"/>
              <w:rPr>
                <w:rFonts w:ascii="Arial Narrow" w:hAnsi="Arial Narrow" w:cs="Calibri"/>
                <w:color w:val="000000"/>
                <w:sz w:val="20"/>
                <w:szCs w:val="20"/>
              </w:rPr>
            </w:pPr>
            <w:r w:rsidRPr="00C65CAA">
              <w:rPr>
                <w:rFonts w:ascii="Arial Narrow" w:hAnsi="Arial Narrow" w:cs="Calibri"/>
                <w:color w:val="000000"/>
                <w:sz w:val="20"/>
                <w:szCs w:val="20"/>
              </w:rPr>
              <w:t>37,59</w:t>
            </w:r>
          </w:p>
        </w:tc>
        <w:tc>
          <w:tcPr>
            <w:tcW w:w="524" w:type="pct"/>
            <w:vAlign w:val="bottom"/>
          </w:tcPr>
          <w:p w:rsidR="00CD4C07" w:rsidRPr="00C65CAA" w:rsidRDefault="00CD4C07" w:rsidP="009879BE">
            <w:pPr>
              <w:jc w:val="right"/>
              <w:rPr>
                <w:rFonts w:ascii="Arial Narrow" w:hAnsi="Arial Narrow" w:cs="Calibri"/>
                <w:color w:val="000000"/>
                <w:sz w:val="20"/>
                <w:szCs w:val="20"/>
              </w:rPr>
            </w:pPr>
            <w:r w:rsidRPr="00C65CAA">
              <w:rPr>
                <w:rFonts w:ascii="Arial Narrow" w:hAnsi="Arial Narrow" w:cs="Calibri"/>
                <w:color w:val="000000"/>
                <w:sz w:val="20"/>
                <w:szCs w:val="20"/>
              </w:rPr>
              <w:t>-0,76</w:t>
            </w:r>
          </w:p>
        </w:tc>
      </w:tr>
      <w:tr w:rsidR="00CD4C07" w:rsidRPr="00C65CAA" w:rsidTr="00CD4C07">
        <w:trPr>
          <w:trHeight w:val="267"/>
        </w:trPr>
        <w:tc>
          <w:tcPr>
            <w:tcW w:w="1511" w:type="pct"/>
            <w:shd w:val="clear" w:color="auto" w:fill="auto"/>
            <w:noWrap/>
            <w:vAlign w:val="bottom"/>
            <w:hideMark/>
          </w:tcPr>
          <w:p w:rsidR="00CD4C07" w:rsidRPr="00C65CAA" w:rsidRDefault="00CD4C07" w:rsidP="009879BE">
            <w:pPr>
              <w:rPr>
                <w:rFonts w:ascii="Arial Narrow" w:hAnsi="Arial Narrow"/>
                <w:sz w:val="20"/>
                <w:szCs w:val="20"/>
              </w:rPr>
            </w:pPr>
            <w:r w:rsidRPr="00C65CAA">
              <w:rPr>
                <w:rFonts w:ascii="Arial Narrow" w:hAnsi="Arial Narrow"/>
                <w:sz w:val="20"/>
                <w:szCs w:val="20"/>
              </w:rPr>
              <w:t>Výdavky spolu (% HDP)</w:t>
            </w:r>
          </w:p>
        </w:tc>
        <w:tc>
          <w:tcPr>
            <w:tcW w:w="435" w:type="pct"/>
            <w:shd w:val="clear" w:color="auto" w:fill="auto"/>
            <w:noWrap/>
            <w:vAlign w:val="bottom"/>
            <w:hideMark/>
          </w:tcPr>
          <w:p w:rsidR="00CD4C07" w:rsidRPr="00C65CAA" w:rsidRDefault="00CD4C07" w:rsidP="009879BE">
            <w:pPr>
              <w:jc w:val="right"/>
              <w:rPr>
                <w:rFonts w:ascii="Arial Narrow" w:hAnsi="Arial Narrow" w:cs="Calibri"/>
                <w:color w:val="000000"/>
                <w:sz w:val="20"/>
                <w:szCs w:val="20"/>
              </w:rPr>
            </w:pPr>
            <w:r w:rsidRPr="00C65CAA">
              <w:rPr>
                <w:rFonts w:ascii="Arial Narrow" w:hAnsi="Arial Narrow" w:cs="Calibri"/>
                <w:color w:val="000000"/>
                <w:sz w:val="20"/>
                <w:szCs w:val="20"/>
              </w:rPr>
              <w:t>41,45</w:t>
            </w:r>
          </w:p>
        </w:tc>
        <w:tc>
          <w:tcPr>
            <w:tcW w:w="436" w:type="pct"/>
            <w:shd w:val="clear" w:color="auto" w:fill="auto"/>
            <w:noWrap/>
            <w:vAlign w:val="bottom"/>
            <w:hideMark/>
          </w:tcPr>
          <w:p w:rsidR="00CD4C07" w:rsidRPr="00C65CAA" w:rsidRDefault="00CD4C07" w:rsidP="009879BE">
            <w:pPr>
              <w:jc w:val="right"/>
              <w:rPr>
                <w:rFonts w:ascii="Arial Narrow" w:hAnsi="Arial Narrow" w:cs="Calibri"/>
                <w:color w:val="000000"/>
                <w:sz w:val="20"/>
                <w:szCs w:val="20"/>
              </w:rPr>
            </w:pPr>
            <w:r>
              <w:rPr>
                <w:rFonts w:ascii="Arial Narrow" w:hAnsi="Arial Narrow" w:cs="Calibri"/>
                <w:color w:val="000000"/>
                <w:sz w:val="20"/>
                <w:szCs w:val="20"/>
              </w:rPr>
              <w:t>40,19</w:t>
            </w:r>
          </w:p>
        </w:tc>
        <w:tc>
          <w:tcPr>
            <w:tcW w:w="524" w:type="pct"/>
            <w:shd w:val="clear" w:color="auto" w:fill="auto"/>
            <w:noWrap/>
            <w:vAlign w:val="bottom"/>
            <w:hideMark/>
          </w:tcPr>
          <w:p w:rsidR="00CD4C07" w:rsidRPr="00C65CAA" w:rsidRDefault="00CD4C07" w:rsidP="009879BE">
            <w:pPr>
              <w:jc w:val="right"/>
              <w:rPr>
                <w:rFonts w:ascii="Arial Narrow" w:hAnsi="Arial Narrow" w:cs="Calibri"/>
                <w:color w:val="000000"/>
                <w:sz w:val="20"/>
                <w:szCs w:val="20"/>
              </w:rPr>
            </w:pPr>
            <w:r w:rsidRPr="00C65CAA">
              <w:rPr>
                <w:rFonts w:ascii="Arial Narrow" w:hAnsi="Arial Narrow" w:cs="Calibri"/>
                <w:color w:val="000000"/>
                <w:sz w:val="20"/>
                <w:szCs w:val="20"/>
              </w:rPr>
              <w:t>39,72</w:t>
            </w:r>
          </w:p>
        </w:tc>
        <w:tc>
          <w:tcPr>
            <w:tcW w:w="523" w:type="pct"/>
            <w:shd w:val="clear" w:color="auto" w:fill="auto"/>
            <w:noWrap/>
            <w:vAlign w:val="bottom"/>
            <w:hideMark/>
          </w:tcPr>
          <w:p w:rsidR="00CD4C07" w:rsidRPr="00C65CAA" w:rsidRDefault="00CD4C07" w:rsidP="009879BE">
            <w:pPr>
              <w:jc w:val="right"/>
              <w:rPr>
                <w:rFonts w:ascii="Arial Narrow" w:hAnsi="Arial Narrow" w:cs="Calibri"/>
                <w:color w:val="000000"/>
                <w:sz w:val="20"/>
                <w:szCs w:val="20"/>
              </w:rPr>
            </w:pPr>
            <w:r w:rsidRPr="00C65CAA">
              <w:rPr>
                <w:rFonts w:ascii="Arial Narrow" w:hAnsi="Arial Narrow" w:cs="Calibri"/>
                <w:color w:val="000000"/>
                <w:sz w:val="20"/>
                <w:szCs w:val="20"/>
              </w:rPr>
              <w:t>38,45</w:t>
            </w:r>
          </w:p>
        </w:tc>
        <w:tc>
          <w:tcPr>
            <w:tcW w:w="523" w:type="pct"/>
            <w:shd w:val="clear" w:color="auto" w:fill="auto"/>
            <w:noWrap/>
            <w:vAlign w:val="bottom"/>
            <w:hideMark/>
          </w:tcPr>
          <w:p w:rsidR="00CD4C07" w:rsidRPr="00C65CAA" w:rsidRDefault="00CD4C07" w:rsidP="009879BE">
            <w:pPr>
              <w:jc w:val="right"/>
              <w:rPr>
                <w:rFonts w:ascii="Arial Narrow" w:hAnsi="Arial Narrow" w:cs="Calibri"/>
                <w:color w:val="000000"/>
                <w:sz w:val="20"/>
                <w:szCs w:val="20"/>
              </w:rPr>
            </w:pPr>
            <w:r w:rsidRPr="00C65CAA">
              <w:rPr>
                <w:rFonts w:ascii="Arial Narrow" w:hAnsi="Arial Narrow" w:cs="Calibri"/>
                <w:color w:val="000000"/>
                <w:sz w:val="20"/>
                <w:szCs w:val="20"/>
              </w:rPr>
              <w:t>38,52</w:t>
            </w:r>
          </w:p>
        </w:tc>
        <w:tc>
          <w:tcPr>
            <w:tcW w:w="523" w:type="pct"/>
            <w:vAlign w:val="bottom"/>
          </w:tcPr>
          <w:p w:rsidR="00CD4C07" w:rsidRPr="00C65CAA" w:rsidRDefault="00CD4C07" w:rsidP="009879BE">
            <w:pPr>
              <w:jc w:val="right"/>
              <w:rPr>
                <w:rFonts w:ascii="Arial Narrow" w:hAnsi="Arial Narrow" w:cs="Calibri"/>
                <w:color w:val="000000"/>
                <w:sz w:val="20"/>
                <w:szCs w:val="20"/>
              </w:rPr>
            </w:pPr>
            <w:r w:rsidRPr="00C65CAA">
              <w:rPr>
                <w:rFonts w:ascii="Arial Narrow" w:hAnsi="Arial Narrow" w:cs="Calibri"/>
                <w:color w:val="000000"/>
                <w:sz w:val="20"/>
                <w:szCs w:val="20"/>
              </w:rPr>
              <w:t>37,39</w:t>
            </w:r>
          </w:p>
        </w:tc>
        <w:tc>
          <w:tcPr>
            <w:tcW w:w="524" w:type="pct"/>
            <w:vAlign w:val="bottom"/>
          </w:tcPr>
          <w:p w:rsidR="00CD4C07" w:rsidRPr="00C65CAA" w:rsidRDefault="00CD4C07" w:rsidP="009879BE">
            <w:pPr>
              <w:jc w:val="right"/>
              <w:rPr>
                <w:rFonts w:ascii="Arial Narrow" w:hAnsi="Arial Narrow" w:cs="Calibri"/>
                <w:color w:val="000000"/>
                <w:sz w:val="20"/>
                <w:szCs w:val="20"/>
              </w:rPr>
            </w:pPr>
            <w:r w:rsidRPr="00C65CAA">
              <w:rPr>
                <w:rFonts w:ascii="Arial Narrow" w:hAnsi="Arial Narrow" w:cs="Calibri"/>
                <w:color w:val="000000"/>
                <w:sz w:val="20"/>
                <w:szCs w:val="20"/>
              </w:rPr>
              <w:t>-1,26</w:t>
            </w:r>
          </w:p>
        </w:tc>
      </w:tr>
    </w:tbl>
    <w:p w:rsidR="009649CB" w:rsidRPr="00C65CAA" w:rsidRDefault="00F44294" w:rsidP="009879BE">
      <w:pPr>
        <w:spacing w:after="100"/>
        <w:rPr>
          <w:rFonts w:ascii="Arial Narrow" w:hAnsi="Arial Narrow"/>
          <w:bCs/>
          <w:sz w:val="18"/>
          <w:szCs w:val="18"/>
        </w:rPr>
      </w:pPr>
      <w:r w:rsidRPr="00C65CAA">
        <w:rPr>
          <w:rFonts w:ascii="Arial Narrow" w:hAnsi="Arial Narrow"/>
          <w:bCs/>
          <w:sz w:val="18"/>
          <w:szCs w:val="18"/>
        </w:rPr>
        <w:t xml:space="preserve">Zdroj: MF SR, Návrh RVS 2019 – </w:t>
      </w:r>
      <w:r w:rsidR="009649CB" w:rsidRPr="00C65CAA">
        <w:rPr>
          <w:rFonts w:ascii="Arial Narrow" w:hAnsi="Arial Narrow"/>
          <w:bCs/>
          <w:sz w:val="18"/>
          <w:szCs w:val="18"/>
        </w:rPr>
        <w:t>2021, ŠÚ SR, Eurostat</w:t>
      </w:r>
    </w:p>
    <w:p w:rsidR="009649CB" w:rsidRPr="00C65CAA" w:rsidRDefault="009649CB" w:rsidP="00256AF8">
      <w:pPr>
        <w:spacing w:before="100" w:after="100"/>
        <w:ind w:firstLine="709"/>
        <w:jc w:val="both"/>
        <w:rPr>
          <w:rFonts w:ascii="Arial Narrow" w:eastAsia="Calibri" w:hAnsi="Arial Narrow"/>
          <w:sz w:val="22"/>
          <w:szCs w:val="22"/>
          <w:lang w:eastAsia="en-US"/>
        </w:rPr>
      </w:pPr>
      <w:r w:rsidRPr="00C65CAA">
        <w:rPr>
          <w:rFonts w:ascii="Arial Narrow" w:eastAsia="Calibri" w:hAnsi="Arial Narrow"/>
          <w:sz w:val="22"/>
          <w:szCs w:val="22"/>
          <w:lang w:eastAsia="en-US"/>
        </w:rPr>
        <w:t>Podľa Správy o deficite a</w:t>
      </w:r>
      <w:r w:rsidR="00F44294" w:rsidRPr="00C65CAA">
        <w:rPr>
          <w:rFonts w:ascii="Arial Narrow" w:eastAsia="Calibri" w:hAnsi="Arial Narrow"/>
          <w:sz w:val="22"/>
          <w:szCs w:val="22"/>
          <w:lang w:eastAsia="en-US"/>
        </w:rPr>
        <w:t> </w:t>
      </w:r>
      <w:r w:rsidRPr="00C65CAA">
        <w:rPr>
          <w:rFonts w:ascii="Arial Narrow" w:eastAsia="Calibri" w:hAnsi="Arial Narrow"/>
          <w:sz w:val="22"/>
          <w:szCs w:val="22"/>
          <w:lang w:eastAsia="en-US"/>
        </w:rPr>
        <w:t>dlhu</w:t>
      </w:r>
      <w:r w:rsidR="00F44294" w:rsidRPr="00C65CAA">
        <w:rPr>
          <w:rFonts w:ascii="Arial Narrow" w:eastAsia="Calibri" w:hAnsi="Arial Narrow"/>
          <w:sz w:val="22"/>
          <w:szCs w:val="22"/>
          <w:lang w:eastAsia="en-US"/>
        </w:rPr>
        <w:t>,</w:t>
      </w:r>
      <w:r w:rsidRPr="00C65CAA">
        <w:rPr>
          <w:rFonts w:ascii="Arial Narrow" w:eastAsia="Calibri" w:hAnsi="Arial Narrow"/>
          <w:sz w:val="22"/>
          <w:szCs w:val="22"/>
          <w:lang w:eastAsia="en-US"/>
        </w:rPr>
        <w:t xml:space="preserve"> pred</w:t>
      </w:r>
      <w:r w:rsidR="00BA55E8" w:rsidRPr="00C65CAA">
        <w:rPr>
          <w:rFonts w:ascii="Arial Narrow" w:eastAsia="Calibri" w:hAnsi="Arial Narrow"/>
          <w:sz w:val="22"/>
          <w:szCs w:val="22"/>
          <w:lang w:eastAsia="en-US"/>
        </w:rPr>
        <w:t xml:space="preserve">loženej k </w:t>
      </w:r>
      <w:r w:rsidR="004434A5" w:rsidRPr="00C65CAA">
        <w:rPr>
          <w:rFonts w:ascii="Arial Narrow" w:eastAsia="Calibri" w:hAnsi="Arial Narrow"/>
          <w:sz w:val="22"/>
          <w:szCs w:val="22"/>
          <w:lang w:eastAsia="en-US"/>
        </w:rPr>
        <w:t>1.</w:t>
      </w:r>
      <w:r w:rsidR="00F44294" w:rsidRPr="00C65CAA">
        <w:rPr>
          <w:rFonts w:ascii="Arial Narrow" w:eastAsia="Calibri" w:hAnsi="Arial Narrow"/>
          <w:sz w:val="22"/>
          <w:szCs w:val="22"/>
          <w:lang w:eastAsia="en-US"/>
        </w:rPr>
        <w:t xml:space="preserve"> </w:t>
      </w:r>
      <w:r w:rsidR="004434A5" w:rsidRPr="00C65CAA">
        <w:rPr>
          <w:rFonts w:ascii="Arial Narrow" w:eastAsia="Calibri" w:hAnsi="Arial Narrow"/>
          <w:sz w:val="22"/>
          <w:szCs w:val="22"/>
          <w:lang w:eastAsia="en-US"/>
        </w:rPr>
        <w:t xml:space="preserve">októbru </w:t>
      </w:r>
      <w:r w:rsidR="00BA55E8" w:rsidRPr="00C65CAA">
        <w:rPr>
          <w:rFonts w:ascii="Arial Narrow" w:eastAsia="Calibri" w:hAnsi="Arial Narrow"/>
          <w:sz w:val="22"/>
          <w:szCs w:val="22"/>
          <w:lang w:eastAsia="en-US"/>
        </w:rPr>
        <w:t>2018</w:t>
      </w:r>
      <w:r w:rsidR="00F44294" w:rsidRPr="00C65CAA">
        <w:rPr>
          <w:rFonts w:ascii="Arial Narrow" w:eastAsia="Calibri" w:hAnsi="Arial Narrow"/>
          <w:sz w:val="22"/>
          <w:szCs w:val="22"/>
          <w:lang w:eastAsia="en-US"/>
        </w:rPr>
        <w:t>,</w:t>
      </w:r>
      <w:r w:rsidRPr="00C65CAA">
        <w:rPr>
          <w:rFonts w:ascii="Arial Narrow" w:eastAsia="Calibri" w:hAnsi="Arial Narrow"/>
          <w:sz w:val="22"/>
          <w:szCs w:val="22"/>
          <w:lang w:eastAsia="en-US"/>
        </w:rPr>
        <w:t xml:space="preserve"> deficit verejných financií </w:t>
      </w:r>
      <w:r w:rsidR="00BA55E8" w:rsidRPr="00C65CAA">
        <w:rPr>
          <w:rFonts w:ascii="Arial Narrow" w:eastAsia="Calibri" w:hAnsi="Arial Narrow"/>
          <w:sz w:val="22"/>
          <w:szCs w:val="22"/>
          <w:lang w:eastAsia="en-US"/>
        </w:rPr>
        <w:t>SR</w:t>
      </w:r>
      <w:r w:rsidRPr="00C65CAA">
        <w:rPr>
          <w:rFonts w:ascii="Arial Narrow" w:eastAsia="Calibri" w:hAnsi="Arial Narrow"/>
          <w:sz w:val="22"/>
          <w:szCs w:val="22"/>
          <w:lang w:eastAsia="en-US"/>
        </w:rPr>
        <w:t xml:space="preserve"> </w:t>
      </w:r>
      <w:r w:rsidR="004434A5" w:rsidRPr="00C65CAA">
        <w:rPr>
          <w:rFonts w:ascii="Arial Narrow" w:eastAsia="Calibri" w:hAnsi="Arial Narrow"/>
          <w:sz w:val="22"/>
          <w:szCs w:val="22"/>
          <w:lang w:eastAsia="en-US"/>
        </w:rPr>
        <w:t>dosiahol 0,78 % </w:t>
      </w:r>
      <w:r w:rsidRPr="00C65CAA">
        <w:rPr>
          <w:rFonts w:ascii="Arial Narrow" w:eastAsia="Calibri" w:hAnsi="Arial Narrow"/>
          <w:sz w:val="22"/>
          <w:szCs w:val="22"/>
          <w:lang w:eastAsia="en-US"/>
        </w:rPr>
        <w:t>HDP. Vyplýva to z jesennej notifikácie deficitu a dlhu od Eurostatu, ktorý tak znížil pôvodne uvádzaný deficit verejných financií Slovenska z jarnej notifikácie o 0,26 p</w:t>
      </w:r>
      <w:r w:rsidR="004434A5" w:rsidRPr="00C65CAA">
        <w:rPr>
          <w:rFonts w:ascii="Arial Narrow" w:eastAsia="Calibri" w:hAnsi="Arial Narrow"/>
          <w:sz w:val="22"/>
          <w:szCs w:val="22"/>
          <w:lang w:eastAsia="en-US"/>
        </w:rPr>
        <w:t>. b</w:t>
      </w:r>
      <w:r w:rsidRPr="00C65CAA">
        <w:rPr>
          <w:rFonts w:ascii="Arial Narrow" w:eastAsia="Calibri" w:hAnsi="Arial Narrow"/>
          <w:sz w:val="22"/>
          <w:szCs w:val="22"/>
          <w:lang w:eastAsia="en-US"/>
        </w:rPr>
        <w:t>. Oproti roku 2016 tak schodok verejných financií Slovenska</w:t>
      </w:r>
      <w:r w:rsidR="00F44294" w:rsidRPr="00C65CAA">
        <w:rPr>
          <w:rFonts w:ascii="Arial Narrow" w:eastAsia="Calibri" w:hAnsi="Arial Narrow"/>
          <w:sz w:val="22"/>
          <w:szCs w:val="22"/>
          <w:lang w:eastAsia="en-US"/>
        </w:rPr>
        <w:t>,</w:t>
      </w:r>
      <w:r w:rsidRPr="00C65CAA">
        <w:rPr>
          <w:rFonts w:ascii="Arial Narrow" w:eastAsia="Calibri" w:hAnsi="Arial Narrow"/>
          <w:sz w:val="22"/>
          <w:szCs w:val="22"/>
          <w:lang w:eastAsia="en-US"/>
        </w:rPr>
        <w:t xml:space="preserve"> podľa aktuálnych údajov</w:t>
      </w:r>
      <w:r w:rsidR="00F44294" w:rsidRPr="00C65CAA">
        <w:rPr>
          <w:rFonts w:ascii="Arial Narrow" w:eastAsia="Calibri" w:hAnsi="Arial Narrow"/>
          <w:sz w:val="22"/>
          <w:szCs w:val="22"/>
          <w:lang w:eastAsia="en-US"/>
        </w:rPr>
        <w:t>,</w:t>
      </w:r>
      <w:r w:rsidRPr="00C65CAA">
        <w:rPr>
          <w:rFonts w:ascii="Arial Narrow" w:eastAsia="Calibri" w:hAnsi="Arial Narrow"/>
          <w:sz w:val="22"/>
          <w:szCs w:val="22"/>
          <w:lang w:eastAsia="en-US"/>
        </w:rPr>
        <w:t xml:space="preserve"> klesol o 1,44 p</w:t>
      </w:r>
      <w:r w:rsidR="004434A5" w:rsidRPr="00C65CAA">
        <w:rPr>
          <w:rFonts w:ascii="Arial Narrow" w:eastAsia="Calibri" w:hAnsi="Arial Narrow"/>
          <w:sz w:val="22"/>
          <w:szCs w:val="22"/>
          <w:lang w:eastAsia="en-US"/>
        </w:rPr>
        <w:t xml:space="preserve">. </w:t>
      </w:r>
      <w:r w:rsidRPr="00C65CAA">
        <w:rPr>
          <w:rFonts w:ascii="Arial Narrow" w:eastAsia="Calibri" w:hAnsi="Arial Narrow"/>
          <w:sz w:val="22"/>
          <w:szCs w:val="22"/>
          <w:lang w:eastAsia="en-US"/>
        </w:rPr>
        <w:t>b</w:t>
      </w:r>
      <w:r w:rsidR="004434A5" w:rsidRPr="00C65CAA">
        <w:rPr>
          <w:rFonts w:ascii="Arial Narrow" w:eastAsia="Calibri" w:hAnsi="Arial Narrow"/>
          <w:sz w:val="22"/>
          <w:szCs w:val="22"/>
          <w:lang w:eastAsia="en-US"/>
        </w:rPr>
        <w:t xml:space="preserve">. </w:t>
      </w:r>
      <w:r w:rsidRPr="00C65CAA">
        <w:rPr>
          <w:rFonts w:ascii="Arial Narrow" w:eastAsia="Calibri" w:hAnsi="Arial Narrow"/>
          <w:sz w:val="22"/>
          <w:szCs w:val="22"/>
          <w:lang w:eastAsia="en-US"/>
        </w:rPr>
        <w:t>Verejné financie tak dosiahli historicky najlepší výsledok. Za zlepšením treba hľadať predovšetkým pozitívne</w:t>
      </w:r>
      <w:r w:rsidR="004434A5" w:rsidRPr="00C65CAA">
        <w:rPr>
          <w:rFonts w:ascii="Arial Narrow" w:eastAsia="Calibri" w:hAnsi="Arial Narrow"/>
          <w:sz w:val="22"/>
          <w:szCs w:val="22"/>
          <w:lang w:eastAsia="en-US"/>
        </w:rPr>
        <w:t xml:space="preserve"> sa vyvíjajúci trh práce, vďaka</w:t>
      </w:r>
      <w:r w:rsidRPr="00C65CAA">
        <w:rPr>
          <w:rFonts w:ascii="Arial Narrow" w:eastAsia="Calibri" w:hAnsi="Arial Narrow"/>
          <w:sz w:val="22"/>
          <w:szCs w:val="22"/>
          <w:lang w:eastAsia="en-US"/>
        </w:rPr>
        <w:t xml:space="preserve"> ktorému r</w:t>
      </w:r>
      <w:r w:rsidR="004434A5" w:rsidRPr="00C65CAA">
        <w:rPr>
          <w:rFonts w:ascii="Arial Narrow" w:eastAsia="Calibri" w:hAnsi="Arial Narrow"/>
          <w:sz w:val="22"/>
          <w:szCs w:val="22"/>
          <w:lang w:eastAsia="en-US"/>
        </w:rPr>
        <w:t>astie výber sociálnych a </w:t>
      </w:r>
      <w:r w:rsidRPr="00C65CAA">
        <w:rPr>
          <w:rFonts w:ascii="Arial Narrow" w:eastAsia="Calibri" w:hAnsi="Arial Narrow"/>
          <w:sz w:val="22"/>
          <w:szCs w:val="22"/>
          <w:lang w:eastAsia="en-US"/>
        </w:rPr>
        <w:t>zdravotných odvodov. Nižšie výdavky v porovnaní s rozpočtom súvisia predovšetkým s nižším než plánovaním čerpaním EÚ fondov v roku 2017 (vrátane nižších výdavkov na spolufinancovanie).</w:t>
      </w:r>
    </w:p>
    <w:p w:rsidR="009649CB" w:rsidRPr="00C65CAA" w:rsidRDefault="009649CB" w:rsidP="00256AF8">
      <w:pPr>
        <w:spacing w:before="100" w:after="100"/>
        <w:ind w:firstLine="708"/>
        <w:jc w:val="both"/>
        <w:rPr>
          <w:rFonts w:ascii="Arial Narrow" w:eastAsia="Calibri" w:hAnsi="Arial Narrow"/>
          <w:sz w:val="22"/>
          <w:szCs w:val="22"/>
          <w:lang w:eastAsia="en-US"/>
        </w:rPr>
      </w:pPr>
      <w:r w:rsidRPr="00C65CAA">
        <w:rPr>
          <w:rFonts w:ascii="Arial Narrow" w:eastAsia="Calibri" w:hAnsi="Arial Narrow"/>
          <w:sz w:val="22"/>
          <w:szCs w:val="22"/>
          <w:lang w:eastAsia="en-US"/>
        </w:rPr>
        <w:t>Slovenský deficit sa tak dostal pod priemernú úroveň schodku v</w:t>
      </w:r>
      <w:r w:rsidR="00BA55E8" w:rsidRPr="00C65CAA">
        <w:rPr>
          <w:rFonts w:ascii="Arial Narrow" w:eastAsia="Calibri" w:hAnsi="Arial Narrow"/>
          <w:sz w:val="22"/>
          <w:szCs w:val="22"/>
          <w:lang w:eastAsia="en-US"/>
        </w:rPr>
        <w:t> </w:t>
      </w:r>
      <w:r w:rsidRPr="00C65CAA">
        <w:rPr>
          <w:rFonts w:ascii="Arial Narrow" w:eastAsia="Calibri" w:hAnsi="Arial Narrow"/>
          <w:sz w:val="22"/>
          <w:szCs w:val="22"/>
          <w:lang w:eastAsia="en-US"/>
        </w:rPr>
        <w:t>E</w:t>
      </w:r>
      <w:r w:rsidR="00BA55E8" w:rsidRPr="00C65CAA">
        <w:rPr>
          <w:rFonts w:ascii="Arial Narrow" w:eastAsia="Calibri" w:hAnsi="Arial Narrow"/>
          <w:sz w:val="22"/>
          <w:szCs w:val="22"/>
          <w:lang w:eastAsia="en-US"/>
        </w:rPr>
        <w:t>Ú</w:t>
      </w:r>
      <w:r w:rsidRPr="00C65CAA">
        <w:rPr>
          <w:rFonts w:ascii="Arial Narrow" w:eastAsia="Calibri" w:hAnsi="Arial Narrow"/>
          <w:sz w:val="22"/>
          <w:szCs w:val="22"/>
          <w:lang w:eastAsia="en-US"/>
        </w:rPr>
        <w:t xml:space="preserve">, ako aj v eurozóne, kde dosiahol zhodne 1 % </w:t>
      </w:r>
      <w:r w:rsidR="00BA55E8" w:rsidRPr="00C65CAA">
        <w:rPr>
          <w:rFonts w:ascii="Arial Narrow" w:eastAsia="Calibri" w:hAnsi="Arial Narrow"/>
          <w:sz w:val="22"/>
          <w:szCs w:val="22"/>
          <w:lang w:eastAsia="en-US"/>
        </w:rPr>
        <w:t>HDP.</w:t>
      </w:r>
      <w:r w:rsidRPr="00C65CAA">
        <w:rPr>
          <w:rFonts w:ascii="Arial Narrow" w:eastAsia="Calibri" w:hAnsi="Arial Narrow"/>
          <w:sz w:val="22"/>
          <w:szCs w:val="22"/>
          <w:lang w:eastAsia="en-US"/>
        </w:rPr>
        <w:t xml:space="preserve"> V rámci krajín V4 dosiahla lepší rozpočtový výsledok iba ČR, ktorá vlani hospodárila s prebytkom verejných financií vo výške 1,5 % HDP. Maďarsko vykázalo deficit na úrovni 2,2 % výkonu ek</w:t>
      </w:r>
      <w:r w:rsidR="004434A5" w:rsidRPr="00C65CAA">
        <w:rPr>
          <w:rFonts w:ascii="Arial Narrow" w:eastAsia="Calibri" w:hAnsi="Arial Narrow"/>
          <w:sz w:val="22"/>
          <w:szCs w:val="22"/>
          <w:lang w:eastAsia="en-US"/>
        </w:rPr>
        <w:t>onomiky a Poľsko vo </w:t>
      </w:r>
      <w:r w:rsidRPr="00C65CAA">
        <w:rPr>
          <w:rFonts w:ascii="Arial Narrow" w:eastAsia="Calibri" w:hAnsi="Arial Narrow"/>
          <w:sz w:val="22"/>
          <w:szCs w:val="22"/>
          <w:lang w:eastAsia="en-US"/>
        </w:rPr>
        <w:t xml:space="preserve">výške 1,4 % </w:t>
      </w:r>
      <w:r w:rsidR="00FD07FB" w:rsidRPr="00C65CAA">
        <w:rPr>
          <w:rFonts w:ascii="Arial Narrow" w:eastAsia="Calibri" w:hAnsi="Arial Narrow"/>
          <w:sz w:val="22"/>
          <w:szCs w:val="22"/>
          <w:lang w:eastAsia="en-US"/>
        </w:rPr>
        <w:t>HDP.</w:t>
      </w:r>
    </w:p>
    <w:p w:rsidR="009649CB" w:rsidRPr="00C65CAA" w:rsidRDefault="001D2AD7" w:rsidP="00256AF8">
      <w:pPr>
        <w:spacing w:before="100" w:after="100"/>
        <w:ind w:firstLine="708"/>
        <w:jc w:val="both"/>
        <w:rPr>
          <w:rFonts w:ascii="Arial Narrow" w:eastAsia="Calibri" w:hAnsi="Arial Narrow"/>
          <w:sz w:val="22"/>
          <w:szCs w:val="22"/>
          <w:lang w:eastAsia="en-US"/>
        </w:rPr>
      </w:pPr>
      <w:r w:rsidRPr="00C65CAA">
        <w:rPr>
          <w:rFonts w:ascii="Arial Narrow" w:eastAsia="Calibri" w:hAnsi="Arial Narrow"/>
          <w:sz w:val="22"/>
          <w:szCs w:val="22"/>
          <w:lang w:eastAsia="en-US"/>
        </w:rPr>
        <w:t>V</w:t>
      </w:r>
      <w:r w:rsidR="00FD07FB" w:rsidRPr="00C65CAA">
        <w:rPr>
          <w:rFonts w:ascii="Arial Narrow" w:eastAsia="Calibri" w:hAnsi="Arial Narrow"/>
          <w:sz w:val="22"/>
          <w:szCs w:val="22"/>
          <w:lang w:eastAsia="en-US"/>
        </w:rPr>
        <w:t xml:space="preserve">ývoj salda VS </w:t>
      </w:r>
      <w:r w:rsidR="00F44294" w:rsidRPr="00C65CAA">
        <w:rPr>
          <w:rFonts w:ascii="Arial Narrow" w:eastAsia="Calibri" w:hAnsi="Arial Narrow"/>
          <w:sz w:val="22"/>
          <w:szCs w:val="22"/>
          <w:lang w:eastAsia="en-US"/>
        </w:rPr>
        <w:t xml:space="preserve">v rokoch 2006 – </w:t>
      </w:r>
      <w:r w:rsidR="009649CB" w:rsidRPr="00C65CAA">
        <w:rPr>
          <w:rFonts w:ascii="Arial Narrow" w:eastAsia="Calibri" w:hAnsi="Arial Narrow"/>
          <w:sz w:val="22"/>
          <w:szCs w:val="22"/>
          <w:lang w:eastAsia="en-US"/>
        </w:rPr>
        <w:t>2021:</w:t>
      </w:r>
    </w:p>
    <w:tbl>
      <w:tblPr>
        <w:tblStyle w:val="Mriekatabuky"/>
        <w:tblW w:w="495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0"/>
      </w:tblGrid>
      <w:tr w:rsidR="009649CB" w:rsidRPr="00C65CAA" w:rsidTr="009649CB">
        <w:trPr>
          <w:trHeight w:val="213"/>
        </w:trPr>
        <w:tc>
          <w:tcPr>
            <w:tcW w:w="5000" w:type="pct"/>
            <w:tcBorders>
              <w:top w:val="single" w:sz="4" w:space="0" w:color="auto"/>
              <w:bottom w:val="single" w:sz="4" w:space="0" w:color="auto"/>
            </w:tcBorders>
            <w:shd w:val="clear" w:color="auto" w:fill="0070C0"/>
          </w:tcPr>
          <w:p w:rsidR="009649CB" w:rsidRPr="00C65CAA" w:rsidRDefault="009649CB" w:rsidP="00B366F3">
            <w:pPr>
              <w:pStyle w:val="Bezriadkovania"/>
              <w:contextualSpacing/>
              <w:rPr>
                <w:rFonts w:ascii="Arial Narrow" w:hAnsi="Arial Narrow"/>
                <w:b/>
                <w:sz w:val="22"/>
              </w:rPr>
            </w:pPr>
            <w:r w:rsidRPr="00C65CAA">
              <w:rPr>
                <w:rFonts w:ascii="Arial Narrow" w:hAnsi="Arial Narrow"/>
                <w:b/>
                <w:color w:val="FFFFFF" w:themeColor="background1"/>
                <w:sz w:val="22"/>
              </w:rPr>
              <w:t>Vývoj schodku verejnej správy v rokoch 2006 až 2021 (mil. eur)</w:t>
            </w:r>
          </w:p>
        </w:tc>
      </w:tr>
    </w:tbl>
    <w:p w:rsidR="009649CB" w:rsidRPr="00C65CAA" w:rsidRDefault="009649CB" w:rsidP="00B366F3">
      <w:pPr>
        <w:pBdr>
          <w:bottom w:val="single" w:sz="4" w:space="1" w:color="auto"/>
        </w:pBdr>
        <w:jc w:val="both"/>
        <w:rPr>
          <w:rFonts w:ascii="Arial Narrow" w:hAnsi="Arial Narrow"/>
          <w:color w:val="FF0000"/>
        </w:rPr>
      </w:pPr>
      <w:r w:rsidRPr="00C65CAA">
        <w:rPr>
          <w:rFonts w:ascii="Arial Narrow" w:hAnsi="Arial Narrow"/>
          <w:noProof/>
        </w:rPr>
        <w:drawing>
          <wp:inline distT="0" distB="0" distL="0" distR="0" wp14:anchorId="4E238246" wp14:editId="434985A8">
            <wp:extent cx="5679831" cy="1934308"/>
            <wp:effectExtent l="0" t="0" r="0" b="8890"/>
            <wp:docPr id="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649CB" w:rsidRPr="00C65CAA" w:rsidRDefault="00116B8F" w:rsidP="00B366F3">
      <w:pPr>
        <w:spacing w:after="100"/>
        <w:jc w:val="both"/>
        <w:rPr>
          <w:rFonts w:ascii="Arial Narrow" w:hAnsi="Arial Narrow"/>
          <w:sz w:val="18"/>
        </w:rPr>
      </w:pPr>
      <w:r w:rsidRPr="00C65CAA">
        <w:rPr>
          <w:rFonts w:ascii="Arial Narrow" w:hAnsi="Arial Narrow"/>
          <w:sz w:val="18"/>
        </w:rPr>
        <w:t xml:space="preserve">Zdroj: Návrh RVS 2018 </w:t>
      </w:r>
      <w:r w:rsidR="00F44294" w:rsidRPr="00C65CAA">
        <w:rPr>
          <w:rFonts w:ascii="Arial Narrow" w:hAnsi="Arial Narrow"/>
          <w:sz w:val="18"/>
        </w:rPr>
        <w:t>až</w:t>
      </w:r>
      <w:r w:rsidRPr="00C65CAA">
        <w:rPr>
          <w:rFonts w:ascii="Arial Narrow" w:hAnsi="Arial Narrow"/>
          <w:sz w:val="18"/>
        </w:rPr>
        <w:t xml:space="preserve"> 2021</w:t>
      </w:r>
      <w:r w:rsidR="009649CB" w:rsidRPr="00C65CAA">
        <w:rPr>
          <w:rFonts w:ascii="Arial Narrow" w:hAnsi="Arial Narrow"/>
          <w:sz w:val="18"/>
        </w:rPr>
        <w:t>, ŠÚ SR – októbrová notifikácia o deficite a dlhu</w:t>
      </w:r>
    </w:p>
    <w:p w:rsidR="009649CB" w:rsidRPr="00C65CAA" w:rsidRDefault="009649CB" w:rsidP="00256AF8">
      <w:pPr>
        <w:spacing w:before="100" w:after="100"/>
        <w:ind w:firstLine="708"/>
        <w:jc w:val="both"/>
        <w:rPr>
          <w:rFonts w:ascii="Arial Narrow" w:eastAsia="Calibri" w:hAnsi="Arial Narrow"/>
          <w:sz w:val="22"/>
          <w:szCs w:val="22"/>
          <w:lang w:eastAsia="en-US"/>
        </w:rPr>
      </w:pPr>
      <w:r w:rsidRPr="00C65CAA">
        <w:rPr>
          <w:rFonts w:ascii="Arial Narrow" w:eastAsia="Calibri" w:hAnsi="Arial Narrow"/>
          <w:sz w:val="22"/>
          <w:szCs w:val="22"/>
          <w:lang w:eastAsia="en-US"/>
        </w:rPr>
        <w:t xml:space="preserve">Hlavným faktorom </w:t>
      </w:r>
      <w:r w:rsidR="00FD07FB" w:rsidRPr="00C65CAA">
        <w:rPr>
          <w:rFonts w:ascii="Arial Narrow" w:eastAsia="Calibri" w:hAnsi="Arial Narrow"/>
          <w:sz w:val="22"/>
          <w:szCs w:val="22"/>
          <w:lang w:eastAsia="en-US"/>
        </w:rPr>
        <w:t xml:space="preserve">ovplyvňujúcim </w:t>
      </w:r>
      <w:r w:rsidRPr="00C65CAA">
        <w:rPr>
          <w:rFonts w:ascii="Arial Narrow" w:eastAsia="Calibri" w:hAnsi="Arial Narrow"/>
          <w:sz w:val="22"/>
          <w:szCs w:val="22"/>
          <w:lang w:eastAsia="en-US"/>
        </w:rPr>
        <w:t xml:space="preserve">vývoj salda VS </w:t>
      </w:r>
      <w:r w:rsidR="00116B8F" w:rsidRPr="00C65CAA">
        <w:rPr>
          <w:rFonts w:ascii="Arial Narrow" w:eastAsia="Calibri" w:hAnsi="Arial Narrow"/>
          <w:sz w:val="22"/>
          <w:szCs w:val="22"/>
          <w:lang w:eastAsia="en-US"/>
        </w:rPr>
        <w:t xml:space="preserve">v </w:t>
      </w:r>
      <w:r w:rsidRPr="00C65CAA">
        <w:rPr>
          <w:rFonts w:ascii="Arial Narrow" w:eastAsia="Calibri" w:hAnsi="Arial Narrow"/>
          <w:sz w:val="22"/>
          <w:szCs w:val="22"/>
          <w:lang w:eastAsia="en-US"/>
        </w:rPr>
        <w:t xml:space="preserve">roku 2019 bude rast </w:t>
      </w:r>
      <w:r w:rsidRPr="00C65CAA">
        <w:rPr>
          <w:rFonts w:ascii="Arial Narrow" w:hAnsi="Arial Narrow"/>
          <w:sz w:val="22"/>
        </w:rPr>
        <w:t xml:space="preserve">slovenskej ekonomiky, ktorý bude mať pozitívny vplyv na daňové základne a následne na výber daní. </w:t>
      </w:r>
      <w:r w:rsidRPr="00C65CAA">
        <w:rPr>
          <w:rFonts w:ascii="Arial Narrow" w:eastAsia="Calibri" w:hAnsi="Arial Narrow"/>
          <w:sz w:val="22"/>
          <w:szCs w:val="22"/>
          <w:lang w:eastAsia="en-US"/>
        </w:rPr>
        <w:t>Pozitívne riziko prestavuje plnenie povinných odvodov do poistných fondov Sociálnej poisťovne a zdravotných poisťovní</w:t>
      </w:r>
      <w:r w:rsidR="00F44294" w:rsidRPr="00C65CAA">
        <w:rPr>
          <w:rFonts w:ascii="Arial Narrow" w:eastAsia="Calibri" w:hAnsi="Arial Narrow"/>
          <w:sz w:val="22"/>
          <w:szCs w:val="22"/>
          <w:lang w:eastAsia="en-US"/>
        </w:rPr>
        <w:t>,</w:t>
      </w:r>
      <w:r w:rsidRPr="00C65CAA">
        <w:rPr>
          <w:rFonts w:ascii="Arial Narrow" w:eastAsia="Calibri" w:hAnsi="Arial Narrow"/>
          <w:sz w:val="22"/>
          <w:szCs w:val="22"/>
          <w:lang w:eastAsia="en-US"/>
        </w:rPr>
        <w:t xml:space="preserve"> a tiež výber daní z príjmov fyzických osôb zo závislej činnosti. Splnenie predpokladov sa očakáva aj pri vývoji príjmov z </w:t>
      </w:r>
      <w:r w:rsidR="00116B8F" w:rsidRPr="00C65CAA">
        <w:rPr>
          <w:rFonts w:ascii="Arial Narrow" w:eastAsia="Calibri" w:hAnsi="Arial Narrow"/>
          <w:sz w:val="22"/>
          <w:szCs w:val="22"/>
          <w:lang w:eastAsia="en-US"/>
        </w:rPr>
        <w:t>DPPO</w:t>
      </w:r>
      <w:r w:rsidRPr="00C65CAA">
        <w:rPr>
          <w:rFonts w:ascii="Arial Narrow" w:eastAsia="Calibri" w:hAnsi="Arial Narrow"/>
          <w:sz w:val="22"/>
          <w:szCs w:val="22"/>
          <w:lang w:eastAsia="en-US"/>
        </w:rPr>
        <w:t xml:space="preserve">, </w:t>
      </w:r>
      <w:r w:rsidR="00F44294" w:rsidRPr="00C65CAA">
        <w:rPr>
          <w:rFonts w:ascii="Arial Narrow" w:eastAsia="Calibri" w:hAnsi="Arial Narrow"/>
          <w:sz w:val="22"/>
          <w:szCs w:val="22"/>
          <w:lang w:eastAsia="en-US"/>
        </w:rPr>
        <w:t>a to</w:t>
      </w:r>
      <w:r w:rsidRPr="00C65CAA">
        <w:rPr>
          <w:rFonts w:ascii="Arial Narrow" w:eastAsia="Calibri" w:hAnsi="Arial Narrow"/>
          <w:sz w:val="22"/>
          <w:szCs w:val="22"/>
          <w:lang w:eastAsia="en-US"/>
        </w:rPr>
        <w:t xml:space="preserve"> z dô</w:t>
      </w:r>
      <w:r w:rsidR="00116B8F" w:rsidRPr="00C65CAA">
        <w:rPr>
          <w:rFonts w:ascii="Arial Narrow" w:eastAsia="Calibri" w:hAnsi="Arial Narrow"/>
          <w:sz w:val="22"/>
          <w:szCs w:val="22"/>
          <w:lang w:eastAsia="en-US"/>
        </w:rPr>
        <w:t xml:space="preserve">vodu konzervatívnej prognózy a vďaka </w:t>
      </w:r>
      <w:r w:rsidRPr="00C65CAA">
        <w:rPr>
          <w:rFonts w:ascii="Arial Narrow" w:eastAsia="Calibri" w:hAnsi="Arial Narrow"/>
          <w:sz w:val="22"/>
          <w:szCs w:val="22"/>
          <w:lang w:eastAsia="en-US"/>
        </w:rPr>
        <w:t>pozitívnemu vývoju v roku 2018.</w:t>
      </w:r>
    </w:p>
    <w:p w:rsidR="009649CB" w:rsidRPr="00C65CAA" w:rsidRDefault="009649CB" w:rsidP="00256AF8">
      <w:pPr>
        <w:spacing w:before="100" w:after="100"/>
        <w:ind w:firstLine="708"/>
        <w:jc w:val="both"/>
        <w:rPr>
          <w:rFonts w:ascii="Arial Narrow" w:eastAsia="Calibri" w:hAnsi="Arial Narrow"/>
          <w:sz w:val="22"/>
          <w:szCs w:val="22"/>
          <w:lang w:eastAsia="en-US"/>
        </w:rPr>
      </w:pPr>
      <w:r w:rsidRPr="00C65CAA">
        <w:rPr>
          <w:rFonts w:ascii="Arial Narrow" w:eastAsia="Calibri" w:hAnsi="Arial Narrow"/>
          <w:sz w:val="22"/>
          <w:szCs w:val="22"/>
          <w:lang w:eastAsia="en-US"/>
        </w:rPr>
        <w:t>Čerpanie celkových výdavkov by mal</w:t>
      </w:r>
      <w:r w:rsidR="004434A5" w:rsidRPr="00C65CAA">
        <w:rPr>
          <w:rFonts w:ascii="Arial Narrow" w:eastAsia="Calibri" w:hAnsi="Arial Narrow"/>
          <w:sz w:val="22"/>
          <w:szCs w:val="22"/>
          <w:lang w:eastAsia="en-US"/>
        </w:rPr>
        <w:t xml:space="preserve">o v roku 2019 vzrásť o 1 327,2 mil. </w:t>
      </w:r>
      <w:r w:rsidRPr="00C65CAA">
        <w:rPr>
          <w:rFonts w:ascii="Arial Narrow" w:eastAsia="Calibri" w:hAnsi="Arial Narrow"/>
          <w:sz w:val="22"/>
          <w:szCs w:val="22"/>
          <w:lang w:eastAsia="en-US"/>
        </w:rPr>
        <w:t xml:space="preserve">eur oproti očakávanej skutočnosti v roku </w:t>
      </w:r>
      <w:r w:rsidR="00116B8F" w:rsidRPr="00C65CAA">
        <w:rPr>
          <w:rFonts w:ascii="Arial Narrow" w:eastAsia="Calibri" w:hAnsi="Arial Narrow"/>
          <w:sz w:val="22"/>
          <w:szCs w:val="22"/>
          <w:lang w:eastAsia="en-US"/>
        </w:rPr>
        <w:t>2018.</w:t>
      </w:r>
      <w:r w:rsidRPr="00C65CAA">
        <w:rPr>
          <w:rFonts w:ascii="Arial Narrow" w:eastAsia="Calibri" w:hAnsi="Arial Narrow"/>
          <w:sz w:val="22"/>
          <w:szCs w:val="22"/>
          <w:lang w:eastAsia="en-US"/>
        </w:rPr>
        <w:t xml:space="preserve"> </w:t>
      </w:r>
      <w:r w:rsidR="00116B8F" w:rsidRPr="00C65CAA">
        <w:rPr>
          <w:rFonts w:ascii="Arial Narrow" w:eastAsia="Calibri" w:hAnsi="Arial Narrow"/>
          <w:sz w:val="22"/>
          <w:szCs w:val="22"/>
          <w:lang w:eastAsia="en-US"/>
        </w:rPr>
        <w:t>P</w:t>
      </w:r>
      <w:r w:rsidRPr="00C65CAA">
        <w:rPr>
          <w:rFonts w:ascii="Arial Narrow" w:eastAsia="Calibri" w:hAnsi="Arial Narrow"/>
          <w:sz w:val="22"/>
          <w:szCs w:val="22"/>
          <w:lang w:eastAsia="en-US"/>
        </w:rPr>
        <w:t>ríčinou sú kompenzácie za</w:t>
      </w:r>
      <w:r w:rsidR="004434A5" w:rsidRPr="00C65CAA">
        <w:rPr>
          <w:rFonts w:ascii="Arial Narrow" w:eastAsia="Calibri" w:hAnsi="Arial Narrow"/>
          <w:sz w:val="22"/>
          <w:szCs w:val="22"/>
          <w:lang w:eastAsia="en-US"/>
        </w:rPr>
        <w:t>mestnancov a sociálne transfery</w:t>
      </w:r>
      <w:r w:rsidRPr="00C65CAA">
        <w:rPr>
          <w:rFonts w:ascii="Arial Narrow" w:eastAsia="Calibri" w:hAnsi="Arial Narrow"/>
          <w:sz w:val="22"/>
          <w:szCs w:val="22"/>
          <w:lang w:eastAsia="en-US"/>
        </w:rPr>
        <w:t>, ktoré vzrastú o 444,9 mil. eur oproti očakávanej skutočnosti v roku 2018. Tvorba hrubého fixného kapitálu</w:t>
      </w:r>
      <w:r w:rsidR="0097698E" w:rsidRPr="00C65CAA">
        <w:rPr>
          <w:rFonts w:ascii="Arial Narrow" w:eastAsia="Calibri" w:hAnsi="Arial Narrow"/>
          <w:sz w:val="22"/>
          <w:szCs w:val="22"/>
          <w:lang w:eastAsia="en-US"/>
        </w:rPr>
        <w:t xml:space="preserve">, </w:t>
      </w:r>
      <w:r w:rsidRPr="00C65CAA">
        <w:rPr>
          <w:rFonts w:ascii="Arial Narrow" w:eastAsia="Calibri" w:hAnsi="Arial Narrow"/>
          <w:sz w:val="22"/>
          <w:szCs w:val="22"/>
          <w:lang w:eastAsia="en-US"/>
        </w:rPr>
        <w:t>naopak</w:t>
      </w:r>
      <w:r w:rsidR="0097698E" w:rsidRPr="00C65CAA">
        <w:rPr>
          <w:rFonts w:ascii="Arial Narrow" w:eastAsia="Calibri" w:hAnsi="Arial Narrow"/>
          <w:sz w:val="22"/>
          <w:szCs w:val="22"/>
          <w:lang w:eastAsia="en-US"/>
        </w:rPr>
        <w:t>,</w:t>
      </w:r>
      <w:r w:rsidRPr="00C65CAA">
        <w:rPr>
          <w:rFonts w:ascii="Arial Narrow" w:eastAsia="Calibri" w:hAnsi="Arial Narrow"/>
          <w:sz w:val="22"/>
          <w:szCs w:val="22"/>
          <w:lang w:eastAsia="en-US"/>
        </w:rPr>
        <w:t xml:space="preserve"> oproti očakávanej skutočnosti 2018 poklesne o 543 mil. eu</w:t>
      </w:r>
      <w:r w:rsidR="004434A5" w:rsidRPr="00C65CAA">
        <w:rPr>
          <w:rFonts w:ascii="Arial Narrow" w:eastAsia="Calibri" w:hAnsi="Arial Narrow"/>
          <w:sz w:val="22"/>
          <w:szCs w:val="22"/>
          <w:lang w:eastAsia="en-US"/>
        </w:rPr>
        <w:t>r a kapitálové transfery klesnú</w:t>
      </w:r>
      <w:r w:rsidRPr="00C65CAA">
        <w:rPr>
          <w:rFonts w:ascii="Arial Narrow" w:eastAsia="Calibri" w:hAnsi="Arial Narrow"/>
          <w:sz w:val="22"/>
          <w:szCs w:val="22"/>
          <w:lang w:eastAsia="en-US"/>
        </w:rPr>
        <w:t xml:space="preserve"> o 311,6 mil. eur. Slabý prognózov</w:t>
      </w:r>
      <w:r w:rsidR="004434A5" w:rsidRPr="00C65CAA">
        <w:rPr>
          <w:rFonts w:ascii="Arial Narrow" w:eastAsia="Calibri" w:hAnsi="Arial Narrow"/>
          <w:sz w:val="22"/>
          <w:szCs w:val="22"/>
          <w:lang w:eastAsia="en-US"/>
        </w:rPr>
        <w:t xml:space="preserve">aný rast kapitálových </w:t>
      </w:r>
      <w:r w:rsidR="004434A5" w:rsidRPr="00C65CAA">
        <w:rPr>
          <w:rFonts w:ascii="Arial Narrow" w:eastAsia="Calibri" w:hAnsi="Arial Narrow"/>
          <w:sz w:val="22"/>
          <w:szCs w:val="22"/>
          <w:lang w:eastAsia="en-US"/>
        </w:rPr>
        <w:lastRenderedPageBreak/>
        <w:t>investícií</w:t>
      </w:r>
      <w:r w:rsidRPr="00C65CAA">
        <w:rPr>
          <w:rFonts w:ascii="Arial Narrow" w:eastAsia="Calibri" w:hAnsi="Arial Narrow"/>
          <w:sz w:val="22"/>
          <w:szCs w:val="22"/>
          <w:lang w:eastAsia="en-US"/>
        </w:rPr>
        <w:t xml:space="preserve"> v oblasti verejných výdavkov v roku 2019 súvisí s nízky</w:t>
      </w:r>
      <w:r w:rsidR="00116B8F" w:rsidRPr="00C65CAA">
        <w:rPr>
          <w:rFonts w:ascii="Arial Narrow" w:eastAsia="Calibri" w:hAnsi="Arial Narrow"/>
          <w:sz w:val="22"/>
          <w:szCs w:val="22"/>
          <w:lang w:eastAsia="en-US"/>
        </w:rPr>
        <w:t>m</w:t>
      </w:r>
      <w:r w:rsidR="0097698E" w:rsidRPr="00C65CAA">
        <w:rPr>
          <w:rFonts w:ascii="Arial Narrow" w:eastAsia="Calibri" w:hAnsi="Arial Narrow"/>
          <w:sz w:val="22"/>
          <w:szCs w:val="22"/>
          <w:lang w:eastAsia="en-US"/>
        </w:rPr>
        <w:t xml:space="preserve"> čerpaním prostriedkov z </w:t>
      </w:r>
      <w:r w:rsidRPr="00C65CAA">
        <w:rPr>
          <w:rFonts w:ascii="Arial Narrow" w:eastAsia="Calibri" w:hAnsi="Arial Narrow"/>
          <w:sz w:val="22"/>
          <w:szCs w:val="22"/>
          <w:lang w:eastAsia="en-US"/>
        </w:rPr>
        <w:t>fondov</w:t>
      </w:r>
      <w:r w:rsidR="0097698E" w:rsidRPr="00C65CAA">
        <w:rPr>
          <w:rFonts w:ascii="Arial Narrow" w:eastAsia="Calibri" w:hAnsi="Arial Narrow"/>
          <w:sz w:val="22"/>
          <w:szCs w:val="22"/>
          <w:lang w:eastAsia="en-US"/>
        </w:rPr>
        <w:t xml:space="preserve"> EU</w:t>
      </w:r>
      <w:r w:rsidRPr="00C65CAA">
        <w:rPr>
          <w:rFonts w:ascii="Arial Narrow" w:eastAsia="Calibri" w:hAnsi="Arial Narrow"/>
          <w:sz w:val="22"/>
          <w:szCs w:val="22"/>
          <w:lang w:eastAsia="en-US"/>
        </w:rPr>
        <w:t>, čo paradoxne prispieva k zníženiu schodku rozpočtu.</w:t>
      </w:r>
    </w:p>
    <w:p w:rsidR="009649CB" w:rsidRPr="00C65CAA" w:rsidRDefault="009649CB" w:rsidP="00256AF8">
      <w:pPr>
        <w:spacing w:before="100" w:after="100"/>
        <w:jc w:val="both"/>
        <w:rPr>
          <w:rFonts w:ascii="Arial Narrow" w:eastAsia="Calibri" w:hAnsi="Arial Narrow"/>
          <w:bCs/>
          <w:sz w:val="22"/>
          <w:szCs w:val="22"/>
          <w:lang w:eastAsia="en-US"/>
        </w:rPr>
      </w:pPr>
      <w:r w:rsidRPr="00C65CAA">
        <w:rPr>
          <w:rFonts w:ascii="Arial Narrow" w:eastAsia="Calibri" w:hAnsi="Arial Narrow"/>
          <w:b/>
          <w:bCs/>
          <w:i/>
          <w:sz w:val="18"/>
          <w:szCs w:val="18"/>
          <w:lang w:eastAsia="en-US"/>
        </w:rPr>
        <w:tab/>
      </w:r>
      <w:r w:rsidRPr="00C65CAA">
        <w:rPr>
          <w:rFonts w:ascii="Arial Narrow" w:eastAsia="Calibri" w:hAnsi="Arial Narrow"/>
          <w:bCs/>
          <w:sz w:val="22"/>
          <w:szCs w:val="22"/>
          <w:lang w:eastAsia="en-US"/>
        </w:rPr>
        <w:t xml:space="preserve">Navrhovaný RVS na roky 2019 až 2021 mení k lepšiemu pôvodný plán, ktorý si stanovila vláda </w:t>
      </w:r>
      <w:r w:rsidR="004434A5" w:rsidRPr="00C65CAA">
        <w:rPr>
          <w:rFonts w:ascii="Arial Narrow" w:eastAsia="Calibri" w:hAnsi="Arial Narrow"/>
          <w:bCs/>
          <w:sz w:val="22"/>
          <w:szCs w:val="22"/>
          <w:lang w:eastAsia="en-US"/>
        </w:rPr>
        <w:t>v RVS </w:t>
      </w:r>
      <w:r w:rsidRPr="00C65CAA">
        <w:rPr>
          <w:rFonts w:ascii="Arial Narrow" w:eastAsia="Calibri" w:hAnsi="Arial Narrow"/>
          <w:bCs/>
          <w:sz w:val="22"/>
          <w:szCs w:val="22"/>
          <w:lang w:eastAsia="en-US"/>
        </w:rPr>
        <w:t>2018</w:t>
      </w:r>
      <w:r w:rsidR="0097698E" w:rsidRPr="00C65CAA">
        <w:rPr>
          <w:rFonts w:ascii="Arial Narrow" w:eastAsia="Calibri" w:hAnsi="Arial Narrow"/>
          <w:bCs/>
          <w:sz w:val="22"/>
          <w:szCs w:val="22"/>
          <w:lang w:eastAsia="en-US"/>
        </w:rPr>
        <w:t>, a to</w:t>
      </w:r>
      <w:r w:rsidRPr="00C65CAA">
        <w:rPr>
          <w:rFonts w:ascii="Arial Narrow" w:eastAsia="Calibri" w:hAnsi="Arial Narrow"/>
          <w:bCs/>
          <w:sz w:val="22"/>
          <w:szCs w:val="22"/>
          <w:lang w:eastAsia="en-US"/>
        </w:rPr>
        <w:t xml:space="preserve"> dosiahnu</w:t>
      </w:r>
      <w:r w:rsidR="0097698E" w:rsidRPr="00C65CAA">
        <w:rPr>
          <w:rFonts w:ascii="Arial Narrow" w:eastAsia="Calibri" w:hAnsi="Arial Narrow"/>
          <w:bCs/>
          <w:sz w:val="22"/>
          <w:szCs w:val="22"/>
          <w:lang w:eastAsia="en-US"/>
        </w:rPr>
        <w:t>ť v roku 2019 schodok na úrovni</w:t>
      </w:r>
      <w:r w:rsidRPr="00C65CAA">
        <w:rPr>
          <w:rFonts w:ascii="Arial Narrow" w:eastAsia="Calibri" w:hAnsi="Arial Narrow"/>
          <w:bCs/>
          <w:sz w:val="22"/>
          <w:szCs w:val="22"/>
          <w:lang w:eastAsia="en-US"/>
        </w:rPr>
        <w:t xml:space="preserve"> 0,32 % HDP. </w:t>
      </w:r>
      <w:r w:rsidR="0095527E" w:rsidRPr="00C65CAA">
        <w:rPr>
          <w:rFonts w:ascii="Arial Narrow" w:eastAsia="Calibri" w:hAnsi="Arial Narrow"/>
          <w:bCs/>
          <w:sz w:val="22"/>
          <w:szCs w:val="22"/>
          <w:lang w:eastAsia="en-US"/>
        </w:rPr>
        <w:t>Na konci roka 2018 sa očakáva schodok vo výške 0,60 % HDP, čo je o</w:t>
      </w:r>
      <w:r w:rsidR="00116B8F" w:rsidRPr="00C65CAA">
        <w:rPr>
          <w:rFonts w:ascii="Arial Narrow" w:eastAsia="Calibri" w:hAnsi="Arial Narrow"/>
          <w:bCs/>
          <w:sz w:val="22"/>
          <w:szCs w:val="22"/>
          <w:lang w:eastAsia="en-US"/>
        </w:rPr>
        <w:t> </w:t>
      </w:r>
      <w:r w:rsidR="0095527E" w:rsidRPr="00C65CAA">
        <w:rPr>
          <w:rFonts w:ascii="Arial Narrow" w:eastAsia="Calibri" w:hAnsi="Arial Narrow"/>
          <w:bCs/>
          <w:sz w:val="22"/>
          <w:szCs w:val="22"/>
          <w:lang w:eastAsia="en-US"/>
        </w:rPr>
        <w:t>0</w:t>
      </w:r>
      <w:r w:rsidR="00116B8F" w:rsidRPr="00C65CAA">
        <w:rPr>
          <w:rFonts w:ascii="Arial Narrow" w:eastAsia="Calibri" w:hAnsi="Arial Narrow"/>
          <w:bCs/>
          <w:sz w:val="22"/>
          <w:szCs w:val="22"/>
          <w:lang w:eastAsia="en-US"/>
        </w:rPr>
        <w:t>,</w:t>
      </w:r>
      <w:r w:rsidR="0095527E" w:rsidRPr="00C65CAA">
        <w:rPr>
          <w:rFonts w:ascii="Arial Narrow" w:eastAsia="Calibri" w:hAnsi="Arial Narrow"/>
          <w:bCs/>
          <w:sz w:val="22"/>
          <w:szCs w:val="22"/>
          <w:lang w:eastAsia="en-US"/>
        </w:rPr>
        <w:t xml:space="preserve">23 % HDP menej oproti plánovanému schodku. </w:t>
      </w:r>
      <w:r w:rsidRPr="00C65CAA">
        <w:rPr>
          <w:rFonts w:ascii="Arial Narrow" w:eastAsia="Calibri" w:hAnsi="Arial Narrow"/>
          <w:bCs/>
          <w:sz w:val="22"/>
          <w:szCs w:val="22"/>
          <w:lang w:eastAsia="en-US"/>
        </w:rPr>
        <w:t>T</w:t>
      </w:r>
      <w:r w:rsidR="0095527E" w:rsidRPr="00C65CAA">
        <w:rPr>
          <w:rFonts w:ascii="Arial Narrow" w:eastAsia="Calibri" w:hAnsi="Arial Narrow"/>
          <w:bCs/>
          <w:sz w:val="22"/>
          <w:szCs w:val="22"/>
          <w:lang w:eastAsia="en-US"/>
        </w:rPr>
        <w:t xml:space="preserve">ýmto sa javí reálne, </w:t>
      </w:r>
      <w:r w:rsidRPr="00C65CAA">
        <w:rPr>
          <w:rFonts w:ascii="Arial Narrow" w:eastAsia="Calibri" w:hAnsi="Arial Narrow"/>
          <w:bCs/>
          <w:sz w:val="22"/>
          <w:szCs w:val="22"/>
          <w:lang w:eastAsia="en-US"/>
        </w:rPr>
        <w:t>že v roku 2019 bude schodok na úrovni 0,10 % a v roku 2020 bude vyrovnané hospodárenie. Otázkou zostáva</w:t>
      </w:r>
      <w:r w:rsidR="0095527E" w:rsidRPr="00C65CAA">
        <w:rPr>
          <w:rFonts w:ascii="Arial Narrow" w:eastAsia="Calibri" w:hAnsi="Arial Narrow"/>
          <w:bCs/>
          <w:sz w:val="22"/>
          <w:szCs w:val="22"/>
          <w:lang w:eastAsia="en-US"/>
        </w:rPr>
        <w:t>,</w:t>
      </w:r>
      <w:r w:rsidRPr="00C65CAA">
        <w:rPr>
          <w:rFonts w:ascii="Arial Narrow" w:eastAsia="Calibri" w:hAnsi="Arial Narrow"/>
          <w:bCs/>
          <w:sz w:val="22"/>
          <w:szCs w:val="22"/>
          <w:lang w:eastAsia="en-US"/>
        </w:rPr>
        <w:t xml:space="preserve"> či prebytok bolo možné dosiahnuť skôr, alebo ísť cestou skokovým znižovaním schodku v rokoch 2017 a 2018, ktoré bolo nutné realizovať, po </w:t>
      </w:r>
      <w:r w:rsidRPr="00C65CAA">
        <w:rPr>
          <w:rFonts w:ascii="Arial Narrow" w:hAnsi="Arial Narrow"/>
          <w:sz w:val="22"/>
          <w:szCs w:val="22"/>
        </w:rPr>
        <w:t>uvoľnení fiškálnej politiky v rokoch 2014 aj 2015</w:t>
      </w:r>
      <w:r w:rsidRPr="00C65CAA">
        <w:rPr>
          <w:rFonts w:ascii="Arial Narrow" w:eastAsia="Calibri" w:hAnsi="Arial Narrow"/>
          <w:bCs/>
          <w:sz w:val="22"/>
          <w:szCs w:val="22"/>
          <w:lang w:eastAsia="en-US"/>
        </w:rPr>
        <w:t>.</w:t>
      </w:r>
      <w:r w:rsidR="0095527E" w:rsidRPr="00C65CAA">
        <w:rPr>
          <w:rFonts w:ascii="Arial Narrow" w:eastAsia="Calibri" w:hAnsi="Arial Narrow"/>
          <w:bCs/>
          <w:sz w:val="22"/>
          <w:szCs w:val="22"/>
          <w:lang w:eastAsia="en-US"/>
        </w:rPr>
        <w:t xml:space="preserve"> Zároveň to </w:t>
      </w:r>
      <w:r w:rsidR="00841A67" w:rsidRPr="00C65CAA">
        <w:rPr>
          <w:rFonts w:ascii="Arial Narrow" w:eastAsia="Calibri" w:hAnsi="Arial Narrow"/>
          <w:bCs/>
          <w:sz w:val="22"/>
          <w:szCs w:val="22"/>
          <w:lang w:eastAsia="en-US"/>
        </w:rPr>
        <w:t>stavi</w:t>
      </w:r>
      <w:r w:rsidR="0095527E" w:rsidRPr="00C65CAA">
        <w:rPr>
          <w:rFonts w:ascii="Arial Narrow" w:eastAsia="Calibri" w:hAnsi="Arial Narrow"/>
          <w:bCs/>
          <w:sz w:val="22"/>
          <w:szCs w:val="22"/>
          <w:lang w:eastAsia="en-US"/>
        </w:rPr>
        <w:t>a otázniky</w:t>
      </w:r>
      <w:r w:rsidR="00841A67" w:rsidRPr="00C65CAA">
        <w:rPr>
          <w:rFonts w:ascii="Arial Narrow" w:eastAsia="Calibri" w:hAnsi="Arial Narrow"/>
          <w:bCs/>
          <w:sz w:val="22"/>
          <w:szCs w:val="22"/>
          <w:lang w:eastAsia="en-US"/>
        </w:rPr>
        <w:t>,</w:t>
      </w:r>
      <w:r w:rsidRPr="00C65CAA">
        <w:rPr>
          <w:rFonts w:ascii="Arial Narrow" w:eastAsia="Calibri" w:hAnsi="Arial Narrow"/>
          <w:bCs/>
          <w:sz w:val="22"/>
          <w:szCs w:val="22"/>
          <w:lang w:eastAsia="en-US"/>
        </w:rPr>
        <w:t xml:space="preserve"> či konsolidácia v roku 2018 nemohla byť ešte rýchlejšia.</w:t>
      </w:r>
    </w:p>
    <w:p w:rsidR="009649CB" w:rsidRPr="00C65CAA" w:rsidRDefault="009649CB" w:rsidP="00256AF8">
      <w:pPr>
        <w:spacing w:before="100" w:after="100"/>
        <w:ind w:firstLine="708"/>
        <w:jc w:val="both"/>
        <w:rPr>
          <w:rFonts w:ascii="Arial Narrow" w:eastAsia="Calibri" w:hAnsi="Arial Narrow"/>
          <w:b/>
          <w:i/>
          <w:sz w:val="18"/>
          <w:szCs w:val="18"/>
          <w:lang w:eastAsia="en-US"/>
        </w:rPr>
      </w:pPr>
      <w:r w:rsidRPr="00C65CAA">
        <w:rPr>
          <w:rFonts w:ascii="Arial Narrow" w:eastAsia="Calibri" w:hAnsi="Arial Narrow"/>
          <w:b/>
          <w:bCs/>
          <w:sz w:val="22"/>
          <w:szCs w:val="22"/>
          <w:lang w:eastAsia="en-US"/>
        </w:rPr>
        <w:t>Naplnenie cieľa vyrovnaného hospodárenia rozpočtu VS už bolo niekoľkokrát presunu</w:t>
      </w:r>
      <w:r w:rsidR="0095527E" w:rsidRPr="00C65CAA">
        <w:rPr>
          <w:rFonts w:ascii="Arial Narrow" w:eastAsia="Calibri" w:hAnsi="Arial Narrow"/>
          <w:b/>
          <w:bCs/>
          <w:sz w:val="22"/>
          <w:szCs w:val="22"/>
          <w:lang w:eastAsia="en-US"/>
        </w:rPr>
        <w:t>té na </w:t>
      </w:r>
      <w:r w:rsidRPr="00C65CAA">
        <w:rPr>
          <w:rFonts w:ascii="Arial Narrow" w:eastAsia="Calibri" w:hAnsi="Arial Narrow"/>
          <w:b/>
          <w:bCs/>
          <w:sz w:val="22"/>
          <w:szCs w:val="22"/>
          <w:lang w:eastAsia="en-US"/>
        </w:rPr>
        <w:t>neskoršie obdobie, napriek tomu NKÚ SR považuje dosiahnutie vyro</w:t>
      </w:r>
      <w:r w:rsidR="0095527E" w:rsidRPr="00C65CAA">
        <w:rPr>
          <w:rFonts w:ascii="Arial Narrow" w:eastAsia="Calibri" w:hAnsi="Arial Narrow"/>
          <w:b/>
          <w:bCs/>
          <w:sz w:val="22"/>
          <w:szCs w:val="22"/>
          <w:lang w:eastAsia="en-US"/>
        </w:rPr>
        <w:t>vnaného rozpočtu v roku 2020 za </w:t>
      </w:r>
      <w:r w:rsidRPr="00C65CAA">
        <w:rPr>
          <w:rFonts w:ascii="Arial Narrow" w:eastAsia="Calibri" w:hAnsi="Arial Narrow"/>
          <w:b/>
          <w:bCs/>
          <w:sz w:val="22"/>
          <w:szCs w:val="22"/>
          <w:lang w:eastAsia="en-US"/>
        </w:rPr>
        <w:t>reálne</w:t>
      </w:r>
      <w:r w:rsidRPr="00C65CAA">
        <w:rPr>
          <w:rFonts w:ascii="Arial Narrow" w:eastAsia="Calibri" w:hAnsi="Arial Narrow"/>
          <w:b/>
          <w:bCs/>
          <w:i/>
          <w:sz w:val="18"/>
          <w:szCs w:val="18"/>
          <w:lang w:eastAsia="en-US"/>
        </w:rPr>
        <w:t xml:space="preserve">. </w:t>
      </w:r>
    </w:p>
    <w:p w:rsidR="009649CB" w:rsidRPr="00C65CAA" w:rsidRDefault="009649CB" w:rsidP="00256AF8">
      <w:pPr>
        <w:pStyle w:val="Bezriadkovania"/>
        <w:spacing w:before="100" w:after="100"/>
        <w:ind w:firstLine="708"/>
        <w:rPr>
          <w:rFonts w:ascii="Arial Narrow" w:hAnsi="Arial Narrow"/>
          <w:sz w:val="22"/>
        </w:rPr>
      </w:pPr>
      <w:r w:rsidRPr="00C65CAA">
        <w:rPr>
          <w:rFonts w:ascii="Arial Narrow" w:hAnsi="Arial Narrow"/>
          <w:b/>
          <w:bCs/>
          <w:sz w:val="22"/>
        </w:rPr>
        <w:t>Fiškálna politika SR podlieha od roku 2014 pravidlám preventívnej časti Paktu stability a rastu, ktorá požaduje postupné znižovanie štrukturálneho salda až do dosiahnutia strednodobého rozpočtového cieľa (MTO)</w:t>
      </w:r>
      <w:r w:rsidRPr="00C65CAA">
        <w:rPr>
          <w:rFonts w:ascii="Arial Narrow" w:hAnsi="Arial Narrow"/>
          <w:sz w:val="22"/>
        </w:rPr>
        <w:t>. Štrukturálne saldo verejnej správy vyjadruje výsledok hospodárenia verejnej správy očistený o cyklické a jednorazové vplyvy. Takto vyjadrené saldo presnejšie zobrazuje skutočnú fiškálnu pozíciu krajiny</w:t>
      </w:r>
      <w:r w:rsidR="00841A67" w:rsidRPr="00C65CAA">
        <w:rPr>
          <w:rFonts w:ascii="Arial Narrow" w:hAnsi="Arial Narrow"/>
          <w:sz w:val="22"/>
        </w:rPr>
        <w:t>,</w:t>
      </w:r>
      <w:r w:rsidRPr="00C65CAA">
        <w:rPr>
          <w:rFonts w:ascii="Arial Narrow" w:hAnsi="Arial Narrow"/>
          <w:sz w:val="22"/>
        </w:rPr>
        <w:t xml:space="preserve"> a zároveň je kľúčovým pilierom pri hodnotení súladu s európskymi a národnými fiškálnymi pravidlami.</w:t>
      </w:r>
    </w:p>
    <w:p w:rsidR="009649CB" w:rsidRPr="00C65CAA" w:rsidRDefault="009649CB" w:rsidP="00256AF8">
      <w:pPr>
        <w:pStyle w:val="Bezriadkovania"/>
        <w:spacing w:before="100" w:after="100"/>
        <w:ind w:firstLine="708"/>
        <w:rPr>
          <w:rFonts w:ascii="Arial Narrow" w:hAnsi="Arial Narrow"/>
          <w:sz w:val="22"/>
        </w:rPr>
      </w:pPr>
      <w:r w:rsidRPr="00C65CAA">
        <w:rPr>
          <w:rFonts w:ascii="Arial Narrow" w:hAnsi="Arial Narrow"/>
          <w:sz w:val="22"/>
        </w:rPr>
        <w:t xml:space="preserve">Slovenská ekonomika sa od roku 2017 nachádza v expanzívnej fáze cyklu, no bez výraznejšieho prehrievania a bez väčších rizík spojených s udržateľnosťou v strednodobom horizonte. Podľa pravidiel Paktu sa v tomto prípade požaduje medziročné znižovanie štrukturálneho schodku o 0,5 p. b. až do dosiahnutia MTO. Pre SR je MTO stanovený na úrovni 0,5 % HDP a reflektuje aj prísnejšie požiadavky medzivládnej zmluvy fiškálneho kompaktu v porovnaní s pravidlami Paktu stability a rastu. </w:t>
      </w:r>
    </w:p>
    <w:p w:rsidR="009649CB" w:rsidRPr="00C65CAA" w:rsidRDefault="009649CB" w:rsidP="00256AF8">
      <w:pPr>
        <w:pStyle w:val="Bezriadkovania"/>
        <w:spacing w:before="100" w:after="100"/>
        <w:ind w:firstLine="708"/>
        <w:rPr>
          <w:rFonts w:ascii="Arial Narrow" w:hAnsi="Arial Narrow"/>
          <w:sz w:val="22"/>
        </w:rPr>
      </w:pPr>
      <w:r w:rsidRPr="00C65CAA">
        <w:rPr>
          <w:rFonts w:ascii="Arial Narrow" w:hAnsi="Arial Narrow"/>
          <w:sz w:val="22"/>
        </w:rPr>
        <w:t xml:space="preserve">Program stability na roky 2018 </w:t>
      </w:r>
      <w:r w:rsidR="00841A67" w:rsidRPr="00C65CAA">
        <w:rPr>
          <w:rFonts w:ascii="Arial Narrow" w:eastAsia="Calibri" w:hAnsi="Arial Narrow"/>
          <w:sz w:val="22"/>
        </w:rPr>
        <w:t>–</w:t>
      </w:r>
      <w:r w:rsidRPr="00C65CAA">
        <w:rPr>
          <w:rFonts w:ascii="Arial Narrow" w:hAnsi="Arial Narrow"/>
          <w:sz w:val="22"/>
        </w:rPr>
        <w:t xml:space="preserve"> 2020 očakával, že štrukturálny</w:t>
      </w:r>
      <w:r w:rsidR="00116B8F" w:rsidRPr="00C65CAA">
        <w:rPr>
          <w:rFonts w:ascii="Arial Narrow" w:hAnsi="Arial Narrow"/>
          <w:sz w:val="22"/>
        </w:rPr>
        <w:t xml:space="preserve"> deficit SR v roku 2017 dosiahne</w:t>
      </w:r>
      <w:r w:rsidRPr="00C65CAA">
        <w:rPr>
          <w:rFonts w:ascii="Arial Narrow" w:hAnsi="Arial Narrow"/>
          <w:sz w:val="22"/>
        </w:rPr>
        <w:t xml:space="preserve"> úroveň 1,1 % HDP a v roku 2018 by sa mal stabilizovať na úrovni 1,0 % HDP. </w:t>
      </w:r>
    </w:p>
    <w:p w:rsidR="00EB05EC" w:rsidRPr="00C65CAA" w:rsidRDefault="00EB05EC" w:rsidP="00256AF8">
      <w:pPr>
        <w:pStyle w:val="Bezriadkovania"/>
        <w:spacing w:before="100" w:after="100"/>
        <w:ind w:firstLine="708"/>
        <w:rPr>
          <w:rFonts w:ascii="Arial Narrow" w:hAnsi="Arial Narrow"/>
          <w:sz w:val="22"/>
        </w:rPr>
      </w:pPr>
      <w:r w:rsidRPr="00C65CAA">
        <w:rPr>
          <w:rFonts w:ascii="Arial Narrow" w:hAnsi="Arial Narrow"/>
          <w:sz w:val="22"/>
        </w:rPr>
        <w:t>Medziročná konsolidácia v roku 2017 vo výške 1,3 p. b. významne prevýšila požadované konsolidačné úsilie (0,5 p. b.). Pri zachovaní cieľa však lepší</w:t>
      </w:r>
      <w:r w:rsidR="00116B8F" w:rsidRPr="00C65CAA">
        <w:rPr>
          <w:rFonts w:ascii="Arial Narrow" w:hAnsi="Arial Narrow"/>
          <w:sz w:val="22"/>
        </w:rPr>
        <w:t>,</w:t>
      </w:r>
      <w:r w:rsidRPr="00C65CAA">
        <w:rPr>
          <w:rFonts w:ascii="Arial Narrow" w:hAnsi="Arial Narrow"/>
          <w:sz w:val="22"/>
        </w:rPr>
        <w:t xml:space="preserve"> než očakávaný výsledok v roku 2017</w:t>
      </w:r>
      <w:r w:rsidR="00841A67" w:rsidRPr="00C65CAA">
        <w:rPr>
          <w:rFonts w:ascii="Arial Narrow" w:hAnsi="Arial Narrow"/>
          <w:sz w:val="22"/>
        </w:rPr>
        <w:t>,</w:t>
      </w:r>
      <w:r w:rsidRPr="00C65CAA">
        <w:rPr>
          <w:rFonts w:ascii="Arial Narrow" w:hAnsi="Arial Narrow"/>
          <w:sz w:val="22"/>
        </w:rPr>
        <w:t xml:space="preserve"> znížil medziročné očakávané konsolidačné úsilie v roku 2018. Pri aktuálnom odhade dosahuje 0,0 p. b. a zaostáva tak za požiadavkami Paktu. Po zohľadnení výsledku oboch rokov je dosiahnutá konsolidácia za oba roky v súlade s pravidlami Paktu. </w:t>
      </w:r>
    </w:p>
    <w:p w:rsidR="009649CB" w:rsidRPr="00C65CAA" w:rsidRDefault="009649CB" w:rsidP="00256AF8">
      <w:pPr>
        <w:pStyle w:val="Bezriadkovania"/>
        <w:spacing w:before="100" w:after="100"/>
        <w:ind w:firstLine="709"/>
        <w:rPr>
          <w:rFonts w:ascii="Arial Narrow" w:hAnsi="Arial Narrow"/>
          <w:sz w:val="22"/>
        </w:rPr>
      </w:pPr>
      <w:r w:rsidRPr="00C65CAA">
        <w:rPr>
          <w:rFonts w:ascii="Arial Narrow" w:hAnsi="Arial Narrow"/>
          <w:sz w:val="22"/>
        </w:rPr>
        <w:t xml:space="preserve">Od roku 2019 už bude štrukturálna bilancia VS približne na úrovni </w:t>
      </w:r>
      <w:r w:rsidR="0095527E" w:rsidRPr="00C65CAA">
        <w:rPr>
          <w:rFonts w:ascii="Arial Narrow" w:hAnsi="Arial Narrow"/>
          <w:sz w:val="22"/>
        </w:rPr>
        <w:t>MTO</w:t>
      </w:r>
      <w:r w:rsidRPr="00C65CAA">
        <w:rPr>
          <w:rFonts w:ascii="Arial Narrow" w:hAnsi="Arial Narrow"/>
          <w:sz w:val="22"/>
        </w:rPr>
        <w:t>. Štrukturálny deficit by mal dosiahnuť výšku 0,5 % HDP. Odchýlka do 0,25 % HDP od stanoveného cieleného MTO je interpretovaná ako splnenie MTO ex-post. Od vrcholu finančnej krízy v roku 2009 tak dôjde za jednu dekádu k štrukturálnemu ozdraveniu verejn</w:t>
      </w:r>
      <w:r w:rsidR="0095527E" w:rsidRPr="00C65CAA">
        <w:rPr>
          <w:rFonts w:ascii="Arial Narrow" w:hAnsi="Arial Narrow"/>
          <w:sz w:val="22"/>
        </w:rPr>
        <w:t>ých financií o viac ako 6 p. b.</w:t>
      </w:r>
    </w:p>
    <w:p w:rsidR="00D23611" w:rsidRPr="00C65CAA" w:rsidRDefault="00D23611" w:rsidP="00256AF8">
      <w:pPr>
        <w:pStyle w:val="Nadpis2"/>
        <w:numPr>
          <w:ilvl w:val="1"/>
          <w:numId w:val="92"/>
        </w:numPr>
        <w:spacing w:before="100" w:after="100"/>
        <w:rPr>
          <w:rFonts w:eastAsiaTheme="minorEastAsia"/>
          <w:szCs w:val="22"/>
        </w:rPr>
      </w:pPr>
      <w:bookmarkStart w:id="12" w:name="_Toc495316428"/>
      <w:bookmarkStart w:id="13" w:name="_Toc529507591"/>
      <w:r w:rsidRPr="00C65CAA">
        <w:rPr>
          <w:rFonts w:eastAsiaTheme="minorHAnsi"/>
          <w:szCs w:val="22"/>
          <w:lang w:eastAsia="en-US"/>
        </w:rPr>
        <w:t>Stanovisko k prognóze hrubého dlhu verejnej správy v návrhu RVS na rok 201</w:t>
      </w:r>
      <w:bookmarkEnd w:id="12"/>
      <w:r w:rsidR="0047702E" w:rsidRPr="00C65CAA">
        <w:rPr>
          <w:rFonts w:eastAsiaTheme="minorHAnsi"/>
          <w:szCs w:val="22"/>
          <w:lang w:eastAsia="en-US"/>
        </w:rPr>
        <w:t>9</w:t>
      </w:r>
      <w:bookmarkEnd w:id="13"/>
    </w:p>
    <w:p w:rsidR="009649CB" w:rsidRPr="00C65CAA" w:rsidRDefault="009649CB" w:rsidP="00256AF8">
      <w:pPr>
        <w:autoSpaceDE w:val="0"/>
        <w:autoSpaceDN w:val="0"/>
        <w:adjustRightInd w:val="0"/>
        <w:spacing w:before="100" w:after="100"/>
        <w:ind w:firstLine="708"/>
        <w:jc w:val="both"/>
        <w:rPr>
          <w:rFonts w:ascii="Arial Narrow" w:hAnsi="Arial Narrow"/>
          <w:sz w:val="22"/>
        </w:rPr>
      </w:pPr>
      <w:r w:rsidRPr="00C65CAA">
        <w:rPr>
          <w:rFonts w:ascii="Arial Narrow" w:hAnsi="Arial Narrow"/>
          <w:sz w:val="22"/>
        </w:rPr>
        <w:t>Dlh verejnej správy dosiahne v roku 2018</w:t>
      </w:r>
      <w:r w:rsidR="00841A67" w:rsidRPr="00C65CAA">
        <w:rPr>
          <w:rFonts w:ascii="Arial Narrow" w:hAnsi="Arial Narrow"/>
          <w:sz w:val="22"/>
        </w:rPr>
        <w:t>,</w:t>
      </w:r>
      <w:r w:rsidRPr="00C65CAA">
        <w:rPr>
          <w:rFonts w:ascii="Arial Narrow" w:hAnsi="Arial Narrow"/>
          <w:sz w:val="22"/>
        </w:rPr>
        <w:t xml:space="preserve"> podľa odhadu MF SR</w:t>
      </w:r>
      <w:r w:rsidR="00841A67" w:rsidRPr="00C65CAA">
        <w:rPr>
          <w:rFonts w:ascii="Arial Narrow" w:hAnsi="Arial Narrow"/>
          <w:sz w:val="22"/>
        </w:rPr>
        <w:t>,</w:t>
      </w:r>
      <w:r w:rsidRPr="00C65CAA">
        <w:rPr>
          <w:rFonts w:ascii="Arial Narrow" w:hAnsi="Arial Narrow"/>
          <w:sz w:val="22"/>
        </w:rPr>
        <w:t xml:space="preserve"> úroveň 48,7 % HDP</w:t>
      </w:r>
      <w:r w:rsidR="00F270FB" w:rsidRPr="00C65CAA">
        <w:rPr>
          <w:rFonts w:ascii="Arial Narrow" w:hAnsi="Arial Narrow"/>
          <w:sz w:val="22"/>
        </w:rPr>
        <w:t>.</w:t>
      </w:r>
      <w:r w:rsidRPr="00C65CAA">
        <w:rPr>
          <w:rFonts w:ascii="Arial Narrow" w:hAnsi="Arial Narrow"/>
          <w:sz w:val="22"/>
        </w:rPr>
        <w:t xml:space="preserve">  Znamená to, že by sa nemal nachádzať v hraniciach prvého sankčného pásma dlhovej brzdy. Hlavným dôvodom medziročného poklesu hrubého dlhu je naďalej zrýchľujúci sa rast HDP a pokračujúci primárny prebytok hospodárenia verejnej správy. Plánovaný dlh podľa návrhu rozpočtu na rok 2019 by mal byť na úrovni 47,3 % HDP. Dôjde tak k jeho medziročnému zníženiu o 1,4 p. b. Predpokladá sa nárast primárneho prebytku a vyrovnaných verejných financi</w:t>
      </w:r>
      <w:r w:rsidR="0095527E" w:rsidRPr="00C65CAA">
        <w:rPr>
          <w:rFonts w:ascii="Arial Narrow" w:hAnsi="Arial Narrow"/>
          <w:sz w:val="22"/>
        </w:rPr>
        <w:t>í</w:t>
      </w:r>
      <w:r w:rsidRPr="00C65CAA">
        <w:rPr>
          <w:rFonts w:ascii="Arial Narrow" w:hAnsi="Arial Narrow"/>
          <w:sz w:val="22"/>
        </w:rPr>
        <w:t xml:space="preserve"> v roku 2019. V absolútnych číslach dlh vzrastie o 1 751 mil. eur. </w:t>
      </w:r>
    </w:p>
    <w:tbl>
      <w:tblPr>
        <w:tblW w:w="5000" w:type="pct"/>
        <w:shd w:val="clear" w:color="auto" w:fill="FFFFFF" w:themeFill="background1"/>
        <w:tblCellMar>
          <w:left w:w="70" w:type="dxa"/>
          <w:right w:w="70" w:type="dxa"/>
        </w:tblCellMar>
        <w:tblLook w:val="04A0" w:firstRow="1" w:lastRow="0" w:firstColumn="1" w:lastColumn="0" w:noHBand="0" w:noVBand="1"/>
      </w:tblPr>
      <w:tblGrid>
        <w:gridCol w:w="2588"/>
        <w:gridCol w:w="861"/>
        <w:gridCol w:w="865"/>
        <w:gridCol w:w="720"/>
        <w:gridCol w:w="718"/>
        <w:gridCol w:w="865"/>
        <w:gridCol w:w="901"/>
        <w:gridCol w:w="825"/>
        <w:gridCol w:w="720"/>
      </w:tblGrid>
      <w:tr w:rsidR="009649CB" w:rsidRPr="00C65CAA" w:rsidTr="003306A1">
        <w:trPr>
          <w:trHeight w:val="243"/>
        </w:trPr>
        <w:tc>
          <w:tcPr>
            <w:tcW w:w="1428" w:type="pct"/>
            <w:tcBorders>
              <w:top w:val="single" w:sz="4" w:space="0" w:color="4472C4"/>
              <w:left w:val="single" w:sz="4" w:space="0" w:color="4472C4"/>
              <w:bottom w:val="single" w:sz="4" w:space="0" w:color="auto"/>
              <w:right w:val="single" w:sz="4" w:space="0" w:color="FFFFFF" w:themeColor="background1"/>
            </w:tcBorders>
            <w:shd w:val="clear" w:color="auto" w:fill="0070C0"/>
            <w:noWrap/>
            <w:vAlign w:val="center"/>
            <w:hideMark/>
          </w:tcPr>
          <w:p w:rsidR="009649CB" w:rsidRPr="00C65CAA" w:rsidRDefault="009649CB" w:rsidP="009879BE">
            <w:pPr>
              <w:rPr>
                <w:rFonts w:ascii="Arial Narrow" w:hAnsi="Arial Narrow"/>
                <w:b/>
                <w:bCs/>
                <w:color w:val="FFFFFF" w:themeColor="background1"/>
                <w:sz w:val="20"/>
                <w:szCs w:val="20"/>
              </w:rPr>
            </w:pPr>
            <w:r w:rsidRPr="00C65CAA">
              <w:rPr>
                <w:rFonts w:ascii="Arial Narrow" w:hAnsi="Arial Narrow"/>
                <w:b/>
                <w:bCs/>
                <w:color w:val="FFFFFF" w:themeColor="background1"/>
                <w:sz w:val="20"/>
                <w:szCs w:val="20"/>
              </w:rPr>
              <w:t>Dlh verejnej správy (ESA 2010)</w:t>
            </w:r>
          </w:p>
        </w:tc>
        <w:tc>
          <w:tcPr>
            <w:tcW w:w="475" w:type="pct"/>
            <w:tcBorders>
              <w:top w:val="single" w:sz="4" w:space="0" w:color="4472C4"/>
              <w:left w:val="single" w:sz="4" w:space="0" w:color="FFFFFF" w:themeColor="background1"/>
              <w:bottom w:val="single" w:sz="4" w:space="0" w:color="auto"/>
              <w:right w:val="single" w:sz="4" w:space="0" w:color="FFFFFF" w:themeColor="background1"/>
            </w:tcBorders>
            <w:shd w:val="clear" w:color="auto" w:fill="0070C0"/>
            <w:vAlign w:val="center"/>
            <w:hideMark/>
          </w:tcPr>
          <w:p w:rsidR="009649CB" w:rsidRPr="00C65CAA" w:rsidRDefault="009649CB" w:rsidP="009879BE">
            <w:pPr>
              <w:jc w:val="center"/>
              <w:rPr>
                <w:rFonts w:ascii="Arial Narrow" w:hAnsi="Arial Narrow"/>
                <w:b/>
                <w:bCs/>
                <w:color w:val="FFFFFF" w:themeColor="background1"/>
                <w:sz w:val="20"/>
                <w:szCs w:val="20"/>
              </w:rPr>
            </w:pPr>
            <w:r w:rsidRPr="00C65CAA">
              <w:rPr>
                <w:rFonts w:ascii="Arial Narrow" w:hAnsi="Arial Narrow"/>
                <w:b/>
                <w:bCs/>
                <w:color w:val="FFFFFF" w:themeColor="background1"/>
                <w:sz w:val="20"/>
                <w:szCs w:val="20"/>
              </w:rPr>
              <w:t>m.j.</w:t>
            </w:r>
          </w:p>
        </w:tc>
        <w:tc>
          <w:tcPr>
            <w:tcW w:w="477" w:type="pct"/>
            <w:tcBorders>
              <w:top w:val="single" w:sz="4" w:space="0" w:color="4472C4"/>
              <w:left w:val="single" w:sz="4" w:space="0" w:color="FFFFFF" w:themeColor="background1"/>
              <w:bottom w:val="single" w:sz="4" w:space="0" w:color="auto"/>
              <w:right w:val="single" w:sz="4" w:space="0" w:color="FFFFFF" w:themeColor="background1"/>
            </w:tcBorders>
            <w:shd w:val="clear" w:color="auto" w:fill="0070C0"/>
            <w:noWrap/>
            <w:vAlign w:val="center"/>
            <w:hideMark/>
          </w:tcPr>
          <w:p w:rsidR="009649CB" w:rsidRPr="00C65CAA" w:rsidRDefault="009649CB" w:rsidP="009879BE">
            <w:pPr>
              <w:jc w:val="center"/>
              <w:rPr>
                <w:rFonts w:ascii="Arial Narrow" w:hAnsi="Arial Narrow"/>
                <w:b/>
                <w:bCs/>
                <w:color w:val="FFFFFF" w:themeColor="background1"/>
                <w:sz w:val="20"/>
                <w:szCs w:val="20"/>
              </w:rPr>
            </w:pPr>
            <w:r w:rsidRPr="00C65CAA">
              <w:rPr>
                <w:rFonts w:ascii="Arial Narrow" w:hAnsi="Arial Narrow"/>
                <w:b/>
                <w:bCs/>
                <w:color w:val="FFFFFF" w:themeColor="background1"/>
                <w:sz w:val="20"/>
                <w:szCs w:val="20"/>
              </w:rPr>
              <w:t>2015</w:t>
            </w:r>
          </w:p>
        </w:tc>
        <w:tc>
          <w:tcPr>
            <w:tcW w:w="397" w:type="pct"/>
            <w:tcBorders>
              <w:top w:val="single" w:sz="4" w:space="0" w:color="4472C4"/>
              <w:left w:val="single" w:sz="4" w:space="0" w:color="FFFFFF" w:themeColor="background1"/>
              <w:bottom w:val="single" w:sz="4" w:space="0" w:color="auto"/>
              <w:right w:val="single" w:sz="4" w:space="0" w:color="FFFFFF" w:themeColor="background1"/>
            </w:tcBorders>
            <w:shd w:val="clear" w:color="auto" w:fill="0070C0"/>
            <w:noWrap/>
            <w:vAlign w:val="center"/>
            <w:hideMark/>
          </w:tcPr>
          <w:p w:rsidR="009649CB" w:rsidRPr="00C65CAA" w:rsidRDefault="009649CB" w:rsidP="009879BE">
            <w:pPr>
              <w:jc w:val="center"/>
              <w:rPr>
                <w:rFonts w:ascii="Arial Narrow" w:hAnsi="Arial Narrow"/>
                <w:b/>
                <w:bCs/>
                <w:color w:val="FFFFFF" w:themeColor="background1"/>
                <w:sz w:val="20"/>
                <w:szCs w:val="20"/>
              </w:rPr>
            </w:pPr>
            <w:r w:rsidRPr="00C65CAA">
              <w:rPr>
                <w:rFonts w:ascii="Arial Narrow" w:hAnsi="Arial Narrow"/>
                <w:b/>
                <w:bCs/>
                <w:color w:val="FFFFFF" w:themeColor="background1"/>
                <w:sz w:val="20"/>
                <w:szCs w:val="20"/>
              </w:rPr>
              <w:t>2016</w:t>
            </w:r>
          </w:p>
        </w:tc>
        <w:tc>
          <w:tcPr>
            <w:tcW w:w="396" w:type="pct"/>
            <w:tcBorders>
              <w:top w:val="single" w:sz="4" w:space="0" w:color="4472C4"/>
              <w:left w:val="single" w:sz="4" w:space="0" w:color="FFFFFF" w:themeColor="background1"/>
              <w:bottom w:val="single" w:sz="4" w:space="0" w:color="auto"/>
              <w:right w:val="single" w:sz="4" w:space="0" w:color="FFFFFF" w:themeColor="background1"/>
            </w:tcBorders>
            <w:shd w:val="clear" w:color="auto" w:fill="0070C0"/>
            <w:noWrap/>
            <w:vAlign w:val="center"/>
            <w:hideMark/>
          </w:tcPr>
          <w:p w:rsidR="009649CB" w:rsidRPr="00C65CAA" w:rsidRDefault="009649CB" w:rsidP="009879BE">
            <w:pPr>
              <w:jc w:val="center"/>
              <w:rPr>
                <w:rFonts w:ascii="Arial Narrow" w:hAnsi="Arial Narrow"/>
                <w:b/>
                <w:bCs/>
                <w:color w:val="FFFFFF" w:themeColor="background1"/>
                <w:sz w:val="20"/>
                <w:szCs w:val="20"/>
              </w:rPr>
            </w:pPr>
            <w:r w:rsidRPr="00C65CAA">
              <w:rPr>
                <w:rFonts w:ascii="Arial Narrow" w:hAnsi="Arial Narrow"/>
                <w:b/>
                <w:bCs/>
                <w:color w:val="FFFFFF" w:themeColor="background1"/>
                <w:sz w:val="20"/>
                <w:szCs w:val="20"/>
              </w:rPr>
              <w:t>2017</w:t>
            </w:r>
          </w:p>
        </w:tc>
        <w:tc>
          <w:tcPr>
            <w:tcW w:w="477" w:type="pct"/>
            <w:tcBorders>
              <w:top w:val="single" w:sz="4" w:space="0" w:color="4472C4"/>
              <w:left w:val="single" w:sz="4" w:space="0" w:color="FFFFFF" w:themeColor="background1"/>
              <w:bottom w:val="single" w:sz="4" w:space="0" w:color="auto"/>
              <w:right w:val="single" w:sz="4" w:space="0" w:color="FFFFFF" w:themeColor="background1"/>
            </w:tcBorders>
            <w:shd w:val="clear" w:color="auto" w:fill="0070C0"/>
            <w:noWrap/>
            <w:vAlign w:val="center"/>
            <w:hideMark/>
          </w:tcPr>
          <w:p w:rsidR="009649CB" w:rsidRPr="00C65CAA" w:rsidRDefault="009649CB" w:rsidP="009879BE">
            <w:pPr>
              <w:jc w:val="center"/>
              <w:rPr>
                <w:rFonts w:ascii="Arial Narrow" w:hAnsi="Arial Narrow"/>
                <w:b/>
                <w:bCs/>
                <w:color w:val="FFFFFF" w:themeColor="background1"/>
                <w:sz w:val="20"/>
                <w:szCs w:val="20"/>
              </w:rPr>
            </w:pPr>
            <w:r w:rsidRPr="00C65CAA">
              <w:rPr>
                <w:rFonts w:ascii="Arial Narrow" w:hAnsi="Arial Narrow"/>
                <w:b/>
                <w:bCs/>
                <w:color w:val="FFFFFF" w:themeColor="background1"/>
                <w:sz w:val="20"/>
                <w:szCs w:val="20"/>
              </w:rPr>
              <w:t>2018 OS</w:t>
            </w:r>
          </w:p>
        </w:tc>
        <w:tc>
          <w:tcPr>
            <w:tcW w:w="497"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0C0"/>
            <w:noWrap/>
            <w:vAlign w:val="center"/>
            <w:hideMark/>
          </w:tcPr>
          <w:p w:rsidR="009649CB" w:rsidRPr="00C65CAA" w:rsidRDefault="009649CB" w:rsidP="009879BE">
            <w:pPr>
              <w:jc w:val="center"/>
              <w:rPr>
                <w:rFonts w:ascii="Arial Narrow" w:hAnsi="Arial Narrow"/>
                <w:b/>
                <w:bCs/>
                <w:color w:val="FFFFFF" w:themeColor="background1"/>
                <w:sz w:val="20"/>
                <w:szCs w:val="20"/>
              </w:rPr>
            </w:pPr>
            <w:r w:rsidRPr="00C65CAA">
              <w:rPr>
                <w:rFonts w:ascii="Arial Narrow" w:hAnsi="Arial Narrow"/>
                <w:b/>
                <w:bCs/>
                <w:color w:val="FFFFFF" w:themeColor="background1"/>
                <w:sz w:val="20"/>
                <w:szCs w:val="20"/>
              </w:rPr>
              <w:t>2019 RVS</w:t>
            </w:r>
          </w:p>
        </w:tc>
        <w:tc>
          <w:tcPr>
            <w:tcW w:w="455"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0C0"/>
            <w:noWrap/>
            <w:vAlign w:val="center"/>
            <w:hideMark/>
          </w:tcPr>
          <w:p w:rsidR="009649CB" w:rsidRPr="00C65CAA" w:rsidRDefault="009649CB" w:rsidP="009879BE">
            <w:pPr>
              <w:jc w:val="center"/>
              <w:rPr>
                <w:rFonts w:ascii="Arial Narrow" w:hAnsi="Arial Narrow"/>
                <w:b/>
                <w:bCs/>
                <w:color w:val="FFFFFF" w:themeColor="background1"/>
                <w:sz w:val="20"/>
                <w:szCs w:val="20"/>
              </w:rPr>
            </w:pPr>
            <w:r w:rsidRPr="00C65CAA">
              <w:rPr>
                <w:rFonts w:ascii="Arial Narrow" w:hAnsi="Arial Narrow"/>
                <w:b/>
                <w:bCs/>
                <w:color w:val="FFFFFF" w:themeColor="background1"/>
                <w:sz w:val="20"/>
                <w:szCs w:val="20"/>
              </w:rPr>
              <w:t>2020</w:t>
            </w:r>
          </w:p>
        </w:tc>
        <w:tc>
          <w:tcPr>
            <w:tcW w:w="397" w:type="pct"/>
            <w:tcBorders>
              <w:top w:val="single" w:sz="4" w:space="0" w:color="4472C4"/>
              <w:left w:val="single" w:sz="4" w:space="0" w:color="FFFFFF" w:themeColor="background1"/>
              <w:bottom w:val="single" w:sz="4" w:space="0" w:color="auto"/>
              <w:right w:val="single" w:sz="4" w:space="0" w:color="auto"/>
            </w:tcBorders>
            <w:shd w:val="clear" w:color="auto" w:fill="0070C0"/>
            <w:noWrap/>
            <w:vAlign w:val="center"/>
            <w:hideMark/>
          </w:tcPr>
          <w:p w:rsidR="009649CB" w:rsidRPr="00C65CAA" w:rsidRDefault="009649CB" w:rsidP="009879BE">
            <w:pPr>
              <w:jc w:val="center"/>
              <w:rPr>
                <w:rFonts w:ascii="Arial Narrow" w:hAnsi="Arial Narrow"/>
                <w:b/>
                <w:bCs/>
                <w:color w:val="FFFFFF" w:themeColor="background1"/>
                <w:sz w:val="20"/>
                <w:szCs w:val="20"/>
              </w:rPr>
            </w:pPr>
            <w:r w:rsidRPr="00C65CAA">
              <w:rPr>
                <w:rFonts w:ascii="Arial Narrow" w:hAnsi="Arial Narrow"/>
                <w:b/>
                <w:bCs/>
                <w:color w:val="FFFFFF" w:themeColor="background1"/>
                <w:sz w:val="20"/>
                <w:szCs w:val="20"/>
              </w:rPr>
              <w:t>2021</w:t>
            </w:r>
          </w:p>
        </w:tc>
      </w:tr>
      <w:tr w:rsidR="009649CB" w:rsidRPr="00C65CAA" w:rsidTr="003306A1">
        <w:trPr>
          <w:trHeight w:val="243"/>
        </w:trPr>
        <w:tc>
          <w:tcPr>
            <w:tcW w:w="1428" w:type="pct"/>
            <w:tcBorders>
              <w:top w:val="single" w:sz="4" w:space="0" w:color="auto"/>
              <w:left w:val="single" w:sz="4" w:space="0" w:color="4472C4"/>
              <w:bottom w:val="single" w:sz="4" w:space="0" w:color="auto"/>
              <w:right w:val="single" w:sz="4" w:space="0" w:color="auto"/>
            </w:tcBorders>
            <w:shd w:val="clear" w:color="auto" w:fill="FFFFFF" w:themeFill="background1"/>
            <w:noWrap/>
            <w:vAlign w:val="center"/>
            <w:hideMark/>
          </w:tcPr>
          <w:p w:rsidR="009649CB" w:rsidRPr="00C65CAA" w:rsidRDefault="009649CB" w:rsidP="009879BE">
            <w:pPr>
              <w:rPr>
                <w:rFonts w:ascii="Arial Narrow" w:hAnsi="Arial Narrow"/>
                <w:sz w:val="20"/>
                <w:szCs w:val="20"/>
              </w:rPr>
            </w:pPr>
            <w:r w:rsidRPr="00C65CAA">
              <w:rPr>
                <w:rFonts w:ascii="Arial Narrow" w:hAnsi="Arial Narrow"/>
                <w:sz w:val="20"/>
                <w:szCs w:val="20"/>
              </w:rPr>
              <w:t xml:space="preserve">Hrubý dlh verejnej správy </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649CB" w:rsidRPr="00C65CAA" w:rsidRDefault="009649CB" w:rsidP="009879BE">
            <w:pPr>
              <w:jc w:val="center"/>
              <w:rPr>
                <w:rFonts w:ascii="Arial Narrow" w:hAnsi="Arial Narrow"/>
                <w:sz w:val="20"/>
                <w:szCs w:val="20"/>
              </w:rPr>
            </w:pPr>
            <w:r w:rsidRPr="00C65CAA">
              <w:rPr>
                <w:rFonts w:ascii="Arial Narrow" w:hAnsi="Arial Narrow"/>
                <w:sz w:val="20"/>
                <w:szCs w:val="20"/>
              </w:rPr>
              <w:t>mil. eur</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649CB" w:rsidRPr="00C65CAA" w:rsidRDefault="009649CB" w:rsidP="009879BE">
            <w:pPr>
              <w:jc w:val="center"/>
              <w:rPr>
                <w:rFonts w:ascii="Arial Narrow" w:hAnsi="Arial Narrow" w:cs="Calibri"/>
                <w:sz w:val="20"/>
                <w:szCs w:val="20"/>
              </w:rPr>
            </w:pPr>
            <w:r w:rsidRPr="00C65CAA">
              <w:rPr>
                <w:rFonts w:ascii="Arial Narrow" w:hAnsi="Arial Narrow" w:cs="Calibri"/>
                <w:sz w:val="20"/>
                <w:szCs w:val="20"/>
              </w:rPr>
              <w:t>41 295</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649CB" w:rsidRPr="00C65CAA" w:rsidRDefault="009649CB" w:rsidP="009879BE">
            <w:pPr>
              <w:jc w:val="center"/>
              <w:rPr>
                <w:rFonts w:ascii="Arial Narrow" w:hAnsi="Arial Narrow" w:cs="Calibri"/>
                <w:sz w:val="20"/>
                <w:szCs w:val="20"/>
              </w:rPr>
            </w:pPr>
            <w:r w:rsidRPr="00C65CAA">
              <w:rPr>
                <w:rFonts w:ascii="Arial Narrow" w:hAnsi="Arial Narrow" w:cs="Calibri"/>
                <w:sz w:val="20"/>
                <w:szCs w:val="20"/>
              </w:rPr>
              <w:t>42 053</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649CB" w:rsidRPr="00C65CAA" w:rsidRDefault="009649CB" w:rsidP="009879BE">
            <w:pPr>
              <w:jc w:val="center"/>
              <w:rPr>
                <w:rFonts w:ascii="Arial Narrow" w:hAnsi="Arial Narrow" w:cs="Calibri"/>
                <w:sz w:val="20"/>
                <w:szCs w:val="20"/>
              </w:rPr>
            </w:pPr>
            <w:r w:rsidRPr="00C65CAA">
              <w:rPr>
                <w:rFonts w:ascii="Arial Narrow" w:hAnsi="Arial Narrow" w:cs="Calibri"/>
                <w:sz w:val="20"/>
                <w:szCs w:val="20"/>
              </w:rPr>
              <w:t>43 230</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649CB" w:rsidRPr="00C65CAA" w:rsidRDefault="009649CB" w:rsidP="009879BE">
            <w:pPr>
              <w:jc w:val="center"/>
              <w:rPr>
                <w:rFonts w:ascii="Arial Narrow" w:hAnsi="Arial Narrow" w:cs="Calibri"/>
                <w:sz w:val="20"/>
                <w:szCs w:val="20"/>
              </w:rPr>
            </w:pPr>
            <w:r w:rsidRPr="00C65CAA">
              <w:rPr>
                <w:rFonts w:ascii="Arial Narrow" w:hAnsi="Arial Narrow" w:cs="Calibri"/>
                <w:sz w:val="20"/>
                <w:szCs w:val="20"/>
              </w:rPr>
              <w:t>43 968</w:t>
            </w:r>
          </w:p>
        </w:tc>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649CB" w:rsidRPr="00C65CAA" w:rsidRDefault="009649CB" w:rsidP="009879BE">
            <w:pPr>
              <w:jc w:val="center"/>
              <w:rPr>
                <w:rFonts w:ascii="Arial Narrow" w:hAnsi="Arial Narrow" w:cs="Calibri"/>
                <w:sz w:val="20"/>
                <w:szCs w:val="20"/>
              </w:rPr>
            </w:pPr>
            <w:r w:rsidRPr="00C65CAA">
              <w:rPr>
                <w:rFonts w:ascii="Arial Narrow" w:hAnsi="Arial Narrow" w:cs="Calibri"/>
                <w:sz w:val="20"/>
                <w:szCs w:val="20"/>
              </w:rPr>
              <w:t>45 719</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649CB" w:rsidRPr="00C65CAA" w:rsidRDefault="009649CB" w:rsidP="009879BE">
            <w:pPr>
              <w:jc w:val="center"/>
              <w:rPr>
                <w:rFonts w:ascii="Arial Narrow" w:hAnsi="Arial Narrow" w:cs="Calibri"/>
                <w:sz w:val="20"/>
                <w:szCs w:val="20"/>
              </w:rPr>
            </w:pPr>
            <w:r w:rsidRPr="00C65CAA">
              <w:rPr>
                <w:rFonts w:ascii="Arial Narrow" w:hAnsi="Arial Narrow" w:cs="Calibri"/>
                <w:sz w:val="20"/>
                <w:szCs w:val="20"/>
              </w:rPr>
              <w:t>47 381</w:t>
            </w:r>
          </w:p>
        </w:tc>
        <w:tc>
          <w:tcPr>
            <w:tcW w:w="397" w:type="pct"/>
            <w:tcBorders>
              <w:top w:val="single" w:sz="4" w:space="0" w:color="4472C4"/>
              <w:left w:val="single" w:sz="4" w:space="0" w:color="auto"/>
              <w:bottom w:val="single" w:sz="4" w:space="0" w:color="auto"/>
              <w:right w:val="single" w:sz="4" w:space="0" w:color="auto"/>
            </w:tcBorders>
            <w:shd w:val="clear" w:color="auto" w:fill="FFFFFF" w:themeFill="background1"/>
            <w:noWrap/>
            <w:vAlign w:val="bottom"/>
            <w:hideMark/>
          </w:tcPr>
          <w:p w:rsidR="009649CB" w:rsidRPr="00C65CAA" w:rsidRDefault="009649CB" w:rsidP="009879BE">
            <w:pPr>
              <w:jc w:val="center"/>
              <w:rPr>
                <w:rFonts w:ascii="Arial Narrow" w:hAnsi="Arial Narrow" w:cs="Calibri"/>
                <w:sz w:val="20"/>
                <w:szCs w:val="20"/>
              </w:rPr>
            </w:pPr>
            <w:r w:rsidRPr="00C65CAA">
              <w:rPr>
                <w:rFonts w:ascii="Arial Narrow" w:hAnsi="Arial Narrow" w:cs="Calibri"/>
                <w:sz w:val="20"/>
                <w:szCs w:val="20"/>
              </w:rPr>
              <w:t>48 894</w:t>
            </w:r>
          </w:p>
        </w:tc>
      </w:tr>
      <w:tr w:rsidR="009649CB" w:rsidRPr="00C65CAA" w:rsidTr="003306A1">
        <w:trPr>
          <w:trHeight w:val="243"/>
        </w:trPr>
        <w:tc>
          <w:tcPr>
            <w:tcW w:w="1428" w:type="pct"/>
            <w:tcBorders>
              <w:top w:val="single" w:sz="4" w:space="0" w:color="auto"/>
              <w:left w:val="single" w:sz="4" w:space="0" w:color="4472C4"/>
              <w:bottom w:val="single" w:sz="4" w:space="0" w:color="auto"/>
              <w:right w:val="single" w:sz="4" w:space="0" w:color="auto"/>
            </w:tcBorders>
            <w:shd w:val="clear" w:color="auto" w:fill="FFFFFF" w:themeFill="background1"/>
            <w:noWrap/>
            <w:vAlign w:val="center"/>
            <w:hideMark/>
          </w:tcPr>
          <w:p w:rsidR="009649CB" w:rsidRPr="00C65CAA" w:rsidRDefault="009649CB" w:rsidP="009879BE">
            <w:pPr>
              <w:rPr>
                <w:rFonts w:ascii="Arial Narrow" w:hAnsi="Arial Narrow"/>
                <w:sz w:val="20"/>
                <w:szCs w:val="20"/>
              </w:rPr>
            </w:pPr>
            <w:r w:rsidRPr="00C65CAA">
              <w:rPr>
                <w:rFonts w:ascii="Arial Narrow" w:hAnsi="Arial Narrow"/>
                <w:sz w:val="20"/>
                <w:szCs w:val="20"/>
              </w:rPr>
              <w:t xml:space="preserve">Hrubý dlh verejnej správy </w:t>
            </w:r>
          </w:p>
        </w:tc>
        <w:tc>
          <w:tcPr>
            <w:tcW w:w="475" w:type="pct"/>
            <w:tcBorders>
              <w:top w:val="single" w:sz="4" w:space="0" w:color="auto"/>
              <w:left w:val="nil"/>
              <w:bottom w:val="single" w:sz="4" w:space="0" w:color="auto"/>
              <w:right w:val="single" w:sz="4" w:space="0" w:color="auto"/>
            </w:tcBorders>
            <w:shd w:val="clear" w:color="auto" w:fill="FFFFFF" w:themeFill="background1"/>
            <w:vAlign w:val="center"/>
            <w:hideMark/>
          </w:tcPr>
          <w:p w:rsidR="009649CB" w:rsidRPr="00C65CAA" w:rsidRDefault="009649CB" w:rsidP="009879BE">
            <w:pPr>
              <w:jc w:val="center"/>
              <w:rPr>
                <w:rFonts w:ascii="Arial Narrow" w:hAnsi="Arial Narrow"/>
                <w:sz w:val="20"/>
                <w:szCs w:val="20"/>
              </w:rPr>
            </w:pPr>
            <w:r w:rsidRPr="00C65CAA">
              <w:rPr>
                <w:rFonts w:ascii="Arial Narrow" w:hAnsi="Arial Narrow"/>
                <w:sz w:val="20"/>
                <w:szCs w:val="20"/>
              </w:rPr>
              <w:t>% HDP</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649CB" w:rsidRPr="00C65CAA" w:rsidRDefault="009649CB" w:rsidP="009879BE">
            <w:pPr>
              <w:jc w:val="center"/>
              <w:rPr>
                <w:rFonts w:ascii="Arial Narrow" w:hAnsi="Arial Narrow" w:cs="Calibri"/>
                <w:sz w:val="20"/>
                <w:szCs w:val="20"/>
              </w:rPr>
            </w:pPr>
            <w:r w:rsidRPr="00C65CAA">
              <w:rPr>
                <w:rFonts w:ascii="Arial Narrow" w:hAnsi="Arial Narrow" w:cs="Calibri"/>
                <w:sz w:val="20"/>
                <w:szCs w:val="20"/>
              </w:rPr>
              <w:t>52,3</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649CB" w:rsidRPr="00C65CAA" w:rsidRDefault="009649CB" w:rsidP="009879BE">
            <w:pPr>
              <w:jc w:val="center"/>
              <w:rPr>
                <w:rFonts w:ascii="Arial Narrow" w:hAnsi="Arial Narrow" w:cs="Calibri"/>
                <w:sz w:val="20"/>
                <w:szCs w:val="20"/>
              </w:rPr>
            </w:pPr>
            <w:r w:rsidRPr="00C65CAA">
              <w:rPr>
                <w:rFonts w:ascii="Arial Narrow" w:hAnsi="Arial Narrow" w:cs="Calibri"/>
                <w:sz w:val="20"/>
                <w:szCs w:val="20"/>
              </w:rPr>
              <w:t>51,8</w:t>
            </w:r>
          </w:p>
        </w:tc>
        <w:tc>
          <w:tcPr>
            <w:tcW w:w="39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649CB" w:rsidRPr="00C65CAA" w:rsidRDefault="009649CB" w:rsidP="009879BE">
            <w:pPr>
              <w:jc w:val="center"/>
              <w:rPr>
                <w:rFonts w:ascii="Arial Narrow" w:hAnsi="Arial Narrow" w:cs="Calibri"/>
                <w:sz w:val="20"/>
                <w:szCs w:val="20"/>
              </w:rPr>
            </w:pPr>
            <w:r w:rsidRPr="00C65CAA">
              <w:rPr>
                <w:rFonts w:ascii="Arial Narrow" w:hAnsi="Arial Narrow" w:cs="Calibri"/>
                <w:sz w:val="20"/>
                <w:szCs w:val="20"/>
              </w:rPr>
              <w:t>50,9</w:t>
            </w:r>
          </w:p>
        </w:tc>
        <w:tc>
          <w:tcPr>
            <w:tcW w:w="477"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649CB" w:rsidRPr="00C65CAA" w:rsidRDefault="009649CB" w:rsidP="009879BE">
            <w:pPr>
              <w:jc w:val="center"/>
              <w:rPr>
                <w:rFonts w:ascii="Arial Narrow" w:hAnsi="Arial Narrow" w:cs="Calibri"/>
                <w:sz w:val="20"/>
                <w:szCs w:val="20"/>
              </w:rPr>
            </w:pPr>
            <w:r w:rsidRPr="00C65CAA">
              <w:rPr>
                <w:rFonts w:ascii="Arial Narrow" w:hAnsi="Arial Narrow" w:cs="Calibri"/>
                <w:sz w:val="20"/>
                <w:szCs w:val="20"/>
              </w:rPr>
              <w:t>48,7</w:t>
            </w:r>
          </w:p>
        </w:tc>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649CB" w:rsidRPr="00C65CAA" w:rsidRDefault="009649CB" w:rsidP="009879BE">
            <w:pPr>
              <w:jc w:val="center"/>
              <w:rPr>
                <w:rFonts w:ascii="Arial Narrow" w:hAnsi="Arial Narrow" w:cs="Calibri"/>
                <w:sz w:val="20"/>
                <w:szCs w:val="20"/>
              </w:rPr>
            </w:pPr>
            <w:r w:rsidRPr="00C65CAA">
              <w:rPr>
                <w:rFonts w:ascii="Arial Narrow" w:hAnsi="Arial Narrow" w:cs="Calibri"/>
                <w:sz w:val="20"/>
                <w:szCs w:val="20"/>
              </w:rPr>
              <w:t>47,3</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649CB" w:rsidRPr="00C65CAA" w:rsidRDefault="009649CB" w:rsidP="009879BE">
            <w:pPr>
              <w:jc w:val="center"/>
              <w:rPr>
                <w:rFonts w:ascii="Arial Narrow" w:hAnsi="Arial Narrow" w:cs="Calibri"/>
                <w:sz w:val="20"/>
                <w:szCs w:val="20"/>
              </w:rPr>
            </w:pPr>
            <w:r w:rsidRPr="00C65CAA">
              <w:rPr>
                <w:rFonts w:ascii="Arial Narrow" w:hAnsi="Arial Narrow" w:cs="Calibri"/>
                <w:sz w:val="20"/>
                <w:szCs w:val="20"/>
              </w:rPr>
              <w:t>46,0</w:t>
            </w:r>
          </w:p>
        </w:tc>
        <w:tc>
          <w:tcPr>
            <w:tcW w:w="3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649CB" w:rsidRPr="00C65CAA" w:rsidRDefault="009649CB" w:rsidP="009879BE">
            <w:pPr>
              <w:jc w:val="center"/>
              <w:rPr>
                <w:rFonts w:ascii="Arial Narrow" w:hAnsi="Arial Narrow" w:cs="Calibri"/>
                <w:sz w:val="20"/>
                <w:szCs w:val="20"/>
              </w:rPr>
            </w:pPr>
            <w:r w:rsidRPr="00C65CAA">
              <w:rPr>
                <w:rFonts w:ascii="Arial Narrow" w:hAnsi="Arial Narrow" w:cs="Calibri"/>
                <w:sz w:val="20"/>
                <w:szCs w:val="20"/>
              </w:rPr>
              <w:t>44,8</w:t>
            </w:r>
          </w:p>
        </w:tc>
      </w:tr>
    </w:tbl>
    <w:p w:rsidR="009649CB" w:rsidRPr="00C65CAA" w:rsidRDefault="009649CB" w:rsidP="00B366F3">
      <w:pPr>
        <w:pStyle w:val="Bezriadkovania"/>
        <w:spacing w:after="100"/>
        <w:rPr>
          <w:rFonts w:ascii="Arial Narrow" w:hAnsi="Arial Narrow"/>
          <w:sz w:val="18"/>
          <w:szCs w:val="18"/>
        </w:rPr>
      </w:pPr>
      <w:r w:rsidRPr="00C65CAA">
        <w:rPr>
          <w:rFonts w:ascii="Arial Narrow" w:hAnsi="Arial Narrow"/>
          <w:sz w:val="18"/>
          <w:szCs w:val="18"/>
        </w:rPr>
        <w:t>Zdroj: MF SR, ŠÚ SR (správa o deficite a dlhu k 22.10.2018)</w:t>
      </w:r>
    </w:p>
    <w:p w:rsidR="009649CB" w:rsidRPr="00C65CAA" w:rsidRDefault="009649CB" w:rsidP="00256AF8">
      <w:pPr>
        <w:spacing w:before="100" w:after="100"/>
        <w:ind w:firstLine="708"/>
        <w:jc w:val="both"/>
        <w:rPr>
          <w:rFonts w:ascii="Arial Narrow" w:hAnsi="Arial Narrow"/>
          <w:sz w:val="22"/>
          <w:szCs w:val="22"/>
          <w:shd w:val="clear" w:color="auto" w:fill="FFFFFF"/>
        </w:rPr>
      </w:pPr>
      <w:r w:rsidRPr="00C65CAA">
        <w:rPr>
          <w:rFonts w:ascii="Arial Narrow" w:hAnsi="Arial Narrow"/>
          <w:sz w:val="22"/>
          <w:szCs w:val="22"/>
          <w:shd w:val="clear" w:color="auto" w:fill="FFFFFF"/>
        </w:rPr>
        <w:t>Dlhodobá udržateľnosť verejných financií sa od nástupu globálnej hospodárskej krízy v roku 2008 stala jednou z najdôležitejších priorít národných vlád. Úroveň hrubého dlhu SR sa zvýšila z 30,01 % v roku 2007 na 48,7  % HDP v roku 2018. V roku 2019 sa  mala znížiť na 47,3 % HDP. Od roku 2013 má dlh v pomere k HDP klesajúci trend, v absolútnych číslach sa neustále dlh zvyšuje. Tiež ukazovateľ dlhu na obyvateľa SR sa v rokoch 2014 – 2018 zvýšil zo 7,5 tis. eur na 7,9 tis. eur.</w:t>
      </w:r>
    </w:p>
    <w:p w:rsidR="00B366F3" w:rsidRPr="00C65CAA" w:rsidRDefault="00B366F3" w:rsidP="00256AF8">
      <w:pPr>
        <w:spacing w:before="100" w:after="100"/>
        <w:ind w:firstLine="708"/>
        <w:jc w:val="both"/>
        <w:rPr>
          <w:rFonts w:ascii="Arial Narrow" w:hAnsi="Arial Narrow"/>
          <w:sz w:val="22"/>
          <w:szCs w:val="22"/>
          <w:shd w:val="clear" w:color="auto" w:fill="FFFFFF"/>
        </w:rPr>
      </w:pPr>
    </w:p>
    <w:p w:rsidR="00B366F3" w:rsidRPr="00C65CAA" w:rsidRDefault="00B366F3" w:rsidP="00256AF8">
      <w:pPr>
        <w:spacing w:before="100" w:after="100"/>
        <w:ind w:firstLine="708"/>
        <w:jc w:val="both"/>
        <w:rPr>
          <w:rFonts w:ascii="Arial Narrow" w:hAnsi="Arial Narrow"/>
          <w:sz w:val="22"/>
          <w:szCs w:val="22"/>
          <w:shd w:val="clear" w:color="auto" w:fill="FFFFFF"/>
        </w:rPr>
      </w:pPr>
    </w:p>
    <w:p w:rsidR="007809C2" w:rsidRDefault="007809C2" w:rsidP="00256AF8">
      <w:pPr>
        <w:pStyle w:val="Bezriadkovania"/>
        <w:spacing w:before="100" w:after="100"/>
        <w:contextualSpacing/>
        <w:rPr>
          <w:rFonts w:ascii="Arial Narrow" w:hAnsi="Arial Narrow"/>
          <w:sz w:val="22"/>
        </w:rPr>
      </w:pPr>
    </w:p>
    <w:p w:rsidR="009649CB" w:rsidRPr="00C65CAA" w:rsidRDefault="009649CB" w:rsidP="00256AF8">
      <w:pPr>
        <w:pStyle w:val="Bezriadkovania"/>
        <w:spacing w:before="100" w:after="100"/>
        <w:contextualSpacing/>
        <w:rPr>
          <w:rFonts w:ascii="Arial Narrow" w:hAnsi="Arial Narrow"/>
          <w:sz w:val="22"/>
        </w:rPr>
      </w:pPr>
      <w:r w:rsidRPr="00C65CAA">
        <w:rPr>
          <w:rFonts w:ascii="Arial Narrow" w:hAnsi="Arial Narrow"/>
          <w:sz w:val="22"/>
        </w:rPr>
        <w:tab/>
        <w:t>Vývoj dlhu verejnej správy v rok</w:t>
      </w:r>
      <w:r w:rsidR="008C14C1" w:rsidRPr="00C65CAA">
        <w:rPr>
          <w:rFonts w:ascii="Arial Narrow" w:hAnsi="Arial Narrow"/>
          <w:sz w:val="22"/>
        </w:rPr>
        <w:t>och 2007</w:t>
      </w:r>
      <w:r w:rsidRPr="00C65CAA">
        <w:rPr>
          <w:rFonts w:ascii="Arial Narrow" w:hAnsi="Arial Narrow"/>
          <w:sz w:val="22"/>
        </w:rPr>
        <w:t xml:space="preserve"> až 2021</w:t>
      </w:r>
      <w:r w:rsidR="001D2AD7" w:rsidRPr="00C65CAA">
        <w:rPr>
          <w:rFonts w:ascii="Arial Narrow" w:hAnsi="Arial Narrow"/>
          <w:sz w:val="22"/>
        </w:rPr>
        <w:t>:</w:t>
      </w:r>
    </w:p>
    <w:tbl>
      <w:tblPr>
        <w:tblStyle w:val="Mriekatabuky"/>
        <w:tblW w:w="923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230"/>
      </w:tblGrid>
      <w:tr w:rsidR="009649CB" w:rsidRPr="00C65CAA" w:rsidTr="009649CB">
        <w:trPr>
          <w:trHeight w:val="278"/>
        </w:trPr>
        <w:tc>
          <w:tcPr>
            <w:tcW w:w="9230" w:type="dxa"/>
            <w:tcBorders>
              <w:top w:val="single" w:sz="4" w:space="0" w:color="auto"/>
              <w:bottom w:val="single" w:sz="4" w:space="0" w:color="auto"/>
            </w:tcBorders>
            <w:shd w:val="clear" w:color="auto" w:fill="0070C0"/>
          </w:tcPr>
          <w:p w:rsidR="009649CB" w:rsidRPr="00C65CAA" w:rsidRDefault="009649CB" w:rsidP="00B366F3">
            <w:pPr>
              <w:jc w:val="both"/>
              <w:rPr>
                <w:rFonts w:ascii="Arial Narrow" w:hAnsi="Arial Narrow"/>
                <w:b/>
                <w:sz w:val="20"/>
                <w:szCs w:val="20"/>
              </w:rPr>
            </w:pPr>
            <w:r w:rsidRPr="00C65CAA">
              <w:rPr>
                <w:rFonts w:ascii="Arial Narrow" w:hAnsi="Arial Narrow"/>
                <w:b/>
                <w:color w:val="FFFFFF" w:themeColor="background1"/>
              </w:rPr>
              <w:t>Vývoj dlhu verejnej správy v rokoch 2007 až 2021</w:t>
            </w:r>
          </w:p>
        </w:tc>
      </w:tr>
      <w:tr w:rsidR="009649CB" w:rsidRPr="00C65CAA" w:rsidTr="008C14C1">
        <w:tblPrEx>
          <w:tblCellMar>
            <w:left w:w="70" w:type="dxa"/>
            <w:right w:w="70" w:type="dxa"/>
          </w:tblCellMar>
        </w:tblPrEx>
        <w:trPr>
          <w:trHeight w:val="2211"/>
        </w:trPr>
        <w:tc>
          <w:tcPr>
            <w:tcW w:w="9230" w:type="dxa"/>
            <w:tcBorders>
              <w:top w:val="single" w:sz="4" w:space="0" w:color="auto"/>
            </w:tcBorders>
          </w:tcPr>
          <w:p w:rsidR="009649CB" w:rsidRPr="00C65CAA" w:rsidRDefault="009649CB" w:rsidP="00B366F3">
            <w:pPr>
              <w:rPr>
                <w:rFonts w:ascii="Arial Narrow" w:hAnsi="Arial Narrow"/>
                <w:sz w:val="20"/>
                <w:szCs w:val="20"/>
              </w:rPr>
            </w:pPr>
            <w:r w:rsidRPr="00C65CAA">
              <w:rPr>
                <w:rFonts w:ascii="Arial Narrow" w:hAnsi="Arial Narrow"/>
                <w:noProof/>
              </w:rPr>
              <w:drawing>
                <wp:inline distT="0" distB="0" distL="0" distR="0" wp14:anchorId="769949C8" wp14:editId="71B06FFE">
                  <wp:extent cx="5760720" cy="1436915"/>
                  <wp:effectExtent l="0" t="0" r="0" b="0"/>
                  <wp:docPr id="6"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rsidR="009649CB" w:rsidRPr="00C65CAA" w:rsidRDefault="009649CB" w:rsidP="00B366F3">
      <w:pPr>
        <w:pStyle w:val="Bezriadkovania"/>
        <w:spacing w:after="100"/>
        <w:contextualSpacing/>
        <w:rPr>
          <w:rFonts w:ascii="Arial Narrow" w:hAnsi="Arial Narrow"/>
          <w:sz w:val="22"/>
        </w:rPr>
      </w:pPr>
      <w:r w:rsidRPr="00C65CAA">
        <w:rPr>
          <w:rFonts w:ascii="Arial Narrow" w:hAnsi="Arial Narrow"/>
          <w:i/>
          <w:sz w:val="20"/>
          <w:szCs w:val="20"/>
          <w:shd w:val="clear" w:color="auto" w:fill="FFFFFF"/>
        </w:rPr>
        <w:t>Zdroj: MF SR, Eurostat, RVS 201</w:t>
      </w:r>
      <w:r w:rsidR="00841A67" w:rsidRPr="00C65CAA">
        <w:rPr>
          <w:rFonts w:ascii="Arial Narrow" w:hAnsi="Arial Narrow"/>
          <w:i/>
          <w:sz w:val="20"/>
          <w:szCs w:val="20"/>
          <w:shd w:val="clear" w:color="auto" w:fill="FFFFFF"/>
        </w:rPr>
        <w:t xml:space="preserve">9 – </w:t>
      </w:r>
      <w:r w:rsidRPr="00C65CAA">
        <w:rPr>
          <w:rFonts w:ascii="Arial Narrow" w:hAnsi="Arial Narrow"/>
          <w:i/>
          <w:sz w:val="20"/>
          <w:szCs w:val="20"/>
          <w:shd w:val="clear" w:color="auto" w:fill="FFFFFF"/>
        </w:rPr>
        <w:t>2021</w:t>
      </w:r>
    </w:p>
    <w:p w:rsidR="009649CB" w:rsidRPr="00C65CAA" w:rsidRDefault="009649CB" w:rsidP="00256AF8">
      <w:pPr>
        <w:pStyle w:val="Normlnywebov"/>
        <w:shd w:val="clear" w:color="auto" w:fill="FFFFFF"/>
        <w:spacing w:beforeAutospacing="0" w:afterAutospacing="0"/>
        <w:ind w:firstLine="708"/>
        <w:jc w:val="both"/>
        <w:rPr>
          <w:rFonts w:ascii="Arial Narrow" w:hAnsi="Arial Narrow"/>
          <w:b/>
          <w:sz w:val="22"/>
          <w:szCs w:val="22"/>
        </w:rPr>
      </w:pPr>
      <w:r w:rsidRPr="00C65CAA">
        <w:rPr>
          <w:rFonts w:ascii="Arial Narrow" w:hAnsi="Arial Narrow"/>
          <w:sz w:val="22"/>
          <w:szCs w:val="22"/>
        </w:rPr>
        <w:t>Prechodné ustanovenie podľa zákona o rozpočtovej zodpovednosti</w:t>
      </w:r>
      <w:r w:rsidR="0095527E" w:rsidRPr="00C65CAA">
        <w:rPr>
          <w:rFonts w:ascii="Arial Narrow" w:hAnsi="Arial Narrow"/>
          <w:sz w:val="22"/>
          <w:szCs w:val="22"/>
        </w:rPr>
        <w:t>,</w:t>
      </w:r>
      <w:r w:rsidRPr="00C65CAA">
        <w:rPr>
          <w:rFonts w:ascii="Arial Narrow" w:hAnsi="Arial Narrow"/>
          <w:sz w:val="22"/>
          <w:szCs w:val="22"/>
        </w:rPr>
        <w:t xml:space="preserve"> platné do roku 2017</w:t>
      </w:r>
      <w:r w:rsidR="00841A67" w:rsidRPr="00C65CAA">
        <w:rPr>
          <w:rFonts w:ascii="Arial Narrow" w:hAnsi="Arial Narrow"/>
          <w:sz w:val="22"/>
          <w:szCs w:val="22"/>
        </w:rPr>
        <w:t>,</w:t>
      </w:r>
      <w:r w:rsidRPr="00C65CAA">
        <w:rPr>
          <w:rFonts w:ascii="Arial Narrow" w:hAnsi="Arial Narrow"/>
          <w:sz w:val="22"/>
          <w:szCs w:val="22"/>
        </w:rPr>
        <w:t xml:space="preserve"> určuje hornú hranicu </w:t>
      </w:r>
      <w:r w:rsidR="00841A67" w:rsidRPr="00C65CAA">
        <w:rPr>
          <w:rFonts w:ascii="Arial Narrow" w:hAnsi="Arial Narrow"/>
          <w:sz w:val="22"/>
          <w:szCs w:val="22"/>
        </w:rPr>
        <w:t>pre</w:t>
      </w:r>
      <w:r w:rsidRPr="00C65CAA">
        <w:rPr>
          <w:rFonts w:ascii="Arial Narrow" w:hAnsi="Arial Narrow"/>
          <w:sz w:val="22"/>
          <w:szCs w:val="22"/>
        </w:rPr>
        <w:t xml:space="preserve"> dlh verejnej správy </w:t>
      </w:r>
      <w:r w:rsidR="00841A67" w:rsidRPr="00C65CAA">
        <w:rPr>
          <w:rFonts w:ascii="Arial Narrow" w:hAnsi="Arial Narrow"/>
          <w:sz w:val="22"/>
          <w:szCs w:val="22"/>
        </w:rPr>
        <w:t xml:space="preserve">na </w:t>
      </w:r>
      <w:r w:rsidRPr="00C65CAA">
        <w:rPr>
          <w:rFonts w:ascii="Arial Narrow" w:hAnsi="Arial Narrow"/>
          <w:sz w:val="22"/>
          <w:szCs w:val="22"/>
        </w:rPr>
        <w:t>60 % HDP. Od roku 2018 až do roku 2027 platí prechodné ustanovenie, ktorým sa horný limit každoročne znižuje o 1 p.  b. až na konečnú úroveň 50 % HDP. Sankčné pásma sa v roku 2019 posúvajú v súlade s tým rovnako o 1 p. b. V rámci prvého sankčného pásma, kedy bude dlh vyšší alebo rovný 48</w:t>
      </w:r>
      <w:r w:rsidR="008E0327" w:rsidRPr="00C65CAA">
        <w:rPr>
          <w:rFonts w:ascii="Arial Narrow" w:hAnsi="Arial Narrow"/>
          <w:sz w:val="22"/>
          <w:szCs w:val="22"/>
        </w:rPr>
        <w:t xml:space="preserve"> </w:t>
      </w:r>
      <w:r w:rsidRPr="00C65CAA">
        <w:rPr>
          <w:rFonts w:ascii="Arial Narrow" w:hAnsi="Arial Narrow"/>
          <w:sz w:val="22"/>
          <w:szCs w:val="22"/>
        </w:rPr>
        <w:t xml:space="preserve">% HDP a zároveň nižší ako 51 % HDP, </w:t>
      </w:r>
      <w:r w:rsidR="008E0327" w:rsidRPr="00C65CAA">
        <w:rPr>
          <w:rFonts w:ascii="Arial Narrow" w:hAnsi="Arial Narrow"/>
          <w:sz w:val="22"/>
          <w:szCs w:val="22"/>
        </w:rPr>
        <w:t>MF</w:t>
      </w:r>
      <w:r w:rsidRPr="00C65CAA">
        <w:rPr>
          <w:rFonts w:ascii="Arial Narrow" w:hAnsi="Arial Narrow"/>
          <w:sz w:val="22"/>
          <w:szCs w:val="22"/>
        </w:rPr>
        <w:t xml:space="preserve"> zasiela NR SR zdôvodnenie výšky dlhu vrátane návrhu opatrení na jeho zn</w:t>
      </w:r>
      <w:r w:rsidR="00841A67" w:rsidRPr="00C65CAA">
        <w:rPr>
          <w:rFonts w:ascii="Arial Narrow" w:hAnsi="Arial Narrow"/>
          <w:sz w:val="22"/>
          <w:szCs w:val="22"/>
        </w:rPr>
        <w:t>íženie.</w:t>
      </w:r>
      <w:r w:rsidRPr="00C65CAA">
        <w:rPr>
          <w:rFonts w:ascii="Arial Narrow" w:hAnsi="Arial Narrow"/>
          <w:sz w:val="22"/>
          <w:szCs w:val="22"/>
        </w:rPr>
        <w:t xml:space="preserve"> </w:t>
      </w:r>
      <w:r w:rsidRPr="00C65CAA">
        <w:rPr>
          <w:rFonts w:ascii="Arial Narrow" w:hAnsi="Arial Narrow"/>
          <w:b/>
          <w:bCs/>
          <w:sz w:val="22"/>
          <w:szCs w:val="22"/>
        </w:rPr>
        <w:t xml:space="preserve">Hrubý dlh </w:t>
      </w:r>
      <w:r w:rsidRPr="00C65CAA">
        <w:rPr>
          <w:rFonts w:ascii="Arial Narrow" w:hAnsi="Arial Narrow"/>
          <w:b/>
          <w:sz w:val="22"/>
          <w:szCs w:val="22"/>
        </w:rPr>
        <w:t xml:space="preserve">verejnej správy podľa navrhovaného rozpočtu by mal v roku 2019 dosiahnuť úroveň 47,3 % HDP, znamená to, že by mal skončiť mimo hranice prvého sankčného pásma. </w:t>
      </w:r>
    </w:p>
    <w:tbl>
      <w:tblPr>
        <w:tblStyle w:val="Mriekatabuky"/>
        <w:tblW w:w="923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230"/>
      </w:tblGrid>
      <w:tr w:rsidR="009649CB" w:rsidRPr="00C65CAA" w:rsidTr="008C14C1">
        <w:trPr>
          <w:trHeight w:val="278"/>
        </w:trPr>
        <w:tc>
          <w:tcPr>
            <w:tcW w:w="9230" w:type="dxa"/>
            <w:tcBorders>
              <w:top w:val="single" w:sz="4" w:space="0" w:color="auto"/>
              <w:bottom w:val="single" w:sz="4" w:space="0" w:color="auto"/>
            </w:tcBorders>
            <w:shd w:val="clear" w:color="auto" w:fill="0070C0"/>
          </w:tcPr>
          <w:p w:rsidR="009649CB" w:rsidRPr="00C65CAA" w:rsidRDefault="009649CB" w:rsidP="00B366F3">
            <w:pPr>
              <w:jc w:val="both"/>
              <w:rPr>
                <w:rFonts w:ascii="Arial Narrow" w:hAnsi="Arial Narrow"/>
                <w:b/>
                <w:sz w:val="20"/>
                <w:szCs w:val="20"/>
              </w:rPr>
            </w:pPr>
            <w:r w:rsidRPr="00C65CAA">
              <w:rPr>
                <w:rFonts w:ascii="Arial Narrow" w:eastAsia="Calibri" w:hAnsi="Arial Narrow"/>
                <w:b/>
                <w:color w:val="FFFFFF" w:themeColor="background1"/>
              </w:rPr>
              <w:t>Náklady na obsluhu štátneho dlhu v rokoch 2007 až 2021, v mil. eur</w:t>
            </w:r>
          </w:p>
        </w:tc>
      </w:tr>
      <w:tr w:rsidR="009649CB" w:rsidRPr="00C65CAA" w:rsidTr="008C14C1">
        <w:tblPrEx>
          <w:tblCellMar>
            <w:left w:w="70" w:type="dxa"/>
            <w:right w:w="70" w:type="dxa"/>
          </w:tblCellMar>
        </w:tblPrEx>
        <w:trPr>
          <w:trHeight w:val="2665"/>
        </w:trPr>
        <w:tc>
          <w:tcPr>
            <w:tcW w:w="9230" w:type="dxa"/>
            <w:tcBorders>
              <w:top w:val="single" w:sz="4" w:space="0" w:color="auto"/>
            </w:tcBorders>
          </w:tcPr>
          <w:p w:rsidR="009649CB" w:rsidRPr="00C65CAA" w:rsidRDefault="009649CB" w:rsidP="00B366F3">
            <w:pPr>
              <w:rPr>
                <w:rFonts w:ascii="Arial Narrow" w:hAnsi="Arial Narrow"/>
                <w:sz w:val="20"/>
                <w:szCs w:val="20"/>
              </w:rPr>
            </w:pPr>
            <w:r w:rsidRPr="00C65CAA">
              <w:rPr>
                <w:rFonts w:ascii="Arial Narrow" w:hAnsi="Arial Narrow"/>
                <w:noProof/>
              </w:rPr>
              <w:drawing>
                <wp:inline distT="0" distB="0" distL="0" distR="0" wp14:anchorId="18C56AAC" wp14:editId="689A04A6">
                  <wp:extent cx="5760720" cy="1885315"/>
                  <wp:effectExtent l="0" t="0" r="0" b="635"/>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rsidR="009649CB" w:rsidRPr="00C65CAA" w:rsidRDefault="009649CB" w:rsidP="00B366F3">
      <w:pPr>
        <w:spacing w:after="100"/>
        <w:jc w:val="both"/>
        <w:rPr>
          <w:rFonts w:ascii="Arial Narrow" w:hAnsi="Arial Narrow"/>
          <w:i/>
          <w:sz w:val="18"/>
          <w:szCs w:val="18"/>
          <w:shd w:val="clear" w:color="auto" w:fill="FFFFFF"/>
        </w:rPr>
      </w:pPr>
      <w:r w:rsidRPr="00C65CAA">
        <w:rPr>
          <w:rFonts w:ascii="Arial Narrow" w:hAnsi="Arial Narrow"/>
          <w:i/>
          <w:sz w:val="18"/>
          <w:szCs w:val="18"/>
          <w:shd w:val="clear" w:color="auto" w:fill="FFFFFF"/>
        </w:rPr>
        <w:t>Zdroj: MF SR, Eurostat, RVS 2019</w:t>
      </w:r>
      <w:r w:rsidR="00841A67" w:rsidRPr="00C65CAA">
        <w:rPr>
          <w:rFonts w:ascii="Arial Narrow" w:hAnsi="Arial Narrow"/>
          <w:i/>
          <w:sz w:val="18"/>
          <w:szCs w:val="18"/>
          <w:shd w:val="clear" w:color="auto" w:fill="FFFFFF"/>
        </w:rPr>
        <w:t xml:space="preserve"> – </w:t>
      </w:r>
      <w:r w:rsidRPr="00C65CAA">
        <w:rPr>
          <w:rFonts w:ascii="Arial Narrow" w:hAnsi="Arial Narrow"/>
          <w:i/>
          <w:sz w:val="18"/>
          <w:szCs w:val="18"/>
          <w:shd w:val="clear" w:color="auto" w:fill="FFFFFF"/>
        </w:rPr>
        <w:t>2021</w:t>
      </w:r>
    </w:p>
    <w:p w:rsidR="009649CB" w:rsidRPr="00C65CAA" w:rsidRDefault="009649CB" w:rsidP="00256AF8">
      <w:pPr>
        <w:pStyle w:val="Normlnywebov"/>
        <w:shd w:val="clear" w:color="auto" w:fill="FFFFFF"/>
        <w:spacing w:beforeAutospacing="0" w:afterAutospacing="0"/>
        <w:ind w:firstLine="708"/>
        <w:jc w:val="both"/>
        <w:rPr>
          <w:rFonts w:ascii="Arial Narrow" w:hAnsi="Arial Narrow" w:cs="Arial"/>
          <w:sz w:val="22"/>
          <w:szCs w:val="22"/>
        </w:rPr>
      </w:pPr>
      <w:r w:rsidRPr="00C65CAA">
        <w:rPr>
          <w:rFonts w:ascii="Arial Narrow" w:hAnsi="Arial Narrow" w:cs="Arial"/>
          <w:sz w:val="22"/>
          <w:szCs w:val="22"/>
        </w:rPr>
        <w:t>Náklady na obsluhu štátneho dlhu</w:t>
      </w:r>
      <w:r w:rsidR="008E0327" w:rsidRPr="00C65CAA">
        <w:rPr>
          <w:rFonts w:ascii="Arial Narrow" w:hAnsi="Arial Narrow" w:cs="Arial"/>
          <w:sz w:val="22"/>
          <w:szCs w:val="22"/>
        </w:rPr>
        <w:t xml:space="preserve"> v prepočte na jedno</w:t>
      </w:r>
      <w:r w:rsidRPr="00C65CAA">
        <w:rPr>
          <w:rFonts w:ascii="Arial Narrow" w:hAnsi="Arial Narrow" w:cs="Arial"/>
          <w:sz w:val="22"/>
          <w:szCs w:val="22"/>
        </w:rPr>
        <w:t xml:space="preserve"> eur</w:t>
      </w:r>
      <w:r w:rsidR="00116B8F" w:rsidRPr="00C65CAA">
        <w:rPr>
          <w:rFonts w:ascii="Arial Narrow" w:hAnsi="Arial Narrow" w:cs="Arial"/>
          <w:sz w:val="22"/>
          <w:szCs w:val="22"/>
        </w:rPr>
        <w:t>o</w:t>
      </w:r>
      <w:r w:rsidRPr="00C65CAA">
        <w:rPr>
          <w:rFonts w:ascii="Arial Narrow" w:hAnsi="Arial Narrow" w:cs="Arial"/>
          <w:sz w:val="22"/>
          <w:szCs w:val="22"/>
        </w:rPr>
        <w:t xml:space="preserve"> klesajú. Naopak</w:t>
      </w:r>
      <w:r w:rsidR="00841A67" w:rsidRPr="00C65CAA">
        <w:rPr>
          <w:rFonts w:ascii="Arial Narrow" w:hAnsi="Arial Narrow" w:cs="Arial"/>
          <w:sz w:val="22"/>
          <w:szCs w:val="22"/>
        </w:rPr>
        <w:t>,</w:t>
      </w:r>
      <w:r w:rsidRPr="00C65CAA">
        <w:rPr>
          <w:rFonts w:ascii="Arial Narrow" w:hAnsi="Arial Narrow" w:cs="Arial"/>
          <w:sz w:val="22"/>
          <w:szCs w:val="22"/>
        </w:rPr>
        <w:t xml:space="preserve"> celkové náklady v absolútnych číslach stúpajú. Kým v roku 2007 náklady na jedno euro dlhu predstavovali hodnotu 0,045 eur, v roku 2019 by obsluha štátneho dlhu mala stáť 0,026 eur za jedno požičané euro. Celkovo za štátny dlh 2019 </w:t>
      </w:r>
      <w:r w:rsidR="008E0327" w:rsidRPr="00C65CAA">
        <w:rPr>
          <w:rFonts w:ascii="Arial Narrow" w:hAnsi="Arial Narrow" w:cs="Arial"/>
          <w:sz w:val="22"/>
          <w:szCs w:val="22"/>
        </w:rPr>
        <w:t>by mala vláda zaplatiť</w:t>
      </w:r>
      <w:r w:rsidRPr="00C65CAA">
        <w:rPr>
          <w:rFonts w:ascii="Arial Narrow" w:hAnsi="Arial Narrow" w:cs="Arial"/>
          <w:sz w:val="22"/>
          <w:szCs w:val="22"/>
        </w:rPr>
        <w:t xml:space="preserve"> 1 179 mil. eur, čo je o 38 mil. eur viac</w:t>
      </w:r>
      <w:r w:rsidR="00841A67" w:rsidRPr="00C65CAA">
        <w:rPr>
          <w:rFonts w:ascii="Arial Narrow" w:hAnsi="Arial Narrow" w:cs="Arial"/>
          <w:sz w:val="22"/>
          <w:szCs w:val="22"/>
        </w:rPr>
        <w:t>,</w:t>
      </w:r>
      <w:r w:rsidRPr="00C65CAA">
        <w:rPr>
          <w:rFonts w:ascii="Arial Narrow" w:hAnsi="Arial Narrow" w:cs="Arial"/>
          <w:sz w:val="22"/>
          <w:szCs w:val="22"/>
        </w:rPr>
        <w:t xml:space="preserve"> ako v predchádzajúcom roku</w:t>
      </w:r>
      <w:r w:rsidR="00841A67" w:rsidRPr="00C65CAA">
        <w:rPr>
          <w:rFonts w:ascii="Arial Narrow" w:hAnsi="Arial Narrow" w:cs="Arial"/>
          <w:sz w:val="22"/>
          <w:szCs w:val="22"/>
        </w:rPr>
        <w:t>,</w:t>
      </w:r>
      <w:r w:rsidRPr="00C65CAA">
        <w:rPr>
          <w:rFonts w:ascii="Arial Narrow" w:hAnsi="Arial Narrow" w:cs="Arial"/>
          <w:sz w:val="22"/>
          <w:szCs w:val="22"/>
        </w:rPr>
        <w:t xml:space="preserve"> pričom v roku 2007 na tieto účely bolo vynaložených len 996 mil. eur.</w:t>
      </w:r>
    </w:p>
    <w:tbl>
      <w:tblPr>
        <w:tblStyle w:val="Mriekatabuky"/>
        <w:tblW w:w="923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230"/>
      </w:tblGrid>
      <w:tr w:rsidR="009649CB" w:rsidRPr="00C65CAA" w:rsidTr="00B366F3">
        <w:trPr>
          <w:trHeight w:val="278"/>
        </w:trPr>
        <w:tc>
          <w:tcPr>
            <w:tcW w:w="9230" w:type="dxa"/>
            <w:tcBorders>
              <w:top w:val="single" w:sz="4" w:space="0" w:color="auto"/>
              <w:bottom w:val="single" w:sz="4" w:space="0" w:color="auto"/>
            </w:tcBorders>
            <w:shd w:val="clear" w:color="auto" w:fill="0070C0"/>
          </w:tcPr>
          <w:p w:rsidR="009649CB" w:rsidRPr="00C65CAA" w:rsidRDefault="009649CB" w:rsidP="00B366F3">
            <w:pPr>
              <w:jc w:val="both"/>
              <w:rPr>
                <w:rFonts w:ascii="Arial Narrow" w:eastAsia="Calibri" w:hAnsi="Arial Narrow"/>
                <w:b/>
                <w:color w:val="000000" w:themeColor="text1"/>
                <w:sz w:val="20"/>
                <w:szCs w:val="20"/>
              </w:rPr>
            </w:pPr>
            <w:r w:rsidRPr="00C65CAA">
              <w:rPr>
                <w:rFonts w:ascii="Arial Narrow" w:eastAsia="Calibri" w:hAnsi="Arial Narrow"/>
                <w:b/>
                <w:color w:val="FFFFFF" w:themeColor="background1"/>
                <w:sz w:val="20"/>
                <w:szCs w:val="20"/>
              </w:rPr>
              <w:t>Dlh v prepočte na 1 obyvateľa SR v rokoch 2006 až 2021, v tis. eur</w:t>
            </w:r>
          </w:p>
        </w:tc>
      </w:tr>
      <w:tr w:rsidR="009649CB" w:rsidRPr="00C65CAA" w:rsidTr="00B366F3">
        <w:tblPrEx>
          <w:tblCellMar>
            <w:left w:w="70" w:type="dxa"/>
            <w:right w:w="70" w:type="dxa"/>
          </w:tblCellMar>
        </w:tblPrEx>
        <w:trPr>
          <w:trHeight w:val="1871"/>
        </w:trPr>
        <w:tc>
          <w:tcPr>
            <w:tcW w:w="9230" w:type="dxa"/>
            <w:tcBorders>
              <w:top w:val="single" w:sz="4" w:space="0" w:color="auto"/>
              <w:bottom w:val="single" w:sz="4" w:space="0" w:color="auto"/>
            </w:tcBorders>
          </w:tcPr>
          <w:p w:rsidR="009649CB" w:rsidRPr="00C65CAA" w:rsidRDefault="009649CB" w:rsidP="00B366F3">
            <w:pPr>
              <w:rPr>
                <w:rFonts w:ascii="Arial Narrow" w:hAnsi="Arial Narrow"/>
                <w:sz w:val="20"/>
                <w:szCs w:val="20"/>
              </w:rPr>
            </w:pPr>
            <w:r w:rsidRPr="00C65CAA">
              <w:rPr>
                <w:rFonts w:ascii="Arial Narrow" w:hAnsi="Arial Narrow"/>
                <w:noProof/>
              </w:rPr>
              <w:drawing>
                <wp:inline distT="0" distB="0" distL="0" distR="0" wp14:anchorId="77B14F09" wp14:editId="6831FA56">
                  <wp:extent cx="5760720" cy="1301750"/>
                  <wp:effectExtent l="0" t="0" r="0" b="0"/>
                  <wp:docPr id="10" name="Graf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rsidR="009649CB" w:rsidRPr="00C65CAA" w:rsidRDefault="00841A67" w:rsidP="00B366F3">
      <w:pPr>
        <w:spacing w:after="100"/>
        <w:rPr>
          <w:rFonts w:ascii="Arial Narrow" w:hAnsi="Arial Narrow"/>
          <w:sz w:val="20"/>
          <w:szCs w:val="20"/>
        </w:rPr>
      </w:pPr>
      <w:r w:rsidRPr="00C65CAA">
        <w:rPr>
          <w:rFonts w:ascii="Arial Narrow" w:hAnsi="Arial Narrow"/>
          <w:sz w:val="20"/>
          <w:szCs w:val="20"/>
        </w:rPr>
        <w:t xml:space="preserve">Zdroj: RVS 2019 – </w:t>
      </w:r>
      <w:r w:rsidR="009649CB" w:rsidRPr="00C65CAA">
        <w:rPr>
          <w:rFonts w:ascii="Arial Narrow" w:hAnsi="Arial Narrow"/>
          <w:sz w:val="20"/>
          <w:szCs w:val="20"/>
        </w:rPr>
        <w:t xml:space="preserve">2021, Štatistický úrad SR, Infostat prognóza rastu obyvateľstva </w:t>
      </w:r>
    </w:p>
    <w:p w:rsidR="00841A67" w:rsidRDefault="00841A67" w:rsidP="00B366F3">
      <w:pPr>
        <w:spacing w:after="100"/>
        <w:rPr>
          <w:rFonts w:ascii="Arial Narrow" w:hAnsi="Arial Narrow"/>
          <w:sz w:val="20"/>
          <w:szCs w:val="20"/>
        </w:rPr>
      </w:pPr>
    </w:p>
    <w:p w:rsidR="007809C2" w:rsidRDefault="007809C2" w:rsidP="00B366F3">
      <w:pPr>
        <w:spacing w:after="100"/>
        <w:rPr>
          <w:rFonts w:ascii="Arial Narrow" w:hAnsi="Arial Narrow"/>
          <w:sz w:val="20"/>
          <w:szCs w:val="20"/>
        </w:rPr>
      </w:pPr>
    </w:p>
    <w:p w:rsidR="007809C2" w:rsidRDefault="007809C2" w:rsidP="00B366F3">
      <w:pPr>
        <w:spacing w:after="100"/>
        <w:rPr>
          <w:rFonts w:ascii="Arial Narrow" w:hAnsi="Arial Narrow"/>
          <w:sz w:val="20"/>
          <w:szCs w:val="20"/>
        </w:rPr>
      </w:pPr>
    </w:p>
    <w:p w:rsidR="00D23611" w:rsidRPr="00C65CAA" w:rsidRDefault="00D23611" w:rsidP="00256AF8">
      <w:pPr>
        <w:pStyle w:val="Nadpis1"/>
        <w:numPr>
          <w:ilvl w:val="0"/>
          <w:numId w:val="92"/>
        </w:numPr>
        <w:spacing w:before="100" w:after="100"/>
        <w:rPr>
          <w:rFonts w:ascii="Arial Narrow" w:hAnsi="Arial Narrow"/>
        </w:rPr>
      </w:pPr>
      <w:bookmarkStart w:id="14" w:name="_Toc431901281"/>
      <w:bookmarkStart w:id="15" w:name="_Toc495316429"/>
      <w:bookmarkStart w:id="16" w:name="_Toc529507592"/>
      <w:r w:rsidRPr="00C65CAA">
        <w:rPr>
          <w:rFonts w:ascii="Arial Narrow" w:hAnsi="Arial Narrow"/>
        </w:rPr>
        <w:lastRenderedPageBreak/>
        <w:t xml:space="preserve">Stanovisko </w:t>
      </w:r>
      <w:r w:rsidR="008E0327" w:rsidRPr="00C65CAA">
        <w:rPr>
          <w:rFonts w:ascii="Arial Narrow" w:hAnsi="Arial Narrow"/>
        </w:rPr>
        <w:t xml:space="preserve">NKÚ SR </w:t>
      </w:r>
      <w:r w:rsidRPr="00C65CAA">
        <w:rPr>
          <w:rFonts w:ascii="Arial Narrow" w:hAnsi="Arial Narrow"/>
        </w:rPr>
        <w:t>k návrhu ŠR na rok 201</w:t>
      </w:r>
      <w:bookmarkEnd w:id="14"/>
      <w:bookmarkEnd w:id="15"/>
      <w:r w:rsidR="0047702E" w:rsidRPr="00C65CAA">
        <w:rPr>
          <w:rFonts w:ascii="Arial Narrow" w:hAnsi="Arial Narrow"/>
        </w:rPr>
        <w:t>9</w:t>
      </w:r>
      <w:bookmarkEnd w:id="16"/>
    </w:p>
    <w:p w:rsidR="00D23611" w:rsidRPr="00C65CAA" w:rsidRDefault="00D23611" w:rsidP="00256AF8">
      <w:pPr>
        <w:spacing w:before="100" w:after="100"/>
        <w:ind w:firstLine="709"/>
        <w:jc w:val="both"/>
        <w:rPr>
          <w:rFonts w:ascii="Arial Narrow" w:hAnsi="Arial Narrow"/>
          <w:sz w:val="22"/>
          <w:szCs w:val="22"/>
        </w:rPr>
      </w:pPr>
      <w:r w:rsidRPr="00C65CAA">
        <w:rPr>
          <w:rFonts w:ascii="Arial Narrow" w:hAnsi="Arial Narrow"/>
          <w:sz w:val="22"/>
          <w:szCs w:val="22"/>
        </w:rPr>
        <w:t>Podľa zákona o rozpočtových pravidlách verejnej správy je ŠR základnou súčasťou RVS. ŠR je vypracovaný na hotovostnej báze a NR SR ho schvaľuje zákonom. Zabezpečuje sa ním financovanie hlavných funkcií štátu</w:t>
      </w:r>
      <w:r w:rsidR="008E0327" w:rsidRPr="00C65CAA">
        <w:rPr>
          <w:rFonts w:ascii="Arial Narrow" w:hAnsi="Arial Narrow"/>
          <w:sz w:val="22"/>
          <w:szCs w:val="22"/>
        </w:rPr>
        <w:t xml:space="preserve"> v príslušnom rozpočtovom roku.</w:t>
      </w:r>
    </w:p>
    <w:p w:rsidR="00D23611" w:rsidRPr="00C65CAA" w:rsidRDefault="00D23611" w:rsidP="00256AF8">
      <w:pPr>
        <w:spacing w:before="100" w:after="100"/>
        <w:ind w:firstLine="708"/>
        <w:jc w:val="both"/>
        <w:rPr>
          <w:rFonts w:ascii="Arial Narrow" w:hAnsi="Arial Narrow"/>
          <w:sz w:val="22"/>
          <w:szCs w:val="22"/>
        </w:rPr>
      </w:pPr>
      <w:r w:rsidRPr="00C65CAA">
        <w:rPr>
          <w:rFonts w:ascii="Arial Narrow" w:hAnsi="Arial Narrow"/>
          <w:sz w:val="22"/>
          <w:szCs w:val="22"/>
        </w:rPr>
        <w:t>Podľa NKÚ SR je predložený návrh ŠR vypracovaný v súlade so zákonom o rozpočtových pravidlách verejnej správy, vyhláškou Štatistického úradu SR č. 257/2014 Z. z., ktorou sa vydáva štatistická klasifikácia výdavkov verejnej správy, príručkou na zo</w:t>
      </w:r>
      <w:r w:rsidR="008A7EC8" w:rsidRPr="00C65CAA">
        <w:rPr>
          <w:rFonts w:ascii="Arial Narrow" w:hAnsi="Arial Narrow"/>
          <w:sz w:val="22"/>
          <w:szCs w:val="22"/>
        </w:rPr>
        <w:t>stavenie návrhu RVS na roky 2019 až 2021</w:t>
      </w:r>
      <w:r w:rsidRPr="00C65CAA">
        <w:rPr>
          <w:rFonts w:ascii="Arial Narrow" w:hAnsi="Arial Narrow"/>
          <w:sz w:val="22"/>
          <w:szCs w:val="22"/>
        </w:rPr>
        <w:t xml:space="preserve"> č. MF/</w:t>
      </w:r>
      <w:r w:rsidR="008A7EC8" w:rsidRPr="00C65CAA">
        <w:rPr>
          <w:rFonts w:ascii="Arial Narrow" w:hAnsi="Arial Narrow"/>
          <w:sz w:val="22"/>
          <w:szCs w:val="22"/>
        </w:rPr>
        <w:t>010302/2018</w:t>
      </w:r>
      <w:r w:rsidRPr="00C65CAA">
        <w:rPr>
          <w:rFonts w:ascii="Arial Narrow" w:hAnsi="Arial Narrow"/>
          <w:sz w:val="22"/>
          <w:szCs w:val="22"/>
        </w:rPr>
        <w:t xml:space="preserve">-411 a Opatrením Ministerstva financií SR č. MF/010175/2004-42 </w:t>
      </w:r>
      <w:r w:rsidR="008A7EC8" w:rsidRPr="00C65CAA">
        <w:rPr>
          <w:rFonts w:ascii="Arial Narrow" w:hAnsi="Arial Narrow"/>
          <w:sz w:val="22"/>
          <w:szCs w:val="22"/>
        </w:rPr>
        <w:t xml:space="preserve">v znení neskorších predpisov, </w:t>
      </w:r>
      <w:r w:rsidRPr="00C65CAA">
        <w:rPr>
          <w:rFonts w:ascii="Arial Narrow" w:hAnsi="Arial Narrow"/>
          <w:sz w:val="22"/>
          <w:szCs w:val="22"/>
        </w:rPr>
        <w:t>ktorým sa ustanovuje druhová klasifikácia, organizačná klasifikácia a ekonomická klasifikácia rozpočtovej klasifikácie.</w:t>
      </w:r>
    </w:p>
    <w:p w:rsidR="00D23611" w:rsidRPr="00C65CAA" w:rsidRDefault="00D23611" w:rsidP="00256AF8">
      <w:pPr>
        <w:pStyle w:val="Nadpis2"/>
        <w:numPr>
          <w:ilvl w:val="1"/>
          <w:numId w:val="92"/>
        </w:numPr>
        <w:spacing w:before="100" w:after="100"/>
        <w:rPr>
          <w:szCs w:val="22"/>
        </w:rPr>
      </w:pPr>
      <w:bookmarkStart w:id="17" w:name="_Toc431901283"/>
      <w:bookmarkStart w:id="18" w:name="_Toc495316430"/>
      <w:bookmarkStart w:id="19" w:name="_Toc529507593"/>
      <w:r w:rsidRPr="00C65CAA">
        <w:rPr>
          <w:szCs w:val="22"/>
        </w:rPr>
        <w:t>Stanovisko k súhrnným ukazovateľom návrhu ŠR na rok 201</w:t>
      </w:r>
      <w:bookmarkEnd w:id="17"/>
      <w:bookmarkEnd w:id="18"/>
      <w:r w:rsidR="002B5822" w:rsidRPr="00C65CAA">
        <w:rPr>
          <w:szCs w:val="22"/>
        </w:rPr>
        <w:t>9</w:t>
      </w:r>
      <w:bookmarkEnd w:id="19"/>
    </w:p>
    <w:p w:rsidR="00D23611" w:rsidRPr="00C65CAA" w:rsidRDefault="00D23611" w:rsidP="00256AF8">
      <w:pPr>
        <w:spacing w:before="100" w:after="100"/>
        <w:ind w:firstLine="708"/>
        <w:jc w:val="both"/>
        <w:rPr>
          <w:rFonts w:ascii="Arial Narrow" w:hAnsi="Arial Narrow"/>
          <w:sz w:val="22"/>
          <w:szCs w:val="22"/>
        </w:rPr>
      </w:pPr>
      <w:r w:rsidRPr="00C65CAA">
        <w:rPr>
          <w:rFonts w:ascii="Arial Narrow" w:hAnsi="Arial Narrow"/>
          <w:sz w:val="22"/>
          <w:szCs w:val="22"/>
        </w:rPr>
        <w:t>Návrh súhrnných ukazovateľov p</w:t>
      </w:r>
      <w:r w:rsidR="008A7EC8" w:rsidRPr="00C65CAA">
        <w:rPr>
          <w:rFonts w:ascii="Arial Narrow" w:hAnsi="Arial Narrow"/>
          <w:sz w:val="22"/>
          <w:szCs w:val="22"/>
        </w:rPr>
        <w:t>ríjmov a výdavkov ŠR na rok 2019</w:t>
      </w:r>
      <w:r w:rsidRPr="00C65CAA">
        <w:rPr>
          <w:rFonts w:ascii="Arial Narrow" w:hAnsi="Arial Narrow"/>
          <w:sz w:val="22"/>
          <w:szCs w:val="22"/>
        </w:rPr>
        <w:t xml:space="preserve"> predstavuje podľa NKÚ SR výsledok rozpočtovej politiky vlády SR, ktorá vychádza z jej programového vyhlásenia, kde medzi hlavné priority patrí </w:t>
      </w:r>
      <w:r w:rsidR="008A7EC8" w:rsidRPr="00C65CAA">
        <w:rPr>
          <w:rFonts w:ascii="Arial Narrow" w:hAnsi="Arial Narrow"/>
          <w:sz w:val="22"/>
          <w:szCs w:val="22"/>
        </w:rPr>
        <w:t>ozdravenie</w:t>
      </w:r>
      <w:r w:rsidRPr="00C65CAA">
        <w:rPr>
          <w:rFonts w:ascii="Arial Narrow" w:hAnsi="Arial Narrow"/>
          <w:sz w:val="22"/>
          <w:szCs w:val="22"/>
        </w:rPr>
        <w:t xml:space="preserve"> verejných financií. Stratégia rozpočtovej politiky je zameraná na ďalšie zlepšovanie rozpočtovej pozície verejnej správy s cieľom dosiahnuť dlhodobú udržateľnosť verejných financií.</w:t>
      </w:r>
    </w:p>
    <w:p w:rsidR="00D23611" w:rsidRPr="00C65CAA" w:rsidRDefault="00D23611" w:rsidP="00256AF8">
      <w:pPr>
        <w:spacing w:before="100" w:after="100"/>
        <w:ind w:firstLine="708"/>
        <w:jc w:val="both"/>
        <w:rPr>
          <w:rFonts w:ascii="Arial Narrow" w:hAnsi="Arial Narrow"/>
          <w:sz w:val="22"/>
          <w:szCs w:val="22"/>
        </w:rPr>
      </w:pPr>
      <w:r w:rsidRPr="00C65CAA">
        <w:rPr>
          <w:rFonts w:ascii="Arial Narrow" w:hAnsi="Arial Narrow"/>
          <w:sz w:val="22"/>
          <w:szCs w:val="22"/>
        </w:rPr>
        <w:t>Porovnanie štruktúry príjmov, výdavkov a schodku ŠR</w:t>
      </w:r>
      <w:r w:rsidR="008A7EC8" w:rsidRPr="00C65CAA">
        <w:rPr>
          <w:rFonts w:ascii="Arial Narrow" w:hAnsi="Arial Narrow"/>
          <w:sz w:val="22"/>
          <w:szCs w:val="22"/>
        </w:rPr>
        <w:t xml:space="preserve"> na hotovostnej báze za rok 2017, schváleného rozpočtu na rok 2018 a návrhu rozpočtu na rok 2019</w:t>
      </w:r>
      <w:r w:rsidR="001D2AD7" w:rsidRPr="00C65CAA">
        <w:rPr>
          <w:rFonts w:ascii="Arial Narrow" w:hAnsi="Arial Narrow"/>
          <w:sz w:val="22"/>
          <w:szCs w:val="22"/>
        </w:rPr>
        <w:t>:</w:t>
      </w:r>
    </w:p>
    <w:tbl>
      <w:tblPr>
        <w:tblStyle w:val="Mriekatabuky"/>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1403"/>
        <w:gridCol w:w="1283"/>
        <w:gridCol w:w="1559"/>
        <w:gridCol w:w="1274"/>
        <w:gridCol w:w="1129"/>
      </w:tblGrid>
      <w:tr w:rsidR="004B1D0B" w:rsidRPr="00C65CAA" w:rsidTr="00246EC8">
        <w:trPr>
          <w:trHeight w:val="397"/>
          <w:tblHeader/>
        </w:trPr>
        <w:tc>
          <w:tcPr>
            <w:tcW w:w="1332" w:type="pct"/>
            <w:tcBorders>
              <w:bottom w:val="single" w:sz="4" w:space="0" w:color="FFFFFF" w:themeColor="background1"/>
              <w:right w:val="single" w:sz="4" w:space="0" w:color="FFFFFF" w:themeColor="background1"/>
            </w:tcBorders>
            <w:shd w:val="clear" w:color="auto" w:fill="0070C0"/>
            <w:vAlign w:val="center"/>
          </w:tcPr>
          <w:p w:rsidR="004B1D0B" w:rsidRPr="00C65CAA" w:rsidRDefault="004B1D0B" w:rsidP="009879BE">
            <w:pPr>
              <w:jc w:val="center"/>
              <w:rPr>
                <w:rFonts w:ascii="Arial Narrow" w:eastAsia="Calibri" w:hAnsi="Arial Narrow"/>
                <w:b/>
                <w:bCs/>
                <w:color w:val="FFFFFF" w:themeColor="background1"/>
                <w:sz w:val="20"/>
                <w:szCs w:val="20"/>
              </w:rPr>
            </w:pPr>
            <w:r w:rsidRPr="00C65CAA">
              <w:rPr>
                <w:rFonts w:ascii="Arial Narrow" w:eastAsia="Calibri" w:hAnsi="Arial Narrow"/>
                <w:b/>
                <w:bCs/>
                <w:color w:val="FFFFFF" w:themeColor="background1"/>
                <w:sz w:val="20"/>
                <w:szCs w:val="20"/>
              </w:rPr>
              <w:t>Názov ukazovateľa</w:t>
            </w:r>
          </w:p>
          <w:p w:rsidR="004B1D0B" w:rsidRPr="00C65CAA" w:rsidRDefault="004B1D0B" w:rsidP="009879BE">
            <w:pPr>
              <w:jc w:val="center"/>
              <w:rPr>
                <w:rFonts w:ascii="Arial Narrow" w:eastAsia="Calibri" w:hAnsi="Arial Narrow"/>
                <w:b/>
                <w:color w:val="FFFFFF" w:themeColor="background1"/>
                <w:sz w:val="20"/>
                <w:szCs w:val="20"/>
              </w:rPr>
            </w:pPr>
            <w:r w:rsidRPr="00C65CAA">
              <w:rPr>
                <w:rFonts w:ascii="Arial Narrow" w:hAnsi="Arial Narrow"/>
                <w:color w:val="FFFFFF" w:themeColor="background1"/>
                <w:sz w:val="20"/>
                <w:szCs w:val="20"/>
              </w:rPr>
              <w:t>(v tis. eur)</w:t>
            </w:r>
          </w:p>
        </w:tc>
        <w:tc>
          <w:tcPr>
            <w:tcW w:w="774" w:type="pct"/>
            <w:tcBorders>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4B1D0B" w:rsidRPr="00C65CAA" w:rsidRDefault="004B1D0B" w:rsidP="009879BE">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Skutočnosť</w:t>
            </w:r>
          </w:p>
          <w:p w:rsidR="004B1D0B" w:rsidRPr="00C65CAA" w:rsidRDefault="004B1D0B" w:rsidP="009879BE">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2017</w:t>
            </w:r>
          </w:p>
        </w:tc>
        <w:tc>
          <w:tcPr>
            <w:tcW w:w="708" w:type="pct"/>
            <w:tcBorders>
              <w:left w:val="single" w:sz="4" w:space="0" w:color="FFFFFF" w:themeColor="background1"/>
              <w:right w:val="single" w:sz="4" w:space="0" w:color="FFFFFF" w:themeColor="background1"/>
            </w:tcBorders>
            <w:shd w:val="clear" w:color="auto" w:fill="0070C0"/>
            <w:vAlign w:val="center"/>
          </w:tcPr>
          <w:p w:rsidR="004B1D0B" w:rsidRPr="00C65CAA" w:rsidRDefault="004B1D0B" w:rsidP="009879BE">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Rozpočet</w:t>
            </w:r>
          </w:p>
          <w:p w:rsidR="004B1D0B" w:rsidRPr="00C65CAA" w:rsidRDefault="004B1D0B" w:rsidP="009879BE">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2018</w:t>
            </w:r>
          </w:p>
        </w:tc>
        <w:tc>
          <w:tcPr>
            <w:tcW w:w="860" w:type="pct"/>
            <w:tcBorders>
              <w:left w:val="single" w:sz="4" w:space="0" w:color="FFFFFF" w:themeColor="background1"/>
              <w:right w:val="single" w:sz="4" w:space="0" w:color="FFFFFF" w:themeColor="background1"/>
            </w:tcBorders>
            <w:shd w:val="clear" w:color="auto" w:fill="0070C0"/>
            <w:vAlign w:val="center"/>
          </w:tcPr>
          <w:p w:rsidR="004B1D0B" w:rsidRPr="00C65CAA" w:rsidRDefault="004B1D0B" w:rsidP="009879BE">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Návrh rozpočtu</w:t>
            </w:r>
          </w:p>
          <w:p w:rsidR="004B1D0B" w:rsidRPr="00C65CAA" w:rsidRDefault="004B1D0B" w:rsidP="009879BE">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2019</w:t>
            </w:r>
          </w:p>
        </w:tc>
        <w:tc>
          <w:tcPr>
            <w:tcW w:w="703" w:type="pct"/>
            <w:tcBorders>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4B1D0B" w:rsidRPr="00C65CAA" w:rsidRDefault="004B1D0B" w:rsidP="009879BE">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Rozdiel</w:t>
            </w:r>
          </w:p>
        </w:tc>
        <w:tc>
          <w:tcPr>
            <w:tcW w:w="623" w:type="pct"/>
            <w:tcBorders>
              <w:left w:val="single" w:sz="4" w:space="0" w:color="FFFFFF" w:themeColor="background1"/>
            </w:tcBorders>
            <w:shd w:val="clear" w:color="auto" w:fill="0070C0"/>
            <w:vAlign w:val="center"/>
          </w:tcPr>
          <w:p w:rsidR="004B1D0B" w:rsidRPr="00C65CAA" w:rsidRDefault="004B1D0B" w:rsidP="009879BE">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 xml:space="preserve">Podiel </w:t>
            </w:r>
          </w:p>
          <w:p w:rsidR="004B1D0B" w:rsidRPr="00C65CAA" w:rsidRDefault="004B1D0B" w:rsidP="009879BE">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v %</w:t>
            </w:r>
          </w:p>
        </w:tc>
      </w:tr>
      <w:tr w:rsidR="004B1D0B" w:rsidRPr="00C65CAA" w:rsidTr="00246EC8">
        <w:trPr>
          <w:tblHeader/>
        </w:trPr>
        <w:tc>
          <w:tcPr>
            <w:tcW w:w="1332" w:type="pct"/>
            <w:vAlign w:val="center"/>
          </w:tcPr>
          <w:p w:rsidR="004B1D0B" w:rsidRPr="00C65CAA" w:rsidRDefault="004B1D0B" w:rsidP="009879BE">
            <w:pPr>
              <w:jc w:val="center"/>
              <w:rPr>
                <w:rFonts w:ascii="Arial Narrow" w:hAnsi="Arial Narrow"/>
                <w:bCs/>
                <w:color w:val="000000"/>
                <w:sz w:val="20"/>
                <w:szCs w:val="20"/>
              </w:rPr>
            </w:pPr>
            <w:r w:rsidRPr="00C65CAA">
              <w:rPr>
                <w:rFonts w:ascii="Arial Narrow" w:hAnsi="Arial Narrow"/>
                <w:bCs/>
                <w:color w:val="000000"/>
                <w:sz w:val="20"/>
                <w:szCs w:val="20"/>
              </w:rPr>
              <w:t>a</w:t>
            </w:r>
          </w:p>
        </w:tc>
        <w:tc>
          <w:tcPr>
            <w:tcW w:w="774" w:type="pct"/>
          </w:tcPr>
          <w:p w:rsidR="004B1D0B" w:rsidRPr="00C65CAA" w:rsidRDefault="004B1D0B" w:rsidP="009879BE">
            <w:pPr>
              <w:jc w:val="center"/>
              <w:rPr>
                <w:rFonts w:ascii="Arial Narrow" w:hAnsi="Arial Narrow"/>
                <w:sz w:val="20"/>
                <w:szCs w:val="20"/>
              </w:rPr>
            </w:pPr>
            <w:r w:rsidRPr="00C65CAA">
              <w:rPr>
                <w:rFonts w:ascii="Arial Narrow" w:hAnsi="Arial Narrow"/>
                <w:sz w:val="20"/>
                <w:szCs w:val="20"/>
              </w:rPr>
              <w:t>1</w:t>
            </w:r>
          </w:p>
        </w:tc>
        <w:tc>
          <w:tcPr>
            <w:tcW w:w="708" w:type="pct"/>
          </w:tcPr>
          <w:p w:rsidR="004B1D0B" w:rsidRPr="00C65CAA" w:rsidRDefault="004B1D0B" w:rsidP="009879BE">
            <w:pPr>
              <w:jc w:val="center"/>
              <w:rPr>
                <w:rFonts w:ascii="Arial Narrow" w:hAnsi="Arial Narrow"/>
                <w:sz w:val="20"/>
                <w:szCs w:val="20"/>
              </w:rPr>
            </w:pPr>
            <w:r w:rsidRPr="00C65CAA">
              <w:rPr>
                <w:rFonts w:ascii="Arial Narrow" w:hAnsi="Arial Narrow"/>
                <w:sz w:val="20"/>
                <w:szCs w:val="20"/>
              </w:rPr>
              <w:t>2</w:t>
            </w:r>
          </w:p>
        </w:tc>
        <w:tc>
          <w:tcPr>
            <w:tcW w:w="860" w:type="pct"/>
          </w:tcPr>
          <w:p w:rsidR="004B1D0B" w:rsidRPr="00C65CAA" w:rsidRDefault="004B1D0B" w:rsidP="009879BE">
            <w:pPr>
              <w:jc w:val="center"/>
              <w:rPr>
                <w:rFonts w:ascii="Arial Narrow" w:hAnsi="Arial Narrow"/>
                <w:sz w:val="20"/>
                <w:szCs w:val="20"/>
              </w:rPr>
            </w:pPr>
            <w:r w:rsidRPr="00C65CAA">
              <w:rPr>
                <w:rFonts w:ascii="Arial Narrow" w:hAnsi="Arial Narrow"/>
                <w:sz w:val="20"/>
                <w:szCs w:val="20"/>
              </w:rPr>
              <w:t>3</w:t>
            </w:r>
          </w:p>
        </w:tc>
        <w:tc>
          <w:tcPr>
            <w:tcW w:w="703" w:type="pct"/>
          </w:tcPr>
          <w:p w:rsidR="004B1D0B" w:rsidRPr="00C65CAA" w:rsidRDefault="004B1D0B" w:rsidP="009879BE">
            <w:pPr>
              <w:jc w:val="center"/>
              <w:rPr>
                <w:rFonts w:ascii="Arial Narrow" w:hAnsi="Arial Narrow"/>
                <w:sz w:val="20"/>
                <w:szCs w:val="20"/>
              </w:rPr>
            </w:pPr>
            <w:r w:rsidRPr="00C65CAA">
              <w:rPr>
                <w:rFonts w:ascii="Arial Narrow" w:hAnsi="Arial Narrow"/>
                <w:sz w:val="20"/>
                <w:szCs w:val="20"/>
              </w:rPr>
              <w:t>3-2</w:t>
            </w:r>
          </w:p>
        </w:tc>
        <w:tc>
          <w:tcPr>
            <w:tcW w:w="623" w:type="pct"/>
          </w:tcPr>
          <w:p w:rsidR="004B1D0B" w:rsidRPr="00C65CAA" w:rsidRDefault="004B1D0B" w:rsidP="009879BE">
            <w:pPr>
              <w:jc w:val="center"/>
              <w:rPr>
                <w:rFonts w:ascii="Arial Narrow" w:hAnsi="Arial Narrow"/>
                <w:sz w:val="20"/>
                <w:szCs w:val="20"/>
              </w:rPr>
            </w:pPr>
            <w:r w:rsidRPr="00C65CAA">
              <w:rPr>
                <w:rFonts w:ascii="Arial Narrow" w:hAnsi="Arial Narrow"/>
                <w:sz w:val="20"/>
                <w:szCs w:val="20"/>
              </w:rPr>
              <w:t>3/2*100</w:t>
            </w:r>
          </w:p>
        </w:tc>
      </w:tr>
      <w:tr w:rsidR="004B1D0B" w:rsidRPr="00C65CAA" w:rsidTr="00246EC8">
        <w:tc>
          <w:tcPr>
            <w:tcW w:w="1332" w:type="pct"/>
            <w:vAlign w:val="center"/>
          </w:tcPr>
          <w:p w:rsidR="004B1D0B" w:rsidRPr="00C65CAA" w:rsidRDefault="004B1D0B" w:rsidP="009879BE">
            <w:pPr>
              <w:rPr>
                <w:rFonts w:ascii="Arial Narrow" w:hAnsi="Arial Narrow"/>
                <w:b/>
                <w:bCs/>
                <w:color w:val="000000"/>
                <w:sz w:val="20"/>
                <w:szCs w:val="20"/>
              </w:rPr>
            </w:pPr>
            <w:r w:rsidRPr="00C65CAA">
              <w:rPr>
                <w:rFonts w:ascii="Arial Narrow" w:hAnsi="Arial Narrow"/>
                <w:b/>
                <w:bCs/>
                <w:color w:val="000000"/>
                <w:sz w:val="20"/>
                <w:szCs w:val="20"/>
              </w:rPr>
              <w:t>Príjmy ŠR</w:t>
            </w:r>
          </w:p>
        </w:tc>
        <w:tc>
          <w:tcPr>
            <w:tcW w:w="774" w:type="pct"/>
            <w:vAlign w:val="bottom"/>
          </w:tcPr>
          <w:p w:rsidR="004B1D0B" w:rsidRPr="00C65CAA" w:rsidRDefault="004B1D0B" w:rsidP="009879BE">
            <w:pPr>
              <w:jc w:val="right"/>
              <w:rPr>
                <w:rFonts w:ascii="Arial Narrow" w:hAnsi="Arial Narrow"/>
                <w:b/>
                <w:bCs/>
                <w:sz w:val="20"/>
                <w:szCs w:val="20"/>
              </w:rPr>
            </w:pPr>
            <w:r w:rsidRPr="00C65CAA">
              <w:rPr>
                <w:rFonts w:ascii="Arial Narrow" w:hAnsi="Arial Narrow"/>
                <w:b/>
                <w:bCs/>
                <w:sz w:val="20"/>
                <w:szCs w:val="20"/>
              </w:rPr>
              <w:t>14 014 129</w:t>
            </w:r>
          </w:p>
        </w:tc>
        <w:tc>
          <w:tcPr>
            <w:tcW w:w="708" w:type="pct"/>
            <w:vAlign w:val="center"/>
          </w:tcPr>
          <w:p w:rsidR="004B1D0B" w:rsidRPr="00C65CAA" w:rsidRDefault="004B1D0B" w:rsidP="009879BE">
            <w:pPr>
              <w:jc w:val="right"/>
              <w:rPr>
                <w:rFonts w:ascii="Arial Narrow" w:hAnsi="Arial Narrow"/>
                <w:b/>
                <w:bCs/>
                <w:color w:val="000000"/>
                <w:sz w:val="20"/>
                <w:szCs w:val="20"/>
              </w:rPr>
            </w:pPr>
            <w:r w:rsidRPr="00C65CAA">
              <w:rPr>
                <w:rFonts w:ascii="Arial Narrow" w:hAnsi="Arial Narrow"/>
                <w:b/>
                <w:bCs/>
                <w:color w:val="000000"/>
                <w:sz w:val="20"/>
                <w:szCs w:val="20"/>
              </w:rPr>
              <w:t>13 982 810</w:t>
            </w:r>
          </w:p>
        </w:tc>
        <w:tc>
          <w:tcPr>
            <w:tcW w:w="860" w:type="pct"/>
            <w:vAlign w:val="center"/>
          </w:tcPr>
          <w:p w:rsidR="004B1D0B" w:rsidRPr="00C65CAA" w:rsidRDefault="004B1D0B" w:rsidP="009879BE">
            <w:pPr>
              <w:jc w:val="right"/>
              <w:rPr>
                <w:rFonts w:ascii="Arial Narrow" w:hAnsi="Arial Narrow"/>
                <w:b/>
                <w:bCs/>
                <w:color w:val="000000"/>
                <w:sz w:val="20"/>
                <w:szCs w:val="20"/>
              </w:rPr>
            </w:pPr>
            <w:r w:rsidRPr="00C65CAA">
              <w:rPr>
                <w:rFonts w:ascii="Arial Narrow" w:hAnsi="Arial Narrow"/>
                <w:b/>
                <w:bCs/>
                <w:color w:val="000000"/>
                <w:sz w:val="20"/>
                <w:szCs w:val="20"/>
              </w:rPr>
              <w:t>15 497 654</w:t>
            </w:r>
          </w:p>
        </w:tc>
        <w:tc>
          <w:tcPr>
            <w:tcW w:w="703" w:type="pct"/>
            <w:vAlign w:val="center"/>
          </w:tcPr>
          <w:p w:rsidR="004B1D0B" w:rsidRPr="00C65CAA" w:rsidRDefault="004B1D0B" w:rsidP="009879BE">
            <w:pPr>
              <w:jc w:val="right"/>
              <w:rPr>
                <w:rFonts w:ascii="Arial Narrow" w:hAnsi="Arial Narrow"/>
                <w:b/>
                <w:bCs/>
                <w:color w:val="000000"/>
                <w:sz w:val="20"/>
                <w:szCs w:val="20"/>
              </w:rPr>
            </w:pPr>
            <w:r w:rsidRPr="00C65CAA">
              <w:rPr>
                <w:rFonts w:ascii="Arial Narrow" w:hAnsi="Arial Narrow"/>
                <w:b/>
                <w:bCs/>
                <w:color w:val="000000"/>
                <w:sz w:val="20"/>
                <w:szCs w:val="20"/>
              </w:rPr>
              <w:t>1 514 844</w:t>
            </w:r>
          </w:p>
        </w:tc>
        <w:tc>
          <w:tcPr>
            <w:tcW w:w="623" w:type="pct"/>
            <w:vAlign w:val="center"/>
          </w:tcPr>
          <w:p w:rsidR="004B1D0B" w:rsidRPr="00C65CAA" w:rsidRDefault="004B1D0B" w:rsidP="009879BE">
            <w:pPr>
              <w:jc w:val="right"/>
              <w:rPr>
                <w:rFonts w:ascii="Arial Narrow" w:hAnsi="Arial Narrow"/>
                <w:b/>
                <w:bCs/>
                <w:color w:val="000000"/>
                <w:sz w:val="20"/>
                <w:szCs w:val="20"/>
              </w:rPr>
            </w:pPr>
            <w:r w:rsidRPr="00C65CAA">
              <w:rPr>
                <w:rFonts w:ascii="Arial Narrow" w:hAnsi="Arial Narrow"/>
                <w:b/>
                <w:bCs/>
                <w:color w:val="000000"/>
                <w:sz w:val="20"/>
                <w:szCs w:val="20"/>
              </w:rPr>
              <w:t>110,8</w:t>
            </w:r>
          </w:p>
        </w:tc>
      </w:tr>
      <w:tr w:rsidR="004B1D0B" w:rsidRPr="00C65CAA" w:rsidTr="00246EC8">
        <w:tc>
          <w:tcPr>
            <w:tcW w:w="1332" w:type="pct"/>
            <w:vAlign w:val="center"/>
          </w:tcPr>
          <w:p w:rsidR="004B1D0B" w:rsidRPr="00C65CAA" w:rsidRDefault="004B1D0B" w:rsidP="009879BE">
            <w:pPr>
              <w:pStyle w:val="Odsekzoznamu"/>
              <w:numPr>
                <w:ilvl w:val="0"/>
                <w:numId w:val="93"/>
              </w:numPr>
              <w:ind w:left="357" w:hanging="357"/>
              <w:rPr>
                <w:rFonts w:ascii="Arial Narrow" w:hAnsi="Arial Narrow"/>
                <w:sz w:val="20"/>
                <w:szCs w:val="20"/>
              </w:rPr>
            </w:pPr>
            <w:r w:rsidRPr="00C65CAA">
              <w:rPr>
                <w:rFonts w:ascii="Arial Narrow" w:hAnsi="Arial Narrow"/>
                <w:sz w:val="20"/>
                <w:szCs w:val="20"/>
              </w:rPr>
              <w:t>daňové príjmy</w:t>
            </w:r>
          </w:p>
        </w:tc>
        <w:tc>
          <w:tcPr>
            <w:tcW w:w="774" w:type="pct"/>
            <w:vAlign w:val="bottom"/>
          </w:tcPr>
          <w:p w:rsidR="004B1D0B" w:rsidRPr="00C65CAA" w:rsidRDefault="004B1D0B" w:rsidP="009879BE">
            <w:pPr>
              <w:jc w:val="right"/>
              <w:rPr>
                <w:rFonts w:ascii="Arial Narrow" w:hAnsi="Arial Narrow"/>
                <w:sz w:val="20"/>
                <w:szCs w:val="20"/>
              </w:rPr>
            </w:pPr>
            <w:r w:rsidRPr="00C65CAA">
              <w:rPr>
                <w:rFonts w:ascii="Arial Narrow" w:hAnsi="Arial Narrow"/>
                <w:sz w:val="20"/>
                <w:szCs w:val="20"/>
              </w:rPr>
              <w:t>11 152 310</w:t>
            </w:r>
          </w:p>
        </w:tc>
        <w:tc>
          <w:tcPr>
            <w:tcW w:w="708" w:type="pct"/>
            <w:vAlign w:val="center"/>
          </w:tcPr>
          <w:p w:rsidR="004B1D0B" w:rsidRPr="00C65CAA" w:rsidRDefault="004B1D0B" w:rsidP="009879BE">
            <w:pPr>
              <w:jc w:val="right"/>
              <w:rPr>
                <w:rFonts w:ascii="Arial Narrow" w:hAnsi="Arial Narrow"/>
                <w:color w:val="000000"/>
                <w:sz w:val="20"/>
                <w:szCs w:val="20"/>
              </w:rPr>
            </w:pPr>
            <w:r w:rsidRPr="00C65CAA">
              <w:rPr>
                <w:rFonts w:ascii="Arial Narrow" w:hAnsi="Arial Narrow"/>
                <w:color w:val="000000"/>
                <w:sz w:val="20"/>
                <w:szCs w:val="20"/>
              </w:rPr>
              <w:t>11 361 518</w:t>
            </w:r>
          </w:p>
        </w:tc>
        <w:tc>
          <w:tcPr>
            <w:tcW w:w="860" w:type="pct"/>
            <w:vAlign w:val="center"/>
          </w:tcPr>
          <w:p w:rsidR="004B1D0B" w:rsidRPr="00C65CAA" w:rsidRDefault="004B1D0B" w:rsidP="009879BE">
            <w:pPr>
              <w:jc w:val="right"/>
              <w:rPr>
                <w:rFonts w:ascii="Arial Narrow" w:hAnsi="Arial Narrow"/>
                <w:color w:val="000000"/>
                <w:sz w:val="20"/>
                <w:szCs w:val="20"/>
              </w:rPr>
            </w:pPr>
            <w:r w:rsidRPr="00C65CAA">
              <w:rPr>
                <w:rFonts w:ascii="Arial Narrow" w:hAnsi="Arial Narrow"/>
                <w:color w:val="000000"/>
                <w:sz w:val="20"/>
                <w:szCs w:val="20"/>
              </w:rPr>
              <w:t>12 464 557</w:t>
            </w:r>
          </w:p>
        </w:tc>
        <w:tc>
          <w:tcPr>
            <w:tcW w:w="703" w:type="pct"/>
            <w:vAlign w:val="center"/>
          </w:tcPr>
          <w:p w:rsidR="004B1D0B" w:rsidRPr="00C65CAA" w:rsidRDefault="004B1D0B" w:rsidP="009879BE">
            <w:pPr>
              <w:jc w:val="right"/>
              <w:rPr>
                <w:rFonts w:ascii="Arial Narrow" w:hAnsi="Arial Narrow"/>
                <w:color w:val="000000"/>
                <w:sz w:val="20"/>
                <w:szCs w:val="20"/>
              </w:rPr>
            </w:pPr>
            <w:r w:rsidRPr="00C65CAA">
              <w:rPr>
                <w:rFonts w:ascii="Arial Narrow" w:hAnsi="Arial Narrow"/>
                <w:color w:val="000000"/>
                <w:sz w:val="20"/>
                <w:szCs w:val="20"/>
              </w:rPr>
              <w:t>1 103 039</w:t>
            </w:r>
          </w:p>
        </w:tc>
        <w:tc>
          <w:tcPr>
            <w:tcW w:w="623" w:type="pct"/>
            <w:vAlign w:val="center"/>
          </w:tcPr>
          <w:p w:rsidR="004B1D0B" w:rsidRPr="00C65CAA" w:rsidRDefault="004B1D0B" w:rsidP="009879BE">
            <w:pPr>
              <w:jc w:val="right"/>
              <w:rPr>
                <w:rFonts w:ascii="Arial Narrow" w:hAnsi="Arial Narrow"/>
                <w:color w:val="000000"/>
                <w:sz w:val="20"/>
                <w:szCs w:val="20"/>
              </w:rPr>
            </w:pPr>
            <w:r w:rsidRPr="00C65CAA">
              <w:rPr>
                <w:rFonts w:ascii="Arial Narrow" w:hAnsi="Arial Narrow"/>
                <w:color w:val="000000"/>
                <w:sz w:val="20"/>
                <w:szCs w:val="20"/>
              </w:rPr>
              <w:t>109,7</w:t>
            </w:r>
          </w:p>
        </w:tc>
      </w:tr>
      <w:tr w:rsidR="004B1D0B" w:rsidRPr="00C65CAA" w:rsidTr="00246EC8">
        <w:tc>
          <w:tcPr>
            <w:tcW w:w="1332" w:type="pct"/>
            <w:vAlign w:val="center"/>
          </w:tcPr>
          <w:p w:rsidR="004B1D0B" w:rsidRPr="00C65CAA" w:rsidRDefault="004B1D0B" w:rsidP="009879BE">
            <w:pPr>
              <w:pStyle w:val="Odsekzoznamu"/>
              <w:numPr>
                <w:ilvl w:val="0"/>
                <w:numId w:val="93"/>
              </w:numPr>
              <w:ind w:left="357" w:hanging="357"/>
              <w:rPr>
                <w:rFonts w:ascii="Arial Narrow" w:hAnsi="Arial Narrow"/>
                <w:sz w:val="20"/>
                <w:szCs w:val="20"/>
              </w:rPr>
            </w:pPr>
            <w:r w:rsidRPr="00C65CAA">
              <w:rPr>
                <w:rFonts w:ascii="Arial Narrow" w:hAnsi="Arial Narrow"/>
                <w:sz w:val="20"/>
                <w:szCs w:val="20"/>
              </w:rPr>
              <w:t>nedaňové príjmy</w:t>
            </w:r>
          </w:p>
        </w:tc>
        <w:tc>
          <w:tcPr>
            <w:tcW w:w="774" w:type="pct"/>
            <w:vAlign w:val="bottom"/>
          </w:tcPr>
          <w:p w:rsidR="004B1D0B" w:rsidRPr="00C65CAA" w:rsidRDefault="004B1D0B" w:rsidP="009879BE">
            <w:pPr>
              <w:jc w:val="right"/>
              <w:rPr>
                <w:rFonts w:ascii="Arial Narrow" w:hAnsi="Arial Narrow"/>
                <w:sz w:val="20"/>
                <w:szCs w:val="20"/>
              </w:rPr>
            </w:pPr>
            <w:r w:rsidRPr="00C65CAA">
              <w:rPr>
                <w:rFonts w:ascii="Arial Narrow" w:hAnsi="Arial Narrow"/>
                <w:sz w:val="20"/>
                <w:szCs w:val="20"/>
              </w:rPr>
              <w:t>1 385 457</w:t>
            </w:r>
          </w:p>
        </w:tc>
        <w:tc>
          <w:tcPr>
            <w:tcW w:w="708" w:type="pct"/>
            <w:vAlign w:val="center"/>
          </w:tcPr>
          <w:p w:rsidR="004B1D0B" w:rsidRPr="00C65CAA" w:rsidRDefault="004B1D0B" w:rsidP="009879BE">
            <w:pPr>
              <w:jc w:val="right"/>
              <w:rPr>
                <w:rFonts w:ascii="Arial Narrow" w:hAnsi="Arial Narrow"/>
                <w:color w:val="000000"/>
                <w:sz w:val="20"/>
                <w:szCs w:val="20"/>
              </w:rPr>
            </w:pPr>
            <w:r w:rsidRPr="00C65CAA">
              <w:rPr>
                <w:rFonts w:ascii="Arial Narrow" w:hAnsi="Arial Narrow"/>
                <w:color w:val="000000"/>
                <w:sz w:val="20"/>
                <w:szCs w:val="20"/>
              </w:rPr>
              <w:t>1 208 819</w:t>
            </w:r>
          </w:p>
        </w:tc>
        <w:tc>
          <w:tcPr>
            <w:tcW w:w="860" w:type="pct"/>
            <w:vAlign w:val="center"/>
          </w:tcPr>
          <w:p w:rsidR="004B1D0B" w:rsidRPr="00C65CAA" w:rsidRDefault="004B1D0B" w:rsidP="009879BE">
            <w:pPr>
              <w:jc w:val="right"/>
              <w:rPr>
                <w:rFonts w:ascii="Arial Narrow" w:hAnsi="Arial Narrow"/>
                <w:color w:val="000000"/>
                <w:sz w:val="20"/>
                <w:szCs w:val="20"/>
              </w:rPr>
            </w:pPr>
            <w:r w:rsidRPr="00C65CAA">
              <w:rPr>
                <w:rFonts w:ascii="Arial Narrow" w:hAnsi="Arial Narrow"/>
                <w:color w:val="000000"/>
                <w:sz w:val="20"/>
                <w:szCs w:val="20"/>
              </w:rPr>
              <w:t>1 331 345</w:t>
            </w:r>
          </w:p>
        </w:tc>
        <w:tc>
          <w:tcPr>
            <w:tcW w:w="703" w:type="pct"/>
            <w:vAlign w:val="center"/>
          </w:tcPr>
          <w:p w:rsidR="004B1D0B" w:rsidRPr="00C65CAA" w:rsidRDefault="004B1D0B" w:rsidP="009879BE">
            <w:pPr>
              <w:jc w:val="right"/>
              <w:rPr>
                <w:rFonts w:ascii="Arial Narrow" w:hAnsi="Arial Narrow"/>
                <w:color w:val="000000"/>
                <w:sz w:val="20"/>
                <w:szCs w:val="20"/>
              </w:rPr>
            </w:pPr>
            <w:r w:rsidRPr="00C65CAA">
              <w:rPr>
                <w:rFonts w:ascii="Arial Narrow" w:hAnsi="Arial Narrow"/>
                <w:color w:val="000000"/>
                <w:sz w:val="20"/>
                <w:szCs w:val="20"/>
              </w:rPr>
              <w:t>122 526</w:t>
            </w:r>
          </w:p>
        </w:tc>
        <w:tc>
          <w:tcPr>
            <w:tcW w:w="623" w:type="pct"/>
            <w:vAlign w:val="center"/>
          </w:tcPr>
          <w:p w:rsidR="004B1D0B" w:rsidRPr="00C65CAA" w:rsidRDefault="004B1D0B" w:rsidP="009879BE">
            <w:pPr>
              <w:jc w:val="right"/>
              <w:rPr>
                <w:rFonts w:ascii="Arial Narrow" w:hAnsi="Arial Narrow"/>
                <w:color w:val="000000"/>
                <w:sz w:val="20"/>
                <w:szCs w:val="20"/>
              </w:rPr>
            </w:pPr>
            <w:r w:rsidRPr="00C65CAA">
              <w:rPr>
                <w:rFonts w:ascii="Arial Narrow" w:hAnsi="Arial Narrow"/>
                <w:color w:val="000000"/>
                <w:sz w:val="20"/>
                <w:szCs w:val="20"/>
              </w:rPr>
              <w:t>110,1</w:t>
            </w:r>
          </w:p>
        </w:tc>
      </w:tr>
      <w:tr w:rsidR="004B1D0B" w:rsidRPr="00C65CAA" w:rsidTr="00246EC8">
        <w:tc>
          <w:tcPr>
            <w:tcW w:w="1332" w:type="pct"/>
            <w:vAlign w:val="center"/>
          </w:tcPr>
          <w:p w:rsidR="004B1D0B" w:rsidRPr="00C65CAA" w:rsidRDefault="004B1D0B" w:rsidP="009879BE">
            <w:pPr>
              <w:pStyle w:val="Odsekzoznamu"/>
              <w:numPr>
                <w:ilvl w:val="0"/>
                <w:numId w:val="93"/>
              </w:numPr>
              <w:ind w:left="357" w:hanging="357"/>
              <w:rPr>
                <w:rFonts w:ascii="Arial Narrow" w:hAnsi="Arial Narrow"/>
                <w:sz w:val="20"/>
                <w:szCs w:val="20"/>
              </w:rPr>
            </w:pPr>
            <w:r w:rsidRPr="00C65CAA">
              <w:rPr>
                <w:rFonts w:ascii="Arial Narrow" w:hAnsi="Arial Narrow"/>
                <w:sz w:val="20"/>
                <w:szCs w:val="20"/>
              </w:rPr>
              <w:t>granty a transfery </w:t>
            </w:r>
          </w:p>
        </w:tc>
        <w:tc>
          <w:tcPr>
            <w:tcW w:w="774" w:type="pct"/>
            <w:vAlign w:val="bottom"/>
          </w:tcPr>
          <w:p w:rsidR="004B1D0B" w:rsidRPr="00C65CAA" w:rsidRDefault="004B1D0B" w:rsidP="009879BE">
            <w:pPr>
              <w:jc w:val="right"/>
              <w:rPr>
                <w:rFonts w:ascii="Arial Narrow" w:hAnsi="Arial Narrow"/>
                <w:sz w:val="20"/>
                <w:szCs w:val="20"/>
              </w:rPr>
            </w:pPr>
            <w:r w:rsidRPr="00C65CAA">
              <w:rPr>
                <w:rFonts w:ascii="Arial Narrow" w:hAnsi="Arial Narrow"/>
                <w:sz w:val="20"/>
                <w:szCs w:val="20"/>
              </w:rPr>
              <w:t>1 476 362</w:t>
            </w:r>
          </w:p>
        </w:tc>
        <w:tc>
          <w:tcPr>
            <w:tcW w:w="708" w:type="pct"/>
            <w:vAlign w:val="center"/>
          </w:tcPr>
          <w:p w:rsidR="004B1D0B" w:rsidRPr="00C65CAA" w:rsidRDefault="004B1D0B" w:rsidP="009879BE">
            <w:pPr>
              <w:jc w:val="right"/>
              <w:rPr>
                <w:rFonts w:ascii="Arial Narrow" w:hAnsi="Arial Narrow"/>
                <w:color w:val="000000"/>
                <w:sz w:val="20"/>
                <w:szCs w:val="20"/>
              </w:rPr>
            </w:pPr>
            <w:r w:rsidRPr="00C65CAA">
              <w:rPr>
                <w:rFonts w:ascii="Arial Narrow" w:hAnsi="Arial Narrow"/>
                <w:color w:val="000000"/>
                <w:sz w:val="20"/>
                <w:szCs w:val="20"/>
              </w:rPr>
              <w:t>1 412 473</w:t>
            </w:r>
          </w:p>
        </w:tc>
        <w:tc>
          <w:tcPr>
            <w:tcW w:w="860" w:type="pct"/>
            <w:vAlign w:val="center"/>
          </w:tcPr>
          <w:p w:rsidR="004B1D0B" w:rsidRPr="00C65CAA" w:rsidRDefault="004B1D0B" w:rsidP="009879BE">
            <w:pPr>
              <w:jc w:val="right"/>
              <w:rPr>
                <w:rFonts w:ascii="Arial Narrow" w:hAnsi="Arial Narrow"/>
                <w:color w:val="000000"/>
                <w:sz w:val="20"/>
                <w:szCs w:val="20"/>
              </w:rPr>
            </w:pPr>
            <w:r w:rsidRPr="00C65CAA">
              <w:rPr>
                <w:rFonts w:ascii="Arial Narrow" w:hAnsi="Arial Narrow"/>
                <w:color w:val="000000"/>
                <w:sz w:val="20"/>
                <w:szCs w:val="20"/>
              </w:rPr>
              <w:t>1 701 752</w:t>
            </w:r>
          </w:p>
        </w:tc>
        <w:tc>
          <w:tcPr>
            <w:tcW w:w="703" w:type="pct"/>
            <w:vAlign w:val="center"/>
          </w:tcPr>
          <w:p w:rsidR="004B1D0B" w:rsidRPr="00C65CAA" w:rsidRDefault="004B1D0B" w:rsidP="009879BE">
            <w:pPr>
              <w:jc w:val="right"/>
              <w:rPr>
                <w:rFonts w:ascii="Arial Narrow" w:hAnsi="Arial Narrow"/>
                <w:color w:val="000000"/>
                <w:sz w:val="20"/>
                <w:szCs w:val="20"/>
              </w:rPr>
            </w:pPr>
            <w:r w:rsidRPr="00C65CAA">
              <w:rPr>
                <w:rFonts w:ascii="Arial Narrow" w:hAnsi="Arial Narrow"/>
                <w:color w:val="000000"/>
                <w:sz w:val="20"/>
                <w:szCs w:val="20"/>
              </w:rPr>
              <w:t>289 279</w:t>
            </w:r>
          </w:p>
        </w:tc>
        <w:tc>
          <w:tcPr>
            <w:tcW w:w="623" w:type="pct"/>
            <w:vAlign w:val="center"/>
          </w:tcPr>
          <w:p w:rsidR="004B1D0B" w:rsidRPr="00C65CAA" w:rsidRDefault="004B1D0B" w:rsidP="009879BE">
            <w:pPr>
              <w:jc w:val="right"/>
              <w:rPr>
                <w:rFonts w:ascii="Arial Narrow" w:hAnsi="Arial Narrow"/>
                <w:color w:val="000000"/>
                <w:sz w:val="20"/>
                <w:szCs w:val="20"/>
              </w:rPr>
            </w:pPr>
            <w:r w:rsidRPr="00C65CAA">
              <w:rPr>
                <w:rFonts w:ascii="Arial Narrow" w:hAnsi="Arial Narrow"/>
                <w:color w:val="000000"/>
                <w:sz w:val="20"/>
                <w:szCs w:val="20"/>
              </w:rPr>
              <w:t>120,5</w:t>
            </w:r>
          </w:p>
        </w:tc>
      </w:tr>
      <w:tr w:rsidR="004B1D0B" w:rsidRPr="00C65CAA" w:rsidTr="00246EC8">
        <w:tc>
          <w:tcPr>
            <w:tcW w:w="1332" w:type="pct"/>
            <w:vAlign w:val="center"/>
          </w:tcPr>
          <w:p w:rsidR="004B1D0B" w:rsidRPr="00C65CAA" w:rsidRDefault="004B1D0B" w:rsidP="009879BE">
            <w:pPr>
              <w:rPr>
                <w:rFonts w:ascii="Arial Narrow" w:hAnsi="Arial Narrow"/>
                <w:b/>
                <w:bCs/>
                <w:color w:val="000000"/>
                <w:sz w:val="20"/>
                <w:szCs w:val="20"/>
              </w:rPr>
            </w:pPr>
            <w:r w:rsidRPr="00C65CAA">
              <w:rPr>
                <w:rFonts w:ascii="Arial Narrow" w:hAnsi="Arial Narrow"/>
                <w:b/>
                <w:bCs/>
                <w:color w:val="000000"/>
                <w:sz w:val="20"/>
                <w:szCs w:val="20"/>
              </w:rPr>
              <w:t>Výdavky ŠR</w:t>
            </w:r>
          </w:p>
        </w:tc>
        <w:tc>
          <w:tcPr>
            <w:tcW w:w="774" w:type="pct"/>
            <w:vAlign w:val="bottom"/>
          </w:tcPr>
          <w:p w:rsidR="004B1D0B" w:rsidRPr="00C65CAA" w:rsidRDefault="004B1D0B" w:rsidP="009879BE">
            <w:pPr>
              <w:jc w:val="right"/>
              <w:rPr>
                <w:rFonts w:ascii="Arial Narrow" w:hAnsi="Arial Narrow"/>
                <w:b/>
                <w:bCs/>
                <w:sz w:val="20"/>
                <w:szCs w:val="20"/>
              </w:rPr>
            </w:pPr>
            <w:r w:rsidRPr="00C65CAA">
              <w:rPr>
                <w:rFonts w:ascii="Arial Narrow" w:hAnsi="Arial Narrow"/>
                <w:b/>
                <w:bCs/>
                <w:sz w:val="20"/>
                <w:szCs w:val="20"/>
              </w:rPr>
              <w:t>15 234 261</w:t>
            </w:r>
          </w:p>
        </w:tc>
        <w:tc>
          <w:tcPr>
            <w:tcW w:w="708" w:type="pct"/>
            <w:vAlign w:val="center"/>
          </w:tcPr>
          <w:p w:rsidR="004B1D0B" w:rsidRPr="00C65CAA" w:rsidRDefault="004B1D0B" w:rsidP="009879BE">
            <w:pPr>
              <w:jc w:val="right"/>
              <w:rPr>
                <w:rFonts w:ascii="Arial Narrow" w:hAnsi="Arial Narrow"/>
                <w:b/>
                <w:bCs/>
                <w:color w:val="000000"/>
                <w:sz w:val="20"/>
                <w:szCs w:val="20"/>
              </w:rPr>
            </w:pPr>
            <w:r w:rsidRPr="00C65CAA">
              <w:rPr>
                <w:rFonts w:ascii="Arial Narrow" w:hAnsi="Arial Narrow"/>
                <w:b/>
                <w:bCs/>
                <w:color w:val="000000"/>
                <w:sz w:val="20"/>
                <w:szCs w:val="20"/>
              </w:rPr>
              <w:t>15 955 715</w:t>
            </w:r>
          </w:p>
        </w:tc>
        <w:tc>
          <w:tcPr>
            <w:tcW w:w="860" w:type="pct"/>
            <w:vAlign w:val="center"/>
          </w:tcPr>
          <w:p w:rsidR="004B1D0B" w:rsidRPr="00C65CAA" w:rsidRDefault="004B1D0B" w:rsidP="009879BE">
            <w:pPr>
              <w:jc w:val="right"/>
              <w:rPr>
                <w:rFonts w:ascii="Arial Narrow" w:hAnsi="Arial Narrow"/>
                <w:b/>
                <w:bCs/>
                <w:color w:val="000000"/>
                <w:sz w:val="20"/>
                <w:szCs w:val="20"/>
              </w:rPr>
            </w:pPr>
            <w:r w:rsidRPr="00C65CAA">
              <w:rPr>
                <w:rFonts w:ascii="Arial Narrow" w:hAnsi="Arial Narrow"/>
                <w:b/>
                <w:bCs/>
                <w:color w:val="000000"/>
                <w:sz w:val="20"/>
                <w:szCs w:val="20"/>
              </w:rPr>
              <w:t>17 635 792</w:t>
            </w:r>
          </w:p>
        </w:tc>
        <w:tc>
          <w:tcPr>
            <w:tcW w:w="703" w:type="pct"/>
            <w:vAlign w:val="center"/>
          </w:tcPr>
          <w:p w:rsidR="004B1D0B" w:rsidRPr="00C65CAA" w:rsidRDefault="004B1D0B" w:rsidP="009879BE">
            <w:pPr>
              <w:jc w:val="right"/>
              <w:rPr>
                <w:rFonts w:ascii="Arial Narrow" w:hAnsi="Arial Narrow"/>
                <w:b/>
                <w:bCs/>
                <w:color w:val="000000"/>
                <w:sz w:val="20"/>
                <w:szCs w:val="20"/>
              </w:rPr>
            </w:pPr>
            <w:r w:rsidRPr="00C65CAA">
              <w:rPr>
                <w:rFonts w:ascii="Arial Narrow" w:hAnsi="Arial Narrow"/>
                <w:b/>
                <w:bCs/>
                <w:color w:val="000000"/>
                <w:sz w:val="20"/>
                <w:szCs w:val="20"/>
              </w:rPr>
              <w:t>1 680 077</w:t>
            </w:r>
          </w:p>
        </w:tc>
        <w:tc>
          <w:tcPr>
            <w:tcW w:w="623" w:type="pct"/>
            <w:vAlign w:val="center"/>
          </w:tcPr>
          <w:p w:rsidR="004B1D0B" w:rsidRPr="00C65CAA" w:rsidRDefault="004B1D0B" w:rsidP="009879BE">
            <w:pPr>
              <w:jc w:val="right"/>
              <w:rPr>
                <w:rFonts w:ascii="Arial Narrow" w:hAnsi="Arial Narrow"/>
                <w:b/>
                <w:bCs/>
                <w:color w:val="000000"/>
                <w:sz w:val="20"/>
                <w:szCs w:val="20"/>
              </w:rPr>
            </w:pPr>
            <w:r w:rsidRPr="00C65CAA">
              <w:rPr>
                <w:rFonts w:ascii="Arial Narrow" w:hAnsi="Arial Narrow"/>
                <w:b/>
                <w:bCs/>
                <w:color w:val="000000"/>
                <w:sz w:val="20"/>
                <w:szCs w:val="20"/>
              </w:rPr>
              <w:t>110,5</w:t>
            </w:r>
          </w:p>
        </w:tc>
      </w:tr>
      <w:tr w:rsidR="004B1D0B" w:rsidRPr="00C65CAA" w:rsidTr="00246EC8">
        <w:tc>
          <w:tcPr>
            <w:tcW w:w="1332" w:type="pct"/>
            <w:vAlign w:val="center"/>
          </w:tcPr>
          <w:p w:rsidR="004B1D0B" w:rsidRPr="00C65CAA" w:rsidRDefault="004B1D0B" w:rsidP="009879BE">
            <w:pPr>
              <w:pStyle w:val="Odsekzoznamu"/>
              <w:numPr>
                <w:ilvl w:val="0"/>
                <w:numId w:val="93"/>
              </w:numPr>
              <w:ind w:left="357" w:hanging="357"/>
              <w:rPr>
                <w:rFonts w:ascii="Arial Narrow" w:hAnsi="Arial Narrow"/>
                <w:sz w:val="20"/>
                <w:szCs w:val="20"/>
              </w:rPr>
            </w:pPr>
            <w:r w:rsidRPr="00C65CAA">
              <w:rPr>
                <w:rFonts w:ascii="Arial Narrow" w:hAnsi="Arial Narrow"/>
                <w:sz w:val="20"/>
                <w:szCs w:val="20"/>
              </w:rPr>
              <w:t xml:space="preserve">bežné výdavky </w:t>
            </w:r>
          </w:p>
        </w:tc>
        <w:tc>
          <w:tcPr>
            <w:tcW w:w="774" w:type="pct"/>
            <w:vAlign w:val="bottom"/>
          </w:tcPr>
          <w:p w:rsidR="004B1D0B" w:rsidRPr="00C65CAA" w:rsidRDefault="004B1D0B" w:rsidP="009879BE">
            <w:pPr>
              <w:jc w:val="right"/>
              <w:rPr>
                <w:rFonts w:ascii="Arial Narrow" w:hAnsi="Arial Narrow"/>
                <w:sz w:val="20"/>
                <w:szCs w:val="20"/>
              </w:rPr>
            </w:pPr>
            <w:r w:rsidRPr="00C65CAA">
              <w:rPr>
                <w:rFonts w:ascii="Arial Narrow" w:hAnsi="Arial Narrow"/>
                <w:sz w:val="20"/>
                <w:szCs w:val="20"/>
              </w:rPr>
              <w:t>13 681 468</w:t>
            </w:r>
          </w:p>
        </w:tc>
        <w:tc>
          <w:tcPr>
            <w:tcW w:w="708" w:type="pct"/>
            <w:vAlign w:val="center"/>
          </w:tcPr>
          <w:p w:rsidR="004B1D0B" w:rsidRPr="00C65CAA" w:rsidRDefault="004B1D0B" w:rsidP="009879BE">
            <w:pPr>
              <w:jc w:val="right"/>
              <w:rPr>
                <w:rFonts w:ascii="Arial Narrow" w:hAnsi="Arial Narrow"/>
                <w:color w:val="000000"/>
                <w:sz w:val="20"/>
                <w:szCs w:val="20"/>
              </w:rPr>
            </w:pPr>
            <w:r w:rsidRPr="00C65CAA">
              <w:rPr>
                <w:rFonts w:ascii="Arial Narrow" w:hAnsi="Arial Narrow"/>
                <w:color w:val="000000"/>
                <w:sz w:val="20"/>
                <w:szCs w:val="20"/>
              </w:rPr>
              <w:t>14 624 299</w:t>
            </w:r>
          </w:p>
        </w:tc>
        <w:tc>
          <w:tcPr>
            <w:tcW w:w="860" w:type="pct"/>
            <w:vAlign w:val="center"/>
          </w:tcPr>
          <w:p w:rsidR="004B1D0B" w:rsidRPr="00C65CAA" w:rsidRDefault="004B1D0B" w:rsidP="009879BE">
            <w:pPr>
              <w:jc w:val="right"/>
              <w:rPr>
                <w:rFonts w:ascii="Arial Narrow" w:hAnsi="Arial Narrow"/>
                <w:color w:val="000000"/>
                <w:sz w:val="20"/>
                <w:szCs w:val="20"/>
              </w:rPr>
            </w:pPr>
            <w:r w:rsidRPr="00C65CAA">
              <w:rPr>
                <w:rFonts w:ascii="Arial Narrow" w:hAnsi="Arial Narrow"/>
                <w:color w:val="000000"/>
                <w:sz w:val="20"/>
                <w:szCs w:val="20"/>
              </w:rPr>
              <w:t>15 250 323</w:t>
            </w:r>
          </w:p>
        </w:tc>
        <w:tc>
          <w:tcPr>
            <w:tcW w:w="703" w:type="pct"/>
            <w:vAlign w:val="center"/>
          </w:tcPr>
          <w:p w:rsidR="004B1D0B" w:rsidRPr="00C65CAA" w:rsidRDefault="004B1D0B" w:rsidP="009879BE">
            <w:pPr>
              <w:jc w:val="right"/>
              <w:rPr>
                <w:rFonts w:ascii="Arial Narrow" w:hAnsi="Arial Narrow"/>
                <w:color w:val="000000"/>
                <w:sz w:val="20"/>
                <w:szCs w:val="20"/>
              </w:rPr>
            </w:pPr>
            <w:r w:rsidRPr="00C65CAA">
              <w:rPr>
                <w:rFonts w:ascii="Arial Narrow" w:hAnsi="Arial Narrow"/>
                <w:color w:val="000000"/>
                <w:sz w:val="20"/>
                <w:szCs w:val="20"/>
              </w:rPr>
              <w:t>626 024</w:t>
            </w:r>
          </w:p>
        </w:tc>
        <w:tc>
          <w:tcPr>
            <w:tcW w:w="623" w:type="pct"/>
            <w:vAlign w:val="center"/>
          </w:tcPr>
          <w:p w:rsidR="004B1D0B" w:rsidRPr="00C65CAA" w:rsidRDefault="004B1D0B" w:rsidP="009879BE">
            <w:pPr>
              <w:jc w:val="right"/>
              <w:rPr>
                <w:rFonts w:ascii="Arial Narrow" w:hAnsi="Arial Narrow"/>
                <w:color w:val="000000"/>
                <w:sz w:val="20"/>
                <w:szCs w:val="20"/>
              </w:rPr>
            </w:pPr>
            <w:r w:rsidRPr="00C65CAA">
              <w:rPr>
                <w:rFonts w:ascii="Arial Narrow" w:hAnsi="Arial Narrow"/>
                <w:color w:val="000000"/>
                <w:sz w:val="20"/>
                <w:szCs w:val="20"/>
              </w:rPr>
              <w:t>104,3</w:t>
            </w:r>
          </w:p>
        </w:tc>
      </w:tr>
      <w:tr w:rsidR="004B1D0B" w:rsidRPr="00C65CAA" w:rsidTr="00246EC8">
        <w:tc>
          <w:tcPr>
            <w:tcW w:w="1332" w:type="pct"/>
            <w:vAlign w:val="center"/>
          </w:tcPr>
          <w:p w:rsidR="004B1D0B" w:rsidRPr="00C65CAA" w:rsidRDefault="004B1D0B" w:rsidP="009879BE">
            <w:pPr>
              <w:pStyle w:val="Odsekzoznamu"/>
              <w:numPr>
                <w:ilvl w:val="0"/>
                <w:numId w:val="93"/>
              </w:numPr>
              <w:ind w:left="357" w:hanging="357"/>
              <w:rPr>
                <w:rFonts w:ascii="Arial Narrow" w:hAnsi="Arial Narrow"/>
                <w:sz w:val="20"/>
                <w:szCs w:val="20"/>
              </w:rPr>
            </w:pPr>
            <w:r w:rsidRPr="00C65CAA">
              <w:rPr>
                <w:rFonts w:ascii="Arial Narrow" w:hAnsi="Arial Narrow"/>
                <w:sz w:val="20"/>
                <w:szCs w:val="20"/>
              </w:rPr>
              <w:t xml:space="preserve">kapitálové výdavky </w:t>
            </w:r>
          </w:p>
        </w:tc>
        <w:tc>
          <w:tcPr>
            <w:tcW w:w="774" w:type="pct"/>
            <w:vAlign w:val="bottom"/>
          </w:tcPr>
          <w:p w:rsidR="004B1D0B" w:rsidRPr="00C65CAA" w:rsidRDefault="004B1D0B" w:rsidP="009879BE">
            <w:pPr>
              <w:jc w:val="right"/>
              <w:rPr>
                <w:rFonts w:ascii="Arial Narrow" w:hAnsi="Arial Narrow"/>
                <w:sz w:val="20"/>
                <w:szCs w:val="20"/>
              </w:rPr>
            </w:pPr>
            <w:r w:rsidRPr="00C65CAA">
              <w:rPr>
                <w:rFonts w:ascii="Arial Narrow" w:hAnsi="Arial Narrow"/>
                <w:sz w:val="20"/>
                <w:szCs w:val="20"/>
              </w:rPr>
              <w:t>1 552 793</w:t>
            </w:r>
          </w:p>
        </w:tc>
        <w:tc>
          <w:tcPr>
            <w:tcW w:w="708" w:type="pct"/>
            <w:vAlign w:val="center"/>
          </w:tcPr>
          <w:p w:rsidR="004B1D0B" w:rsidRPr="00C65CAA" w:rsidRDefault="004B1D0B" w:rsidP="009879BE">
            <w:pPr>
              <w:jc w:val="right"/>
              <w:rPr>
                <w:rFonts w:ascii="Arial Narrow" w:hAnsi="Arial Narrow"/>
                <w:color w:val="000000"/>
                <w:sz w:val="20"/>
                <w:szCs w:val="20"/>
              </w:rPr>
            </w:pPr>
            <w:r w:rsidRPr="00C65CAA">
              <w:rPr>
                <w:rFonts w:ascii="Arial Narrow" w:hAnsi="Arial Narrow"/>
                <w:color w:val="000000"/>
                <w:sz w:val="20"/>
                <w:szCs w:val="20"/>
              </w:rPr>
              <w:t>1 331 415</w:t>
            </w:r>
          </w:p>
        </w:tc>
        <w:tc>
          <w:tcPr>
            <w:tcW w:w="860" w:type="pct"/>
            <w:vAlign w:val="center"/>
          </w:tcPr>
          <w:p w:rsidR="004B1D0B" w:rsidRPr="00C65CAA" w:rsidRDefault="004B1D0B" w:rsidP="009879BE">
            <w:pPr>
              <w:jc w:val="right"/>
              <w:rPr>
                <w:rFonts w:ascii="Arial Narrow" w:hAnsi="Arial Narrow"/>
                <w:color w:val="000000"/>
                <w:sz w:val="20"/>
                <w:szCs w:val="20"/>
              </w:rPr>
            </w:pPr>
            <w:r w:rsidRPr="00C65CAA">
              <w:rPr>
                <w:rFonts w:ascii="Arial Narrow" w:hAnsi="Arial Narrow"/>
                <w:color w:val="000000"/>
                <w:sz w:val="20"/>
                <w:szCs w:val="20"/>
              </w:rPr>
              <w:t>2 385 469</w:t>
            </w:r>
          </w:p>
        </w:tc>
        <w:tc>
          <w:tcPr>
            <w:tcW w:w="703" w:type="pct"/>
            <w:vAlign w:val="center"/>
          </w:tcPr>
          <w:p w:rsidR="004B1D0B" w:rsidRPr="00C65CAA" w:rsidRDefault="004B1D0B" w:rsidP="009879BE">
            <w:pPr>
              <w:jc w:val="right"/>
              <w:rPr>
                <w:rFonts w:ascii="Arial Narrow" w:hAnsi="Arial Narrow"/>
                <w:color w:val="000000"/>
                <w:sz w:val="20"/>
                <w:szCs w:val="20"/>
              </w:rPr>
            </w:pPr>
            <w:r w:rsidRPr="00C65CAA">
              <w:rPr>
                <w:rFonts w:ascii="Arial Narrow" w:hAnsi="Arial Narrow"/>
                <w:color w:val="000000"/>
                <w:sz w:val="20"/>
                <w:szCs w:val="20"/>
              </w:rPr>
              <w:t>1 054 053</w:t>
            </w:r>
          </w:p>
        </w:tc>
        <w:tc>
          <w:tcPr>
            <w:tcW w:w="623" w:type="pct"/>
            <w:vAlign w:val="center"/>
          </w:tcPr>
          <w:p w:rsidR="004B1D0B" w:rsidRPr="00C65CAA" w:rsidRDefault="004B1D0B" w:rsidP="009879BE">
            <w:pPr>
              <w:jc w:val="right"/>
              <w:rPr>
                <w:rFonts w:ascii="Arial Narrow" w:hAnsi="Arial Narrow"/>
                <w:color w:val="000000"/>
                <w:sz w:val="20"/>
                <w:szCs w:val="20"/>
              </w:rPr>
            </w:pPr>
            <w:r w:rsidRPr="00C65CAA">
              <w:rPr>
                <w:rFonts w:ascii="Arial Narrow" w:hAnsi="Arial Narrow"/>
                <w:color w:val="000000"/>
                <w:sz w:val="20"/>
                <w:szCs w:val="20"/>
              </w:rPr>
              <w:t>179,2</w:t>
            </w:r>
          </w:p>
        </w:tc>
      </w:tr>
      <w:tr w:rsidR="004B1D0B" w:rsidRPr="00C65CAA" w:rsidTr="00246EC8">
        <w:tc>
          <w:tcPr>
            <w:tcW w:w="1332" w:type="pct"/>
            <w:vAlign w:val="center"/>
          </w:tcPr>
          <w:p w:rsidR="004B1D0B" w:rsidRPr="00C65CAA" w:rsidRDefault="004B1D0B" w:rsidP="009879BE">
            <w:pPr>
              <w:rPr>
                <w:rFonts w:ascii="Arial Narrow" w:hAnsi="Arial Narrow"/>
                <w:b/>
                <w:color w:val="000000"/>
                <w:sz w:val="20"/>
                <w:szCs w:val="20"/>
              </w:rPr>
            </w:pPr>
            <w:r w:rsidRPr="00C65CAA">
              <w:rPr>
                <w:rFonts w:ascii="Arial Narrow" w:hAnsi="Arial Narrow"/>
                <w:b/>
                <w:bCs/>
                <w:color w:val="000000"/>
                <w:sz w:val="20"/>
                <w:szCs w:val="20"/>
              </w:rPr>
              <w:t>Schodok ŠR</w:t>
            </w:r>
          </w:p>
        </w:tc>
        <w:tc>
          <w:tcPr>
            <w:tcW w:w="774" w:type="pct"/>
            <w:vAlign w:val="bottom"/>
          </w:tcPr>
          <w:p w:rsidR="004B1D0B" w:rsidRPr="00C65CAA" w:rsidRDefault="004B1D0B" w:rsidP="009879BE">
            <w:pPr>
              <w:jc w:val="right"/>
              <w:rPr>
                <w:rFonts w:ascii="Arial Narrow" w:hAnsi="Arial Narrow"/>
                <w:b/>
                <w:bCs/>
                <w:sz w:val="20"/>
                <w:szCs w:val="20"/>
              </w:rPr>
            </w:pPr>
            <w:r w:rsidRPr="00C65CAA">
              <w:rPr>
                <w:rFonts w:ascii="Arial Narrow" w:hAnsi="Arial Narrow"/>
                <w:b/>
                <w:bCs/>
                <w:sz w:val="20"/>
                <w:szCs w:val="20"/>
              </w:rPr>
              <w:t>-1 220 132</w:t>
            </w:r>
          </w:p>
        </w:tc>
        <w:tc>
          <w:tcPr>
            <w:tcW w:w="708" w:type="pct"/>
            <w:vAlign w:val="center"/>
          </w:tcPr>
          <w:p w:rsidR="004B1D0B" w:rsidRPr="00C65CAA" w:rsidRDefault="004B1D0B" w:rsidP="009879BE">
            <w:pPr>
              <w:jc w:val="right"/>
              <w:rPr>
                <w:rFonts w:ascii="Arial Narrow" w:hAnsi="Arial Narrow"/>
                <w:b/>
                <w:bCs/>
                <w:color w:val="000000"/>
                <w:sz w:val="20"/>
                <w:szCs w:val="20"/>
              </w:rPr>
            </w:pPr>
            <w:r w:rsidRPr="00C65CAA">
              <w:rPr>
                <w:rFonts w:ascii="Arial Narrow" w:hAnsi="Arial Narrow"/>
                <w:b/>
                <w:bCs/>
                <w:color w:val="000000"/>
                <w:sz w:val="20"/>
                <w:szCs w:val="20"/>
              </w:rPr>
              <w:t>-1 972 905</w:t>
            </w:r>
          </w:p>
        </w:tc>
        <w:tc>
          <w:tcPr>
            <w:tcW w:w="860" w:type="pct"/>
            <w:vAlign w:val="center"/>
          </w:tcPr>
          <w:p w:rsidR="004B1D0B" w:rsidRPr="00C65CAA" w:rsidRDefault="004B1D0B" w:rsidP="009879BE">
            <w:pPr>
              <w:jc w:val="right"/>
              <w:rPr>
                <w:rFonts w:ascii="Arial Narrow" w:hAnsi="Arial Narrow"/>
                <w:b/>
                <w:bCs/>
                <w:color w:val="000000"/>
                <w:sz w:val="20"/>
                <w:szCs w:val="20"/>
              </w:rPr>
            </w:pPr>
            <w:r w:rsidRPr="00C65CAA">
              <w:rPr>
                <w:rFonts w:ascii="Arial Narrow" w:hAnsi="Arial Narrow"/>
                <w:b/>
                <w:bCs/>
                <w:color w:val="000000"/>
                <w:sz w:val="20"/>
                <w:szCs w:val="20"/>
              </w:rPr>
              <w:t>-2 138 138</w:t>
            </w:r>
          </w:p>
        </w:tc>
        <w:tc>
          <w:tcPr>
            <w:tcW w:w="703" w:type="pct"/>
            <w:vAlign w:val="center"/>
          </w:tcPr>
          <w:p w:rsidR="004B1D0B" w:rsidRPr="00C65CAA" w:rsidRDefault="004B1D0B" w:rsidP="009879BE">
            <w:pPr>
              <w:jc w:val="right"/>
              <w:rPr>
                <w:rFonts w:ascii="Arial Narrow" w:hAnsi="Arial Narrow"/>
                <w:b/>
                <w:bCs/>
                <w:color w:val="000000"/>
                <w:sz w:val="20"/>
                <w:szCs w:val="20"/>
              </w:rPr>
            </w:pPr>
            <w:r w:rsidRPr="00C65CAA">
              <w:rPr>
                <w:rFonts w:ascii="Arial Narrow" w:hAnsi="Arial Narrow"/>
                <w:b/>
                <w:bCs/>
                <w:color w:val="000000"/>
                <w:sz w:val="20"/>
                <w:szCs w:val="20"/>
              </w:rPr>
              <w:t>-165 233</w:t>
            </w:r>
          </w:p>
        </w:tc>
        <w:tc>
          <w:tcPr>
            <w:tcW w:w="623" w:type="pct"/>
            <w:vAlign w:val="center"/>
          </w:tcPr>
          <w:p w:rsidR="004B1D0B" w:rsidRPr="00C65CAA" w:rsidRDefault="004B1D0B" w:rsidP="009879BE">
            <w:pPr>
              <w:jc w:val="right"/>
              <w:rPr>
                <w:rFonts w:ascii="Arial Narrow" w:hAnsi="Arial Narrow"/>
                <w:b/>
                <w:bCs/>
                <w:color w:val="000000"/>
                <w:sz w:val="20"/>
                <w:szCs w:val="20"/>
              </w:rPr>
            </w:pPr>
            <w:r w:rsidRPr="00C65CAA">
              <w:rPr>
                <w:rFonts w:ascii="Arial Narrow" w:hAnsi="Arial Narrow"/>
                <w:b/>
                <w:bCs/>
                <w:color w:val="000000"/>
                <w:sz w:val="20"/>
                <w:szCs w:val="20"/>
              </w:rPr>
              <w:t>108,4</w:t>
            </w:r>
          </w:p>
        </w:tc>
      </w:tr>
    </w:tbl>
    <w:p w:rsidR="004B1D0B" w:rsidRPr="00C65CAA" w:rsidRDefault="004B1D0B" w:rsidP="00B366F3">
      <w:pPr>
        <w:pStyle w:val="Zkladntext"/>
        <w:spacing w:after="100"/>
        <w:jc w:val="both"/>
        <w:rPr>
          <w:rFonts w:ascii="Arial Narrow" w:hAnsi="Arial Narrow"/>
          <w:color w:val="000000"/>
          <w:sz w:val="20"/>
        </w:rPr>
      </w:pPr>
      <w:r w:rsidRPr="00C65CAA">
        <w:rPr>
          <w:rFonts w:ascii="Arial Narrow" w:hAnsi="Arial Narrow"/>
          <w:color w:val="000000"/>
          <w:sz w:val="20"/>
        </w:rPr>
        <w:t>Zdroj: ŠZÚ za rok 2017, RVS na roky 2018 až 2020, Návrh RVS na roky 2019 až 2021</w:t>
      </w:r>
    </w:p>
    <w:p w:rsidR="00D23611" w:rsidRPr="00C65CAA" w:rsidRDefault="003742C5" w:rsidP="00256AF8">
      <w:pPr>
        <w:spacing w:before="100" w:after="100"/>
        <w:ind w:firstLine="708"/>
        <w:jc w:val="both"/>
        <w:rPr>
          <w:rFonts w:ascii="Arial Narrow" w:hAnsi="Arial Narrow"/>
          <w:sz w:val="22"/>
          <w:szCs w:val="22"/>
        </w:rPr>
      </w:pPr>
      <w:r w:rsidRPr="00C65CAA">
        <w:rPr>
          <w:rFonts w:ascii="Arial Narrow" w:hAnsi="Arial Narrow"/>
          <w:sz w:val="22"/>
          <w:szCs w:val="22"/>
        </w:rPr>
        <w:t>Príjmy ŠR na rok 2019 sa navrhujú vo výške 15 497 654 tis. eur, čo je o 1 514 844</w:t>
      </w:r>
      <w:r w:rsidR="00D23611" w:rsidRPr="00C65CAA">
        <w:rPr>
          <w:rFonts w:ascii="Arial Narrow" w:hAnsi="Arial Narrow"/>
          <w:sz w:val="22"/>
          <w:szCs w:val="22"/>
        </w:rPr>
        <w:t xml:space="preserve"> tis. eur </w:t>
      </w:r>
      <w:r w:rsidRPr="00C65CAA">
        <w:rPr>
          <w:rFonts w:ascii="Arial Narrow" w:hAnsi="Arial Narrow"/>
          <w:sz w:val="22"/>
          <w:szCs w:val="22"/>
        </w:rPr>
        <w:t>viac oproti rozpočtu na rok 2018</w:t>
      </w:r>
      <w:r w:rsidR="00D23611" w:rsidRPr="00C65CAA">
        <w:rPr>
          <w:rFonts w:ascii="Arial Narrow" w:hAnsi="Arial Narrow"/>
          <w:sz w:val="22"/>
          <w:szCs w:val="22"/>
        </w:rPr>
        <w:t>. Daňové príjmy sa medziročne z</w:t>
      </w:r>
      <w:r w:rsidRPr="00C65CAA">
        <w:rPr>
          <w:rFonts w:ascii="Arial Narrow" w:hAnsi="Arial Narrow"/>
          <w:sz w:val="22"/>
          <w:szCs w:val="22"/>
        </w:rPr>
        <w:t xml:space="preserve">vyšujú </w:t>
      </w:r>
      <w:r w:rsidR="00D23611" w:rsidRPr="00C65CAA">
        <w:rPr>
          <w:rFonts w:ascii="Arial Narrow" w:hAnsi="Arial Narrow"/>
          <w:sz w:val="22"/>
          <w:szCs w:val="22"/>
        </w:rPr>
        <w:t>o</w:t>
      </w:r>
      <w:r w:rsidRPr="00C65CAA">
        <w:rPr>
          <w:rFonts w:ascii="Arial Narrow" w:hAnsi="Arial Narrow"/>
          <w:sz w:val="22"/>
          <w:szCs w:val="22"/>
        </w:rPr>
        <w:t> 1 103 039 tis. eur na úroveň 12 464 557</w:t>
      </w:r>
      <w:r w:rsidR="00D23611" w:rsidRPr="00C65CAA">
        <w:rPr>
          <w:rFonts w:ascii="Arial Narrow" w:hAnsi="Arial Narrow"/>
          <w:sz w:val="22"/>
          <w:szCs w:val="22"/>
        </w:rPr>
        <w:t xml:space="preserve"> tis. eur, nedaňové príjmy sa zvyšujú o</w:t>
      </w:r>
      <w:r w:rsidRPr="00C65CAA">
        <w:rPr>
          <w:rFonts w:ascii="Arial Narrow" w:hAnsi="Arial Narrow"/>
          <w:sz w:val="22"/>
          <w:szCs w:val="22"/>
        </w:rPr>
        <w:t> 122 526</w:t>
      </w:r>
      <w:r w:rsidR="00D23611" w:rsidRPr="00C65CAA">
        <w:rPr>
          <w:rFonts w:ascii="Arial Narrow" w:hAnsi="Arial Narrow"/>
          <w:sz w:val="22"/>
          <w:szCs w:val="22"/>
        </w:rPr>
        <w:t xml:space="preserve"> tis. eur na úroveň 1</w:t>
      </w:r>
      <w:r w:rsidRPr="00C65CAA">
        <w:rPr>
          <w:rFonts w:ascii="Arial Narrow" w:hAnsi="Arial Narrow"/>
          <w:sz w:val="22"/>
          <w:szCs w:val="22"/>
        </w:rPr>
        <w:t> 331 345 tis. eur. G</w:t>
      </w:r>
      <w:r w:rsidR="00D23611" w:rsidRPr="00C65CAA">
        <w:rPr>
          <w:rFonts w:ascii="Arial Narrow" w:hAnsi="Arial Narrow"/>
          <w:sz w:val="22"/>
          <w:szCs w:val="22"/>
        </w:rPr>
        <w:t>ranty a transfery sa v roku 201</w:t>
      </w:r>
      <w:r w:rsidRPr="00C65CAA">
        <w:rPr>
          <w:rFonts w:ascii="Arial Narrow" w:hAnsi="Arial Narrow"/>
          <w:sz w:val="22"/>
          <w:szCs w:val="22"/>
        </w:rPr>
        <w:t xml:space="preserve">9 </w:t>
      </w:r>
      <w:r w:rsidR="00D23611" w:rsidRPr="00C65CAA">
        <w:rPr>
          <w:rFonts w:ascii="Arial Narrow" w:hAnsi="Arial Narrow"/>
          <w:sz w:val="22"/>
          <w:szCs w:val="22"/>
        </w:rPr>
        <w:t xml:space="preserve">medziročne </w:t>
      </w:r>
      <w:r w:rsidRPr="00C65CAA">
        <w:rPr>
          <w:rFonts w:ascii="Arial Narrow" w:hAnsi="Arial Narrow"/>
          <w:sz w:val="22"/>
          <w:szCs w:val="22"/>
        </w:rPr>
        <w:t xml:space="preserve">navrhujú zvýšiť </w:t>
      </w:r>
      <w:r w:rsidR="00D23611" w:rsidRPr="00C65CAA">
        <w:rPr>
          <w:rFonts w:ascii="Arial Narrow" w:hAnsi="Arial Narrow"/>
          <w:sz w:val="22"/>
          <w:szCs w:val="22"/>
        </w:rPr>
        <w:t>o</w:t>
      </w:r>
      <w:r w:rsidRPr="00C65CAA">
        <w:rPr>
          <w:rFonts w:ascii="Arial Narrow" w:hAnsi="Arial Narrow"/>
          <w:sz w:val="22"/>
          <w:szCs w:val="22"/>
        </w:rPr>
        <w:t xml:space="preserve"> 289 279 </w:t>
      </w:r>
      <w:r w:rsidR="00D23611" w:rsidRPr="00C65CAA">
        <w:rPr>
          <w:rFonts w:ascii="Arial Narrow" w:hAnsi="Arial Narrow"/>
          <w:sz w:val="22"/>
          <w:szCs w:val="22"/>
        </w:rPr>
        <w:t>tis. eur na úroveň 1</w:t>
      </w:r>
      <w:r w:rsidRPr="00C65CAA">
        <w:rPr>
          <w:rFonts w:ascii="Arial Narrow" w:hAnsi="Arial Narrow"/>
          <w:sz w:val="22"/>
          <w:szCs w:val="22"/>
        </w:rPr>
        <w:t xml:space="preserve"> 701 752 </w:t>
      </w:r>
      <w:r w:rsidR="00D23611" w:rsidRPr="00C65CAA">
        <w:rPr>
          <w:rFonts w:ascii="Arial Narrow" w:hAnsi="Arial Narrow"/>
          <w:sz w:val="22"/>
          <w:szCs w:val="22"/>
        </w:rPr>
        <w:t>tis. eur.</w:t>
      </w:r>
    </w:p>
    <w:p w:rsidR="00D23611" w:rsidRPr="00C65CAA" w:rsidRDefault="00D23611" w:rsidP="00256AF8">
      <w:pPr>
        <w:shd w:val="clear" w:color="auto" w:fill="FFFFFF" w:themeFill="background1"/>
        <w:spacing w:before="100" w:after="100"/>
        <w:jc w:val="both"/>
        <w:rPr>
          <w:rFonts w:ascii="Arial Narrow" w:eastAsia="Calibri" w:hAnsi="Arial Narrow"/>
          <w:b/>
          <w:sz w:val="22"/>
          <w:szCs w:val="22"/>
        </w:rPr>
      </w:pPr>
      <w:r w:rsidRPr="00C65CAA">
        <w:rPr>
          <w:rFonts w:ascii="Arial Narrow" w:eastAsia="Calibri" w:hAnsi="Arial Narrow"/>
          <w:b/>
          <w:sz w:val="22"/>
          <w:szCs w:val="22"/>
        </w:rPr>
        <w:t xml:space="preserve">Daňové príjmy </w:t>
      </w:r>
    </w:p>
    <w:p w:rsidR="003742C5" w:rsidRPr="00C65CAA" w:rsidRDefault="00D23611" w:rsidP="00256AF8">
      <w:pPr>
        <w:spacing w:before="100" w:after="100"/>
        <w:ind w:firstLine="708"/>
        <w:jc w:val="both"/>
        <w:rPr>
          <w:rFonts w:ascii="Arial Narrow" w:hAnsi="Arial Narrow"/>
          <w:sz w:val="22"/>
          <w:szCs w:val="22"/>
        </w:rPr>
      </w:pPr>
      <w:r w:rsidRPr="00C65CAA">
        <w:rPr>
          <w:rFonts w:ascii="Arial Narrow" w:hAnsi="Arial Narrow"/>
          <w:color w:val="000000"/>
          <w:sz w:val="22"/>
          <w:szCs w:val="22"/>
        </w:rPr>
        <w:t xml:space="preserve">Porovnanie štruktúry daňových príjmov ŠR </w:t>
      </w:r>
      <w:r w:rsidRPr="00C65CAA">
        <w:rPr>
          <w:rFonts w:ascii="Arial Narrow" w:hAnsi="Arial Narrow"/>
          <w:b/>
          <w:color w:val="000000"/>
          <w:sz w:val="22"/>
          <w:szCs w:val="22"/>
        </w:rPr>
        <w:t>na hotovostnej báze</w:t>
      </w:r>
      <w:r w:rsidRPr="00C65CAA">
        <w:rPr>
          <w:rFonts w:ascii="Arial Narrow" w:hAnsi="Arial Narrow"/>
          <w:color w:val="000000"/>
          <w:sz w:val="22"/>
          <w:szCs w:val="22"/>
        </w:rPr>
        <w:t xml:space="preserve"> </w:t>
      </w:r>
      <w:r w:rsidR="003742C5" w:rsidRPr="00C65CAA">
        <w:rPr>
          <w:rFonts w:ascii="Arial Narrow" w:hAnsi="Arial Narrow"/>
          <w:sz w:val="22"/>
          <w:szCs w:val="22"/>
        </w:rPr>
        <w:t>za ro</w:t>
      </w:r>
      <w:r w:rsidR="008E0327" w:rsidRPr="00C65CAA">
        <w:rPr>
          <w:rFonts w:ascii="Arial Narrow" w:hAnsi="Arial Narrow"/>
          <w:sz w:val="22"/>
          <w:szCs w:val="22"/>
        </w:rPr>
        <w:t>k 2017, schváleného rozpočtu na </w:t>
      </w:r>
      <w:r w:rsidR="003742C5" w:rsidRPr="00C65CAA">
        <w:rPr>
          <w:rFonts w:ascii="Arial Narrow" w:hAnsi="Arial Narrow"/>
          <w:sz w:val="22"/>
          <w:szCs w:val="22"/>
        </w:rPr>
        <w:t>rok 2018 a návrhu rozpočtu na rok 2019</w:t>
      </w:r>
      <w:r w:rsidR="001D2AD7" w:rsidRPr="00C65CAA">
        <w:rPr>
          <w:rFonts w:ascii="Arial Narrow" w:hAnsi="Arial Narrow"/>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3"/>
        <w:gridCol w:w="1057"/>
        <w:gridCol w:w="1211"/>
        <w:gridCol w:w="1395"/>
        <w:gridCol w:w="870"/>
        <w:gridCol w:w="706"/>
      </w:tblGrid>
      <w:tr w:rsidR="00246EC8" w:rsidRPr="00C65CAA" w:rsidTr="00246EC8">
        <w:trPr>
          <w:trHeight w:val="170"/>
          <w:tblHeader/>
        </w:trPr>
        <w:tc>
          <w:tcPr>
            <w:tcW w:w="3823" w:type="dxa"/>
            <w:shd w:val="clear" w:color="auto" w:fill="0070C0"/>
            <w:vAlign w:val="center"/>
          </w:tcPr>
          <w:p w:rsidR="00246EC8" w:rsidRPr="00C65CAA" w:rsidRDefault="00246EC8" w:rsidP="009879BE">
            <w:pPr>
              <w:jc w:val="center"/>
              <w:rPr>
                <w:rFonts w:ascii="Arial Narrow" w:hAnsi="Arial Narrow"/>
                <w:b/>
                <w:bCs/>
                <w:color w:val="FFFFFF" w:themeColor="background1"/>
                <w:sz w:val="20"/>
                <w:szCs w:val="20"/>
              </w:rPr>
            </w:pPr>
            <w:r w:rsidRPr="00C65CAA">
              <w:rPr>
                <w:rFonts w:ascii="Arial Narrow" w:hAnsi="Arial Narrow"/>
                <w:b/>
                <w:bCs/>
                <w:color w:val="FFFFFF" w:themeColor="background1"/>
                <w:sz w:val="20"/>
                <w:szCs w:val="20"/>
              </w:rPr>
              <w:t>Názov ukazovateľa</w:t>
            </w:r>
          </w:p>
          <w:p w:rsidR="00246EC8" w:rsidRPr="00C65CAA" w:rsidRDefault="00246EC8" w:rsidP="009879BE">
            <w:pPr>
              <w:jc w:val="center"/>
              <w:rPr>
                <w:rFonts w:ascii="Arial Narrow" w:hAnsi="Arial Narrow"/>
                <w:b/>
                <w:bCs/>
                <w:color w:val="FFFFFF" w:themeColor="background1"/>
                <w:sz w:val="20"/>
                <w:szCs w:val="20"/>
              </w:rPr>
            </w:pPr>
            <w:r w:rsidRPr="00C65CAA">
              <w:rPr>
                <w:rFonts w:ascii="Arial Narrow" w:hAnsi="Arial Narrow"/>
                <w:b/>
                <w:bCs/>
                <w:color w:val="FFFFFF" w:themeColor="background1"/>
                <w:sz w:val="20"/>
                <w:szCs w:val="20"/>
              </w:rPr>
              <w:t>(v tis. eur)</w:t>
            </w:r>
          </w:p>
        </w:tc>
        <w:tc>
          <w:tcPr>
            <w:tcW w:w="1057" w:type="dxa"/>
            <w:shd w:val="clear" w:color="auto" w:fill="0070C0"/>
            <w:vAlign w:val="center"/>
          </w:tcPr>
          <w:p w:rsidR="00246EC8" w:rsidRPr="00C65CAA" w:rsidRDefault="00246EC8" w:rsidP="009879BE">
            <w:pPr>
              <w:jc w:val="center"/>
              <w:rPr>
                <w:rFonts w:ascii="Arial Narrow" w:hAnsi="Arial Narrow"/>
                <w:b/>
                <w:bCs/>
                <w:color w:val="FFFFFF" w:themeColor="background1"/>
                <w:sz w:val="20"/>
                <w:szCs w:val="20"/>
              </w:rPr>
            </w:pPr>
            <w:r w:rsidRPr="00C65CAA">
              <w:rPr>
                <w:rFonts w:ascii="Arial Narrow" w:hAnsi="Arial Narrow"/>
                <w:b/>
                <w:bCs/>
                <w:color w:val="FFFFFF" w:themeColor="background1"/>
                <w:sz w:val="20"/>
                <w:szCs w:val="20"/>
              </w:rPr>
              <w:t>Skutočnosť</w:t>
            </w:r>
          </w:p>
          <w:p w:rsidR="00246EC8" w:rsidRPr="00C65CAA" w:rsidRDefault="00246EC8" w:rsidP="009879BE">
            <w:pPr>
              <w:jc w:val="center"/>
              <w:rPr>
                <w:rFonts w:ascii="Arial Narrow" w:hAnsi="Arial Narrow"/>
                <w:b/>
                <w:bCs/>
                <w:color w:val="FFFFFF" w:themeColor="background1"/>
                <w:sz w:val="20"/>
                <w:szCs w:val="20"/>
              </w:rPr>
            </w:pPr>
            <w:r w:rsidRPr="00C65CAA">
              <w:rPr>
                <w:rFonts w:ascii="Arial Narrow" w:hAnsi="Arial Narrow"/>
                <w:b/>
                <w:bCs/>
                <w:color w:val="FFFFFF" w:themeColor="background1"/>
                <w:sz w:val="20"/>
                <w:szCs w:val="20"/>
              </w:rPr>
              <w:t>2017</w:t>
            </w:r>
          </w:p>
        </w:tc>
        <w:tc>
          <w:tcPr>
            <w:tcW w:w="1211" w:type="dxa"/>
            <w:shd w:val="clear" w:color="auto" w:fill="0070C0"/>
            <w:vAlign w:val="center"/>
          </w:tcPr>
          <w:p w:rsidR="00246EC8" w:rsidRPr="00C65CAA" w:rsidRDefault="00246EC8" w:rsidP="009879BE">
            <w:pPr>
              <w:jc w:val="center"/>
              <w:rPr>
                <w:rFonts w:ascii="Arial Narrow" w:hAnsi="Arial Narrow"/>
                <w:b/>
                <w:bCs/>
                <w:color w:val="FFFFFF" w:themeColor="background1"/>
                <w:sz w:val="20"/>
                <w:szCs w:val="20"/>
              </w:rPr>
            </w:pPr>
            <w:r w:rsidRPr="00C65CAA">
              <w:rPr>
                <w:rFonts w:ascii="Arial Narrow" w:hAnsi="Arial Narrow"/>
                <w:b/>
                <w:bCs/>
                <w:color w:val="FFFFFF" w:themeColor="background1"/>
                <w:sz w:val="20"/>
                <w:szCs w:val="20"/>
              </w:rPr>
              <w:t>Rozpočet</w:t>
            </w:r>
          </w:p>
          <w:p w:rsidR="00246EC8" w:rsidRPr="00C65CAA" w:rsidRDefault="00246EC8" w:rsidP="009879BE">
            <w:pPr>
              <w:jc w:val="center"/>
              <w:rPr>
                <w:rFonts w:ascii="Arial Narrow" w:hAnsi="Arial Narrow"/>
                <w:b/>
                <w:bCs/>
                <w:color w:val="FFFFFF" w:themeColor="background1"/>
                <w:sz w:val="20"/>
                <w:szCs w:val="20"/>
              </w:rPr>
            </w:pPr>
            <w:r w:rsidRPr="00C65CAA">
              <w:rPr>
                <w:rFonts w:ascii="Arial Narrow" w:hAnsi="Arial Narrow"/>
                <w:b/>
                <w:bCs/>
                <w:color w:val="FFFFFF" w:themeColor="background1"/>
                <w:sz w:val="20"/>
                <w:szCs w:val="20"/>
              </w:rPr>
              <w:t>2018</w:t>
            </w:r>
          </w:p>
        </w:tc>
        <w:tc>
          <w:tcPr>
            <w:tcW w:w="1395" w:type="dxa"/>
            <w:shd w:val="clear" w:color="auto" w:fill="0070C0"/>
            <w:vAlign w:val="center"/>
          </w:tcPr>
          <w:p w:rsidR="00246EC8" w:rsidRPr="00C65CAA" w:rsidRDefault="00246EC8" w:rsidP="009879BE">
            <w:pPr>
              <w:jc w:val="center"/>
              <w:rPr>
                <w:rFonts w:ascii="Arial Narrow" w:hAnsi="Arial Narrow"/>
                <w:b/>
                <w:bCs/>
                <w:color w:val="FFFFFF" w:themeColor="background1"/>
                <w:sz w:val="20"/>
                <w:szCs w:val="20"/>
              </w:rPr>
            </w:pPr>
            <w:r w:rsidRPr="00C65CAA">
              <w:rPr>
                <w:rFonts w:ascii="Arial Narrow" w:hAnsi="Arial Narrow"/>
                <w:b/>
                <w:bCs/>
                <w:color w:val="FFFFFF" w:themeColor="background1"/>
                <w:sz w:val="20"/>
                <w:szCs w:val="20"/>
              </w:rPr>
              <w:t>Návrh rozpočtu</w:t>
            </w:r>
          </w:p>
          <w:p w:rsidR="00246EC8" w:rsidRPr="00C65CAA" w:rsidRDefault="00246EC8" w:rsidP="009879BE">
            <w:pPr>
              <w:jc w:val="center"/>
              <w:rPr>
                <w:rFonts w:ascii="Arial Narrow" w:hAnsi="Arial Narrow"/>
                <w:b/>
                <w:bCs/>
                <w:color w:val="FFFFFF" w:themeColor="background1"/>
                <w:sz w:val="20"/>
                <w:szCs w:val="20"/>
              </w:rPr>
            </w:pPr>
            <w:r w:rsidRPr="00C65CAA">
              <w:rPr>
                <w:rFonts w:ascii="Arial Narrow" w:hAnsi="Arial Narrow"/>
                <w:b/>
                <w:bCs/>
                <w:color w:val="FFFFFF" w:themeColor="background1"/>
                <w:sz w:val="20"/>
                <w:szCs w:val="20"/>
              </w:rPr>
              <w:t>2019</w:t>
            </w:r>
          </w:p>
        </w:tc>
        <w:tc>
          <w:tcPr>
            <w:tcW w:w="0" w:type="auto"/>
            <w:shd w:val="clear" w:color="auto" w:fill="0070C0"/>
            <w:vAlign w:val="center"/>
          </w:tcPr>
          <w:p w:rsidR="00246EC8" w:rsidRPr="00C65CAA" w:rsidRDefault="00246EC8" w:rsidP="009879BE">
            <w:pPr>
              <w:jc w:val="center"/>
              <w:rPr>
                <w:rFonts w:ascii="Arial Narrow" w:hAnsi="Arial Narrow"/>
                <w:b/>
                <w:bCs/>
                <w:color w:val="FFFFFF" w:themeColor="background1"/>
                <w:sz w:val="20"/>
                <w:szCs w:val="20"/>
              </w:rPr>
            </w:pPr>
            <w:r w:rsidRPr="00C65CAA">
              <w:rPr>
                <w:rFonts w:ascii="Arial Narrow" w:hAnsi="Arial Narrow"/>
                <w:b/>
                <w:bCs/>
                <w:color w:val="FFFFFF" w:themeColor="background1"/>
                <w:sz w:val="20"/>
                <w:szCs w:val="20"/>
              </w:rPr>
              <w:t>Rozdiel</w:t>
            </w:r>
          </w:p>
        </w:tc>
        <w:tc>
          <w:tcPr>
            <w:tcW w:w="0" w:type="auto"/>
            <w:shd w:val="clear" w:color="auto" w:fill="0070C0"/>
            <w:vAlign w:val="center"/>
          </w:tcPr>
          <w:p w:rsidR="00246EC8" w:rsidRPr="00C65CAA" w:rsidRDefault="00246EC8" w:rsidP="009879BE">
            <w:pPr>
              <w:jc w:val="center"/>
              <w:rPr>
                <w:rFonts w:ascii="Arial Narrow" w:hAnsi="Arial Narrow"/>
                <w:b/>
                <w:bCs/>
                <w:color w:val="FFFFFF" w:themeColor="background1"/>
                <w:sz w:val="20"/>
                <w:szCs w:val="20"/>
              </w:rPr>
            </w:pPr>
            <w:r w:rsidRPr="00C65CAA">
              <w:rPr>
                <w:rFonts w:ascii="Arial Narrow" w:hAnsi="Arial Narrow"/>
                <w:b/>
                <w:bCs/>
                <w:color w:val="FFFFFF" w:themeColor="background1"/>
                <w:sz w:val="20"/>
                <w:szCs w:val="20"/>
              </w:rPr>
              <w:t xml:space="preserve">Podiel </w:t>
            </w:r>
          </w:p>
          <w:p w:rsidR="00246EC8" w:rsidRPr="00C65CAA" w:rsidRDefault="00246EC8" w:rsidP="009879BE">
            <w:pPr>
              <w:jc w:val="center"/>
              <w:rPr>
                <w:rFonts w:ascii="Arial Narrow" w:hAnsi="Arial Narrow"/>
                <w:b/>
                <w:bCs/>
                <w:color w:val="FFFFFF" w:themeColor="background1"/>
                <w:sz w:val="20"/>
                <w:szCs w:val="20"/>
              </w:rPr>
            </w:pPr>
            <w:r w:rsidRPr="00C65CAA">
              <w:rPr>
                <w:rFonts w:ascii="Arial Narrow" w:hAnsi="Arial Narrow"/>
                <w:b/>
                <w:bCs/>
                <w:color w:val="FFFFFF" w:themeColor="background1"/>
                <w:sz w:val="20"/>
                <w:szCs w:val="20"/>
              </w:rPr>
              <w:t>v %</w:t>
            </w:r>
          </w:p>
        </w:tc>
      </w:tr>
      <w:tr w:rsidR="00246EC8" w:rsidRPr="00C65CAA" w:rsidTr="00246EC8">
        <w:trPr>
          <w:trHeight w:val="170"/>
          <w:tblHeader/>
        </w:trPr>
        <w:tc>
          <w:tcPr>
            <w:tcW w:w="3823" w:type="dxa"/>
            <w:shd w:val="clear" w:color="auto" w:fill="auto"/>
            <w:vAlign w:val="center"/>
            <w:hideMark/>
          </w:tcPr>
          <w:p w:rsidR="00246EC8" w:rsidRPr="00C65CAA" w:rsidRDefault="00246EC8" w:rsidP="009879BE">
            <w:pPr>
              <w:jc w:val="center"/>
              <w:rPr>
                <w:rFonts w:ascii="Arial Narrow" w:hAnsi="Arial Narrow"/>
                <w:color w:val="000000"/>
                <w:sz w:val="20"/>
                <w:szCs w:val="20"/>
              </w:rPr>
            </w:pPr>
            <w:r w:rsidRPr="00C65CAA">
              <w:rPr>
                <w:rFonts w:ascii="Arial Narrow" w:hAnsi="Arial Narrow"/>
                <w:color w:val="000000"/>
                <w:sz w:val="20"/>
                <w:szCs w:val="20"/>
              </w:rPr>
              <w:t>a</w:t>
            </w:r>
          </w:p>
        </w:tc>
        <w:tc>
          <w:tcPr>
            <w:tcW w:w="1057" w:type="dxa"/>
            <w:shd w:val="clear" w:color="auto" w:fill="auto"/>
            <w:vAlign w:val="center"/>
            <w:hideMark/>
          </w:tcPr>
          <w:p w:rsidR="00246EC8" w:rsidRPr="00C65CAA" w:rsidRDefault="00246EC8" w:rsidP="009879BE">
            <w:pPr>
              <w:jc w:val="center"/>
              <w:rPr>
                <w:rFonts w:ascii="Arial Narrow" w:hAnsi="Arial Narrow"/>
                <w:color w:val="000000"/>
                <w:sz w:val="20"/>
                <w:szCs w:val="20"/>
              </w:rPr>
            </w:pPr>
            <w:r w:rsidRPr="00C65CAA">
              <w:rPr>
                <w:rFonts w:ascii="Arial Narrow" w:hAnsi="Arial Narrow"/>
                <w:color w:val="000000"/>
                <w:sz w:val="20"/>
                <w:szCs w:val="20"/>
              </w:rPr>
              <w:t>1</w:t>
            </w:r>
          </w:p>
        </w:tc>
        <w:tc>
          <w:tcPr>
            <w:tcW w:w="1211" w:type="dxa"/>
            <w:shd w:val="clear" w:color="auto" w:fill="auto"/>
            <w:vAlign w:val="center"/>
            <w:hideMark/>
          </w:tcPr>
          <w:p w:rsidR="00246EC8" w:rsidRPr="00C65CAA" w:rsidRDefault="00246EC8" w:rsidP="009879BE">
            <w:pPr>
              <w:jc w:val="center"/>
              <w:rPr>
                <w:rFonts w:ascii="Arial Narrow" w:hAnsi="Arial Narrow"/>
                <w:color w:val="000000"/>
                <w:sz w:val="20"/>
                <w:szCs w:val="20"/>
              </w:rPr>
            </w:pPr>
            <w:r w:rsidRPr="00C65CAA">
              <w:rPr>
                <w:rFonts w:ascii="Arial Narrow" w:hAnsi="Arial Narrow"/>
                <w:color w:val="000000"/>
                <w:sz w:val="20"/>
                <w:szCs w:val="20"/>
              </w:rPr>
              <w:t>2</w:t>
            </w:r>
          </w:p>
        </w:tc>
        <w:tc>
          <w:tcPr>
            <w:tcW w:w="1395" w:type="dxa"/>
            <w:shd w:val="clear" w:color="auto" w:fill="auto"/>
            <w:vAlign w:val="center"/>
            <w:hideMark/>
          </w:tcPr>
          <w:p w:rsidR="00246EC8" w:rsidRPr="00C65CAA" w:rsidRDefault="00246EC8" w:rsidP="009879BE">
            <w:pPr>
              <w:jc w:val="center"/>
              <w:rPr>
                <w:rFonts w:ascii="Arial Narrow" w:hAnsi="Arial Narrow"/>
                <w:color w:val="000000"/>
                <w:sz w:val="20"/>
                <w:szCs w:val="20"/>
              </w:rPr>
            </w:pPr>
            <w:r w:rsidRPr="00C65CAA">
              <w:rPr>
                <w:rFonts w:ascii="Arial Narrow" w:hAnsi="Arial Narrow"/>
                <w:color w:val="000000"/>
                <w:sz w:val="20"/>
                <w:szCs w:val="20"/>
              </w:rPr>
              <w:t>3</w:t>
            </w:r>
          </w:p>
        </w:tc>
        <w:tc>
          <w:tcPr>
            <w:tcW w:w="0" w:type="auto"/>
            <w:shd w:val="clear" w:color="auto" w:fill="auto"/>
            <w:vAlign w:val="center"/>
            <w:hideMark/>
          </w:tcPr>
          <w:p w:rsidR="00246EC8" w:rsidRPr="00C65CAA" w:rsidRDefault="00246EC8" w:rsidP="009879BE">
            <w:pPr>
              <w:jc w:val="center"/>
              <w:rPr>
                <w:rFonts w:ascii="Arial Narrow" w:hAnsi="Arial Narrow"/>
                <w:color w:val="000000"/>
                <w:sz w:val="20"/>
                <w:szCs w:val="20"/>
              </w:rPr>
            </w:pPr>
            <w:r w:rsidRPr="00C65CAA">
              <w:rPr>
                <w:rFonts w:ascii="Arial Narrow" w:hAnsi="Arial Narrow"/>
                <w:color w:val="000000"/>
                <w:sz w:val="20"/>
                <w:szCs w:val="20"/>
              </w:rPr>
              <w:t>3-2</w:t>
            </w:r>
          </w:p>
        </w:tc>
        <w:tc>
          <w:tcPr>
            <w:tcW w:w="0" w:type="auto"/>
            <w:shd w:val="clear" w:color="auto" w:fill="auto"/>
            <w:vAlign w:val="center"/>
            <w:hideMark/>
          </w:tcPr>
          <w:p w:rsidR="00246EC8" w:rsidRPr="00C65CAA" w:rsidRDefault="00246EC8" w:rsidP="009879BE">
            <w:pPr>
              <w:jc w:val="center"/>
              <w:rPr>
                <w:rFonts w:ascii="Arial Narrow" w:hAnsi="Arial Narrow"/>
                <w:color w:val="000000"/>
                <w:sz w:val="20"/>
                <w:szCs w:val="20"/>
              </w:rPr>
            </w:pPr>
            <w:r w:rsidRPr="00C65CAA">
              <w:rPr>
                <w:rFonts w:ascii="Arial Narrow" w:hAnsi="Arial Narrow"/>
                <w:color w:val="000000"/>
                <w:sz w:val="20"/>
                <w:szCs w:val="20"/>
              </w:rPr>
              <w:t>3/2*100</w:t>
            </w:r>
          </w:p>
        </w:tc>
      </w:tr>
      <w:tr w:rsidR="00246EC8" w:rsidRPr="00C65CAA" w:rsidTr="00246EC8">
        <w:trPr>
          <w:trHeight w:val="20"/>
        </w:trPr>
        <w:tc>
          <w:tcPr>
            <w:tcW w:w="3823" w:type="dxa"/>
            <w:shd w:val="clear" w:color="000000" w:fill="FFFFFF"/>
            <w:vAlign w:val="center"/>
            <w:hideMark/>
          </w:tcPr>
          <w:p w:rsidR="00246EC8" w:rsidRPr="00C65CAA" w:rsidRDefault="00246EC8" w:rsidP="009879BE">
            <w:pPr>
              <w:rPr>
                <w:rFonts w:ascii="Arial Narrow" w:hAnsi="Arial Narrow"/>
                <w:b/>
                <w:bCs/>
                <w:color w:val="000000"/>
                <w:sz w:val="20"/>
                <w:szCs w:val="20"/>
              </w:rPr>
            </w:pPr>
            <w:r w:rsidRPr="00C65CAA">
              <w:rPr>
                <w:rFonts w:ascii="Arial Narrow" w:hAnsi="Arial Narrow"/>
                <w:b/>
                <w:bCs/>
                <w:color w:val="000000"/>
                <w:sz w:val="20"/>
                <w:szCs w:val="20"/>
              </w:rPr>
              <w:t>Daňové príjmy ŠR bez sankcií</w:t>
            </w:r>
          </w:p>
        </w:tc>
        <w:tc>
          <w:tcPr>
            <w:tcW w:w="1057" w:type="dxa"/>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cs="Tahoma"/>
                <w:b/>
                <w:bCs/>
                <w:color w:val="000000"/>
                <w:sz w:val="20"/>
                <w:szCs w:val="20"/>
              </w:rPr>
              <w:t>11 055 039</w:t>
            </w:r>
          </w:p>
        </w:tc>
        <w:tc>
          <w:tcPr>
            <w:tcW w:w="1211" w:type="dxa"/>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11 350 275</w:t>
            </w:r>
          </w:p>
        </w:tc>
        <w:tc>
          <w:tcPr>
            <w:tcW w:w="1395" w:type="dxa"/>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12 451 408</w:t>
            </w:r>
          </w:p>
        </w:tc>
        <w:tc>
          <w:tcPr>
            <w:tcW w:w="0" w:type="auto"/>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cs="Tahoma"/>
                <w:b/>
                <w:bCs/>
                <w:color w:val="000000"/>
                <w:sz w:val="20"/>
                <w:szCs w:val="20"/>
              </w:rPr>
              <w:t>1 101 133</w:t>
            </w:r>
          </w:p>
        </w:tc>
        <w:tc>
          <w:tcPr>
            <w:tcW w:w="0" w:type="auto"/>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cs="Tahoma"/>
                <w:b/>
                <w:bCs/>
                <w:color w:val="000000"/>
                <w:sz w:val="20"/>
                <w:szCs w:val="20"/>
              </w:rPr>
              <w:t>109,7</w:t>
            </w:r>
          </w:p>
        </w:tc>
      </w:tr>
      <w:tr w:rsidR="00246EC8" w:rsidRPr="00C65CAA" w:rsidTr="00246EC8">
        <w:trPr>
          <w:trHeight w:val="20"/>
        </w:trPr>
        <w:tc>
          <w:tcPr>
            <w:tcW w:w="3823" w:type="dxa"/>
            <w:shd w:val="clear" w:color="000000" w:fill="FFFFFF"/>
            <w:vAlign w:val="center"/>
            <w:hideMark/>
          </w:tcPr>
          <w:p w:rsidR="00246EC8" w:rsidRPr="00C65CAA" w:rsidRDefault="00246EC8" w:rsidP="009879BE">
            <w:pPr>
              <w:rPr>
                <w:rFonts w:ascii="Arial Narrow" w:hAnsi="Arial Narrow"/>
                <w:b/>
                <w:bCs/>
                <w:color w:val="000000"/>
                <w:sz w:val="20"/>
                <w:szCs w:val="20"/>
              </w:rPr>
            </w:pPr>
            <w:r w:rsidRPr="00C65CAA">
              <w:rPr>
                <w:rFonts w:ascii="Arial Narrow" w:hAnsi="Arial Narrow"/>
                <w:b/>
                <w:bCs/>
                <w:color w:val="000000"/>
                <w:sz w:val="20"/>
                <w:szCs w:val="20"/>
              </w:rPr>
              <w:t>Dane z príjmov a kapitálového majetku</w:t>
            </w:r>
          </w:p>
        </w:tc>
        <w:tc>
          <w:tcPr>
            <w:tcW w:w="1057" w:type="dxa"/>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cs="Tahoma"/>
                <w:b/>
                <w:bCs/>
                <w:color w:val="000000"/>
                <w:sz w:val="20"/>
                <w:szCs w:val="20"/>
              </w:rPr>
              <w:t>3 354 795</w:t>
            </w:r>
          </w:p>
        </w:tc>
        <w:tc>
          <w:tcPr>
            <w:tcW w:w="1211" w:type="dxa"/>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2 718 778</w:t>
            </w:r>
          </w:p>
        </w:tc>
        <w:tc>
          <w:tcPr>
            <w:tcW w:w="1395" w:type="dxa"/>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2 952 136</w:t>
            </w:r>
          </w:p>
        </w:tc>
        <w:tc>
          <w:tcPr>
            <w:tcW w:w="0" w:type="auto"/>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cs="Tahoma"/>
                <w:b/>
                <w:bCs/>
                <w:color w:val="000000"/>
                <w:sz w:val="20"/>
                <w:szCs w:val="20"/>
              </w:rPr>
              <w:t>233 358</w:t>
            </w:r>
          </w:p>
        </w:tc>
        <w:tc>
          <w:tcPr>
            <w:tcW w:w="0" w:type="auto"/>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cs="Tahoma"/>
                <w:b/>
                <w:bCs/>
                <w:color w:val="000000"/>
                <w:sz w:val="20"/>
                <w:szCs w:val="20"/>
              </w:rPr>
              <w:t>108,6</w:t>
            </w:r>
          </w:p>
        </w:tc>
      </w:tr>
      <w:tr w:rsidR="00246EC8" w:rsidRPr="00C65CAA" w:rsidTr="00246EC8">
        <w:trPr>
          <w:trHeight w:val="20"/>
        </w:trPr>
        <w:tc>
          <w:tcPr>
            <w:tcW w:w="3823" w:type="dxa"/>
            <w:shd w:val="clear" w:color="000000" w:fill="FFFFFF"/>
            <w:vAlign w:val="center"/>
          </w:tcPr>
          <w:p w:rsidR="00246EC8" w:rsidRPr="00C65CAA" w:rsidRDefault="00246EC8" w:rsidP="009879BE">
            <w:pPr>
              <w:rPr>
                <w:rFonts w:ascii="Arial Narrow" w:hAnsi="Arial Narrow"/>
                <w:color w:val="000000"/>
                <w:sz w:val="20"/>
                <w:szCs w:val="20"/>
              </w:rPr>
            </w:pPr>
            <w:r w:rsidRPr="00C65CAA">
              <w:rPr>
                <w:rFonts w:ascii="Arial Narrow" w:hAnsi="Arial Narrow"/>
                <w:color w:val="000000"/>
                <w:sz w:val="20"/>
                <w:szCs w:val="20"/>
              </w:rPr>
              <w:t>v tom:</w:t>
            </w:r>
          </w:p>
        </w:tc>
        <w:tc>
          <w:tcPr>
            <w:tcW w:w="1057" w:type="dxa"/>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 </w:t>
            </w:r>
          </w:p>
        </w:tc>
        <w:tc>
          <w:tcPr>
            <w:tcW w:w="1211" w:type="dxa"/>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 </w:t>
            </w:r>
          </w:p>
        </w:tc>
        <w:tc>
          <w:tcPr>
            <w:tcW w:w="1395" w:type="dxa"/>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 </w:t>
            </w:r>
          </w:p>
        </w:tc>
        <w:tc>
          <w:tcPr>
            <w:tcW w:w="0" w:type="auto"/>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 </w:t>
            </w:r>
          </w:p>
        </w:tc>
        <w:tc>
          <w:tcPr>
            <w:tcW w:w="0" w:type="auto"/>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 </w:t>
            </w:r>
          </w:p>
        </w:tc>
      </w:tr>
      <w:tr w:rsidR="00246EC8" w:rsidRPr="00C65CAA" w:rsidTr="00246EC8">
        <w:trPr>
          <w:trHeight w:val="20"/>
        </w:trPr>
        <w:tc>
          <w:tcPr>
            <w:tcW w:w="3823" w:type="dxa"/>
            <w:shd w:val="clear" w:color="000000" w:fill="FFFFFF"/>
            <w:vAlign w:val="center"/>
            <w:hideMark/>
          </w:tcPr>
          <w:p w:rsidR="00246EC8" w:rsidRPr="00C65CAA" w:rsidRDefault="00246EC8" w:rsidP="009879BE">
            <w:pPr>
              <w:pStyle w:val="Odsekzoznamu"/>
              <w:numPr>
                <w:ilvl w:val="0"/>
                <w:numId w:val="94"/>
              </w:numPr>
              <w:ind w:left="470" w:hanging="357"/>
              <w:rPr>
                <w:rFonts w:ascii="Arial Narrow" w:hAnsi="Arial Narrow"/>
                <w:color w:val="000000"/>
                <w:sz w:val="20"/>
                <w:szCs w:val="20"/>
              </w:rPr>
            </w:pPr>
            <w:r w:rsidRPr="00C65CAA">
              <w:rPr>
                <w:rFonts w:ascii="Arial Narrow" w:hAnsi="Arial Narrow"/>
                <w:color w:val="000000"/>
                <w:sz w:val="20"/>
                <w:szCs w:val="20"/>
              </w:rPr>
              <w:t xml:space="preserve">daň z príjmov fyzických osôb </w:t>
            </w:r>
          </w:p>
        </w:tc>
        <w:tc>
          <w:tcPr>
            <w:tcW w:w="1057" w:type="dxa"/>
            <w:shd w:val="clear" w:color="000000" w:fill="FFFFFF"/>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s="Tahoma"/>
                <w:color w:val="000000"/>
                <w:sz w:val="20"/>
                <w:szCs w:val="20"/>
              </w:rPr>
              <w:t>-11 479</w:t>
            </w:r>
          </w:p>
        </w:tc>
        <w:tc>
          <w:tcPr>
            <w:tcW w:w="1211" w:type="dxa"/>
            <w:shd w:val="clear" w:color="000000" w:fill="FFFFFF"/>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3 518</w:t>
            </w:r>
          </w:p>
        </w:tc>
        <w:tc>
          <w:tcPr>
            <w:tcW w:w="1395" w:type="dxa"/>
            <w:shd w:val="clear" w:color="000000" w:fill="FFFFFF"/>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16 794</w:t>
            </w:r>
          </w:p>
        </w:tc>
        <w:tc>
          <w:tcPr>
            <w:tcW w:w="0" w:type="auto"/>
            <w:shd w:val="clear" w:color="000000" w:fill="FFFFFF"/>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s="Tahoma"/>
                <w:color w:val="000000"/>
                <w:sz w:val="20"/>
                <w:szCs w:val="20"/>
              </w:rPr>
              <w:t>13 276</w:t>
            </w:r>
          </w:p>
        </w:tc>
        <w:tc>
          <w:tcPr>
            <w:tcW w:w="0" w:type="auto"/>
            <w:shd w:val="clear" w:color="000000" w:fill="FFFFFF"/>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s="Tahoma"/>
                <w:color w:val="000000"/>
                <w:sz w:val="20"/>
                <w:szCs w:val="20"/>
              </w:rPr>
              <w:t>477,4</w:t>
            </w:r>
          </w:p>
        </w:tc>
      </w:tr>
      <w:tr w:rsidR="00246EC8" w:rsidRPr="00C65CAA" w:rsidTr="00246EC8">
        <w:trPr>
          <w:trHeight w:val="20"/>
        </w:trPr>
        <w:tc>
          <w:tcPr>
            <w:tcW w:w="3823" w:type="dxa"/>
            <w:shd w:val="clear" w:color="000000" w:fill="FFFFFF"/>
            <w:vAlign w:val="center"/>
            <w:hideMark/>
          </w:tcPr>
          <w:p w:rsidR="00246EC8" w:rsidRPr="00C65CAA" w:rsidRDefault="00246EC8" w:rsidP="009879BE">
            <w:pPr>
              <w:pStyle w:val="Odsekzoznamu"/>
              <w:numPr>
                <w:ilvl w:val="0"/>
                <w:numId w:val="94"/>
              </w:numPr>
              <w:ind w:left="470" w:hanging="357"/>
              <w:rPr>
                <w:rFonts w:ascii="Arial Narrow" w:hAnsi="Arial Narrow"/>
                <w:color w:val="000000"/>
                <w:sz w:val="20"/>
                <w:szCs w:val="20"/>
              </w:rPr>
            </w:pPr>
            <w:r w:rsidRPr="00C65CAA">
              <w:rPr>
                <w:rFonts w:ascii="Arial Narrow" w:hAnsi="Arial Narrow"/>
                <w:color w:val="000000"/>
                <w:sz w:val="20"/>
                <w:szCs w:val="20"/>
              </w:rPr>
              <w:t xml:space="preserve">daň z príjmov právnických osôb </w:t>
            </w:r>
          </w:p>
        </w:tc>
        <w:tc>
          <w:tcPr>
            <w:tcW w:w="1057" w:type="dxa"/>
            <w:shd w:val="clear" w:color="000000" w:fill="FFFFFF"/>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s="Tahoma"/>
                <w:color w:val="000000"/>
                <w:sz w:val="20"/>
                <w:szCs w:val="20"/>
              </w:rPr>
              <w:t>3 187 063</w:t>
            </w:r>
          </w:p>
        </w:tc>
        <w:tc>
          <w:tcPr>
            <w:tcW w:w="1211" w:type="dxa"/>
            <w:shd w:val="clear" w:color="000000" w:fill="FFFFFF"/>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2 472 622</w:t>
            </w:r>
          </w:p>
        </w:tc>
        <w:tc>
          <w:tcPr>
            <w:tcW w:w="1395" w:type="dxa"/>
            <w:shd w:val="clear" w:color="000000" w:fill="FFFFFF"/>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2 733 291</w:t>
            </w:r>
          </w:p>
        </w:tc>
        <w:tc>
          <w:tcPr>
            <w:tcW w:w="0" w:type="auto"/>
            <w:shd w:val="clear" w:color="000000" w:fill="FFFFFF"/>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s="Tahoma"/>
                <w:color w:val="000000"/>
                <w:sz w:val="20"/>
                <w:szCs w:val="20"/>
              </w:rPr>
              <w:t>260 669</w:t>
            </w:r>
          </w:p>
        </w:tc>
        <w:tc>
          <w:tcPr>
            <w:tcW w:w="0" w:type="auto"/>
            <w:shd w:val="clear" w:color="000000" w:fill="FFFFFF"/>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s="Tahoma"/>
                <w:color w:val="000000"/>
                <w:sz w:val="20"/>
                <w:szCs w:val="20"/>
              </w:rPr>
              <w:t>110,5</w:t>
            </w:r>
          </w:p>
        </w:tc>
      </w:tr>
      <w:tr w:rsidR="00246EC8" w:rsidRPr="00C65CAA" w:rsidTr="00246EC8">
        <w:trPr>
          <w:trHeight w:val="20"/>
        </w:trPr>
        <w:tc>
          <w:tcPr>
            <w:tcW w:w="3823" w:type="dxa"/>
            <w:shd w:val="clear" w:color="000000" w:fill="FFFFFF"/>
            <w:vAlign w:val="center"/>
            <w:hideMark/>
          </w:tcPr>
          <w:p w:rsidR="00246EC8" w:rsidRPr="00C65CAA" w:rsidRDefault="00246EC8" w:rsidP="009879BE">
            <w:pPr>
              <w:pStyle w:val="Odsekzoznamu"/>
              <w:numPr>
                <w:ilvl w:val="0"/>
                <w:numId w:val="94"/>
              </w:numPr>
              <w:ind w:left="470" w:hanging="357"/>
              <w:rPr>
                <w:rFonts w:ascii="Arial Narrow" w:hAnsi="Arial Narrow"/>
                <w:color w:val="000000"/>
                <w:sz w:val="20"/>
                <w:szCs w:val="20"/>
              </w:rPr>
            </w:pPr>
            <w:r w:rsidRPr="00C65CAA">
              <w:rPr>
                <w:rFonts w:ascii="Arial Narrow" w:hAnsi="Arial Narrow"/>
                <w:color w:val="000000"/>
                <w:sz w:val="20"/>
                <w:szCs w:val="20"/>
              </w:rPr>
              <w:t>daň z príjmov vyberaná zrážkou</w:t>
            </w:r>
          </w:p>
        </w:tc>
        <w:tc>
          <w:tcPr>
            <w:tcW w:w="1057" w:type="dxa"/>
            <w:shd w:val="clear" w:color="000000" w:fill="FFFFFF"/>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s="Tahoma"/>
                <w:color w:val="000000"/>
                <w:sz w:val="20"/>
                <w:szCs w:val="20"/>
              </w:rPr>
              <w:t>179 211</w:t>
            </w:r>
          </w:p>
        </w:tc>
        <w:tc>
          <w:tcPr>
            <w:tcW w:w="1211" w:type="dxa"/>
            <w:shd w:val="clear" w:color="000000" w:fill="FFFFFF"/>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242 638</w:t>
            </w:r>
          </w:p>
        </w:tc>
        <w:tc>
          <w:tcPr>
            <w:tcW w:w="1395" w:type="dxa"/>
            <w:shd w:val="clear" w:color="000000" w:fill="FFFFFF"/>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235 639</w:t>
            </w:r>
          </w:p>
        </w:tc>
        <w:tc>
          <w:tcPr>
            <w:tcW w:w="0" w:type="auto"/>
            <w:shd w:val="clear" w:color="000000" w:fill="FFFFFF"/>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s="Tahoma"/>
                <w:color w:val="000000"/>
                <w:sz w:val="20"/>
                <w:szCs w:val="20"/>
              </w:rPr>
              <w:t>-6 999</w:t>
            </w:r>
          </w:p>
        </w:tc>
        <w:tc>
          <w:tcPr>
            <w:tcW w:w="0" w:type="auto"/>
            <w:shd w:val="clear" w:color="000000" w:fill="FFFFFF"/>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s="Tahoma"/>
                <w:color w:val="000000"/>
                <w:sz w:val="20"/>
                <w:szCs w:val="20"/>
              </w:rPr>
              <w:t>97,1</w:t>
            </w:r>
          </w:p>
        </w:tc>
      </w:tr>
      <w:tr w:rsidR="00246EC8" w:rsidRPr="00C65CAA" w:rsidTr="00246EC8">
        <w:trPr>
          <w:trHeight w:val="20"/>
        </w:trPr>
        <w:tc>
          <w:tcPr>
            <w:tcW w:w="3823" w:type="dxa"/>
            <w:shd w:val="clear" w:color="000000" w:fill="FFFFFF"/>
            <w:vAlign w:val="center"/>
          </w:tcPr>
          <w:p w:rsidR="00246EC8" w:rsidRPr="00C65CAA" w:rsidRDefault="00246EC8" w:rsidP="009879BE">
            <w:pPr>
              <w:rPr>
                <w:rFonts w:ascii="Arial Narrow" w:hAnsi="Arial Narrow"/>
                <w:b/>
                <w:bCs/>
                <w:color w:val="000000"/>
                <w:sz w:val="20"/>
                <w:szCs w:val="20"/>
              </w:rPr>
            </w:pPr>
            <w:r w:rsidRPr="00C65CAA">
              <w:rPr>
                <w:rFonts w:ascii="Arial Narrow" w:hAnsi="Arial Narrow"/>
                <w:b/>
                <w:bCs/>
                <w:color w:val="000000"/>
                <w:sz w:val="20"/>
                <w:szCs w:val="20"/>
              </w:rPr>
              <w:t>Dane z majetku</w:t>
            </w:r>
          </w:p>
        </w:tc>
        <w:tc>
          <w:tcPr>
            <w:tcW w:w="1057" w:type="dxa"/>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cs="Tahoma"/>
                <w:b/>
                <w:bCs/>
                <w:color w:val="000000"/>
                <w:sz w:val="20"/>
                <w:szCs w:val="20"/>
              </w:rPr>
              <w:t>26</w:t>
            </w:r>
          </w:p>
        </w:tc>
        <w:tc>
          <w:tcPr>
            <w:tcW w:w="1211" w:type="dxa"/>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0</w:t>
            </w:r>
          </w:p>
        </w:tc>
        <w:tc>
          <w:tcPr>
            <w:tcW w:w="1395" w:type="dxa"/>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0</w:t>
            </w:r>
          </w:p>
        </w:tc>
        <w:tc>
          <w:tcPr>
            <w:tcW w:w="0" w:type="auto"/>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cs="Tahoma"/>
                <w:b/>
                <w:bCs/>
                <w:color w:val="000000"/>
                <w:sz w:val="20"/>
                <w:szCs w:val="20"/>
              </w:rPr>
              <w:t>0</w:t>
            </w:r>
          </w:p>
        </w:tc>
        <w:tc>
          <w:tcPr>
            <w:tcW w:w="0" w:type="auto"/>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0,0</w:t>
            </w:r>
          </w:p>
        </w:tc>
      </w:tr>
      <w:tr w:rsidR="00246EC8" w:rsidRPr="00C65CAA" w:rsidTr="00246EC8">
        <w:trPr>
          <w:trHeight w:val="20"/>
        </w:trPr>
        <w:tc>
          <w:tcPr>
            <w:tcW w:w="3823" w:type="dxa"/>
            <w:shd w:val="clear" w:color="000000" w:fill="FFFFFF"/>
            <w:vAlign w:val="center"/>
            <w:hideMark/>
          </w:tcPr>
          <w:p w:rsidR="00246EC8" w:rsidRPr="00C65CAA" w:rsidRDefault="00246EC8" w:rsidP="009879BE">
            <w:pPr>
              <w:rPr>
                <w:rFonts w:ascii="Arial Narrow" w:hAnsi="Arial Narrow"/>
                <w:b/>
                <w:bCs/>
                <w:color w:val="000000"/>
                <w:sz w:val="20"/>
                <w:szCs w:val="20"/>
              </w:rPr>
            </w:pPr>
            <w:r w:rsidRPr="00C65CAA">
              <w:rPr>
                <w:rFonts w:ascii="Arial Narrow" w:hAnsi="Arial Narrow"/>
                <w:b/>
                <w:bCs/>
                <w:color w:val="000000"/>
                <w:sz w:val="20"/>
                <w:szCs w:val="20"/>
              </w:rPr>
              <w:t>Dane za tovary a služby</w:t>
            </w:r>
          </w:p>
        </w:tc>
        <w:tc>
          <w:tcPr>
            <w:tcW w:w="1057" w:type="dxa"/>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cs="Tahoma"/>
                <w:b/>
                <w:bCs/>
                <w:color w:val="000000"/>
                <w:sz w:val="20"/>
                <w:szCs w:val="20"/>
              </w:rPr>
              <w:t>7 671 331</w:t>
            </w:r>
          </w:p>
        </w:tc>
        <w:tc>
          <w:tcPr>
            <w:tcW w:w="1211" w:type="dxa"/>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8 606 238</w:t>
            </w:r>
          </w:p>
        </w:tc>
        <w:tc>
          <w:tcPr>
            <w:tcW w:w="1395" w:type="dxa"/>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9 275 251</w:t>
            </w:r>
          </w:p>
        </w:tc>
        <w:tc>
          <w:tcPr>
            <w:tcW w:w="0" w:type="auto"/>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cs="Tahoma"/>
                <w:b/>
                <w:bCs/>
                <w:color w:val="000000"/>
                <w:sz w:val="20"/>
                <w:szCs w:val="20"/>
              </w:rPr>
              <w:t>669 013</w:t>
            </w:r>
          </w:p>
        </w:tc>
        <w:tc>
          <w:tcPr>
            <w:tcW w:w="0" w:type="auto"/>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cs="Tahoma"/>
                <w:b/>
                <w:bCs/>
                <w:color w:val="000000"/>
                <w:sz w:val="20"/>
                <w:szCs w:val="20"/>
              </w:rPr>
              <w:t>107,8</w:t>
            </w:r>
          </w:p>
        </w:tc>
      </w:tr>
      <w:tr w:rsidR="00246EC8" w:rsidRPr="00C65CAA" w:rsidTr="00246EC8">
        <w:trPr>
          <w:trHeight w:val="20"/>
        </w:trPr>
        <w:tc>
          <w:tcPr>
            <w:tcW w:w="3823" w:type="dxa"/>
            <w:shd w:val="clear" w:color="000000" w:fill="FFFFFF"/>
            <w:vAlign w:val="center"/>
          </w:tcPr>
          <w:p w:rsidR="00246EC8" w:rsidRPr="00C65CAA" w:rsidRDefault="00246EC8" w:rsidP="009879BE">
            <w:pPr>
              <w:rPr>
                <w:rFonts w:ascii="Arial Narrow" w:hAnsi="Arial Narrow"/>
                <w:color w:val="000000"/>
                <w:sz w:val="20"/>
                <w:szCs w:val="20"/>
              </w:rPr>
            </w:pPr>
            <w:r w:rsidRPr="00C65CAA">
              <w:rPr>
                <w:rFonts w:ascii="Arial Narrow" w:hAnsi="Arial Narrow"/>
                <w:color w:val="000000"/>
                <w:sz w:val="20"/>
                <w:szCs w:val="20"/>
              </w:rPr>
              <w:t>z toho:</w:t>
            </w:r>
          </w:p>
        </w:tc>
        <w:tc>
          <w:tcPr>
            <w:tcW w:w="1057" w:type="dxa"/>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 </w:t>
            </w:r>
          </w:p>
        </w:tc>
        <w:tc>
          <w:tcPr>
            <w:tcW w:w="1211" w:type="dxa"/>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 </w:t>
            </w:r>
          </w:p>
        </w:tc>
        <w:tc>
          <w:tcPr>
            <w:tcW w:w="1395" w:type="dxa"/>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 </w:t>
            </w:r>
          </w:p>
        </w:tc>
        <w:tc>
          <w:tcPr>
            <w:tcW w:w="0" w:type="auto"/>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 </w:t>
            </w:r>
          </w:p>
        </w:tc>
        <w:tc>
          <w:tcPr>
            <w:tcW w:w="0" w:type="auto"/>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 </w:t>
            </w:r>
          </w:p>
        </w:tc>
      </w:tr>
      <w:tr w:rsidR="00246EC8" w:rsidRPr="00C65CAA" w:rsidTr="00246EC8">
        <w:trPr>
          <w:trHeight w:val="20"/>
        </w:trPr>
        <w:tc>
          <w:tcPr>
            <w:tcW w:w="3823" w:type="dxa"/>
            <w:shd w:val="clear" w:color="000000" w:fill="FFFFFF"/>
            <w:vAlign w:val="center"/>
            <w:hideMark/>
          </w:tcPr>
          <w:p w:rsidR="00246EC8" w:rsidRPr="00C65CAA" w:rsidRDefault="00246EC8" w:rsidP="009879BE">
            <w:pPr>
              <w:pStyle w:val="Odsekzoznamu"/>
              <w:numPr>
                <w:ilvl w:val="0"/>
                <w:numId w:val="95"/>
              </w:numPr>
              <w:ind w:left="470" w:hanging="357"/>
              <w:rPr>
                <w:rFonts w:ascii="Arial Narrow" w:hAnsi="Arial Narrow"/>
                <w:color w:val="000000"/>
                <w:sz w:val="20"/>
                <w:szCs w:val="20"/>
              </w:rPr>
            </w:pPr>
            <w:r w:rsidRPr="00C65CAA">
              <w:rPr>
                <w:rFonts w:ascii="Arial Narrow" w:hAnsi="Arial Narrow"/>
                <w:color w:val="000000"/>
                <w:sz w:val="20"/>
                <w:szCs w:val="20"/>
              </w:rPr>
              <w:t>daň z pridanej hodnoty</w:t>
            </w:r>
          </w:p>
        </w:tc>
        <w:tc>
          <w:tcPr>
            <w:tcW w:w="1057" w:type="dxa"/>
            <w:shd w:val="clear" w:color="000000" w:fill="FFFFFF"/>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s="Tahoma"/>
                <w:color w:val="000000"/>
                <w:sz w:val="20"/>
                <w:szCs w:val="20"/>
              </w:rPr>
              <w:t>5 360 699</w:t>
            </w:r>
          </w:p>
        </w:tc>
        <w:tc>
          <w:tcPr>
            <w:tcW w:w="1211" w:type="dxa"/>
            <w:shd w:val="clear" w:color="000000" w:fill="FFFFFF"/>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6 079 178</w:t>
            </w:r>
          </w:p>
        </w:tc>
        <w:tc>
          <w:tcPr>
            <w:tcW w:w="1395" w:type="dxa"/>
            <w:shd w:val="clear" w:color="000000" w:fill="FFFFFF"/>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6 629 455</w:t>
            </w:r>
          </w:p>
        </w:tc>
        <w:tc>
          <w:tcPr>
            <w:tcW w:w="0" w:type="auto"/>
            <w:shd w:val="clear" w:color="000000" w:fill="FFFFFF"/>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s="Tahoma"/>
                <w:color w:val="000000"/>
                <w:sz w:val="20"/>
                <w:szCs w:val="20"/>
              </w:rPr>
              <w:t>550 277</w:t>
            </w:r>
          </w:p>
        </w:tc>
        <w:tc>
          <w:tcPr>
            <w:tcW w:w="0" w:type="auto"/>
            <w:shd w:val="clear" w:color="000000" w:fill="FFFFFF"/>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s="Tahoma"/>
                <w:color w:val="000000"/>
                <w:sz w:val="20"/>
                <w:szCs w:val="20"/>
              </w:rPr>
              <w:t>109,1</w:t>
            </w:r>
          </w:p>
        </w:tc>
      </w:tr>
      <w:tr w:rsidR="00246EC8" w:rsidRPr="00C65CAA" w:rsidTr="00246EC8">
        <w:trPr>
          <w:trHeight w:val="20"/>
        </w:trPr>
        <w:tc>
          <w:tcPr>
            <w:tcW w:w="3823" w:type="dxa"/>
            <w:shd w:val="clear" w:color="000000" w:fill="FFFFFF"/>
            <w:vAlign w:val="center"/>
            <w:hideMark/>
          </w:tcPr>
          <w:p w:rsidR="00246EC8" w:rsidRPr="00C65CAA" w:rsidRDefault="00246EC8" w:rsidP="009879BE">
            <w:pPr>
              <w:pStyle w:val="Odsekzoznamu"/>
              <w:numPr>
                <w:ilvl w:val="0"/>
                <w:numId w:val="95"/>
              </w:numPr>
              <w:ind w:left="470" w:hanging="357"/>
              <w:rPr>
                <w:rFonts w:ascii="Arial Narrow" w:hAnsi="Arial Narrow"/>
                <w:color w:val="000000"/>
                <w:sz w:val="20"/>
                <w:szCs w:val="20"/>
              </w:rPr>
            </w:pPr>
            <w:r w:rsidRPr="00C65CAA">
              <w:rPr>
                <w:rFonts w:ascii="Arial Narrow" w:hAnsi="Arial Narrow"/>
                <w:color w:val="000000"/>
                <w:sz w:val="20"/>
                <w:szCs w:val="20"/>
              </w:rPr>
              <w:t>spotrebné dane</w:t>
            </w:r>
          </w:p>
        </w:tc>
        <w:tc>
          <w:tcPr>
            <w:tcW w:w="1057" w:type="dxa"/>
            <w:shd w:val="clear" w:color="000000" w:fill="FFFFFF"/>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s="Tahoma"/>
                <w:color w:val="000000"/>
                <w:sz w:val="20"/>
                <w:szCs w:val="20"/>
              </w:rPr>
              <w:t>2 170 498</w:t>
            </w:r>
          </w:p>
        </w:tc>
        <w:tc>
          <w:tcPr>
            <w:tcW w:w="1211" w:type="dxa"/>
            <w:shd w:val="clear" w:color="000000" w:fill="FFFFFF"/>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2 335 690</w:t>
            </w:r>
          </w:p>
        </w:tc>
        <w:tc>
          <w:tcPr>
            <w:tcW w:w="1395" w:type="dxa"/>
            <w:shd w:val="clear" w:color="000000" w:fill="FFFFFF"/>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2 417 198</w:t>
            </w:r>
          </w:p>
        </w:tc>
        <w:tc>
          <w:tcPr>
            <w:tcW w:w="0" w:type="auto"/>
            <w:shd w:val="clear" w:color="000000" w:fill="FFFFFF"/>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s="Tahoma"/>
                <w:color w:val="000000"/>
                <w:sz w:val="20"/>
                <w:szCs w:val="20"/>
              </w:rPr>
              <w:t>81 508</w:t>
            </w:r>
          </w:p>
        </w:tc>
        <w:tc>
          <w:tcPr>
            <w:tcW w:w="0" w:type="auto"/>
            <w:shd w:val="clear" w:color="000000" w:fill="FFFFFF"/>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s="Tahoma"/>
                <w:color w:val="000000"/>
                <w:sz w:val="20"/>
                <w:szCs w:val="20"/>
              </w:rPr>
              <w:t>103,5</w:t>
            </w:r>
          </w:p>
        </w:tc>
      </w:tr>
      <w:tr w:rsidR="00246EC8" w:rsidRPr="00C65CAA" w:rsidTr="00246EC8">
        <w:trPr>
          <w:trHeight w:val="20"/>
        </w:trPr>
        <w:tc>
          <w:tcPr>
            <w:tcW w:w="3823" w:type="dxa"/>
            <w:shd w:val="clear" w:color="000000" w:fill="FFFFFF"/>
            <w:vAlign w:val="center"/>
            <w:hideMark/>
          </w:tcPr>
          <w:p w:rsidR="00246EC8" w:rsidRPr="00C65CAA" w:rsidRDefault="00246EC8" w:rsidP="009879BE">
            <w:pPr>
              <w:pStyle w:val="Odsekzoznamu"/>
              <w:numPr>
                <w:ilvl w:val="0"/>
                <w:numId w:val="95"/>
              </w:numPr>
              <w:ind w:left="470" w:hanging="357"/>
              <w:rPr>
                <w:rFonts w:ascii="Arial Narrow" w:hAnsi="Arial Narrow"/>
                <w:color w:val="000000"/>
                <w:sz w:val="20"/>
                <w:szCs w:val="20"/>
              </w:rPr>
            </w:pPr>
            <w:r w:rsidRPr="00C65CAA">
              <w:rPr>
                <w:rFonts w:ascii="Arial Narrow" w:hAnsi="Arial Narrow"/>
                <w:color w:val="000000"/>
                <w:sz w:val="20"/>
                <w:szCs w:val="20"/>
              </w:rPr>
              <w:t>dane z používania tovarov a z povolenia na výkon činnosti</w:t>
            </w:r>
          </w:p>
        </w:tc>
        <w:tc>
          <w:tcPr>
            <w:tcW w:w="1057" w:type="dxa"/>
            <w:shd w:val="clear" w:color="000000" w:fill="FFFFFF"/>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s="Tahoma"/>
                <w:color w:val="000000"/>
                <w:sz w:val="20"/>
                <w:szCs w:val="20"/>
              </w:rPr>
              <w:t>140 134</w:t>
            </w:r>
          </w:p>
        </w:tc>
        <w:tc>
          <w:tcPr>
            <w:tcW w:w="1211" w:type="dxa"/>
            <w:shd w:val="clear" w:color="000000" w:fill="FFFFFF"/>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157 870</w:t>
            </w:r>
          </w:p>
        </w:tc>
        <w:tc>
          <w:tcPr>
            <w:tcW w:w="1395" w:type="dxa"/>
            <w:shd w:val="clear" w:color="000000" w:fill="FFFFFF"/>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167 128</w:t>
            </w:r>
          </w:p>
        </w:tc>
        <w:tc>
          <w:tcPr>
            <w:tcW w:w="0" w:type="auto"/>
            <w:shd w:val="clear" w:color="000000" w:fill="FFFFFF"/>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s="Tahoma"/>
                <w:color w:val="000000"/>
                <w:sz w:val="20"/>
                <w:szCs w:val="20"/>
              </w:rPr>
              <w:t>9 258</w:t>
            </w:r>
          </w:p>
        </w:tc>
        <w:tc>
          <w:tcPr>
            <w:tcW w:w="0" w:type="auto"/>
            <w:shd w:val="clear" w:color="000000" w:fill="FFFFFF"/>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s="Tahoma"/>
                <w:color w:val="000000"/>
                <w:sz w:val="20"/>
                <w:szCs w:val="20"/>
              </w:rPr>
              <w:t>105,9</w:t>
            </w:r>
          </w:p>
        </w:tc>
      </w:tr>
      <w:tr w:rsidR="00246EC8" w:rsidRPr="00C65CAA" w:rsidTr="00246EC8">
        <w:trPr>
          <w:trHeight w:val="20"/>
        </w:trPr>
        <w:tc>
          <w:tcPr>
            <w:tcW w:w="3823" w:type="dxa"/>
            <w:shd w:val="clear" w:color="000000" w:fill="FFFFFF"/>
            <w:vAlign w:val="center"/>
            <w:hideMark/>
          </w:tcPr>
          <w:p w:rsidR="00246EC8" w:rsidRPr="00C65CAA" w:rsidRDefault="00246EC8" w:rsidP="009879BE">
            <w:pPr>
              <w:rPr>
                <w:rFonts w:ascii="Arial Narrow" w:hAnsi="Arial Narrow"/>
                <w:b/>
                <w:bCs/>
                <w:color w:val="000000"/>
                <w:sz w:val="20"/>
                <w:szCs w:val="20"/>
              </w:rPr>
            </w:pPr>
            <w:r w:rsidRPr="00C65CAA">
              <w:rPr>
                <w:rFonts w:ascii="Arial Narrow" w:hAnsi="Arial Narrow"/>
                <w:b/>
                <w:bCs/>
                <w:color w:val="000000"/>
                <w:sz w:val="20"/>
                <w:szCs w:val="20"/>
              </w:rPr>
              <w:t>Dane z medzinárodného obchodu a transakcií</w:t>
            </w:r>
          </w:p>
        </w:tc>
        <w:tc>
          <w:tcPr>
            <w:tcW w:w="1057" w:type="dxa"/>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cs="Tahoma"/>
                <w:b/>
                <w:bCs/>
                <w:color w:val="000000"/>
                <w:sz w:val="20"/>
                <w:szCs w:val="20"/>
              </w:rPr>
              <w:t>28 887</w:t>
            </w:r>
          </w:p>
        </w:tc>
        <w:tc>
          <w:tcPr>
            <w:tcW w:w="1211" w:type="dxa"/>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25 259</w:t>
            </w:r>
          </w:p>
        </w:tc>
        <w:tc>
          <w:tcPr>
            <w:tcW w:w="1395" w:type="dxa"/>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21 517</w:t>
            </w:r>
          </w:p>
        </w:tc>
        <w:tc>
          <w:tcPr>
            <w:tcW w:w="0" w:type="auto"/>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cs="Tahoma"/>
                <w:b/>
                <w:bCs/>
                <w:color w:val="000000"/>
                <w:sz w:val="20"/>
                <w:szCs w:val="20"/>
              </w:rPr>
              <w:t>-3 742</w:t>
            </w:r>
          </w:p>
        </w:tc>
        <w:tc>
          <w:tcPr>
            <w:tcW w:w="0" w:type="auto"/>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cs="Tahoma"/>
                <w:b/>
                <w:bCs/>
                <w:color w:val="000000"/>
                <w:sz w:val="20"/>
                <w:szCs w:val="20"/>
              </w:rPr>
              <w:t>85,2</w:t>
            </w:r>
          </w:p>
        </w:tc>
      </w:tr>
      <w:tr w:rsidR="00246EC8" w:rsidRPr="00C65CAA" w:rsidTr="00246EC8">
        <w:trPr>
          <w:trHeight w:val="20"/>
        </w:trPr>
        <w:tc>
          <w:tcPr>
            <w:tcW w:w="3823" w:type="dxa"/>
            <w:shd w:val="clear" w:color="auto" w:fill="auto"/>
            <w:vAlign w:val="bottom"/>
            <w:hideMark/>
          </w:tcPr>
          <w:p w:rsidR="00246EC8" w:rsidRPr="00C65CAA" w:rsidRDefault="00246EC8" w:rsidP="009879BE">
            <w:pPr>
              <w:rPr>
                <w:rFonts w:ascii="Arial Narrow" w:hAnsi="Arial Narrow"/>
                <w:b/>
                <w:bCs/>
                <w:color w:val="000000"/>
                <w:sz w:val="20"/>
                <w:szCs w:val="20"/>
              </w:rPr>
            </w:pPr>
            <w:r w:rsidRPr="00C65CAA">
              <w:rPr>
                <w:rFonts w:ascii="Arial Narrow" w:hAnsi="Arial Narrow"/>
                <w:b/>
                <w:bCs/>
                <w:color w:val="000000"/>
                <w:sz w:val="20"/>
                <w:szCs w:val="20"/>
              </w:rPr>
              <w:lastRenderedPageBreak/>
              <w:t xml:space="preserve">Sankcie </w:t>
            </w:r>
          </w:p>
        </w:tc>
        <w:tc>
          <w:tcPr>
            <w:tcW w:w="1057" w:type="dxa"/>
            <w:shd w:val="clear" w:color="auto" w:fill="auto"/>
            <w:noWrap/>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cs="Tahoma"/>
                <w:b/>
                <w:bCs/>
                <w:color w:val="000000"/>
                <w:sz w:val="20"/>
                <w:szCs w:val="20"/>
              </w:rPr>
              <w:t>13 117</w:t>
            </w:r>
          </w:p>
        </w:tc>
        <w:tc>
          <w:tcPr>
            <w:tcW w:w="1211" w:type="dxa"/>
            <w:shd w:val="clear" w:color="auto" w:fill="auto"/>
            <w:noWrap/>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11 243</w:t>
            </w:r>
          </w:p>
        </w:tc>
        <w:tc>
          <w:tcPr>
            <w:tcW w:w="1395" w:type="dxa"/>
            <w:shd w:val="clear" w:color="auto" w:fill="auto"/>
            <w:noWrap/>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13 149</w:t>
            </w:r>
          </w:p>
        </w:tc>
        <w:tc>
          <w:tcPr>
            <w:tcW w:w="0" w:type="auto"/>
            <w:shd w:val="clear" w:color="auto" w:fill="auto"/>
            <w:noWrap/>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cs="Tahoma"/>
                <w:b/>
                <w:bCs/>
                <w:color w:val="000000"/>
                <w:sz w:val="20"/>
                <w:szCs w:val="20"/>
              </w:rPr>
              <w:t>1 906</w:t>
            </w:r>
          </w:p>
        </w:tc>
        <w:tc>
          <w:tcPr>
            <w:tcW w:w="0" w:type="auto"/>
            <w:shd w:val="clear" w:color="000000" w:fill="FFFFFF"/>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cs="Tahoma"/>
                <w:b/>
                <w:bCs/>
                <w:color w:val="000000"/>
                <w:sz w:val="20"/>
                <w:szCs w:val="20"/>
              </w:rPr>
              <w:t>117,0</w:t>
            </w:r>
          </w:p>
        </w:tc>
      </w:tr>
      <w:tr w:rsidR="00246EC8" w:rsidRPr="00C65CAA" w:rsidTr="00246EC8">
        <w:trPr>
          <w:trHeight w:val="20"/>
        </w:trPr>
        <w:tc>
          <w:tcPr>
            <w:tcW w:w="3823" w:type="dxa"/>
            <w:shd w:val="clear" w:color="auto" w:fill="auto"/>
            <w:noWrap/>
            <w:vAlign w:val="bottom"/>
          </w:tcPr>
          <w:p w:rsidR="00246EC8" w:rsidRPr="00C65CAA" w:rsidRDefault="00246EC8" w:rsidP="009879BE">
            <w:pPr>
              <w:rPr>
                <w:rFonts w:ascii="Arial Narrow" w:hAnsi="Arial Narrow"/>
                <w:b/>
                <w:bCs/>
                <w:color w:val="000000"/>
                <w:sz w:val="20"/>
                <w:szCs w:val="20"/>
              </w:rPr>
            </w:pPr>
            <w:r w:rsidRPr="00C65CAA">
              <w:rPr>
                <w:rFonts w:ascii="Arial Narrow" w:hAnsi="Arial Narrow"/>
                <w:b/>
                <w:bCs/>
                <w:color w:val="000000"/>
                <w:sz w:val="20"/>
                <w:szCs w:val="20"/>
              </w:rPr>
              <w:t>Iné dane</w:t>
            </w:r>
          </w:p>
        </w:tc>
        <w:tc>
          <w:tcPr>
            <w:tcW w:w="1057" w:type="dxa"/>
            <w:shd w:val="clear" w:color="auto" w:fill="auto"/>
            <w:noWrap/>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0</w:t>
            </w:r>
          </w:p>
        </w:tc>
        <w:tc>
          <w:tcPr>
            <w:tcW w:w="1211" w:type="dxa"/>
            <w:shd w:val="clear" w:color="auto" w:fill="auto"/>
            <w:noWrap/>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0</w:t>
            </w:r>
          </w:p>
        </w:tc>
        <w:tc>
          <w:tcPr>
            <w:tcW w:w="1395" w:type="dxa"/>
            <w:shd w:val="clear" w:color="auto" w:fill="auto"/>
            <w:noWrap/>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202 504</w:t>
            </w:r>
          </w:p>
        </w:tc>
        <w:tc>
          <w:tcPr>
            <w:tcW w:w="0" w:type="auto"/>
            <w:shd w:val="clear" w:color="auto" w:fill="auto"/>
            <w:noWrap/>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202 504</w:t>
            </w:r>
          </w:p>
        </w:tc>
        <w:tc>
          <w:tcPr>
            <w:tcW w:w="0" w:type="auto"/>
            <w:shd w:val="clear" w:color="auto" w:fill="auto"/>
            <w:vAlign w:val="center"/>
          </w:tcPr>
          <w:p w:rsidR="00246EC8" w:rsidRPr="00C65CAA" w:rsidRDefault="00246EC8" w:rsidP="009879BE">
            <w:pPr>
              <w:jc w:val="center"/>
              <w:rPr>
                <w:rFonts w:ascii="Arial Narrow" w:hAnsi="Arial Narrow"/>
                <w:b/>
                <w:bCs/>
                <w:color w:val="000000"/>
                <w:sz w:val="20"/>
                <w:szCs w:val="20"/>
              </w:rPr>
            </w:pPr>
            <w:r w:rsidRPr="00C65CAA">
              <w:rPr>
                <w:rFonts w:ascii="Arial Narrow" w:hAnsi="Arial Narrow"/>
                <w:b/>
                <w:bCs/>
                <w:color w:val="000000"/>
                <w:sz w:val="20"/>
                <w:szCs w:val="20"/>
              </w:rPr>
              <w:t>-</w:t>
            </w:r>
          </w:p>
        </w:tc>
      </w:tr>
      <w:tr w:rsidR="00246EC8" w:rsidRPr="00C65CAA" w:rsidTr="00246EC8">
        <w:trPr>
          <w:trHeight w:val="20"/>
        </w:trPr>
        <w:tc>
          <w:tcPr>
            <w:tcW w:w="3823" w:type="dxa"/>
            <w:shd w:val="clear" w:color="auto" w:fill="D9D9D9" w:themeFill="background1" w:themeFillShade="D9"/>
            <w:noWrap/>
            <w:vAlign w:val="bottom"/>
            <w:hideMark/>
          </w:tcPr>
          <w:p w:rsidR="00246EC8" w:rsidRPr="00C65CAA" w:rsidRDefault="00246EC8" w:rsidP="009879BE">
            <w:pPr>
              <w:rPr>
                <w:rFonts w:ascii="Arial Narrow" w:hAnsi="Arial Narrow"/>
                <w:b/>
                <w:bCs/>
                <w:color w:val="000000"/>
                <w:sz w:val="20"/>
                <w:szCs w:val="20"/>
              </w:rPr>
            </w:pPr>
            <w:r w:rsidRPr="00C65CAA">
              <w:rPr>
                <w:rFonts w:ascii="Arial Narrow" w:hAnsi="Arial Narrow"/>
                <w:b/>
                <w:bCs/>
                <w:color w:val="000000"/>
                <w:sz w:val="20"/>
                <w:szCs w:val="20"/>
              </w:rPr>
              <w:t>Daňové príjmy ŠR spolu</w:t>
            </w:r>
          </w:p>
        </w:tc>
        <w:tc>
          <w:tcPr>
            <w:tcW w:w="1057" w:type="dxa"/>
            <w:shd w:val="clear" w:color="auto" w:fill="D9D9D9" w:themeFill="background1" w:themeFillShade="D9"/>
            <w:noWrap/>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cs="Tahoma"/>
                <w:b/>
                <w:bCs/>
                <w:color w:val="000000"/>
                <w:sz w:val="20"/>
                <w:szCs w:val="20"/>
              </w:rPr>
              <w:t>11 068 156</w:t>
            </w:r>
          </w:p>
        </w:tc>
        <w:tc>
          <w:tcPr>
            <w:tcW w:w="1211" w:type="dxa"/>
            <w:shd w:val="clear" w:color="auto" w:fill="D9D9D9" w:themeFill="background1" w:themeFillShade="D9"/>
            <w:noWrap/>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11 361 518</w:t>
            </w:r>
          </w:p>
        </w:tc>
        <w:tc>
          <w:tcPr>
            <w:tcW w:w="1395" w:type="dxa"/>
            <w:shd w:val="clear" w:color="auto" w:fill="D9D9D9" w:themeFill="background1" w:themeFillShade="D9"/>
            <w:noWrap/>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12 464 557</w:t>
            </w:r>
          </w:p>
        </w:tc>
        <w:tc>
          <w:tcPr>
            <w:tcW w:w="0" w:type="auto"/>
            <w:shd w:val="clear" w:color="auto" w:fill="D9D9D9" w:themeFill="background1" w:themeFillShade="D9"/>
            <w:noWrap/>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cs="Tahoma"/>
                <w:b/>
                <w:bCs/>
                <w:color w:val="000000"/>
                <w:sz w:val="20"/>
                <w:szCs w:val="20"/>
              </w:rPr>
              <w:t>1 103 039</w:t>
            </w:r>
          </w:p>
        </w:tc>
        <w:tc>
          <w:tcPr>
            <w:tcW w:w="0" w:type="auto"/>
            <w:shd w:val="clear" w:color="auto" w:fill="D9D9D9" w:themeFill="background1" w:themeFillShade="D9"/>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cs="Tahoma"/>
                <w:b/>
                <w:bCs/>
                <w:color w:val="000000"/>
                <w:sz w:val="20"/>
                <w:szCs w:val="20"/>
              </w:rPr>
              <w:t>109,7</w:t>
            </w:r>
          </w:p>
        </w:tc>
      </w:tr>
    </w:tbl>
    <w:p w:rsidR="00246EC8" w:rsidRPr="00C65CAA" w:rsidRDefault="00246EC8" w:rsidP="00B366F3">
      <w:pPr>
        <w:pStyle w:val="Zkladntext"/>
        <w:spacing w:after="100"/>
        <w:jc w:val="both"/>
        <w:rPr>
          <w:rFonts w:ascii="Arial Narrow" w:hAnsi="Arial Narrow"/>
          <w:color w:val="000000"/>
          <w:sz w:val="20"/>
        </w:rPr>
      </w:pPr>
      <w:r w:rsidRPr="00C65CAA">
        <w:rPr>
          <w:rFonts w:ascii="Arial Narrow" w:hAnsi="Arial Narrow"/>
          <w:color w:val="000000"/>
          <w:sz w:val="20"/>
        </w:rPr>
        <w:t>Zdroj: ŠZÚ za rok 2017, RVS na roky 2018 až 2020, Návrh RVS na roky 2019 až 2021</w:t>
      </w:r>
    </w:p>
    <w:p w:rsidR="00D23611" w:rsidRPr="00C65CAA" w:rsidRDefault="00D23611" w:rsidP="00256AF8">
      <w:pPr>
        <w:spacing w:before="100" w:after="100"/>
        <w:ind w:firstLine="708"/>
        <w:jc w:val="both"/>
        <w:rPr>
          <w:rFonts w:ascii="Arial Narrow" w:hAnsi="Arial Narrow"/>
          <w:sz w:val="22"/>
          <w:szCs w:val="22"/>
        </w:rPr>
      </w:pPr>
      <w:r w:rsidRPr="00C65CAA">
        <w:rPr>
          <w:rFonts w:ascii="Arial Narrow" w:hAnsi="Arial Narrow"/>
          <w:sz w:val="22"/>
          <w:szCs w:val="22"/>
        </w:rPr>
        <w:t>Podrobnejšie hodnotenie daňových príjmov ŠR je obsahom stanoviska k rozpočtovani</w:t>
      </w:r>
      <w:r w:rsidR="003742C5" w:rsidRPr="00C65CAA">
        <w:rPr>
          <w:rFonts w:ascii="Arial Narrow" w:hAnsi="Arial Narrow"/>
          <w:sz w:val="22"/>
          <w:szCs w:val="22"/>
        </w:rPr>
        <w:t>u príjmov návrhu RVS na rok 2019</w:t>
      </w:r>
      <w:r w:rsidRPr="00C65CAA">
        <w:rPr>
          <w:rFonts w:ascii="Arial Narrow" w:hAnsi="Arial Narrow"/>
          <w:sz w:val="22"/>
          <w:szCs w:val="22"/>
        </w:rPr>
        <w:t xml:space="preserve"> v časti 2.1.</w:t>
      </w:r>
    </w:p>
    <w:p w:rsidR="00D23611" w:rsidRPr="00C65CAA" w:rsidRDefault="00D23611" w:rsidP="00256AF8">
      <w:pPr>
        <w:spacing w:before="100" w:after="100"/>
        <w:rPr>
          <w:rFonts w:ascii="Arial Narrow" w:hAnsi="Arial Narrow"/>
          <w:b/>
          <w:sz w:val="22"/>
          <w:szCs w:val="22"/>
        </w:rPr>
      </w:pPr>
      <w:r w:rsidRPr="00C65CAA">
        <w:rPr>
          <w:rFonts w:ascii="Arial Narrow" w:hAnsi="Arial Narrow"/>
          <w:b/>
          <w:sz w:val="22"/>
          <w:szCs w:val="22"/>
        </w:rPr>
        <w:t>Nedaňové pr</w:t>
      </w:r>
      <w:r w:rsidR="008400D2" w:rsidRPr="00C65CAA">
        <w:rPr>
          <w:rFonts w:ascii="Arial Narrow" w:hAnsi="Arial Narrow"/>
          <w:b/>
          <w:sz w:val="22"/>
          <w:szCs w:val="22"/>
        </w:rPr>
        <w:t>íjmy</w:t>
      </w:r>
    </w:p>
    <w:p w:rsidR="00D23611" w:rsidRPr="00C65CAA" w:rsidRDefault="00D23611" w:rsidP="00256AF8">
      <w:pPr>
        <w:spacing w:before="100" w:after="100"/>
        <w:ind w:firstLine="708"/>
        <w:jc w:val="both"/>
        <w:rPr>
          <w:rFonts w:ascii="Arial Narrow" w:hAnsi="Arial Narrow"/>
          <w:sz w:val="22"/>
          <w:szCs w:val="22"/>
        </w:rPr>
      </w:pPr>
      <w:r w:rsidRPr="00C65CAA">
        <w:rPr>
          <w:rFonts w:ascii="Arial Narrow" w:hAnsi="Arial Narrow"/>
          <w:sz w:val="22"/>
          <w:szCs w:val="22"/>
        </w:rPr>
        <w:t xml:space="preserve">Porovnanie nedaňových príjmov </w:t>
      </w:r>
      <w:r w:rsidR="003742C5" w:rsidRPr="00C65CAA">
        <w:rPr>
          <w:rFonts w:ascii="Arial Narrow" w:hAnsi="Arial Narrow"/>
          <w:color w:val="000000"/>
          <w:sz w:val="22"/>
          <w:szCs w:val="22"/>
        </w:rPr>
        <w:t xml:space="preserve">ŠR </w:t>
      </w:r>
      <w:r w:rsidR="003742C5" w:rsidRPr="00C65CAA">
        <w:rPr>
          <w:rFonts w:ascii="Arial Narrow" w:hAnsi="Arial Narrow"/>
          <w:b/>
          <w:color w:val="000000"/>
          <w:sz w:val="22"/>
          <w:szCs w:val="22"/>
        </w:rPr>
        <w:t>na hotovostnej báze</w:t>
      </w:r>
      <w:r w:rsidR="003742C5" w:rsidRPr="00C65CAA">
        <w:rPr>
          <w:rFonts w:ascii="Arial Narrow" w:hAnsi="Arial Narrow"/>
          <w:color w:val="000000"/>
          <w:sz w:val="22"/>
          <w:szCs w:val="22"/>
        </w:rPr>
        <w:t xml:space="preserve"> </w:t>
      </w:r>
      <w:r w:rsidR="003742C5" w:rsidRPr="00C65CAA">
        <w:rPr>
          <w:rFonts w:ascii="Arial Narrow" w:hAnsi="Arial Narrow"/>
          <w:sz w:val="22"/>
          <w:szCs w:val="22"/>
        </w:rPr>
        <w:t>za rok 2017, schváleného rozpočtu na rok 2018 a návrhu rozpočtu na rok 2019</w:t>
      </w:r>
      <w:r w:rsidR="001D2AD7" w:rsidRPr="00C65CAA">
        <w:rPr>
          <w:rFonts w:ascii="Arial Narrow" w:hAnsi="Arial Narrow"/>
          <w:sz w:val="22"/>
          <w:szCs w:val="22"/>
        </w:rPr>
        <w:t>:</w:t>
      </w:r>
      <w:r w:rsidR="003742C5" w:rsidRPr="00C65CAA">
        <w:rPr>
          <w:rFonts w:ascii="Arial Narrow" w:hAnsi="Arial Narrow"/>
          <w:sz w:val="22"/>
          <w:szCs w:val="22"/>
        </w:rPr>
        <w:t xml:space="preserve"> </w:t>
      </w:r>
    </w:p>
    <w:tbl>
      <w:tblPr>
        <w:tblW w:w="9335"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4A0" w:firstRow="1" w:lastRow="0" w:firstColumn="1" w:lastColumn="0" w:noHBand="0" w:noVBand="1"/>
      </w:tblPr>
      <w:tblGrid>
        <w:gridCol w:w="4394"/>
        <w:gridCol w:w="993"/>
        <w:gridCol w:w="992"/>
        <w:gridCol w:w="1134"/>
        <w:gridCol w:w="992"/>
        <w:gridCol w:w="830"/>
      </w:tblGrid>
      <w:tr w:rsidR="00246EC8" w:rsidRPr="00C65CAA" w:rsidTr="00246EC8">
        <w:trPr>
          <w:trHeight w:val="307"/>
          <w:tblHeader/>
          <w:jc w:val="center"/>
        </w:trPr>
        <w:tc>
          <w:tcPr>
            <w:tcW w:w="4394" w:type="dxa"/>
            <w:vMerge w:val="restart"/>
            <w:shd w:val="clear" w:color="auto" w:fill="0070C0"/>
            <w:noWrap/>
            <w:vAlign w:val="center"/>
          </w:tcPr>
          <w:p w:rsidR="00246EC8" w:rsidRPr="00C65CAA" w:rsidRDefault="00246EC8" w:rsidP="009879BE">
            <w:pPr>
              <w:rPr>
                <w:rFonts w:ascii="Arial Narrow" w:eastAsia="Calibri" w:hAnsi="Arial Narrow" w:cs="Arial CE"/>
                <w:b/>
                <w:bCs/>
                <w:color w:val="FFFFFF"/>
                <w:sz w:val="18"/>
                <w:szCs w:val="18"/>
                <w:lang w:eastAsia="en-US"/>
              </w:rPr>
            </w:pPr>
            <w:r w:rsidRPr="00C65CAA">
              <w:rPr>
                <w:rFonts w:ascii="Arial Narrow" w:eastAsia="Calibri" w:hAnsi="Arial Narrow" w:cs="Arial CE"/>
                <w:b/>
                <w:bCs/>
                <w:color w:val="FFFFFF"/>
                <w:sz w:val="18"/>
                <w:szCs w:val="18"/>
                <w:lang w:eastAsia="en-US"/>
              </w:rPr>
              <w:t>Ukazovateľ</w:t>
            </w:r>
          </w:p>
          <w:p w:rsidR="00246EC8" w:rsidRPr="00C65CAA" w:rsidRDefault="00246EC8" w:rsidP="009879BE">
            <w:pPr>
              <w:rPr>
                <w:rFonts w:ascii="Arial Narrow" w:eastAsia="Calibri" w:hAnsi="Arial Narrow" w:cs="Arial"/>
                <w:color w:val="FFFFFF"/>
                <w:sz w:val="18"/>
                <w:szCs w:val="18"/>
                <w:lang w:eastAsia="en-US"/>
              </w:rPr>
            </w:pPr>
            <w:r w:rsidRPr="00C65CAA">
              <w:rPr>
                <w:rFonts w:ascii="Arial Narrow" w:eastAsia="Calibri" w:hAnsi="Arial Narrow" w:cs="Arial CE"/>
                <w:b/>
                <w:bCs/>
                <w:color w:val="FFFFFF"/>
                <w:sz w:val="18"/>
                <w:szCs w:val="18"/>
                <w:lang w:eastAsia="en-US"/>
              </w:rPr>
              <w:t>(v tis. eur)</w:t>
            </w:r>
          </w:p>
        </w:tc>
        <w:tc>
          <w:tcPr>
            <w:tcW w:w="993" w:type="dxa"/>
            <w:vMerge w:val="restart"/>
            <w:shd w:val="clear" w:color="auto" w:fill="0070C0"/>
            <w:vAlign w:val="center"/>
          </w:tcPr>
          <w:p w:rsidR="00246EC8" w:rsidRPr="00C65CAA" w:rsidRDefault="00246EC8" w:rsidP="009879BE">
            <w:pPr>
              <w:jc w:val="center"/>
              <w:rPr>
                <w:rFonts w:ascii="Arial Narrow" w:eastAsia="Calibri" w:hAnsi="Arial Narrow" w:cs="Arial"/>
                <w:color w:val="FFFFFF"/>
                <w:sz w:val="18"/>
                <w:szCs w:val="18"/>
                <w:lang w:eastAsia="en-US"/>
              </w:rPr>
            </w:pPr>
            <w:r w:rsidRPr="00C65CAA">
              <w:rPr>
                <w:rFonts w:ascii="Arial Narrow" w:eastAsia="Calibri" w:hAnsi="Arial Narrow" w:cs="Arial CE"/>
                <w:b/>
                <w:bCs/>
                <w:color w:val="FFFFFF"/>
                <w:sz w:val="18"/>
                <w:szCs w:val="18"/>
                <w:lang w:eastAsia="en-US"/>
              </w:rPr>
              <w:t>Skutočnosť 2017</w:t>
            </w:r>
          </w:p>
        </w:tc>
        <w:tc>
          <w:tcPr>
            <w:tcW w:w="992" w:type="dxa"/>
            <w:vMerge w:val="restart"/>
            <w:shd w:val="clear" w:color="auto" w:fill="0070C0"/>
          </w:tcPr>
          <w:p w:rsidR="00246EC8" w:rsidRPr="00C65CAA" w:rsidRDefault="00246EC8" w:rsidP="009879BE">
            <w:pPr>
              <w:jc w:val="center"/>
              <w:rPr>
                <w:rFonts w:ascii="Arial Narrow" w:eastAsia="Calibri" w:hAnsi="Arial Narrow" w:cs="Arial"/>
                <w:b/>
                <w:color w:val="FFFFFF"/>
                <w:sz w:val="18"/>
                <w:szCs w:val="18"/>
                <w:lang w:eastAsia="en-US"/>
              </w:rPr>
            </w:pPr>
            <w:r w:rsidRPr="00C65CAA">
              <w:rPr>
                <w:rFonts w:ascii="Arial Narrow" w:eastAsia="Calibri" w:hAnsi="Arial Narrow" w:cs="Arial"/>
                <w:b/>
                <w:color w:val="FFFFFF"/>
                <w:sz w:val="18"/>
                <w:szCs w:val="18"/>
                <w:lang w:eastAsia="en-US"/>
              </w:rPr>
              <w:t>Rozpočet 2018</w:t>
            </w:r>
          </w:p>
        </w:tc>
        <w:tc>
          <w:tcPr>
            <w:tcW w:w="1134" w:type="dxa"/>
            <w:vMerge w:val="restart"/>
            <w:shd w:val="clear" w:color="auto" w:fill="0070C0"/>
            <w:vAlign w:val="center"/>
          </w:tcPr>
          <w:p w:rsidR="00246EC8" w:rsidRPr="00C65CAA" w:rsidRDefault="00246EC8" w:rsidP="009879BE">
            <w:pPr>
              <w:jc w:val="center"/>
              <w:rPr>
                <w:rFonts w:ascii="Arial Narrow" w:eastAsia="Calibri" w:hAnsi="Arial Narrow" w:cs="Arial"/>
                <w:color w:val="FFFFFF"/>
                <w:sz w:val="18"/>
                <w:szCs w:val="18"/>
                <w:lang w:eastAsia="en-US"/>
              </w:rPr>
            </w:pPr>
            <w:r w:rsidRPr="00C65CAA">
              <w:rPr>
                <w:rFonts w:ascii="Arial Narrow" w:eastAsia="Calibri" w:hAnsi="Arial Narrow" w:cs="Arial CE"/>
                <w:b/>
                <w:bCs/>
                <w:color w:val="FFFFFF"/>
                <w:sz w:val="18"/>
                <w:szCs w:val="18"/>
                <w:lang w:eastAsia="en-US"/>
              </w:rPr>
              <w:t>Návrh rozpočtu 2019</w:t>
            </w:r>
          </w:p>
        </w:tc>
        <w:tc>
          <w:tcPr>
            <w:tcW w:w="992" w:type="dxa"/>
            <w:vMerge w:val="restart"/>
            <w:shd w:val="clear" w:color="auto" w:fill="0070C0"/>
            <w:vAlign w:val="center"/>
          </w:tcPr>
          <w:p w:rsidR="00246EC8" w:rsidRPr="00C65CAA" w:rsidRDefault="00246EC8" w:rsidP="009879BE">
            <w:pPr>
              <w:jc w:val="center"/>
              <w:rPr>
                <w:rFonts w:ascii="Arial Narrow" w:eastAsia="Calibri" w:hAnsi="Arial Narrow" w:cs="Arial"/>
                <w:color w:val="FFFFFF"/>
                <w:sz w:val="18"/>
                <w:szCs w:val="18"/>
                <w:lang w:eastAsia="en-US"/>
              </w:rPr>
            </w:pPr>
            <w:r w:rsidRPr="00C65CAA">
              <w:rPr>
                <w:rFonts w:ascii="Arial Narrow" w:eastAsia="Calibri" w:hAnsi="Arial Narrow" w:cs="Arial CE"/>
                <w:b/>
                <w:bCs/>
                <w:color w:val="FFFFFF"/>
                <w:sz w:val="18"/>
                <w:szCs w:val="18"/>
                <w:lang w:eastAsia="en-US"/>
              </w:rPr>
              <w:t>Rozdiel</w:t>
            </w:r>
          </w:p>
        </w:tc>
        <w:tc>
          <w:tcPr>
            <w:tcW w:w="830" w:type="dxa"/>
            <w:vMerge w:val="restart"/>
            <w:shd w:val="clear" w:color="auto" w:fill="0070C0"/>
            <w:noWrap/>
            <w:vAlign w:val="center"/>
          </w:tcPr>
          <w:p w:rsidR="00246EC8" w:rsidRPr="00C65CAA" w:rsidRDefault="00246EC8" w:rsidP="009879BE">
            <w:pPr>
              <w:jc w:val="center"/>
              <w:rPr>
                <w:rFonts w:ascii="Arial Narrow" w:eastAsia="Calibri" w:hAnsi="Arial Narrow" w:cs="Arial CE"/>
                <w:b/>
                <w:bCs/>
                <w:color w:val="FFFFFF"/>
                <w:sz w:val="18"/>
                <w:szCs w:val="18"/>
                <w:lang w:eastAsia="en-US"/>
              </w:rPr>
            </w:pPr>
            <w:r w:rsidRPr="00C65CAA">
              <w:rPr>
                <w:rFonts w:ascii="Arial Narrow" w:eastAsia="Calibri" w:hAnsi="Arial Narrow" w:cs="Arial CE"/>
                <w:b/>
                <w:bCs/>
                <w:color w:val="FFFFFF"/>
                <w:sz w:val="18"/>
                <w:szCs w:val="18"/>
                <w:lang w:eastAsia="en-US"/>
              </w:rPr>
              <w:t>Podiel</w:t>
            </w:r>
          </w:p>
          <w:p w:rsidR="00246EC8" w:rsidRPr="00C65CAA" w:rsidRDefault="00246EC8" w:rsidP="009879BE">
            <w:pPr>
              <w:jc w:val="center"/>
              <w:rPr>
                <w:rFonts w:ascii="Arial Narrow" w:eastAsia="Calibri" w:hAnsi="Arial Narrow" w:cs="Arial"/>
                <w:color w:val="FFFFFF"/>
                <w:sz w:val="18"/>
                <w:szCs w:val="18"/>
                <w:lang w:eastAsia="en-US"/>
              </w:rPr>
            </w:pPr>
            <w:r w:rsidRPr="00C65CAA">
              <w:rPr>
                <w:rFonts w:ascii="Arial Narrow" w:eastAsia="Calibri" w:hAnsi="Arial Narrow" w:cs="Arial CE"/>
                <w:b/>
                <w:bCs/>
                <w:color w:val="FFFFFF"/>
                <w:sz w:val="18"/>
                <w:szCs w:val="18"/>
                <w:lang w:eastAsia="en-US"/>
              </w:rPr>
              <w:t>(v %)</w:t>
            </w:r>
          </w:p>
        </w:tc>
      </w:tr>
      <w:tr w:rsidR="00246EC8" w:rsidRPr="00C65CAA" w:rsidTr="00246EC8">
        <w:trPr>
          <w:trHeight w:val="429"/>
          <w:tblHeader/>
          <w:jc w:val="center"/>
        </w:trPr>
        <w:tc>
          <w:tcPr>
            <w:tcW w:w="4394" w:type="dxa"/>
            <w:vMerge/>
            <w:tcBorders>
              <w:bottom w:val="single" w:sz="4" w:space="0" w:color="auto"/>
            </w:tcBorders>
            <w:shd w:val="clear" w:color="auto" w:fill="auto"/>
            <w:noWrap/>
            <w:vAlign w:val="center"/>
          </w:tcPr>
          <w:p w:rsidR="00246EC8" w:rsidRPr="00C65CAA" w:rsidRDefault="00246EC8" w:rsidP="009879BE">
            <w:pPr>
              <w:rPr>
                <w:rFonts w:ascii="Arial Narrow" w:eastAsia="Calibri" w:hAnsi="Arial Narrow" w:cs="Arial"/>
                <w:sz w:val="20"/>
                <w:szCs w:val="20"/>
                <w:lang w:eastAsia="en-US"/>
              </w:rPr>
            </w:pPr>
          </w:p>
        </w:tc>
        <w:tc>
          <w:tcPr>
            <w:tcW w:w="993" w:type="dxa"/>
            <w:vMerge/>
            <w:tcBorders>
              <w:bottom w:val="single" w:sz="4" w:space="0" w:color="auto"/>
            </w:tcBorders>
            <w:shd w:val="clear" w:color="auto" w:fill="auto"/>
            <w:vAlign w:val="center"/>
          </w:tcPr>
          <w:p w:rsidR="00246EC8" w:rsidRPr="00C65CAA" w:rsidRDefault="00246EC8" w:rsidP="009879BE">
            <w:pPr>
              <w:rPr>
                <w:rFonts w:ascii="Arial Narrow" w:eastAsia="Calibri" w:hAnsi="Arial Narrow" w:cs="Arial"/>
                <w:sz w:val="20"/>
                <w:szCs w:val="20"/>
                <w:lang w:eastAsia="en-US"/>
              </w:rPr>
            </w:pPr>
          </w:p>
        </w:tc>
        <w:tc>
          <w:tcPr>
            <w:tcW w:w="992" w:type="dxa"/>
            <w:vMerge/>
            <w:tcBorders>
              <w:bottom w:val="single" w:sz="4" w:space="0" w:color="auto"/>
            </w:tcBorders>
          </w:tcPr>
          <w:p w:rsidR="00246EC8" w:rsidRPr="00C65CAA" w:rsidRDefault="00246EC8" w:rsidP="009879BE">
            <w:pPr>
              <w:jc w:val="center"/>
              <w:rPr>
                <w:rFonts w:ascii="Arial Narrow" w:eastAsia="Calibri" w:hAnsi="Arial Narrow" w:cs="Arial"/>
                <w:b/>
                <w:color w:val="FFFFFF"/>
                <w:sz w:val="20"/>
                <w:szCs w:val="20"/>
                <w:lang w:eastAsia="en-US"/>
              </w:rPr>
            </w:pPr>
          </w:p>
        </w:tc>
        <w:tc>
          <w:tcPr>
            <w:tcW w:w="1134" w:type="dxa"/>
            <w:vMerge/>
            <w:tcBorders>
              <w:bottom w:val="single" w:sz="4" w:space="0" w:color="auto"/>
            </w:tcBorders>
            <w:shd w:val="clear" w:color="auto" w:fill="auto"/>
            <w:vAlign w:val="center"/>
          </w:tcPr>
          <w:p w:rsidR="00246EC8" w:rsidRPr="00C65CAA" w:rsidRDefault="00246EC8" w:rsidP="009879BE">
            <w:pPr>
              <w:rPr>
                <w:rFonts w:ascii="Arial Narrow" w:eastAsia="Calibri" w:hAnsi="Arial Narrow" w:cs="Arial"/>
                <w:sz w:val="20"/>
                <w:szCs w:val="20"/>
                <w:lang w:eastAsia="en-US"/>
              </w:rPr>
            </w:pPr>
          </w:p>
        </w:tc>
        <w:tc>
          <w:tcPr>
            <w:tcW w:w="992" w:type="dxa"/>
            <w:vMerge/>
            <w:tcBorders>
              <w:bottom w:val="single" w:sz="4" w:space="0" w:color="auto"/>
            </w:tcBorders>
            <w:shd w:val="clear" w:color="auto" w:fill="auto"/>
            <w:vAlign w:val="center"/>
          </w:tcPr>
          <w:p w:rsidR="00246EC8" w:rsidRPr="00C65CAA" w:rsidRDefault="00246EC8" w:rsidP="009879BE">
            <w:pPr>
              <w:rPr>
                <w:rFonts w:ascii="Arial Narrow" w:eastAsia="Calibri" w:hAnsi="Arial Narrow" w:cs="Arial"/>
                <w:sz w:val="20"/>
                <w:szCs w:val="20"/>
                <w:lang w:eastAsia="en-US"/>
              </w:rPr>
            </w:pPr>
          </w:p>
        </w:tc>
        <w:tc>
          <w:tcPr>
            <w:tcW w:w="830" w:type="dxa"/>
            <w:vMerge/>
            <w:tcBorders>
              <w:bottom w:val="single" w:sz="4" w:space="0" w:color="auto"/>
            </w:tcBorders>
            <w:shd w:val="clear" w:color="auto" w:fill="auto"/>
            <w:noWrap/>
            <w:vAlign w:val="bottom"/>
          </w:tcPr>
          <w:p w:rsidR="00246EC8" w:rsidRPr="00C65CAA" w:rsidRDefault="00246EC8" w:rsidP="009879BE">
            <w:pPr>
              <w:rPr>
                <w:rFonts w:ascii="Arial Narrow" w:eastAsia="Calibri" w:hAnsi="Arial Narrow" w:cs="Arial"/>
                <w:sz w:val="20"/>
                <w:szCs w:val="20"/>
                <w:lang w:eastAsia="en-US"/>
              </w:rPr>
            </w:pPr>
          </w:p>
        </w:tc>
      </w:tr>
      <w:tr w:rsidR="00246EC8" w:rsidRPr="00C65CAA" w:rsidTr="00246EC8">
        <w:trPr>
          <w:trHeight w:val="20"/>
          <w:tblHeader/>
          <w:jc w:val="center"/>
        </w:trPr>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EC8" w:rsidRPr="00C65CAA" w:rsidRDefault="00246EC8" w:rsidP="009879BE">
            <w:pPr>
              <w:jc w:val="center"/>
              <w:rPr>
                <w:rFonts w:ascii="Arial Narrow" w:eastAsia="Calibri" w:hAnsi="Arial Narrow" w:cs="Arial"/>
                <w:sz w:val="18"/>
                <w:szCs w:val="18"/>
                <w:lang w:eastAsia="en-US"/>
              </w:rPr>
            </w:pPr>
            <w:r w:rsidRPr="00C65CAA">
              <w:rPr>
                <w:rFonts w:ascii="Arial Narrow" w:eastAsia="Calibri" w:hAnsi="Arial Narrow" w:cs="Arial"/>
                <w:sz w:val="18"/>
                <w:szCs w:val="18"/>
                <w:lang w:eastAsia="en-US"/>
              </w:rPr>
              <w:t>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EC8" w:rsidRPr="00C65CAA" w:rsidRDefault="00246EC8" w:rsidP="009879BE">
            <w:pPr>
              <w:jc w:val="center"/>
              <w:rPr>
                <w:rFonts w:ascii="Arial Narrow" w:eastAsia="Calibri" w:hAnsi="Arial Narrow" w:cs="Arial"/>
                <w:sz w:val="18"/>
                <w:szCs w:val="18"/>
                <w:lang w:eastAsia="en-US"/>
              </w:rPr>
            </w:pPr>
            <w:r w:rsidRPr="00C65CAA">
              <w:rPr>
                <w:rFonts w:ascii="Arial Narrow" w:eastAsia="Calibri" w:hAnsi="Arial Narrow" w:cs="Arial"/>
                <w:sz w:val="18"/>
                <w:szCs w:val="18"/>
                <w:lang w:eastAsia="en-US"/>
              </w:rPr>
              <w:t>1</w:t>
            </w:r>
          </w:p>
        </w:tc>
        <w:tc>
          <w:tcPr>
            <w:tcW w:w="992" w:type="dxa"/>
            <w:tcBorders>
              <w:top w:val="single" w:sz="4" w:space="0" w:color="auto"/>
              <w:left w:val="single" w:sz="4" w:space="0" w:color="auto"/>
              <w:bottom w:val="single" w:sz="4" w:space="0" w:color="auto"/>
              <w:right w:val="single" w:sz="4" w:space="0" w:color="auto"/>
            </w:tcBorders>
          </w:tcPr>
          <w:p w:rsidR="00246EC8" w:rsidRPr="00C65CAA" w:rsidRDefault="00A06D41" w:rsidP="009879BE">
            <w:pPr>
              <w:jc w:val="center"/>
              <w:rPr>
                <w:rFonts w:ascii="Arial Narrow" w:eastAsia="Calibri" w:hAnsi="Arial Narrow" w:cs="Arial"/>
                <w:sz w:val="18"/>
                <w:szCs w:val="18"/>
                <w:lang w:eastAsia="en-US"/>
              </w:rPr>
            </w:pPr>
            <w:r w:rsidRPr="00C65CAA">
              <w:rPr>
                <w:rFonts w:ascii="Arial Narrow" w:eastAsia="Calibri" w:hAnsi="Arial Narrow" w:cs="Arial"/>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EC8" w:rsidRPr="00C65CAA" w:rsidRDefault="00A06D41" w:rsidP="009879BE">
            <w:pPr>
              <w:jc w:val="center"/>
              <w:rPr>
                <w:rFonts w:ascii="Arial Narrow" w:eastAsia="Calibri" w:hAnsi="Arial Narrow" w:cs="Arial"/>
                <w:sz w:val="18"/>
                <w:szCs w:val="18"/>
                <w:lang w:eastAsia="en-US"/>
              </w:rPr>
            </w:pPr>
            <w:r w:rsidRPr="00C65CAA">
              <w:rPr>
                <w:rFonts w:ascii="Arial Narrow" w:eastAsia="Calibri" w:hAnsi="Arial Narrow" w:cs="Arial"/>
                <w:sz w:val="18"/>
                <w:szCs w:val="18"/>
                <w:lang w:eastAsia="en-US"/>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6EC8" w:rsidRPr="00C65CAA" w:rsidRDefault="00631161" w:rsidP="009879BE">
            <w:pPr>
              <w:jc w:val="center"/>
              <w:rPr>
                <w:rFonts w:ascii="Arial Narrow" w:eastAsia="Calibri" w:hAnsi="Arial Narrow" w:cs="Arial"/>
                <w:sz w:val="18"/>
                <w:szCs w:val="18"/>
                <w:lang w:eastAsia="en-US"/>
              </w:rPr>
            </w:pPr>
            <w:r w:rsidRPr="00C65CAA">
              <w:rPr>
                <w:rFonts w:ascii="Arial Narrow" w:eastAsia="Calibri" w:hAnsi="Arial Narrow" w:cs="Arial"/>
                <w:sz w:val="18"/>
                <w:szCs w:val="18"/>
                <w:lang w:eastAsia="en-US"/>
              </w:rPr>
              <w:t>4=3-2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6EC8" w:rsidRPr="00C65CAA" w:rsidRDefault="00631161" w:rsidP="009879BE">
            <w:pPr>
              <w:jc w:val="center"/>
              <w:rPr>
                <w:rFonts w:ascii="Arial Narrow" w:eastAsia="Calibri" w:hAnsi="Arial Narrow" w:cs="Arial"/>
                <w:sz w:val="18"/>
                <w:szCs w:val="18"/>
                <w:lang w:eastAsia="en-US"/>
              </w:rPr>
            </w:pPr>
            <w:r w:rsidRPr="00C65CAA">
              <w:rPr>
                <w:rFonts w:ascii="Arial Narrow" w:eastAsia="Calibri" w:hAnsi="Arial Narrow" w:cs="Arial"/>
                <w:sz w:val="18"/>
                <w:szCs w:val="18"/>
                <w:lang w:eastAsia="en-US"/>
              </w:rPr>
              <w:t>5=3/2</w:t>
            </w:r>
            <w:r w:rsidR="00246EC8" w:rsidRPr="00C65CAA">
              <w:rPr>
                <w:rFonts w:ascii="Arial Narrow" w:eastAsia="Calibri" w:hAnsi="Arial Narrow" w:cs="Arial"/>
                <w:sz w:val="18"/>
                <w:szCs w:val="18"/>
                <w:lang w:eastAsia="en-US"/>
              </w:rPr>
              <w:t>*100</w:t>
            </w:r>
          </w:p>
        </w:tc>
      </w:tr>
      <w:tr w:rsidR="00246EC8" w:rsidRPr="00C65CAA" w:rsidTr="00246EC8">
        <w:trPr>
          <w:trHeight w:val="20"/>
          <w:jc w:val="center"/>
        </w:trPr>
        <w:tc>
          <w:tcPr>
            <w:tcW w:w="4394"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246EC8" w:rsidRPr="00C65CAA" w:rsidRDefault="00246EC8" w:rsidP="009879BE">
            <w:pPr>
              <w:rPr>
                <w:rFonts w:ascii="Arial Narrow" w:eastAsia="Calibri" w:hAnsi="Arial Narrow" w:cs="Arial CE"/>
                <w:b/>
                <w:bCs/>
                <w:sz w:val="20"/>
                <w:szCs w:val="20"/>
                <w:lang w:eastAsia="en-US"/>
              </w:rPr>
            </w:pPr>
            <w:r w:rsidRPr="00C65CAA">
              <w:rPr>
                <w:rFonts w:ascii="Arial Narrow" w:eastAsia="Calibri" w:hAnsi="Arial Narrow" w:cs="Arial CE"/>
                <w:b/>
                <w:bCs/>
                <w:sz w:val="20"/>
                <w:szCs w:val="20"/>
                <w:lang w:eastAsia="en-US"/>
              </w:rPr>
              <w:t>Nedaňové príjmy spolu</w:t>
            </w:r>
          </w:p>
        </w:tc>
        <w:tc>
          <w:tcPr>
            <w:tcW w:w="993"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246EC8" w:rsidRPr="00C65CAA" w:rsidRDefault="00246EC8" w:rsidP="009879BE">
            <w:pPr>
              <w:jc w:val="right"/>
              <w:rPr>
                <w:rFonts w:ascii="Arial Narrow" w:eastAsia="Calibri" w:hAnsi="Arial Narrow" w:cs="Arial CE"/>
                <w:b/>
                <w:bCs/>
                <w:sz w:val="20"/>
                <w:szCs w:val="20"/>
              </w:rPr>
            </w:pPr>
            <w:r w:rsidRPr="00C65CAA">
              <w:rPr>
                <w:rFonts w:ascii="Arial Narrow" w:eastAsia="Calibri" w:hAnsi="Arial Narrow" w:cs="Arial CE"/>
                <w:b/>
                <w:bCs/>
                <w:sz w:val="20"/>
                <w:szCs w:val="20"/>
              </w:rPr>
              <w:t>1 385 457</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1 208 819</w:t>
            </w:r>
          </w:p>
        </w:tc>
        <w:tc>
          <w:tcPr>
            <w:tcW w:w="1134"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1 331 345</w:t>
            </w:r>
          </w:p>
        </w:tc>
        <w:tc>
          <w:tcPr>
            <w:tcW w:w="99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122 526</w:t>
            </w:r>
          </w:p>
        </w:tc>
        <w:tc>
          <w:tcPr>
            <w:tcW w:w="83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110,1</w:t>
            </w:r>
          </w:p>
        </w:tc>
      </w:tr>
      <w:tr w:rsidR="00246EC8" w:rsidRPr="00C65CAA" w:rsidTr="00246EC8">
        <w:trPr>
          <w:trHeight w:val="20"/>
          <w:jc w:val="center"/>
        </w:trPr>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EC8" w:rsidRPr="00C65CAA" w:rsidRDefault="00246EC8" w:rsidP="009879BE">
            <w:pPr>
              <w:rPr>
                <w:rFonts w:ascii="Arial Narrow" w:eastAsia="Calibri" w:hAnsi="Arial Narrow" w:cs="Arial CE"/>
                <w:sz w:val="20"/>
                <w:szCs w:val="20"/>
                <w:lang w:eastAsia="en-US"/>
              </w:rPr>
            </w:pPr>
            <w:r w:rsidRPr="00C65CAA">
              <w:rPr>
                <w:rFonts w:ascii="Arial Narrow" w:eastAsia="Calibri" w:hAnsi="Arial Narrow" w:cs="Arial CE"/>
                <w:sz w:val="20"/>
                <w:szCs w:val="20"/>
                <w:lang w:eastAsia="en-US"/>
              </w:rPr>
              <w:t>Príjmy z podnikania a z vlastníctva majetku</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EC8" w:rsidRPr="00C65CAA" w:rsidRDefault="00246EC8" w:rsidP="009879BE">
            <w:pPr>
              <w:jc w:val="right"/>
              <w:rPr>
                <w:rFonts w:ascii="Arial Narrow" w:eastAsia="Calibri" w:hAnsi="Arial Narrow" w:cs="Arial CE"/>
                <w:sz w:val="20"/>
                <w:szCs w:val="20"/>
              </w:rPr>
            </w:pPr>
            <w:r w:rsidRPr="00C65CAA">
              <w:rPr>
                <w:rFonts w:ascii="Arial Narrow" w:eastAsia="Calibri" w:hAnsi="Arial Narrow" w:cs="Arial CE"/>
                <w:sz w:val="20"/>
                <w:szCs w:val="20"/>
              </w:rPr>
              <w:t>612 032</w:t>
            </w:r>
          </w:p>
        </w:tc>
        <w:tc>
          <w:tcPr>
            <w:tcW w:w="992" w:type="dxa"/>
            <w:tcBorders>
              <w:top w:val="single" w:sz="4" w:space="0" w:color="auto"/>
              <w:left w:val="single" w:sz="4" w:space="0" w:color="auto"/>
              <w:bottom w:val="single" w:sz="4" w:space="0" w:color="auto"/>
              <w:right w:val="single" w:sz="4" w:space="0" w:color="auto"/>
            </w:tcBorders>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436 038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443 660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7 621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101,7</w:t>
            </w:r>
          </w:p>
        </w:tc>
      </w:tr>
      <w:tr w:rsidR="00246EC8" w:rsidRPr="00C65CAA" w:rsidTr="00246EC8">
        <w:trPr>
          <w:trHeight w:val="20"/>
          <w:jc w:val="center"/>
        </w:trPr>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EC8" w:rsidRPr="00C65CAA" w:rsidRDefault="00246EC8" w:rsidP="009879BE">
            <w:pPr>
              <w:rPr>
                <w:rFonts w:ascii="Arial Narrow" w:eastAsia="Calibri" w:hAnsi="Arial Narrow" w:cs="Arial CE"/>
                <w:sz w:val="20"/>
                <w:szCs w:val="20"/>
                <w:lang w:eastAsia="en-US"/>
              </w:rPr>
            </w:pPr>
            <w:r w:rsidRPr="00C65CAA">
              <w:rPr>
                <w:rFonts w:ascii="Arial Narrow" w:eastAsia="Calibri" w:hAnsi="Arial Narrow" w:cs="Arial CE"/>
                <w:sz w:val="20"/>
                <w:szCs w:val="20"/>
                <w:lang w:eastAsia="en-US"/>
              </w:rPr>
              <w:t>Administratívne poplatky a iné poplatky a platby</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EC8" w:rsidRPr="00C65CAA" w:rsidRDefault="00246EC8" w:rsidP="009879BE">
            <w:pPr>
              <w:jc w:val="right"/>
              <w:rPr>
                <w:rFonts w:ascii="Arial Narrow" w:eastAsia="Calibri" w:hAnsi="Arial Narrow" w:cs="Arial CE"/>
                <w:sz w:val="20"/>
                <w:szCs w:val="20"/>
              </w:rPr>
            </w:pPr>
            <w:r w:rsidRPr="00C65CAA">
              <w:rPr>
                <w:rFonts w:ascii="Arial Narrow" w:eastAsia="Calibri" w:hAnsi="Arial Narrow" w:cs="Arial CE"/>
                <w:sz w:val="20"/>
                <w:szCs w:val="20"/>
              </w:rPr>
              <w:t>365 882</w:t>
            </w:r>
          </w:p>
        </w:tc>
        <w:tc>
          <w:tcPr>
            <w:tcW w:w="992" w:type="dxa"/>
            <w:tcBorders>
              <w:top w:val="single" w:sz="4" w:space="0" w:color="auto"/>
              <w:left w:val="single" w:sz="4" w:space="0" w:color="auto"/>
              <w:bottom w:val="single" w:sz="4" w:space="0" w:color="auto"/>
              <w:right w:val="single" w:sz="4" w:space="0" w:color="auto"/>
            </w:tcBorders>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338 616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416 716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78 100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123,1</w:t>
            </w:r>
          </w:p>
        </w:tc>
      </w:tr>
      <w:tr w:rsidR="00246EC8" w:rsidRPr="00C65CAA" w:rsidTr="00246EC8">
        <w:trPr>
          <w:trHeight w:val="20"/>
          <w:jc w:val="center"/>
        </w:trPr>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EC8" w:rsidRPr="00C65CAA" w:rsidRDefault="00246EC8" w:rsidP="009879BE">
            <w:pPr>
              <w:rPr>
                <w:rFonts w:ascii="Arial Narrow" w:eastAsia="Calibri" w:hAnsi="Arial Narrow" w:cs="Arial CE"/>
                <w:sz w:val="20"/>
                <w:szCs w:val="20"/>
                <w:lang w:eastAsia="en-US"/>
              </w:rPr>
            </w:pPr>
            <w:r w:rsidRPr="00C65CAA">
              <w:rPr>
                <w:rFonts w:ascii="Arial Narrow" w:eastAsia="Calibri" w:hAnsi="Arial Narrow" w:cs="Arial CE"/>
                <w:sz w:val="20"/>
                <w:szCs w:val="20"/>
                <w:lang w:eastAsia="en-US"/>
              </w:rPr>
              <w:t>Kapitálové príjmy</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EC8" w:rsidRPr="00C65CAA" w:rsidRDefault="00246EC8" w:rsidP="009879BE">
            <w:pPr>
              <w:jc w:val="right"/>
              <w:rPr>
                <w:rFonts w:ascii="Arial Narrow" w:eastAsia="Calibri" w:hAnsi="Arial Narrow" w:cs="Arial CE"/>
                <w:sz w:val="20"/>
                <w:szCs w:val="20"/>
              </w:rPr>
            </w:pPr>
            <w:r w:rsidRPr="00C65CAA">
              <w:rPr>
                <w:rFonts w:ascii="Arial Narrow" w:eastAsia="Calibri" w:hAnsi="Arial Narrow" w:cs="Arial CE"/>
                <w:sz w:val="20"/>
                <w:szCs w:val="20"/>
              </w:rPr>
              <w:t>11 748</w:t>
            </w:r>
          </w:p>
        </w:tc>
        <w:tc>
          <w:tcPr>
            <w:tcW w:w="992" w:type="dxa"/>
            <w:tcBorders>
              <w:top w:val="single" w:sz="4" w:space="0" w:color="auto"/>
              <w:left w:val="single" w:sz="4" w:space="0" w:color="auto"/>
              <w:bottom w:val="single" w:sz="4" w:space="0" w:color="auto"/>
              <w:right w:val="single" w:sz="4" w:space="0" w:color="auto"/>
            </w:tcBorders>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44 488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52 691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8 203</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118,4</w:t>
            </w:r>
          </w:p>
        </w:tc>
      </w:tr>
      <w:tr w:rsidR="00246EC8" w:rsidRPr="00C65CAA" w:rsidTr="00246EC8">
        <w:trPr>
          <w:trHeight w:val="20"/>
          <w:jc w:val="center"/>
        </w:trPr>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EC8" w:rsidRPr="00C65CAA" w:rsidRDefault="00246EC8" w:rsidP="009879BE">
            <w:pPr>
              <w:rPr>
                <w:rFonts w:ascii="Arial Narrow" w:eastAsia="Calibri" w:hAnsi="Arial Narrow" w:cs="Arial CE"/>
                <w:sz w:val="20"/>
                <w:szCs w:val="20"/>
                <w:lang w:eastAsia="en-US"/>
              </w:rPr>
            </w:pPr>
            <w:r w:rsidRPr="00C65CAA">
              <w:rPr>
                <w:rFonts w:ascii="Arial Narrow" w:eastAsia="Calibri" w:hAnsi="Arial Narrow" w:cs="Arial CE"/>
                <w:sz w:val="20"/>
                <w:szCs w:val="20"/>
                <w:lang w:eastAsia="en-US"/>
              </w:rPr>
              <w:t>Úroky z tuzemských a zahr</w:t>
            </w:r>
            <w:r w:rsidR="003742C5" w:rsidRPr="00C65CAA">
              <w:rPr>
                <w:rFonts w:ascii="Arial Narrow" w:eastAsia="Calibri" w:hAnsi="Arial Narrow" w:cs="Arial CE"/>
                <w:sz w:val="20"/>
                <w:szCs w:val="20"/>
                <w:lang w:eastAsia="en-US"/>
              </w:rPr>
              <w:t>aničných</w:t>
            </w:r>
            <w:r w:rsidRPr="00C65CAA">
              <w:rPr>
                <w:rFonts w:ascii="Arial Narrow" w:eastAsia="Calibri" w:hAnsi="Arial Narrow" w:cs="Arial CE"/>
                <w:sz w:val="20"/>
                <w:szCs w:val="20"/>
                <w:lang w:eastAsia="en-US"/>
              </w:rPr>
              <w:t xml:space="preserve"> úverov, pôžičiek, návratných finančných výpomocí, vkladov a ážio</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EC8" w:rsidRPr="00C65CAA" w:rsidRDefault="00246EC8" w:rsidP="009879BE">
            <w:pPr>
              <w:jc w:val="right"/>
              <w:rPr>
                <w:rFonts w:ascii="Arial Narrow" w:eastAsia="Calibri" w:hAnsi="Arial Narrow" w:cs="Arial CE"/>
                <w:sz w:val="20"/>
                <w:szCs w:val="20"/>
              </w:rPr>
            </w:pPr>
            <w:r w:rsidRPr="00C65CAA">
              <w:rPr>
                <w:rFonts w:ascii="Arial Narrow" w:eastAsia="Calibri" w:hAnsi="Arial Narrow" w:cs="Arial CE"/>
                <w:sz w:val="20"/>
                <w:szCs w:val="20"/>
              </w:rPr>
              <w:t>28 619</w:t>
            </w:r>
          </w:p>
        </w:tc>
        <w:tc>
          <w:tcPr>
            <w:tcW w:w="992" w:type="dxa"/>
            <w:tcBorders>
              <w:top w:val="single" w:sz="4" w:space="0" w:color="auto"/>
              <w:left w:val="single" w:sz="4" w:space="0" w:color="auto"/>
              <w:bottom w:val="single" w:sz="4" w:space="0" w:color="auto"/>
              <w:right w:val="single" w:sz="4" w:space="0" w:color="auto"/>
            </w:tcBorders>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7 125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6 754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-372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94,8</w:t>
            </w:r>
          </w:p>
        </w:tc>
      </w:tr>
      <w:tr w:rsidR="00246EC8" w:rsidRPr="00C65CAA" w:rsidTr="00246EC8">
        <w:trPr>
          <w:trHeight w:val="20"/>
          <w:jc w:val="center"/>
        </w:trPr>
        <w:tc>
          <w:tcPr>
            <w:tcW w:w="43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6EC8" w:rsidRPr="00C65CAA" w:rsidRDefault="00246EC8" w:rsidP="009879BE">
            <w:pPr>
              <w:rPr>
                <w:rFonts w:ascii="Arial Narrow" w:eastAsia="Calibri" w:hAnsi="Arial Narrow" w:cs="Arial CE"/>
                <w:sz w:val="20"/>
                <w:szCs w:val="20"/>
                <w:lang w:eastAsia="en-US"/>
              </w:rPr>
            </w:pPr>
            <w:r w:rsidRPr="00C65CAA">
              <w:rPr>
                <w:rFonts w:ascii="Arial Narrow" w:eastAsia="Calibri" w:hAnsi="Arial Narrow" w:cs="Arial CE"/>
                <w:sz w:val="20"/>
                <w:szCs w:val="20"/>
                <w:lang w:eastAsia="en-US"/>
              </w:rPr>
              <w:t>Iné nedaňové príjmy</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EC8" w:rsidRPr="00C65CAA" w:rsidRDefault="00246EC8" w:rsidP="009879BE">
            <w:pPr>
              <w:jc w:val="right"/>
              <w:rPr>
                <w:rFonts w:ascii="Arial Narrow" w:eastAsia="Calibri" w:hAnsi="Arial Narrow" w:cs="Arial CE"/>
                <w:sz w:val="20"/>
                <w:szCs w:val="20"/>
              </w:rPr>
            </w:pPr>
            <w:r w:rsidRPr="00C65CAA">
              <w:rPr>
                <w:rFonts w:ascii="Arial Narrow" w:eastAsia="Calibri" w:hAnsi="Arial Narrow" w:cs="Arial CE"/>
                <w:sz w:val="20"/>
                <w:szCs w:val="20"/>
              </w:rPr>
              <w:t>367 176</w:t>
            </w:r>
          </w:p>
        </w:tc>
        <w:tc>
          <w:tcPr>
            <w:tcW w:w="992" w:type="dxa"/>
            <w:tcBorders>
              <w:top w:val="single" w:sz="4" w:space="0" w:color="auto"/>
              <w:left w:val="single" w:sz="4" w:space="0" w:color="auto"/>
              <w:bottom w:val="single" w:sz="4" w:space="0" w:color="auto"/>
              <w:right w:val="single" w:sz="4" w:space="0" w:color="auto"/>
            </w:tcBorders>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382 551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411 524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28 974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107,6</w:t>
            </w:r>
          </w:p>
        </w:tc>
      </w:tr>
    </w:tbl>
    <w:p w:rsidR="00246EC8" w:rsidRPr="00C65CAA" w:rsidRDefault="00246EC8" w:rsidP="00B366F3">
      <w:pPr>
        <w:pStyle w:val="Zkladntext"/>
        <w:spacing w:after="100"/>
        <w:jc w:val="both"/>
        <w:rPr>
          <w:rFonts w:ascii="Arial Narrow" w:hAnsi="Arial Narrow"/>
          <w:color w:val="000000"/>
          <w:sz w:val="20"/>
        </w:rPr>
      </w:pPr>
      <w:r w:rsidRPr="00C65CAA">
        <w:rPr>
          <w:rFonts w:ascii="Arial Narrow" w:hAnsi="Arial Narrow"/>
          <w:color w:val="000000"/>
          <w:sz w:val="20"/>
        </w:rPr>
        <w:t>Zdroj: ŠZÚ za rok 2017, RVS na roky 2018 až 2020, Návrh RVS na roky 2019 až 2021</w:t>
      </w:r>
    </w:p>
    <w:p w:rsidR="00014875" w:rsidRPr="00C65CAA" w:rsidRDefault="00D23611" w:rsidP="00256AF8">
      <w:pPr>
        <w:spacing w:before="100" w:after="100"/>
        <w:ind w:firstLine="708"/>
        <w:jc w:val="both"/>
        <w:rPr>
          <w:rFonts w:ascii="Arial Narrow" w:hAnsi="Arial Narrow"/>
          <w:sz w:val="22"/>
          <w:szCs w:val="22"/>
        </w:rPr>
      </w:pPr>
      <w:r w:rsidRPr="00C65CAA">
        <w:rPr>
          <w:rFonts w:ascii="Arial Narrow" w:hAnsi="Arial Narrow"/>
          <w:sz w:val="22"/>
          <w:szCs w:val="22"/>
        </w:rPr>
        <w:t xml:space="preserve">Príjmy z podnikania a vlastníctva majetku medziročne </w:t>
      </w:r>
      <w:r w:rsidR="008400D2" w:rsidRPr="00C65CAA">
        <w:rPr>
          <w:rFonts w:ascii="Arial Narrow" w:hAnsi="Arial Narrow"/>
          <w:sz w:val="22"/>
          <w:szCs w:val="22"/>
        </w:rPr>
        <w:t>vzrastú</w:t>
      </w:r>
      <w:r w:rsidR="00014875" w:rsidRPr="00C65CAA">
        <w:rPr>
          <w:rFonts w:ascii="Arial Narrow" w:hAnsi="Arial Narrow"/>
          <w:sz w:val="22"/>
          <w:szCs w:val="22"/>
        </w:rPr>
        <w:t xml:space="preserve"> o 7 621</w:t>
      </w:r>
      <w:r w:rsidRPr="00C65CAA">
        <w:rPr>
          <w:rFonts w:ascii="Arial Narrow" w:hAnsi="Arial Narrow"/>
          <w:sz w:val="22"/>
          <w:szCs w:val="22"/>
        </w:rPr>
        <w:t xml:space="preserve"> tis. eur na úroveň 4</w:t>
      </w:r>
      <w:r w:rsidR="00014875" w:rsidRPr="00C65CAA">
        <w:rPr>
          <w:rFonts w:ascii="Arial Narrow" w:hAnsi="Arial Narrow"/>
          <w:sz w:val="22"/>
          <w:szCs w:val="22"/>
        </w:rPr>
        <w:t>43 660</w:t>
      </w:r>
      <w:r w:rsidRPr="00C65CAA">
        <w:rPr>
          <w:rFonts w:ascii="Arial Narrow" w:hAnsi="Arial Narrow"/>
          <w:sz w:val="22"/>
          <w:szCs w:val="22"/>
        </w:rPr>
        <w:t xml:space="preserve"> tis. eur. Najvýznamnejšiu položku týchto príjmov tvoria dividendy od akciových spoločností s majetkovou účasťou štátu, ktorý je zastúpený rezort</w:t>
      </w:r>
      <w:r w:rsidR="00014875" w:rsidRPr="00C65CAA">
        <w:rPr>
          <w:rFonts w:ascii="Arial Narrow" w:hAnsi="Arial Narrow"/>
          <w:sz w:val="22"/>
          <w:szCs w:val="22"/>
        </w:rPr>
        <w:t>nými ministerstvami. Na rok 2019</w:t>
      </w:r>
      <w:r w:rsidRPr="00C65CAA">
        <w:rPr>
          <w:rFonts w:ascii="Arial Narrow" w:hAnsi="Arial Narrow"/>
          <w:sz w:val="22"/>
          <w:szCs w:val="22"/>
        </w:rPr>
        <w:t xml:space="preserve"> sú rozpočtované vo výške </w:t>
      </w:r>
      <w:r w:rsidR="00014875" w:rsidRPr="00C65CAA">
        <w:rPr>
          <w:rFonts w:ascii="Arial Narrow" w:hAnsi="Arial Narrow"/>
          <w:bCs/>
          <w:color w:val="000000"/>
          <w:sz w:val="22"/>
          <w:szCs w:val="22"/>
        </w:rPr>
        <w:t>432 701</w:t>
      </w:r>
      <w:r w:rsidRPr="00C65CAA">
        <w:rPr>
          <w:rFonts w:ascii="Arial Narrow" w:hAnsi="Arial Narrow"/>
          <w:sz w:val="22"/>
          <w:szCs w:val="22"/>
        </w:rPr>
        <w:t xml:space="preserve"> tis. eur, čo je o</w:t>
      </w:r>
      <w:r w:rsidR="00014875" w:rsidRPr="00C65CAA">
        <w:rPr>
          <w:rFonts w:ascii="Arial Narrow" w:hAnsi="Arial Narrow"/>
          <w:sz w:val="22"/>
          <w:szCs w:val="22"/>
        </w:rPr>
        <w:t> 7 702</w:t>
      </w:r>
      <w:r w:rsidRPr="00C65CAA">
        <w:rPr>
          <w:rFonts w:ascii="Arial Narrow" w:hAnsi="Arial Narrow"/>
          <w:sz w:val="22"/>
          <w:szCs w:val="22"/>
        </w:rPr>
        <w:t> tis. eur</w:t>
      </w:r>
      <w:r w:rsidR="00014875" w:rsidRPr="00C65CAA">
        <w:rPr>
          <w:rFonts w:ascii="Arial Narrow" w:hAnsi="Arial Narrow"/>
          <w:sz w:val="22"/>
          <w:szCs w:val="22"/>
        </w:rPr>
        <w:t xml:space="preserve"> viac </w:t>
      </w:r>
      <w:r w:rsidRPr="00C65CAA">
        <w:rPr>
          <w:rFonts w:ascii="Arial Narrow" w:hAnsi="Arial Narrow"/>
          <w:sz w:val="22"/>
          <w:szCs w:val="22"/>
        </w:rPr>
        <w:t>v p</w:t>
      </w:r>
      <w:r w:rsidR="00014875" w:rsidRPr="00C65CAA">
        <w:rPr>
          <w:rFonts w:ascii="Arial Narrow" w:hAnsi="Arial Narrow"/>
          <w:sz w:val="22"/>
          <w:szCs w:val="22"/>
        </w:rPr>
        <w:t>orovnaní s rozpočtom na rok 2018</w:t>
      </w:r>
      <w:r w:rsidRPr="00C65CAA">
        <w:rPr>
          <w:rFonts w:ascii="Arial Narrow" w:hAnsi="Arial Narrow"/>
          <w:sz w:val="22"/>
          <w:szCs w:val="22"/>
        </w:rPr>
        <w:t xml:space="preserve">. Tento </w:t>
      </w:r>
      <w:r w:rsidR="00014875" w:rsidRPr="00C65CAA">
        <w:rPr>
          <w:rFonts w:ascii="Arial Narrow" w:hAnsi="Arial Narrow"/>
          <w:sz w:val="22"/>
          <w:szCs w:val="22"/>
        </w:rPr>
        <w:t>rast je</w:t>
      </w:r>
      <w:r w:rsidRPr="00C65CAA">
        <w:rPr>
          <w:rFonts w:ascii="Arial Narrow" w:hAnsi="Arial Narrow"/>
          <w:sz w:val="22"/>
          <w:szCs w:val="22"/>
        </w:rPr>
        <w:t xml:space="preserve"> spôsobený hlavne </w:t>
      </w:r>
      <w:r w:rsidR="00014875" w:rsidRPr="00C65CAA">
        <w:rPr>
          <w:rFonts w:ascii="Arial Narrow" w:hAnsi="Arial Narrow"/>
          <w:sz w:val="22"/>
          <w:szCs w:val="22"/>
        </w:rPr>
        <w:t>rastom dividend od spoločností Stredoslovenská energetika, a. s., Východoslovenská energetika, a. s.</w:t>
      </w:r>
      <w:r w:rsidR="0009228D" w:rsidRPr="00C65CAA">
        <w:rPr>
          <w:rFonts w:ascii="Arial Narrow" w:hAnsi="Arial Narrow"/>
          <w:sz w:val="22"/>
          <w:szCs w:val="22"/>
        </w:rPr>
        <w:t>,</w:t>
      </w:r>
      <w:r w:rsidR="00014875" w:rsidRPr="00C65CAA">
        <w:rPr>
          <w:rFonts w:ascii="Arial Narrow" w:hAnsi="Arial Narrow"/>
          <w:sz w:val="22"/>
          <w:szCs w:val="22"/>
        </w:rPr>
        <w:t xml:space="preserve"> a Slovenská konsolidačná, a. s. Naopak</w:t>
      </w:r>
      <w:r w:rsidR="003A76DC" w:rsidRPr="00C65CAA">
        <w:rPr>
          <w:rFonts w:ascii="Arial Narrow" w:hAnsi="Arial Narrow"/>
          <w:sz w:val="22"/>
          <w:szCs w:val="22"/>
        </w:rPr>
        <w:t>,</w:t>
      </w:r>
      <w:r w:rsidR="00014875" w:rsidRPr="00C65CAA">
        <w:rPr>
          <w:rFonts w:ascii="Arial Narrow" w:hAnsi="Arial Narrow"/>
          <w:sz w:val="22"/>
          <w:szCs w:val="22"/>
        </w:rPr>
        <w:t xml:space="preserve"> nižšie príjmy z dividend pri medziročnom porovnaní sa očakávajú najmä od spoločnosti Západoslovenská energetika, a. s.</w:t>
      </w:r>
    </w:p>
    <w:p w:rsidR="00D33D1A" w:rsidRPr="00C65CAA" w:rsidRDefault="00D23611" w:rsidP="00256AF8">
      <w:pPr>
        <w:spacing w:before="100" w:after="100"/>
        <w:ind w:firstLine="708"/>
        <w:jc w:val="both"/>
        <w:rPr>
          <w:rFonts w:ascii="Arial Narrow" w:hAnsi="Arial Narrow"/>
          <w:sz w:val="22"/>
          <w:szCs w:val="22"/>
        </w:rPr>
      </w:pPr>
      <w:r w:rsidRPr="00C65CAA">
        <w:rPr>
          <w:rFonts w:ascii="Arial Narrow" w:hAnsi="Arial Narrow"/>
          <w:sz w:val="22"/>
          <w:szCs w:val="22"/>
        </w:rPr>
        <w:t>V tejto skupine príjmov sú zahrnuté aj</w:t>
      </w:r>
      <w:r w:rsidR="008E0327" w:rsidRPr="00C65CAA">
        <w:rPr>
          <w:rFonts w:ascii="Arial Narrow" w:hAnsi="Arial Narrow"/>
          <w:sz w:val="22"/>
          <w:szCs w:val="22"/>
        </w:rPr>
        <w:t xml:space="preserve"> iné príjmy z podnikania, napríklad </w:t>
      </w:r>
      <w:r w:rsidRPr="00C65CAA">
        <w:rPr>
          <w:rFonts w:ascii="Arial Narrow" w:hAnsi="Arial Narrow"/>
          <w:sz w:val="22"/>
          <w:szCs w:val="22"/>
        </w:rPr>
        <w:t>odvod zo zisku po zdanení, ktorý majú odviesť Lesy SR, š. p.</w:t>
      </w:r>
      <w:r w:rsidR="0009228D" w:rsidRPr="00C65CAA">
        <w:rPr>
          <w:rFonts w:ascii="Arial Narrow" w:hAnsi="Arial Narrow"/>
          <w:sz w:val="22"/>
          <w:szCs w:val="22"/>
        </w:rPr>
        <w:t>,</w:t>
      </w:r>
      <w:r w:rsidRPr="00C65CAA">
        <w:rPr>
          <w:rFonts w:ascii="Arial Narrow" w:hAnsi="Arial Narrow"/>
          <w:sz w:val="22"/>
          <w:szCs w:val="22"/>
        </w:rPr>
        <w:t xml:space="preserve"> vo výške 5 000 tis. eur</w:t>
      </w:r>
      <w:r w:rsidR="0009228D" w:rsidRPr="00C65CAA">
        <w:rPr>
          <w:rFonts w:ascii="Arial Narrow" w:hAnsi="Arial Narrow"/>
          <w:sz w:val="22"/>
          <w:szCs w:val="22"/>
        </w:rPr>
        <w:t>,</w:t>
      </w:r>
      <w:r w:rsidRPr="00C65CAA">
        <w:rPr>
          <w:rFonts w:ascii="Arial Narrow" w:hAnsi="Arial Narrow"/>
          <w:sz w:val="22"/>
          <w:szCs w:val="22"/>
        </w:rPr>
        <w:t xml:space="preserve"> a Vodohospodárska výstavba, š. p.</w:t>
      </w:r>
      <w:r w:rsidR="0009228D" w:rsidRPr="00C65CAA">
        <w:rPr>
          <w:rFonts w:ascii="Arial Narrow" w:hAnsi="Arial Narrow"/>
          <w:sz w:val="22"/>
          <w:szCs w:val="22"/>
        </w:rPr>
        <w:t>,</w:t>
      </w:r>
      <w:r w:rsidRPr="00C65CAA">
        <w:rPr>
          <w:rFonts w:ascii="Arial Narrow" w:hAnsi="Arial Narrow"/>
          <w:sz w:val="22"/>
          <w:szCs w:val="22"/>
        </w:rPr>
        <w:t xml:space="preserve"> vo výške 200 tis. eur</w:t>
      </w:r>
      <w:r w:rsidR="008E0327" w:rsidRPr="00C65CAA">
        <w:rPr>
          <w:rFonts w:ascii="Arial Narrow" w:hAnsi="Arial Narrow"/>
          <w:sz w:val="22"/>
          <w:szCs w:val="22"/>
        </w:rPr>
        <w:t>.</w:t>
      </w:r>
    </w:p>
    <w:p w:rsidR="00D23611" w:rsidRPr="00C65CAA" w:rsidRDefault="00D23611" w:rsidP="00256AF8">
      <w:pPr>
        <w:spacing w:before="100" w:after="100"/>
        <w:ind w:firstLine="708"/>
        <w:jc w:val="both"/>
        <w:rPr>
          <w:rFonts w:ascii="Arial Narrow" w:hAnsi="Arial Narrow"/>
          <w:sz w:val="22"/>
          <w:szCs w:val="22"/>
        </w:rPr>
      </w:pPr>
      <w:r w:rsidRPr="00C65CAA">
        <w:rPr>
          <w:rFonts w:ascii="Arial Narrow" w:hAnsi="Arial Narrow"/>
          <w:sz w:val="22"/>
          <w:szCs w:val="22"/>
        </w:rPr>
        <w:t xml:space="preserve">NKÚ SR upozorňuje na riziká, vyplývajúce z neplnenia príjmovej časti rozpočtu v oblasti dividend a osobitných odvodov, ktoré závisia od výsledkov </w:t>
      </w:r>
      <w:r w:rsidR="00D33D1A" w:rsidRPr="00C65CAA">
        <w:rPr>
          <w:rFonts w:ascii="Arial Narrow" w:hAnsi="Arial Narrow"/>
          <w:sz w:val="22"/>
          <w:szCs w:val="22"/>
        </w:rPr>
        <w:t>hospodárenia daných spoločností.</w:t>
      </w:r>
      <w:r w:rsidRPr="00C65CAA">
        <w:rPr>
          <w:rFonts w:ascii="Arial Narrow" w:hAnsi="Arial Narrow"/>
          <w:sz w:val="22"/>
          <w:szCs w:val="22"/>
        </w:rPr>
        <w:t xml:space="preserve"> </w:t>
      </w:r>
    </w:p>
    <w:p w:rsidR="00D23611" w:rsidRPr="00C65CAA" w:rsidRDefault="00D23611" w:rsidP="00256AF8">
      <w:pPr>
        <w:spacing w:before="100" w:after="100"/>
        <w:jc w:val="both"/>
        <w:rPr>
          <w:rFonts w:ascii="Arial Narrow" w:hAnsi="Arial Narrow"/>
          <w:b/>
          <w:sz w:val="22"/>
          <w:szCs w:val="22"/>
        </w:rPr>
      </w:pPr>
      <w:r w:rsidRPr="00C65CAA">
        <w:rPr>
          <w:rFonts w:ascii="Arial Narrow" w:hAnsi="Arial Narrow"/>
          <w:b/>
          <w:sz w:val="22"/>
          <w:szCs w:val="22"/>
        </w:rPr>
        <w:t>Granty a transfery</w:t>
      </w:r>
    </w:p>
    <w:p w:rsidR="00D23611" w:rsidRPr="00C65CAA" w:rsidRDefault="00D23611" w:rsidP="00256AF8">
      <w:pPr>
        <w:spacing w:before="100" w:after="100"/>
        <w:ind w:firstLine="708"/>
        <w:jc w:val="both"/>
        <w:rPr>
          <w:rFonts w:ascii="Arial Narrow" w:hAnsi="Arial Narrow"/>
          <w:sz w:val="22"/>
          <w:szCs w:val="22"/>
        </w:rPr>
      </w:pPr>
      <w:r w:rsidRPr="00C65CAA">
        <w:rPr>
          <w:rFonts w:ascii="Arial Narrow" w:hAnsi="Arial Narrow"/>
          <w:sz w:val="22"/>
          <w:szCs w:val="22"/>
        </w:rPr>
        <w:t xml:space="preserve">Porovnanie grantov a transferov </w:t>
      </w:r>
      <w:r w:rsidR="000425D5" w:rsidRPr="00C65CAA">
        <w:rPr>
          <w:rFonts w:ascii="Arial Narrow" w:hAnsi="Arial Narrow"/>
          <w:color w:val="000000"/>
          <w:sz w:val="22"/>
          <w:szCs w:val="22"/>
        </w:rPr>
        <w:t xml:space="preserve">ŠR </w:t>
      </w:r>
      <w:r w:rsidR="000425D5" w:rsidRPr="00C65CAA">
        <w:rPr>
          <w:rFonts w:ascii="Arial Narrow" w:hAnsi="Arial Narrow"/>
          <w:sz w:val="22"/>
          <w:szCs w:val="22"/>
        </w:rPr>
        <w:t>za rok 2017, schváleného rozpočtu na rok 2018 a návrhu rozpočtu na rok 2019</w:t>
      </w:r>
      <w:r w:rsidR="001D2AD7" w:rsidRPr="00C65CAA">
        <w:rPr>
          <w:rFonts w:ascii="Arial Narrow" w:hAnsi="Arial Narrow"/>
          <w:sz w:val="22"/>
          <w:szCs w:val="22"/>
        </w:rPr>
        <w:t>:</w:t>
      </w:r>
      <w:r w:rsidR="000425D5" w:rsidRPr="00C65CAA">
        <w:rPr>
          <w:rFonts w:ascii="Arial Narrow" w:hAnsi="Arial Narrow"/>
          <w:sz w:val="22"/>
          <w:szCs w:val="22"/>
        </w:rPr>
        <w:t xml:space="preserve"> </w:t>
      </w:r>
    </w:p>
    <w:tbl>
      <w:tblPr>
        <w:tblW w:w="5002"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830"/>
        <w:gridCol w:w="1248"/>
        <w:gridCol w:w="1248"/>
        <w:gridCol w:w="1474"/>
        <w:gridCol w:w="1135"/>
        <w:gridCol w:w="1132"/>
      </w:tblGrid>
      <w:tr w:rsidR="00246EC8" w:rsidRPr="00C65CAA" w:rsidTr="00246EC8">
        <w:trPr>
          <w:trHeight w:val="469"/>
        </w:trPr>
        <w:tc>
          <w:tcPr>
            <w:tcW w:w="1561" w:type="pct"/>
            <w:shd w:val="clear" w:color="auto" w:fill="0070C0"/>
            <w:vAlign w:val="center"/>
          </w:tcPr>
          <w:p w:rsidR="00246EC8" w:rsidRPr="00C65CAA" w:rsidRDefault="00246EC8" w:rsidP="009879BE">
            <w:pPr>
              <w:rPr>
                <w:rFonts w:ascii="Arial Narrow" w:eastAsia="Calibri" w:hAnsi="Arial Narrow"/>
                <w:b/>
                <w:bCs/>
                <w:color w:val="FFFFFF"/>
                <w:sz w:val="20"/>
                <w:szCs w:val="20"/>
                <w:lang w:eastAsia="en-US"/>
              </w:rPr>
            </w:pPr>
            <w:r w:rsidRPr="00C65CAA">
              <w:rPr>
                <w:rFonts w:ascii="Arial Narrow" w:eastAsia="Calibri" w:hAnsi="Arial Narrow"/>
                <w:b/>
                <w:bCs/>
                <w:color w:val="FFFFFF"/>
                <w:sz w:val="20"/>
                <w:szCs w:val="20"/>
                <w:lang w:eastAsia="en-US"/>
              </w:rPr>
              <w:t>Ukazovateľ</w:t>
            </w:r>
          </w:p>
          <w:p w:rsidR="00246EC8" w:rsidRPr="00C65CAA" w:rsidRDefault="00246EC8" w:rsidP="009879BE">
            <w:pPr>
              <w:rPr>
                <w:rFonts w:ascii="Arial Narrow" w:eastAsia="Calibri" w:hAnsi="Arial Narrow"/>
                <w:b/>
                <w:color w:val="FFFFFF"/>
                <w:sz w:val="20"/>
                <w:szCs w:val="20"/>
                <w:lang w:eastAsia="en-US"/>
              </w:rPr>
            </w:pPr>
            <w:r w:rsidRPr="00C65CAA">
              <w:rPr>
                <w:rFonts w:ascii="Arial Narrow" w:eastAsia="Calibri" w:hAnsi="Arial Narrow"/>
                <w:b/>
                <w:bCs/>
                <w:color w:val="FFFFFF"/>
                <w:sz w:val="20"/>
                <w:szCs w:val="20"/>
                <w:lang w:eastAsia="en-US"/>
              </w:rPr>
              <w:t>(v tis. eur)</w:t>
            </w:r>
          </w:p>
        </w:tc>
        <w:tc>
          <w:tcPr>
            <w:tcW w:w="688" w:type="pct"/>
            <w:shd w:val="clear" w:color="auto" w:fill="0070C0"/>
            <w:vAlign w:val="center"/>
          </w:tcPr>
          <w:p w:rsidR="00246EC8" w:rsidRPr="00C65CAA" w:rsidRDefault="00246EC8" w:rsidP="009879BE">
            <w:pPr>
              <w:jc w:val="center"/>
              <w:rPr>
                <w:rFonts w:ascii="Arial Narrow" w:eastAsia="Calibri" w:hAnsi="Arial Narrow"/>
                <w:b/>
                <w:color w:val="FFFFFF"/>
                <w:sz w:val="20"/>
                <w:szCs w:val="20"/>
                <w:lang w:eastAsia="en-US"/>
              </w:rPr>
            </w:pPr>
            <w:r w:rsidRPr="00C65CAA">
              <w:rPr>
                <w:rFonts w:ascii="Arial Narrow" w:eastAsia="Calibri" w:hAnsi="Arial Narrow"/>
                <w:b/>
                <w:color w:val="FFFFFF"/>
                <w:sz w:val="20"/>
                <w:szCs w:val="20"/>
                <w:lang w:eastAsia="en-US"/>
              </w:rPr>
              <w:t>Skutočnosť</w:t>
            </w:r>
          </w:p>
          <w:p w:rsidR="00246EC8" w:rsidRPr="00C65CAA" w:rsidRDefault="00246EC8" w:rsidP="009879BE">
            <w:pPr>
              <w:jc w:val="center"/>
              <w:rPr>
                <w:rFonts w:ascii="Arial Narrow" w:eastAsia="Calibri" w:hAnsi="Arial Narrow"/>
                <w:b/>
                <w:color w:val="FFFFFF"/>
                <w:sz w:val="20"/>
                <w:szCs w:val="20"/>
                <w:lang w:eastAsia="en-US"/>
              </w:rPr>
            </w:pPr>
            <w:r w:rsidRPr="00C65CAA">
              <w:rPr>
                <w:rFonts w:ascii="Arial Narrow" w:eastAsia="Calibri" w:hAnsi="Arial Narrow"/>
                <w:b/>
                <w:color w:val="FFFFFF"/>
                <w:sz w:val="20"/>
                <w:szCs w:val="20"/>
                <w:lang w:eastAsia="en-US"/>
              </w:rPr>
              <w:t>2017</w:t>
            </w:r>
          </w:p>
        </w:tc>
        <w:tc>
          <w:tcPr>
            <w:tcW w:w="688" w:type="pct"/>
            <w:shd w:val="clear" w:color="auto" w:fill="0070C0"/>
          </w:tcPr>
          <w:p w:rsidR="00246EC8" w:rsidRPr="00C65CAA" w:rsidRDefault="00246EC8" w:rsidP="009879BE">
            <w:pPr>
              <w:jc w:val="center"/>
              <w:rPr>
                <w:rFonts w:ascii="Arial Narrow" w:eastAsia="Calibri" w:hAnsi="Arial Narrow"/>
                <w:b/>
                <w:color w:val="FFFFFF"/>
                <w:sz w:val="20"/>
                <w:szCs w:val="20"/>
                <w:lang w:eastAsia="en-US"/>
              </w:rPr>
            </w:pPr>
            <w:r w:rsidRPr="00C65CAA">
              <w:rPr>
                <w:rFonts w:ascii="Arial Narrow" w:eastAsia="Calibri" w:hAnsi="Arial Narrow"/>
                <w:b/>
                <w:color w:val="FFFFFF"/>
                <w:sz w:val="20"/>
                <w:szCs w:val="20"/>
                <w:lang w:eastAsia="en-US"/>
              </w:rPr>
              <w:t>Rozpočet 2018</w:t>
            </w:r>
          </w:p>
        </w:tc>
        <w:tc>
          <w:tcPr>
            <w:tcW w:w="813" w:type="pct"/>
            <w:shd w:val="clear" w:color="auto" w:fill="0070C0"/>
          </w:tcPr>
          <w:p w:rsidR="00246EC8" w:rsidRPr="00C65CAA" w:rsidRDefault="00246EC8" w:rsidP="009879BE">
            <w:pPr>
              <w:jc w:val="center"/>
              <w:rPr>
                <w:rFonts w:ascii="Arial Narrow" w:eastAsia="Calibri" w:hAnsi="Arial Narrow"/>
                <w:b/>
                <w:color w:val="FFFFFF"/>
                <w:sz w:val="20"/>
                <w:szCs w:val="20"/>
                <w:lang w:eastAsia="en-US"/>
              </w:rPr>
            </w:pPr>
            <w:r w:rsidRPr="00C65CAA">
              <w:rPr>
                <w:rFonts w:ascii="Arial Narrow" w:eastAsia="Calibri" w:hAnsi="Arial Narrow"/>
                <w:b/>
                <w:color w:val="FFFFFF"/>
                <w:sz w:val="20"/>
                <w:szCs w:val="20"/>
                <w:lang w:eastAsia="en-US"/>
              </w:rPr>
              <w:t>Návrh rozpočtu 2019</w:t>
            </w:r>
          </w:p>
        </w:tc>
        <w:tc>
          <w:tcPr>
            <w:tcW w:w="626" w:type="pct"/>
            <w:shd w:val="clear" w:color="auto" w:fill="0070C0"/>
            <w:vAlign w:val="center"/>
          </w:tcPr>
          <w:p w:rsidR="00246EC8" w:rsidRPr="00C65CAA" w:rsidRDefault="00246EC8" w:rsidP="009879BE">
            <w:pPr>
              <w:jc w:val="center"/>
              <w:rPr>
                <w:rFonts w:ascii="Arial Narrow" w:eastAsia="Calibri" w:hAnsi="Arial Narrow"/>
                <w:b/>
                <w:color w:val="FFFFFF"/>
                <w:sz w:val="20"/>
                <w:szCs w:val="20"/>
                <w:lang w:eastAsia="en-US"/>
              </w:rPr>
            </w:pPr>
            <w:r w:rsidRPr="00C65CAA">
              <w:rPr>
                <w:rFonts w:ascii="Arial Narrow" w:eastAsia="Calibri" w:hAnsi="Arial Narrow"/>
                <w:b/>
                <w:color w:val="FFFFFF"/>
                <w:sz w:val="20"/>
                <w:szCs w:val="20"/>
                <w:lang w:eastAsia="en-US"/>
              </w:rPr>
              <w:t>Rozdiel</w:t>
            </w:r>
          </w:p>
        </w:tc>
        <w:tc>
          <w:tcPr>
            <w:tcW w:w="624" w:type="pct"/>
            <w:shd w:val="clear" w:color="auto" w:fill="0070C0"/>
            <w:vAlign w:val="center"/>
          </w:tcPr>
          <w:p w:rsidR="00246EC8" w:rsidRPr="00C65CAA" w:rsidRDefault="00246EC8" w:rsidP="009879BE">
            <w:pPr>
              <w:jc w:val="center"/>
              <w:rPr>
                <w:rFonts w:ascii="Arial Narrow" w:eastAsia="Calibri" w:hAnsi="Arial Narrow"/>
                <w:b/>
                <w:color w:val="FFFFFF"/>
                <w:sz w:val="20"/>
                <w:szCs w:val="20"/>
                <w:lang w:eastAsia="en-US"/>
              </w:rPr>
            </w:pPr>
            <w:r w:rsidRPr="00C65CAA">
              <w:rPr>
                <w:rFonts w:ascii="Arial Narrow" w:eastAsia="Calibri" w:hAnsi="Arial Narrow"/>
                <w:b/>
                <w:color w:val="FFFFFF"/>
                <w:sz w:val="20"/>
                <w:szCs w:val="20"/>
                <w:lang w:eastAsia="en-US"/>
              </w:rPr>
              <w:t>Podiel</w:t>
            </w:r>
          </w:p>
          <w:p w:rsidR="00246EC8" w:rsidRPr="00C65CAA" w:rsidRDefault="00246EC8" w:rsidP="009879BE">
            <w:pPr>
              <w:jc w:val="center"/>
              <w:rPr>
                <w:rFonts w:ascii="Arial Narrow" w:eastAsia="Calibri" w:hAnsi="Arial Narrow"/>
                <w:b/>
                <w:color w:val="FFFFFF"/>
                <w:sz w:val="20"/>
                <w:szCs w:val="20"/>
                <w:lang w:eastAsia="en-US"/>
              </w:rPr>
            </w:pPr>
            <w:r w:rsidRPr="00C65CAA">
              <w:rPr>
                <w:rFonts w:ascii="Arial Narrow" w:eastAsia="Calibri" w:hAnsi="Arial Narrow"/>
                <w:b/>
                <w:color w:val="FFFFFF"/>
                <w:sz w:val="20"/>
                <w:szCs w:val="20"/>
                <w:lang w:eastAsia="en-US"/>
              </w:rPr>
              <w:t>(v %)</w:t>
            </w:r>
          </w:p>
        </w:tc>
      </w:tr>
      <w:tr w:rsidR="00246EC8" w:rsidRPr="00C65CAA" w:rsidTr="00246EC8">
        <w:trPr>
          <w:trHeight w:val="170"/>
        </w:trPr>
        <w:tc>
          <w:tcPr>
            <w:tcW w:w="1561" w:type="pct"/>
            <w:tcBorders>
              <w:top w:val="single" w:sz="4" w:space="0" w:color="auto"/>
              <w:left w:val="single" w:sz="4" w:space="0" w:color="auto"/>
              <w:bottom w:val="single" w:sz="4" w:space="0" w:color="auto"/>
              <w:right w:val="single" w:sz="4" w:space="0" w:color="auto"/>
            </w:tcBorders>
            <w:shd w:val="clear" w:color="auto" w:fill="auto"/>
            <w:vAlign w:val="center"/>
          </w:tcPr>
          <w:p w:rsidR="00246EC8" w:rsidRPr="00C65CAA" w:rsidRDefault="00246EC8" w:rsidP="009879BE">
            <w:pPr>
              <w:jc w:val="center"/>
              <w:rPr>
                <w:rFonts w:ascii="Arial Narrow" w:eastAsia="Calibri" w:hAnsi="Arial Narrow"/>
                <w:bCs/>
                <w:color w:val="000000"/>
                <w:sz w:val="18"/>
                <w:szCs w:val="18"/>
                <w:lang w:eastAsia="en-US"/>
              </w:rPr>
            </w:pPr>
            <w:r w:rsidRPr="00C65CAA">
              <w:rPr>
                <w:rFonts w:ascii="Arial Narrow" w:eastAsia="Calibri" w:hAnsi="Arial Narrow"/>
                <w:bCs/>
                <w:color w:val="000000"/>
                <w:sz w:val="18"/>
                <w:szCs w:val="18"/>
                <w:lang w:eastAsia="en-US"/>
              </w:rPr>
              <w:t>a</w:t>
            </w:r>
          </w:p>
        </w:tc>
        <w:tc>
          <w:tcPr>
            <w:tcW w:w="688" w:type="pct"/>
            <w:tcBorders>
              <w:top w:val="single" w:sz="4" w:space="0" w:color="auto"/>
              <w:left w:val="single" w:sz="4" w:space="0" w:color="auto"/>
              <w:bottom w:val="single" w:sz="4" w:space="0" w:color="auto"/>
              <w:right w:val="single" w:sz="4" w:space="0" w:color="auto"/>
            </w:tcBorders>
            <w:shd w:val="clear" w:color="auto" w:fill="auto"/>
          </w:tcPr>
          <w:p w:rsidR="00246EC8" w:rsidRPr="00C65CAA" w:rsidRDefault="00246EC8" w:rsidP="009879BE">
            <w:pPr>
              <w:jc w:val="center"/>
              <w:rPr>
                <w:rFonts w:ascii="Arial Narrow" w:eastAsia="Calibri" w:hAnsi="Arial Narrow"/>
                <w:sz w:val="18"/>
                <w:szCs w:val="18"/>
                <w:lang w:eastAsia="en-US"/>
              </w:rPr>
            </w:pPr>
            <w:r w:rsidRPr="00C65CAA">
              <w:rPr>
                <w:rFonts w:ascii="Arial Narrow" w:eastAsia="Calibri" w:hAnsi="Arial Narrow"/>
                <w:sz w:val="18"/>
                <w:szCs w:val="18"/>
                <w:lang w:eastAsia="en-US"/>
              </w:rPr>
              <w:t>1</w:t>
            </w:r>
          </w:p>
        </w:tc>
        <w:tc>
          <w:tcPr>
            <w:tcW w:w="688" w:type="pct"/>
            <w:tcBorders>
              <w:top w:val="single" w:sz="4" w:space="0" w:color="auto"/>
              <w:left w:val="single" w:sz="4" w:space="0" w:color="auto"/>
              <w:bottom w:val="single" w:sz="4" w:space="0" w:color="auto"/>
              <w:right w:val="single" w:sz="4" w:space="0" w:color="auto"/>
            </w:tcBorders>
          </w:tcPr>
          <w:p w:rsidR="00246EC8" w:rsidRPr="00C65CAA" w:rsidRDefault="00631161" w:rsidP="009879BE">
            <w:pPr>
              <w:jc w:val="center"/>
              <w:rPr>
                <w:rFonts w:ascii="Arial Narrow" w:eastAsia="Calibri" w:hAnsi="Arial Narrow"/>
                <w:sz w:val="18"/>
                <w:szCs w:val="18"/>
                <w:lang w:eastAsia="en-US"/>
              </w:rPr>
            </w:pPr>
            <w:r w:rsidRPr="00C65CAA">
              <w:rPr>
                <w:rFonts w:ascii="Arial Narrow" w:eastAsia="Calibri" w:hAnsi="Arial Narrow"/>
                <w:sz w:val="18"/>
                <w:szCs w:val="18"/>
                <w:lang w:eastAsia="en-US"/>
              </w:rPr>
              <w:t>2</w:t>
            </w:r>
          </w:p>
        </w:tc>
        <w:tc>
          <w:tcPr>
            <w:tcW w:w="813" w:type="pct"/>
            <w:tcBorders>
              <w:top w:val="single" w:sz="4" w:space="0" w:color="auto"/>
              <w:left w:val="single" w:sz="4" w:space="0" w:color="auto"/>
              <w:bottom w:val="single" w:sz="4" w:space="0" w:color="auto"/>
              <w:right w:val="single" w:sz="4" w:space="0" w:color="auto"/>
            </w:tcBorders>
          </w:tcPr>
          <w:p w:rsidR="00246EC8" w:rsidRPr="00C65CAA" w:rsidRDefault="00631161" w:rsidP="009879BE">
            <w:pPr>
              <w:jc w:val="center"/>
              <w:rPr>
                <w:rFonts w:ascii="Arial Narrow" w:eastAsia="Calibri" w:hAnsi="Arial Narrow"/>
                <w:sz w:val="18"/>
                <w:szCs w:val="18"/>
                <w:lang w:eastAsia="en-US"/>
              </w:rPr>
            </w:pPr>
            <w:r w:rsidRPr="00C65CAA">
              <w:rPr>
                <w:rFonts w:ascii="Arial Narrow" w:eastAsia="Calibri" w:hAnsi="Arial Narrow"/>
                <w:sz w:val="18"/>
                <w:szCs w:val="18"/>
                <w:lang w:eastAsia="en-US"/>
              </w:rPr>
              <w:t>3</w:t>
            </w:r>
          </w:p>
        </w:tc>
        <w:tc>
          <w:tcPr>
            <w:tcW w:w="626" w:type="pct"/>
            <w:tcBorders>
              <w:top w:val="single" w:sz="4" w:space="0" w:color="auto"/>
              <w:left w:val="single" w:sz="4" w:space="0" w:color="auto"/>
              <w:bottom w:val="single" w:sz="4" w:space="0" w:color="auto"/>
              <w:right w:val="single" w:sz="4" w:space="0" w:color="auto"/>
            </w:tcBorders>
            <w:shd w:val="clear" w:color="auto" w:fill="auto"/>
          </w:tcPr>
          <w:p w:rsidR="00246EC8" w:rsidRPr="00C65CAA" w:rsidRDefault="00631161" w:rsidP="009879BE">
            <w:pPr>
              <w:jc w:val="center"/>
              <w:rPr>
                <w:rFonts w:ascii="Arial Narrow" w:eastAsia="Calibri" w:hAnsi="Arial Narrow"/>
                <w:sz w:val="18"/>
                <w:szCs w:val="18"/>
                <w:lang w:eastAsia="en-US"/>
              </w:rPr>
            </w:pPr>
            <w:r w:rsidRPr="00C65CAA">
              <w:rPr>
                <w:rFonts w:ascii="Arial Narrow" w:eastAsia="Calibri" w:hAnsi="Arial Narrow"/>
                <w:sz w:val="18"/>
                <w:szCs w:val="18"/>
                <w:lang w:eastAsia="en-US"/>
              </w:rPr>
              <w:t>4=3-2</w:t>
            </w:r>
          </w:p>
        </w:tc>
        <w:tc>
          <w:tcPr>
            <w:tcW w:w="624" w:type="pct"/>
            <w:tcBorders>
              <w:top w:val="single" w:sz="4" w:space="0" w:color="auto"/>
              <w:left w:val="single" w:sz="4" w:space="0" w:color="auto"/>
              <w:bottom w:val="single" w:sz="4" w:space="0" w:color="auto"/>
              <w:right w:val="single" w:sz="4" w:space="0" w:color="auto"/>
            </w:tcBorders>
            <w:shd w:val="clear" w:color="auto" w:fill="auto"/>
          </w:tcPr>
          <w:p w:rsidR="00246EC8" w:rsidRPr="00C65CAA" w:rsidRDefault="00631161" w:rsidP="009879BE">
            <w:pPr>
              <w:jc w:val="center"/>
              <w:rPr>
                <w:rFonts w:ascii="Arial Narrow" w:eastAsia="Calibri" w:hAnsi="Arial Narrow"/>
                <w:sz w:val="18"/>
                <w:szCs w:val="18"/>
                <w:lang w:eastAsia="en-US"/>
              </w:rPr>
            </w:pPr>
            <w:r w:rsidRPr="00C65CAA">
              <w:rPr>
                <w:rFonts w:ascii="Arial Narrow" w:eastAsia="Calibri" w:hAnsi="Arial Narrow"/>
                <w:sz w:val="18"/>
                <w:szCs w:val="18"/>
                <w:lang w:eastAsia="en-US"/>
              </w:rPr>
              <w:t>5=3/2</w:t>
            </w:r>
            <w:r w:rsidR="00246EC8" w:rsidRPr="00C65CAA">
              <w:rPr>
                <w:rFonts w:ascii="Arial Narrow" w:eastAsia="Calibri" w:hAnsi="Arial Narrow"/>
                <w:sz w:val="18"/>
                <w:szCs w:val="18"/>
                <w:lang w:eastAsia="en-US"/>
              </w:rPr>
              <w:t>*100</w:t>
            </w:r>
          </w:p>
        </w:tc>
      </w:tr>
      <w:tr w:rsidR="00246EC8" w:rsidRPr="00C65CAA" w:rsidTr="00246EC8">
        <w:trPr>
          <w:trHeight w:val="170"/>
        </w:trPr>
        <w:tc>
          <w:tcPr>
            <w:tcW w:w="1561" w:type="pct"/>
            <w:tcBorders>
              <w:top w:val="single" w:sz="4" w:space="0" w:color="auto"/>
              <w:left w:val="single" w:sz="4" w:space="0" w:color="auto"/>
              <w:bottom w:val="single" w:sz="4" w:space="0" w:color="auto"/>
              <w:right w:val="single" w:sz="4" w:space="0" w:color="auto"/>
            </w:tcBorders>
            <w:shd w:val="clear" w:color="auto" w:fill="D9D9D9"/>
            <w:vAlign w:val="center"/>
          </w:tcPr>
          <w:p w:rsidR="00246EC8" w:rsidRPr="00C65CAA" w:rsidRDefault="00246EC8" w:rsidP="009879BE">
            <w:pPr>
              <w:rPr>
                <w:rFonts w:ascii="Arial Narrow" w:eastAsia="Calibri" w:hAnsi="Arial Narrow"/>
                <w:sz w:val="20"/>
                <w:szCs w:val="20"/>
                <w:lang w:eastAsia="en-US"/>
              </w:rPr>
            </w:pPr>
            <w:r w:rsidRPr="00C65CAA">
              <w:rPr>
                <w:rFonts w:ascii="Arial Narrow" w:eastAsia="Calibri" w:hAnsi="Arial Narrow"/>
                <w:b/>
                <w:bCs/>
                <w:sz w:val="20"/>
                <w:szCs w:val="20"/>
                <w:lang w:eastAsia="en-US"/>
              </w:rPr>
              <w:t>Granty a transfery spolu</w:t>
            </w:r>
          </w:p>
        </w:tc>
        <w:tc>
          <w:tcPr>
            <w:tcW w:w="688" w:type="pct"/>
            <w:tcBorders>
              <w:top w:val="single" w:sz="4" w:space="0" w:color="auto"/>
              <w:left w:val="single" w:sz="4" w:space="0" w:color="auto"/>
              <w:bottom w:val="single" w:sz="4" w:space="0" w:color="auto"/>
              <w:right w:val="single" w:sz="4" w:space="0" w:color="auto"/>
            </w:tcBorders>
            <w:shd w:val="clear" w:color="auto" w:fill="D9D9D9"/>
            <w:vAlign w:val="center"/>
          </w:tcPr>
          <w:p w:rsidR="00246EC8" w:rsidRPr="00C65CAA" w:rsidRDefault="00246EC8" w:rsidP="009879BE">
            <w:pPr>
              <w:jc w:val="right"/>
              <w:rPr>
                <w:rFonts w:ascii="Arial Narrow" w:eastAsia="Calibri" w:hAnsi="Arial Narrow" w:cs="Arial CE"/>
                <w:b/>
                <w:bCs/>
                <w:sz w:val="20"/>
                <w:szCs w:val="20"/>
              </w:rPr>
            </w:pPr>
            <w:r w:rsidRPr="00C65CAA">
              <w:rPr>
                <w:rFonts w:ascii="Arial Narrow" w:eastAsia="Calibri" w:hAnsi="Arial Narrow" w:cs="Arial CE"/>
                <w:b/>
                <w:bCs/>
                <w:sz w:val="20"/>
                <w:szCs w:val="20"/>
              </w:rPr>
              <w:t>1 476 362</w:t>
            </w:r>
          </w:p>
        </w:tc>
        <w:tc>
          <w:tcPr>
            <w:tcW w:w="688" w:type="pct"/>
            <w:tcBorders>
              <w:top w:val="single" w:sz="4" w:space="0" w:color="auto"/>
              <w:left w:val="single" w:sz="4" w:space="0" w:color="auto"/>
              <w:bottom w:val="single" w:sz="4" w:space="0" w:color="auto"/>
              <w:right w:val="single" w:sz="4" w:space="0" w:color="auto"/>
            </w:tcBorders>
            <w:shd w:val="clear" w:color="auto" w:fill="D9D9D9"/>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1 412 473</w:t>
            </w:r>
          </w:p>
        </w:tc>
        <w:tc>
          <w:tcPr>
            <w:tcW w:w="813" w:type="pct"/>
            <w:tcBorders>
              <w:top w:val="single" w:sz="4" w:space="0" w:color="auto"/>
              <w:left w:val="single" w:sz="4" w:space="0" w:color="auto"/>
              <w:bottom w:val="single" w:sz="4" w:space="0" w:color="auto"/>
              <w:right w:val="single" w:sz="4" w:space="0" w:color="auto"/>
            </w:tcBorders>
            <w:shd w:val="clear" w:color="auto" w:fill="D9D9D9"/>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1 701 752</w:t>
            </w:r>
          </w:p>
        </w:tc>
        <w:tc>
          <w:tcPr>
            <w:tcW w:w="626" w:type="pct"/>
            <w:tcBorders>
              <w:top w:val="single" w:sz="4" w:space="0" w:color="auto"/>
              <w:left w:val="single" w:sz="4" w:space="0" w:color="auto"/>
              <w:bottom w:val="single" w:sz="4" w:space="0" w:color="auto"/>
              <w:right w:val="single" w:sz="4" w:space="0" w:color="auto"/>
            </w:tcBorders>
            <w:shd w:val="clear" w:color="auto" w:fill="D9D9D9"/>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289 279</w:t>
            </w:r>
          </w:p>
        </w:tc>
        <w:tc>
          <w:tcPr>
            <w:tcW w:w="624" w:type="pct"/>
            <w:tcBorders>
              <w:top w:val="single" w:sz="4" w:space="0" w:color="auto"/>
              <w:left w:val="single" w:sz="4" w:space="0" w:color="auto"/>
              <w:bottom w:val="single" w:sz="4" w:space="0" w:color="auto"/>
              <w:right w:val="single" w:sz="4" w:space="0" w:color="auto"/>
            </w:tcBorders>
            <w:shd w:val="clear" w:color="auto" w:fill="D9D9D9"/>
            <w:vAlign w:val="center"/>
          </w:tcPr>
          <w:p w:rsidR="00246EC8" w:rsidRPr="00C65CAA" w:rsidRDefault="00246EC8" w:rsidP="009879BE">
            <w:pPr>
              <w:jc w:val="right"/>
              <w:rPr>
                <w:rFonts w:ascii="Arial Narrow" w:hAnsi="Arial Narrow"/>
                <w:b/>
                <w:bCs/>
                <w:color w:val="000000"/>
                <w:sz w:val="20"/>
                <w:szCs w:val="20"/>
              </w:rPr>
            </w:pPr>
            <w:r w:rsidRPr="00C65CAA">
              <w:rPr>
                <w:rFonts w:ascii="Arial Narrow" w:hAnsi="Arial Narrow"/>
                <w:b/>
                <w:bCs/>
                <w:color w:val="000000"/>
                <w:sz w:val="20"/>
                <w:szCs w:val="20"/>
              </w:rPr>
              <w:t>120,5</w:t>
            </w:r>
          </w:p>
        </w:tc>
      </w:tr>
      <w:tr w:rsidR="00246EC8" w:rsidRPr="00C65CAA" w:rsidTr="00246EC8">
        <w:trPr>
          <w:trHeight w:val="170"/>
        </w:trPr>
        <w:tc>
          <w:tcPr>
            <w:tcW w:w="1561" w:type="pct"/>
            <w:tcBorders>
              <w:top w:val="single" w:sz="4" w:space="0" w:color="auto"/>
              <w:left w:val="single" w:sz="4" w:space="0" w:color="auto"/>
              <w:bottom w:val="single" w:sz="4" w:space="0" w:color="auto"/>
              <w:right w:val="single" w:sz="4" w:space="0" w:color="auto"/>
            </w:tcBorders>
            <w:vAlign w:val="center"/>
          </w:tcPr>
          <w:p w:rsidR="00246EC8" w:rsidRPr="00C65CAA" w:rsidRDefault="00246EC8" w:rsidP="009879BE">
            <w:pPr>
              <w:pStyle w:val="Odsekzoznamu"/>
              <w:numPr>
                <w:ilvl w:val="0"/>
                <w:numId w:val="97"/>
              </w:numPr>
              <w:rPr>
                <w:rFonts w:ascii="Arial Narrow" w:eastAsia="Calibri" w:hAnsi="Arial Narrow"/>
                <w:bCs/>
                <w:sz w:val="20"/>
                <w:szCs w:val="20"/>
                <w:lang w:eastAsia="en-US"/>
              </w:rPr>
            </w:pPr>
            <w:r w:rsidRPr="00C65CAA">
              <w:rPr>
                <w:rFonts w:ascii="Arial Narrow" w:eastAsia="Calibri" w:hAnsi="Arial Narrow"/>
                <w:bCs/>
                <w:sz w:val="20"/>
                <w:szCs w:val="20"/>
                <w:lang w:eastAsia="en-US"/>
              </w:rPr>
              <w:t>Tuzemské granty a transfery</w:t>
            </w:r>
          </w:p>
        </w:tc>
        <w:tc>
          <w:tcPr>
            <w:tcW w:w="688" w:type="pct"/>
            <w:tcBorders>
              <w:top w:val="single" w:sz="4" w:space="0" w:color="auto"/>
              <w:left w:val="single" w:sz="4" w:space="0" w:color="auto"/>
              <w:bottom w:val="single" w:sz="4" w:space="0" w:color="auto"/>
              <w:right w:val="single" w:sz="4" w:space="0" w:color="auto"/>
            </w:tcBorders>
            <w:vAlign w:val="center"/>
          </w:tcPr>
          <w:p w:rsidR="00246EC8" w:rsidRPr="00C65CAA" w:rsidRDefault="00246EC8" w:rsidP="009879BE">
            <w:pPr>
              <w:jc w:val="right"/>
              <w:rPr>
                <w:rFonts w:ascii="Arial Narrow" w:eastAsia="Calibri" w:hAnsi="Arial Narrow" w:cs="Arial CE"/>
                <w:sz w:val="20"/>
                <w:szCs w:val="20"/>
              </w:rPr>
            </w:pPr>
            <w:r w:rsidRPr="00C65CAA">
              <w:rPr>
                <w:rFonts w:ascii="Arial Narrow" w:eastAsia="Calibri" w:hAnsi="Arial Narrow" w:cs="Arial CE"/>
                <w:sz w:val="20"/>
                <w:szCs w:val="20"/>
              </w:rPr>
              <w:t>43 127</w:t>
            </w:r>
          </w:p>
        </w:tc>
        <w:tc>
          <w:tcPr>
            <w:tcW w:w="688" w:type="pct"/>
            <w:tcBorders>
              <w:top w:val="single" w:sz="4" w:space="0" w:color="auto"/>
              <w:left w:val="single" w:sz="4" w:space="0" w:color="auto"/>
              <w:bottom w:val="single" w:sz="4" w:space="0" w:color="auto"/>
              <w:right w:val="single" w:sz="4" w:space="0" w:color="auto"/>
            </w:tcBorders>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34 054</w:t>
            </w:r>
          </w:p>
        </w:tc>
        <w:tc>
          <w:tcPr>
            <w:tcW w:w="813" w:type="pct"/>
            <w:tcBorders>
              <w:top w:val="single" w:sz="4" w:space="0" w:color="auto"/>
              <w:left w:val="single" w:sz="4" w:space="0" w:color="auto"/>
              <w:bottom w:val="single" w:sz="4" w:space="0" w:color="auto"/>
              <w:right w:val="single" w:sz="4" w:space="0" w:color="auto"/>
            </w:tcBorders>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36 711</w:t>
            </w:r>
          </w:p>
        </w:tc>
        <w:tc>
          <w:tcPr>
            <w:tcW w:w="626" w:type="pct"/>
            <w:tcBorders>
              <w:top w:val="single" w:sz="4" w:space="0" w:color="auto"/>
              <w:left w:val="single" w:sz="4" w:space="0" w:color="auto"/>
              <w:bottom w:val="single" w:sz="4" w:space="0" w:color="auto"/>
              <w:right w:val="single" w:sz="4" w:space="0" w:color="auto"/>
            </w:tcBorders>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2 657</w:t>
            </w:r>
          </w:p>
        </w:tc>
        <w:tc>
          <w:tcPr>
            <w:tcW w:w="624" w:type="pct"/>
            <w:tcBorders>
              <w:top w:val="single" w:sz="4" w:space="0" w:color="auto"/>
              <w:left w:val="single" w:sz="4" w:space="0" w:color="auto"/>
              <w:bottom w:val="single" w:sz="4" w:space="0" w:color="auto"/>
              <w:right w:val="single" w:sz="4" w:space="0" w:color="auto"/>
            </w:tcBorders>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107,8</w:t>
            </w:r>
          </w:p>
        </w:tc>
      </w:tr>
      <w:tr w:rsidR="00246EC8" w:rsidRPr="00C65CAA" w:rsidTr="00246EC8">
        <w:trPr>
          <w:trHeight w:val="170"/>
        </w:trPr>
        <w:tc>
          <w:tcPr>
            <w:tcW w:w="1561" w:type="pct"/>
            <w:tcBorders>
              <w:top w:val="single" w:sz="4" w:space="0" w:color="auto"/>
              <w:left w:val="single" w:sz="4" w:space="0" w:color="auto"/>
              <w:bottom w:val="single" w:sz="4" w:space="0" w:color="auto"/>
              <w:right w:val="single" w:sz="4" w:space="0" w:color="auto"/>
            </w:tcBorders>
            <w:vAlign w:val="center"/>
          </w:tcPr>
          <w:p w:rsidR="00246EC8" w:rsidRPr="00C65CAA" w:rsidRDefault="00246EC8" w:rsidP="009879BE">
            <w:pPr>
              <w:pStyle w:val="Odsekzoznamu"/>
              <w:numPr>
                <w:ilvl w:val="0"/>
                <w:numId w:val="97"/>
              </w:numPr>
              <w:rPr>
                <w:rFonts w:ascii="Arial Narrow" w:eastAsia="Calibri" w:hAnsi="Arial Narrow"/>
                <w:bCs/>
                <w:sz w:val="20"/>
                <w:szCs w:val="20"/>
                <w:lang w:eastAsia="en-US"/>
              </w:rPr>
            </w:pPr>
            <w:r w:rsidRPr="00C65CAA">
              <w:rPr>
                <w:rFonts w:ascii="Arial Narrow" w:eastAsia="Calibri" w:hAnsi="Arial Narrow"/>
                <w:bCs/>
                <w:sz w:val="20"/>
                <w:szCs w:val="20"/>
                <w:lang w:eastAsia="en-US"/>
              </w:rPr>
              <w:t>Zahraničné granty a transfery</w:t>
            </w:r>
          </w:p>
        </w:tc>
        <w:tc>
          <w:tcPr>
            <w:tcW w:w="688" w:type="pct"/>
            <w:tcBorders>
              <w:top w:val="single" w:sz="4" w:space="0" w:color="auto"/>
              <w:left w:val="single" w:sz="4" w:space="0" w:color="auto"/>
              <w:bottom w:val="single" w:sz="4" w:space="0" w:color="auto"/>
              <w:right w:val="single" w:sz="4" w:space="0" w:color="auto"/>
            </w:tcBorders>
            <w:vAlign w:val="center"/>
          </w:tcPr>
          <w:p w:rsidR="00246EC8" w:rsidRPr="00C65CAA" w:rsidRDefault="00246EC8" w:rsidP="009879BE">
            <w:pPr>
              <w:jc w:val="right"/>
              <w:rPr>
                <w:rFonts w:ascii="Arial Narrow" w:eastAsia="Calibri" w:hAnsi="Arial Narrow" w:cs="Arial CE"/>
                <w:sz w:val="20"/>
                <w:szCs w:val="20"/>
              </w:rPr>
            </w:pPr>
            <w:r w:rsidRPr="00C65CAA">
              <w:rPr>
                <w:rFonts w:ascii="Arial Narrow" w:eastAsia="Calibri" w:hAnsi="Arial Narrow" w:cs="Arial CE"/>
                <w:sz w:val="20"/>
                <w:szCs w:val="20"/>
              </w:rPr>
              <w:t>1 433 235</w:t>
            </w:r>
          </w:p>
        </w:tc>
        <w:tc>
          <w:tcPr>
            <w:tcW w:w="688" w:type="pct"/>
            <w:tcBorders>
              <w:top w:val="single" w:sz="4" w:space="0" w:color="auto"/>
              <w:left w:val="single" w:sz="4" w:space="0" w:color="auto"/>
              <w:bottom w:val="single" w:sz="4" w:space="0" w:color="auto"/>
              <w:right w:val="single" w:sz="4" w:space="0" w:color="auto"/>
            </w:tcBorders>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1 378 419</w:t>
            </w:r>
          </w:p>
        </w:tc>
        <w:tc>
          <w:tcPr>
            <w:tcW w:w="813" w:type="pct"/>
            <w:tcBorders>
              <w:top w:val="single" w:sz="4" w:space="0" w:color="auto"/>
              <w:left w:val="single" w:sz="4" w:space="0" w:color="auto"/>
              <w:bottom w:val="single" w:sz="4" w:space="0" w:color="auto"/>
              <w:right w:val="single" w:sz="4" w:space="0" w:color="auto"/>
            </w:tcBorders>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1 665 041</w:t>
            </w:r>
          </w:p>
        </w:tc>
        <w:tc>
          <w:tcPr>
            <w:tcW w:w="626" w:type="pct"/>
            <w:tcBorders>
              <w:top w:val="single" w:sz="4" w:space="0" w:color="auto"/>
              <w:left w:val="single" w:sz="4" w:space="0" w:color="auto"/>
              <w:bottom w:val="single" w:sz="4" w:space="0" w:color="auto"/>
              <w:right w:val="single" w:sz="4" w:space="0" w:color="auto"/>
            </w:tcBorders>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286 622</w:t>
            </w:r>
          </w:p>
        </w:tc>
        <w:tc>
          <w:tcPr>
            <w:tcW w:w="624" w:type="pct"/>
            <w:tcBorders>
              <w:top w:val="single" w:sz="4" w:space="0" w:color="auto"/>
              <w:left w:val="single" w:sz="4" w:space="0" w:color="auto"/>
              <w:bottom w:val="single" w:sz="4" w:space="0" w:color="auto"/>
              <w:right w:val="single" w:sz="4" w:space="0" w:color="auto"/>
            </w:tcBorders>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120,8</w:t>
            </w:r>
          </w:p>
        </w:tc>
      </w:tr>
      <w:tr w:rsidR="00246EC8" w:rsidRPr="00C65CAA" w:rsidTr="00246EC8">
        <w:trPr>
          <w:trHeight w:val="170"/>
        </w:trPr>
        <w:tc>
          <w:tcPr>
            <w:tcW w:w="1561" w:type="pct"/>
            <w:tcBorders>
              <w:top w:val="single" w:sz="4" w:space="0" w:color="auto"/>
              <w:left w:val="single" w:sz="4" w:space="0" w:color="auto"/>
              <w:bottom w:val="single" w:sz="4" w:space="0" w:color="auto"/>
              <w:right w:val="single" w:sz="4" w:space="0" w:color="auto"/>
            </w:tcBorders>
            <w:vAlign w:val="center"/>
          </w:tcPr>
          <w:p w:rsidR="00246EC8" w:rsidRPr="00C65CAA" w:rsidRDefault="00246EC8" w:rsidP="009879BE">
            <w:pPr>
              <w:rPr>
                <w:rFonts w:ascii="Arial Narrow" w:eastAsia="Calibri" w:hAnsi="Arial Narrow"/>
                <w:sz w:val="20"/>
                <w:szCs w:val="20"/>
                <w:lang w:eastAsia="en-US"/>
              </w:rPr>
            </w:pPr>
            <w:r w:rsidRPr="00C65CAA">
              <w:rPr>
                <w:rFonts w:ascii="Arial Narrow" w:eastAsia="Calibri" w:hAnsi="Arial Narrow"/>
                <w:sz w:val="20"/>
                <w:szCs w:val="20"/>
                <w:lang w:eastAsia="en-US"/>
              </w:rPr>
              <w:t>Z toho: prostriedky z rozpočtu EÚ</w:t>
            </w:r>
          </w:p>
        </w:tc>
        <w:tc>
          <w:tcPr>
            <w:tcW w:w="688" w:type="pct"/>
            <w:tcBorders>
              <w:top w:val="single" w:sz="4" w:space="0" w:color="auto"/>
              <w:left w:val="single" w:sz="4" w:space="0" w:color="auto"/>
              <w:bottom w:val="single" w:sz="4" w:space="0" w:color="auto"/>
              <w:right w:val="single" w:sz="4" w:space="0" w:color="auto"/>
            </w:tcBorders>
            <w:vAlign w:val="center"/>
          </w:tcPr>
          <w:p w:rsidR="00246EC8" w:rsidRPr="00C65CAA" w:rsidRDefault="00246EC8" w:rsidP="009879BE">
            <w:pPr>
              <w:jc w:val="right"/>
              <w:rPr>
                <w:rFonts w:ascii="Arial Narrow" w:eastAsia="Calibri" w:hAnsi="Arial Narrow" w:cs="Arial CE"/>
                <w:sz w:val="20"/>
                <w:szCs w:val="20"/>
              </w:rPr>
            </w:pPr>
            <w:r w:rsidRPr="00C65CAA">
              <w:rPr>
                <w:rFonts w:ascii="Arial Narrow" w:eastAsia="Calibri" w:hAnsi="Arial Narrow" w:cs="Arial CE"/>
                <w:sz w:val="20"/>
                <w:szCs w:val="20"/>
              </w:rPr>
              <w:t>1 422 498</w:t>
            </w:r>
          </w:p>
        </w:tc>
        <w:tc>
          <w:tcPr>
            <w:tcW w:w="688" w:type="pct"/>
            <w:tcBorders>
              <w:top w:val="single" w:sz="4" w:space="0" w:color="auto"/>
              <w:left w:val="single" w:sz="4" w:space="0" w:color="auto"/>
              <w:bottom w:val="single" w:sz="4" w:space="0" w:color="auto"/>
              <w:right w:val="single" w:sz="4" w:space="0" w:color="auto"/>
            </w:tcBorders>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1 378 419</w:t>
            </w:r>
          </w:p>
        </w:tc>
        <w:tc>
          <w:tcPr>
            <w:tcW w:w="813" w:type="pct"/>
            <w:tcBorders>
              <w:top w:val="single" w:sz="4" w:space="0" w:color="auto"/>
              <w:left w:val="single" w:sz="4" w:space="0" w:color="auto"/>
              <w:bottom w:val="single" w:sz="4" w:space="0" w:color="auto"/>
              <w:right w:val="single" w:sz="4" w:space="0" w:color="auto"/>
            </w:tcBorders>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1 665 041</w:t>
            </w:r>
          </w:p>
        </w:tc>
        <w:tc>
          <w:tcPr>
            <w:tcW w:w="626" w:type="pct"/>
            <w:tcBorders>
              <w:top w:val="single" w:sz="4" w:space="0" w:color="auto"/>
              <w:left w:val="single" w:sz="4" w:space="0" w:color="auto"/>
              <w:bottom w:val="single" w:sz="4" w:space="0" w:color="auto"/>
              <w:right w:val="single" w:sz="4" w:space="0" w:color="auto"/>
            </w:tcBorders>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286 622</w:t>
            </w:r>
          </w:p>
        </w:tc>
        <w:tc>
          <w:tcPr>
            <w:tcW w:w="624" w:type="pct"/>
            <w:tcBorders>
              <w:top w:val="single" w:sz="4" w:space="0" w:color="auto"/>
              <w:left w:val="single" w:sz="4" w:space="0" w:color="auto"/>
              <w:bottom w:val="single" w:sz="4" w:space="0" w:color="auto"/>
              <w:right w:val="single" w:sz="4" w:space="0" w:color="auto"/>
            </w:tcBorders>
            <w:vAlign w:val="center"/>
          </w:tcPr>
          <w:p w:rsidR="00246EC8" w:rsidRPr="00C65CAA" w:rsidRDefault="00246EC8" w:rsidP="009879BE">
            <w:pPr>
              <w:jc w:val="right"/>
              <w:rPr>
                <w:rFonts w:ascii="Arial Narrow" w:hAnsi="Arial Narrow"/>
                <w:color w:val="000000"/>
                <w:sz w:val="20"/>
                <w:szCs w:val="20"/>
              </w:rPr>
            </w:pPr>
            <w:r w:rsidRPr="00C65CAA">
              <w:rPr>
                <w:rFonts w:ascii="Arial Narrow" w:hAnsi="Arial Narrow"/>
                <w:color w:val="000000"/>
                <w:sz w:val="20"/>
                <w:szCs w:val="20"/>
              </w:rPr>
              <w:t>120,8</w:t>
            </w:r>
          </w:p>
        </w:tc>
      </w:tr>
    </w:tbl>
    <w:p w:rsidR="00246EC8" w:rsidRPr="00C65CAA" w:rsidRDefault="00246EC8" w:rsidP="00B366F3">
      <w:pPr>
        <w:pStyle w:val="Zkladntext"/>
        <w:spacing w:after="100"/>
        <w:jc w:val="both"/>
        <w:rPr>
          <w:rFonts w:ascii="Arial Narrow" w:hAnsi="Arial Narrow"/>
          <w:color w:val="000000"/>
          <w:sz w:val="20"/>
        </w:rPr>
      </w:pPr>
      <w:r w:rsidRPr="00C65CAA">
        <w:rPr>
          <w:rFonts w:ascii="Arial Narrow" w:hAnsi="Arial Narrow"/>
          <w:color w:val="000000"/>
          <w:sz w:val="20"/>
        </w:rPr>
        <w:t>Zdroj: ŠZÚ za rok 2017, RVS na roky 2018 až 2020, Návrh RVS na roky 2019 až 2021</w:t>
      </w:r>
    </w:p>
    <w:p w:rsidR="00D23611" w:rsidRPr="00C65CAA" w:rsidRDefault="00D23611" w:rsidP="0009228D">
      <w:pPr>
        <w:spacing w:before="100" w:after="100"/>
        <w:ind w:firstLine="708"/>
        <w:jc w:val="both"/>
        <w:rPr>
          <w:rFonts w:ascii="Arial Narrow" w:hAnsi="Arial Narrow"/>
          <w:sz w:val="22"/>
          <w:szCs w:val="22"/>
        </w:rPr>
      </w:pPr>
      <w:r w:rsidRPr="00C65CAA">
        <w:rPr>
          <w:rFonts w:ascii="Arial Narrow" w:hAnsi="Arial Narrow"/>
          <w:sz w:val="22"/>
          <w:szCs w:val="22"/>
        </w:rPr>
        <w:t>T</w:t>
      </w:r>
      <w:r w:rsidR="00D303AC" w:rsidRPr="00C65CAA">
        <w:rPr>
          <w:rFonts w:ascii="Arial Narrow" w:hAnsi="Arial Narrow"/>
          <w:sz w:val="22"/>
          <w:szCs w:val="22"/>
        </w:rPr>
        <w:t>uzemské transfery sú na rok 2019</w:t>
      </w:r>
      <w:r w:rsidR="000425D5" w:rsidRPr="00C65CAA">
        <w:rPr>
          <w:rFonts w:ascii="Arial Narrow" w:hAnsi="Arial Narrow"/>
          <w:sz w:val="22"/>
          <w:szCs w:val="22"/>
        </w:rPr>
        <w:t xml:space="preserve"> rozpočtované vo výške 36 711</w:t>
      </w:r>
      <w:r w:rsidRPr="00C65CAA">
        <w:rPr>
          <w:rFonts w:ascii="Arial Narrow" w:hAnsi="Arial Narrow"/>
          <w:sz w:val="22"/>
          <w:szCs w:val="22"/>
        </w:rPr>
        <w:t xml:space="preserve"> tis. eur a zahŕňajú najmä príspevky zdravotných poisťovní na činnosť operačných stredísk záchrannej zdravotnej služby a na činnosť Národného cen</w:t>
      </w:r>
      <w:r w:rsidR="0009228D" w:rsidRPr="00C65CAA">
        <w:rPr>
          <w:rFonts w:ascii="Arial Narrow" w:hAnsi="Arial Narrow"/>
          <w:sz w:val="22"/>
          <w:szCs w:val="22"/>
        </w:rPr>
        <w:t>tra zdravotníckych informácií a</w:t>
      </w:r>
      <w:r w:rsidRPr="00C65CAA">
        <w:rPr>
          <w:rFonts w:ascii="Arial Narrow" w:hAnsi="Arial Narrow"/>
          <w:sz w:val="22"/>
          <w:szCs w:val="22"/>
        </w:rPr>
        <w:t xml:space="preserve"> poplatky ostatných subjektov verejnej správy súvisiace s multilicenčnou zmluvou s Microsoft.</w:t>
      </w:r>
    </w:p>
    <w:p w:rsidR="00D23611" w:rsidRPr="00C65CAA" w:rsidRDefault="00D23611" w:rsidP="00256AF8">
      <w:pPr>
        <w:spacing w:before="100" w:after="100"/>
        <w:ind w:firstLine="708"/>
        <w:jc w:val="both"/>
        <w:rPr>
          <w:rFonts w:ascii="Arial Narrow" w:hAnsi="Arial Narrow"/>
          <w:sz w:val="22"/>
          <w:szCs w:val="22"/>
        </w:rPr>
      </w:pPr>
      <w:r w:rsidRPr="00C65CAA">
        <w:rPr>
          <w:rFonts w:ascii="Arial Narrow" w:hAnsi="Arial Narrow"/>
          <w:sz w:val="22"/>
          <w:szCs w:val="22"/>
        </w:rPr>
        <w:lastRenderedPageBreak/>
        <w:t>Zahraničné transfery predstavujú prostriedky zo všeobecného rozpoč</w:t>
      </w:r>
      <w:r w:rsidR="006C51D0" w:rsidRPr="00C65CAA">
        <w:rPr>
          <w:rFonts w:ascii="Arial Narrow" w:hAnsi="Arial Narrow"/>
          <w:sz w:val="22"/>
          <w:szCs w:val="22"/>
        </w:rPr>
        <w:t>tu Európskej únie. V rokoch 2019 až 2021</w:t>
      </w:r>
      <w:r w:rsidRPr="00C65CAA">
        <w:rPr>
          <w:rFonts w:ascii="Arial Narrow" w:hAnsi="Arial Narrow"/>
          <w:sz w:val="22"/>
          <w:szCs w:val="22"/>
        </w:rPr>
        <w:t xml:space="preserve"> sa rozpočtujú prostriedky EÚ pre programy Partnerskej dohody a pre poľnohospodárske fondy v rámci 3. programového obdobia.  </w:t>
      </w:r>
    </w:p>
    <w:p w:rsidR="00D23611" w:rsidRPr="00C65CAA" w:rsidRDefault="00D23611" w:rsidP="00256AF8">
      <w:pPr>
        <w:spacing w:before="100" w:after="100"/>
        <w:ind w:firstLine="708"/>
        <w:jc w:val="both"/>
        <w:rPr>
          <w:rFonts w:ascii="Arial Narrow" w:hAnsi="Arial Narrow"/>
          <w:sz w:val="22"/>
          <w:szCs w:val="22"/>
        </w:rPr>
      </w:pPr>
      <w:r w:rsidRPr="00C65CAA">
        <w:rPr>
          <w:rFonts w:ascii="Arial Narrow" w:hAnsi="Arial Narrow"/>
          <w:sz w:val="22"/>
          <w:szCs w:val="22"/>
        </w:rPr>
        <w:t>Podrobnejšie hodnotenie zahraničných transferov je obsahom stanoviska k finančným vzťahom</w:t>
      </w:r>
      <w:r w:rsidR="0009228D" w:rsidRPr="00C65CAA">
        <w:rPr>
          <w:rFonts w:ascii="Arial Narrow" w:hAnsi="Arial Narrow"/>
          <w:sz w:val="22"/>
          <w:szCs w:val="22"/>
        </w:rPr>
        <w:t>, ktoré</w:t>
      </w:r>
      <w:r w:rsidRPr="00C65CAA">
        <w:rPr>
          <w:rFonts w:ascii="Arial Narrow" w:hAnsi="Arial Narrow"/>
          <w:sz w:val="22"/>
          <w:szCs w:val="22"/>
        </w:rPr>
        <w:t xml:space="preserve"> súvisi</w:t>
      </w:r>
      <w:r w:rsidR="0009228D" w:rsidRPr="00C65CAA">
        <w:rPr>
          <w:rFonts w:ascii="Arial Narrow" w:hAnsi="Arial Narrow"/>
          <w:sz w:val="22"/>
          <w:szCs w:val="22"/>
        </w:rPr>
        <w:t>a</w:t>
      </w:r>
      <w:r w:rsidR="006C51D0" w:rsidRPr="00C65CAA">
        <w:rPr>
          <w:rFonts w:ascii="Arial Narrow" w:hAnsi="Arial Narrow"/>
          <w:sz w:val="22"/>
          <w:szCs w:val="22"/>
        </w:rPr>
        <w:t xml:space="preserve"> s rozpočtom EÚ na rok 2019</w:t>
      </w:r>
      <w:r w:rsidR="0009228D" w:rsidRPr="00C65CAA">
        <w:rPr>
          <w:rFonts w:ascii="Arial Narrow" w:hAnsi="Arial Narrow"/>
          <w:sz w:val="22"/>
          <w:szCs w:val="22"/>
        </w:rPr>
        <w:t>,</w:t>
      </w:r>
      <w:r w:rsidRPr="00C65CAA">
        <w:rPr>
          <w:rFonts w:ascii="Arial Narrow" w:hAnsi="Arial Narrow"/>
          <w:sz w:val="22"/>
          <w:szCs w:val="22"/>
        </w:rPr>
        <w:t xml:space="preserve"> v časti 4.</w:t>
      </w:r>
    </w:p>
    <w:p w:rsidR="00D23611" w:rsidRPr="00C65CAA" w:rsidRDefault="00D23611" w:rsidP="00256AF8">
      <w:pPr>
        <w:spacing w:before="100" w:after="100"/>
        <w:ind w:firstLine="708"/>
        <w:jc w:val="both"/>
        <w:rPr>
          <w:rFonts w:ascii="Arial Narrow" w:hAnsi="Arial Narrow"/>
          <w:sz w:val="22"/>
          <w:szCs w:val="22"/>
        </w:rPr>
      </w:pPr>
      <w:r w:rsidRPr="00C65CAA">
        <w:rPr>
          <w:rFonts w:ascii="Arial Narrow" w:hAnsi="Arial Narrow"/>
          <w:b/>
          <w:sz w:val="22"/>
          <w:szCs w:val="22"/>
        </w:rPr>
        <w:t>Rozpočet výdavkov ŠR</w:t>
      </w:r>
      <w:r w:rsidR="00D33D1A" w:rsidRPr="00C65CAA">
        <w:rPr>
          <w:rFonts w:ascii="Arial Narrow" w:hAnsi="Arial Narrow"/>
          <w:sz w:val="22"/>
          <w:szCs w:val="22"/>
        </w:rPr>
        <w:t xml:space="preserve"> na rok 2019</w:t>
      </w:r>
      <w:r w:rsidRPr="00C65CAA">
        <w:rPr>
          <w:rFonts w:ascii="Arial Narrow" w:hAnsi="Arial Narrow"/>
          <w:sz w:val="22"/>
          <w:szCs w:val="22"/>
        </w:rPr>
        <w:t xml:space="preserve"> sa medziročne z</w:t>
      </w:r>
      <w:r w:rsidR="00D33D1A" w:rsidRPr="00C65CAA">
        <w:rPr>
          <w:rFonts w:ascii="Arial Narrow" w:hAnsi="Arial Narrow"/>
          <w:sz w:val="22"/>
          <w:szCs w:val="22"/>
        </w:rPr>
        <w:t>vyšuje</w:t>
      </w:r>
      <w:r w:rsidRPr="00C65CAA">
        <w:rPr>
          <w:rFonts w:ascii="Arial Narrow" w:hAnsi="Arial Narrow"/>
          <w:sz w:val="22"/>
          <w:szCs w:val="22"/>
        </w:rPr>
        <w:t xml:space="preserve"> o 1</w:t>
      </w:r>
      <w:r w:rsidR="00D33D1A" w:rsidRPr="00C65CAA">
        <w:rPr>
          <w:rFonts w:ascii="Arial Narrow" w:hAnsi="Arial Narrow"/>
          <w:sz w:val="22"/>
          <w:szCs w:val="22"/>
        </w:rPr>
        <w:t> 680 077 tis</w:t>
      </w:r>
      <w:r w:rsidR="008E0327" w:rsidRPr="00C65CAA">
        <w:rPr>
          <w:rFonts w:ascii="Arial Narrow" w:hAnsi="Arial Narrow"/>
          <w:sz w:val="22"/>
          <w:szCs w:val="22"/>
        </w:rPr>
        <w:t>. eur na úroveň 17 635 792 tis. </w:t>
      </w:r>
      <w:r w:rsidR="00D33D1A" w:rsidRPr="00C65CAA">
        <w:rPr>
          <w:rFonts w:ascii="Arial Narrow" w:hAnsi="Arial Narrow"/>
          <w:sz w:val="22"/>
          <w:szCs w:val="22"/>
        </w:rPr>
        <w:t>eur, t. j. o 10</w:t>
      </w:r>
      <w:r w:rsidRPr="00C65CAA">
        <w:rPr>
          <w:rFonts w:ascii="Arial Narrow" w:hAnsi="Arial Narrow"/>
          <w:sz w:val="22"/>
          <w:szCs w:val="22"/>
        </w:rPr>
        <w:t>,5 %.</w:t>
      </w:r>
    </w:p>
    <w:p w:rsidR="00D23611" w:rsidRPr="00C65CAA" w:rsidRDefault="00D33D1A" w:rsidP="00256AF8">
      <w:pPr>
        <w:spacing w:before="100" w:after="100"/>
        <w:ind w:firstLine="708"/>
        <w:jc w:val="both"/>
        <w:rPr>
          <w:rFonts w:ascii="Arial Narrow" w:hAnsi="Arial Narrow"/>
          <w:sz w:val="22"/>
          <w:szCs w:val="22"/>
        </w:rPr>
      </w:pPr>
      <w:r w:rsidRPr="00C65CAA">
        <w:rPr>
          <w:rFonts w:ascii="Arial Narrow" w:hAnsi="Arial Narrow"/>
          <w:sz w:val="22"/>
          <w:szCs w:val="22"/>
        </w:rPr>
        <w:t>Rozpočet na rok 2019</w:t>
      </w:r>
      <w:r w:rsidR="00D23611" w:rsidRPr="00C65CAA">
        <w:rPr>
          <w:rFonts w:ascii="Arial Narrow" w:hAnsi="Arial Narrow"/>
          <w:sz w:val="22"/>
          <w:szCs w:val="22"/>
        </w:rPr>
        <w:t xml:space="preserve"> odráža predpokladaný stav implementácie jednotlivých OP financovaných z prostriedkov EÚ a spolufinancovania zo ŠR, ako aj iných programov zo zahraničia. </w:t>
      </w:r>
    </w:p>
    <w:p w:rsidR="00D23611" w:rsidRPr="00C65CAA" w:rsidRDefault="00D23611" w:rsidP="00256AF8">
      <w:pPr>
        <w:spacing w:before="100" w:after="100"/>
        <w:ind w:firstLine="709"/>
        <w:jc w:val="both"/>
        <w:rPr>
          <w:rFonts w:ascii="Arial Narrow" w:hAnsi="Arial Narrow"/>
          <w:sz w:val="22"/>
          <w:szCs w:val="22"/>
        </w:rPr>
      </w:pPr>
      <w:r w:rsidRPr="00C65CAA">
        <w:rPr>
          <w:rFonts w:ascii="Arial Narrow" w:hAnsi="Arial Narrow"/>
          <w:sz w:val="22"/>
          <w:szCs w:val="22"/>
        </w:rPr>
        <w:t xml:space="preserve">Ďalej </w:t>
      </w:r>
      <w:r w:rsidR="00433714" w:rsidRPr="00C65CAA">
        <w:rPr>
          <w:rFonts w:ascii="Arial Narrow" w:hAnsi="Arial Narrow"/>
          <w:sz w:val="22"/>
          <w:szCs w:val="22"/>
        </w:rPr>
        <w:t xml:space="preserve">sú v rozpočte </w:t>
      </w:r>
      <w:r w:rsidRPr="00C65CAA">
        <w:rPr>
          <w:rFonts w:ascii="Arial Narrow" w:hAnsi="Arial Narrow"/>
          <w:sz w:val="22"/>
          <w:szCs w:val="22"/>
        </w:rPr>
        <w:t>z</w:t>
      </w:r>
      <w:r w:rsidR="00433714" w:rsidRPr="00C65CAA">
        <w:rPr>
          <w:rFonts w:ascii="Arial Narrow" w:hAnsi="Arial Narrow"/>
          <w:sz w:val="22"/>
          <w:szCs w:val="22"/>
        </w:rPr>
        <w:t>abezpečené finančné prostriedky:</w:t>
      </w:r>
    </w:p>
    <w:p w:rsidR="00E5533C" w:rsidRPr="00C65CAA" w:rsidRDefault="00E5533C" w:rsidP="00256AF8">
      <w:pPr>
        <w:numPr>
          <w:ilvl w:val="0"/>
          <w:numId w:val="99"/>
        </w:numPr>
        <w:spacing w:before="100" w:after="100"/>
        <w:contextualSpacing/>
        <w:jc w:val="both"/>
        <w:rPr>
          <w:rFonts w:ascii="Arial Narrow" w:hAnsi="Arial Narrow"/>
          <w:bCs/>
          <w:sz w:val="22"/>
          <w:szCs w:val="22"/>
        </w:rPr>
      </w:pPr>
      <w:r w:rsidRPr="00C65CAA">
        <w:rPr>
          <w:rFonts w:ascii="Arial Narrow" w:hAnsi="Arial Narrow"/>
          <w:bCs/>
          <w:sz w:val="22"/>
          <w:szCs w:val="22"/>
        </w:rPr>
        <w:t>na valorizáciu platov zamestnancov od 1. januára 2019 na úrovni 10 % v zmysle vyhlásenia zástupcov sociálnych partnerov k dohode o kolektívnych zmluvách vyššieho stupňa v štátnej službe a vo verejnej službe na roky 2019 a 2020, vrátane zvýšenia platov štátnych zamestnancov v služo</w:t>
      </w:r>
      <w:r w:rsidR="002A56FA" w:rsidRPr="00C65CAA">
        <w:rPr>
          <w:rFonts w:ascii="Arial Narrow" w:hAnsi="Arial Narrow"/>
          <w:bCs/>
          <w:sz w:val="22"/>
          <w:szCs w:val="22"/>
        </w:rPr>
        <w:t>bnom pomere v sume 375 mil. </w:t>
      </w:r>
      <w:r w:rsidR="0009228D" w:rsidRPr="00C65CAA">
        <w:rPr>
          <w:rFonts w:ascii="Arial Narrow" w:hAnsi="Arial Narrow"/>
          <w:bCs/>
          <w:sz w:val="22"/>
          <w:szCs w:val="22"/>
        </w:rPr>
        <w:t>eur</w:t>
      </w:r>
    </w:p>
    <w:p w:rsidR="00E5533C" w:rsidRPr="00C65CAA" w:rsidRDefault="00E5533C" w:rsidP="00256AF8">
      <w:pPr>
        <w:numPr>
          <w:ilvl w:val="0"/>
          <w:numId w:val="99"/>
        </w:numPr>
        <w:spacing w:before="100" w:after="100"/>
        <w:contextualSpacing/>
        <w:jc w:val="both"/>
        <w:rPr>
          <w:rFonts w:ascii="Arial Narrow" w:hAnsi="Arial Narrow"/>
          <w:bCs/>
          <w:sz w:val="22"/>
          <w:szCs w:val="22"/>
        </w:rPr>
      </w:pPr>
      <w:r w:rsidRPr="00C65CAA">
        <w:rPr>
          <w:rFonts w:ascii="Arial Narrow" w:hAnsi="Arial Narrow"/>
          <w:bCs/>
          <w:sz w:val="22"/>
          <w:szCs w:val="22"/>
        </w:rPr>
        <w:t xml:space="preserve">v sume 125 mil. eur na krytie zákona, ktorým sa mení a dopĺňa zákon č. 553/2003 Z. z. o odmeňovaní niektorých zamestnancov pri výkone práce vo verejnom záujme a o zmene </w:t>
      </w:r>
      <w:r w:rsidR="008E0327" w:rsidRPr="00C65CAA">
        <w:rPr>
          <w:rFonts w:ascii="Arial Narrow" w:hAnsi="Arial Narrow"/>
          <w:bCs/>
          <w:sz w:val="22"/>
          <w:szCs w:val="22"/>
        </w:rPr>
        <w:t>a doplnení niektorých zákonov v </w:t>
      </w:r>
      <w:r w:rsidRPr="00C65CAA">
        <w:rPr>
          <w:rFonts w:ascii="Arial Narrow" w:hAnsi="Arial Narrow"/>
          <w:bCs/>
          <w:sz w:val="22"/>
          <w:szCs w:val="22"/>
        </w:rPr>
        <w:t>znení neskorších predpisov a ktorým sa menia a dopĺňajú niektoré zákony, k prijatiu ktorého sa zaviazala vláda S</w:t>
      </w:r>
      <w:r w:rsidR="00433714" w:rsidRPr="00C65CAA">
        <w:rPr>
          <w:rFonts w:ascii="Arial Narrow" w:hAnsi="Arial Narrow"/>
          <w:bCs/>
          <w:sz w:val="22"/>
          <w:szCs w:val="22"/>
        </w:rPr>
        <w:t xml:space="preserve">R </w:t>
      </w:r>
      <w:r w:rsidRPr="00C65CAA">
        <w:rPr>
          <w:rFonts w:ascii="Arial Narrow" w:hAnsi="Arial Narrow"/>
          <w:bCs/>
          <w:sz w:val="22"/>
          <w:szCs w:val="22"/>
        </w:rPr>
        <w:t>vo svojom Programovo</w:t>
      </w:r>
      <w:r w:rsidR="0009228D" w:rsidRPr="00C65CAA">
        <w:rPr>
          <w:rFonts w:ascii="Arial Narrow" w:hAnsi="Arial Narrow"/>
          <w:bCs/>
          <w:sz w:val="22"/>
          <w:szCs w:val="22"/>
        </w:rPr>
        <w:t>m vyhlásení na roky 2016 – 2020</w:t>
      </w:r>
    </w:p>
    <w:p w:rsidR="00E5533C" w:rsidRPr="00C65CAA" w:rsidRDefault="008E0327" w:rsidP="00256AF8">
      <w:pPr>
        <w:numPr>
          <w:ilvl w:val="0"/>
          <w:numId w:val="99"/>
        </w:numPr>
        <w:spacing w:before="100" w:after="100"/>
        <w:contextualSpacing/>
        <w:jc w:val="both"/>
        <w:rPr>
          <w:rFonts w:ascii="Arial Narrow" w:hAnsi="Arial Narrow"/>
          <w:b/>
          <w:bCs/>
          <w:iCs/>
          <w:sz w:val="22"/>
          <w:szCs w:val="22"/>
        </w:rPr>
      </w:pPr>
      <w:r w:rsidRPr="00C65CAA">
        <w:rPr>
          <w:rFonts w:ascii="Arial Narrow" w:hAnsi="Arial Narrow"/>
          <w:bCs/>
          <w:sz w:val="22"/>
          <w:szCs w:val="22"/>
        </w:rPr>
        <w:t>v sume 10</w:t>
      </w:r>
      <w:r w:rsidR="00E5533C" w:rsidRPr="00C65CAA">
        <w:rPr>
          <w:rFonts w:ascii="Arial Narrow" w:hAnsi="Arial Narrow"/>
          <w:bCs/>
          <w:sz w:val="22"/>
          <w:szCs w:val="22"/>
        </w:rPr>
        <w:t xml:space="preserve"> mil. eur pre pedagogických zamestnancov a odborných zamestnan</w:t>
      </w:r>
      <w:r w:rsidRPr="00C65CAA">
        <w:rPr>
          <w:rFonts w:ascii="Arial Narrow" w:hAnsi="Arial Narrow"/>
          <w:bCs/>
          <w:sz w:val="22"/>
          <w:szCs w:val="22"/>
        </w:rPr>
        <w:t>cov a učiteľov vysokých škôl na </w:t>
      </w:r>
      <w:r w:rsidR="00E5533C" w:rsidRPr="00C65CAA">
        <w:rPr>
          <w:rFonts w:ascii="Arial Narrow" w:hAnsi="Arial Narrow"/>
          <w:bCs/>
          <w:sz w:val="22"/>
          <w:szCs w:val="22"/>
        </w:rPr>
        <w:t>realizáciu zvýhodneného odmeňovania začínajúcich učiteľov od 1. septembra 2019 v súlade s Národným programom rozvoja výchovy a</w:t>
      </w:r>
      <w:r w:rsidR="0009228D" w:rsidRPr="00C65CAA">
        <w:rPr>
          <w:rFonts w:ascii="Arial Narrow" w:hAnsi="Arial Narrow"/>
          <w:bCs/>
          <w:sz w:val="22"/>
          <w:szCs w:val="22"/>
        </w:rPr>
        <w:t> </w:t>
      </w:r>
      <w:r w:rsidR="00E5533C" w:rsidRPr="00C65CAA">
        <w:rPr>
          <w:rFonts w:ascii="Arial Narrow" w:hAnsi="Arial Narrow"/>
          <w:bCs/>
          <w:sz w:val="22"/>
          <w:szCs w:val="22"/>
        </w:rPr>
        <w:t>vzdelávania</w:t>
      </w:r>
      <w:r w:rsidR="0009228D" w:rsidRPr="00C65CAA">
        <w:rPr>
          <w:rFonts w:ascii="Arial Narrow" w:hAnsi="Arial Narrow"/>
          <w:bCs/>
          <w:sz w:val="22"/>
          <w:szCs w:val="22"/>
        </w:rPr>
        <w:t>,</w:t>
      </w:r>
      <w:r w:rsidR="00E5533C" w:rsidRPr="00C65CAA">
        <w:rPr>
          <w:rFonts w:ascii="Arial Narrow" w:hAnsi="Arial Narrow"/>
          <w:bCs/>
          <w:sz w:val="22"/>
          <w:szCs w:val="22"/>
        </w:rPr>
        <w:t xml:space="preserve"> schváleným vládou S</w:t>
      </w:r>
      <w:r w:rsidRPr="00C65CAA">
        <w:rPr>
          <w:rFonts w:ascii="Arial Narrow" w:hAnsi="Arial Narrow"/>
          <w:bCs/>
          <w:sz w:val="22"/>
          <w:szCs w:val="22"/>
        </w:rPr>
        <w:t>R</w:t>
      </w:r>
    </w:p>
    <w:p w:rsidR="008773B2" w:rsidRPr="00C65CAA" w:rsidRDefault="008773B2" w:rsidP="00256AF8">
      <w:pPr>
        <w:numPr>
          <w:ilvl w:val="0"/>
          <w:numId w:val="99"/>
        </w:numPr>
        <w:spacing w:before="100" w:after="100"/>
        <w:jc w:val="both"/>
        <w:rPr>
          <w:rFonts w:ascii="Arial Narrow" w:hAnsi="Arial Narrow"/>
          <w:sz w:val="22"/>
          <w:szCs w:val="22"/>
        </w:rPr>
      </w:pPr>
      <w:r w:rsidRPr="00C65CAA">
        <w:rPr>
          <w:rFonts w:ascii="Arial Narrow" w:hAnsi="Arial Narrow"/>
          <w:sz w:val="22"/>
          <w:szCs w:val="22"/>
        </w:rPr>
        <w:t>iné výdavky, ktorých hodnotenie je uvedené vo vybraných kapitolách ŠR.</w:t>
      </w:r>
    </w:p>
    <w:p w:rsidR="009947D5" w:rsidRPr="00C65CAA" w:rsidRDefault="009947D5" w:rsidP="00256AF8">
      <w:pPr>
        <w:spacing w:before="100" w:after="100"/>
        <w:ind w:firstLine="708"/>
        <w:jc w:val="both"/>
        <w:rPr>
          <w:rFonts w:ascii="Arial Narrow" w:hAnsi="Arial Narrow"/>
          <w:sz w:val="22"/>
          <w:szCs w:val="22"/>
        </w:rPr>
      </w:pPr>
      <w:r w:rsidRPr="00C65CAA">
        <w:rPr>
          <w:rFonts w:ascii="Arial Narrow" w:hAnsi="Arial Narrow"/>
          <w:sz w:val="22"/>
          <w:szCs w:val="22"/>
        </w:rPr>
        <w:t xml:space="preserve">Na krytie nepredvídaných výdavkov nevyhnutných na zabezpečenie rozpočtového hospodárenia alebo na krytie zníženia rozpočtovaných príjmov sa vytvárajú v ŠR </w:t>
      </w:r>
      <w:r w:rsidRPr="00C65CAA">
        <w:rPr>
          <w:rFonts w:ascii="Arial Narrow" w:hAnsi="Arial Narrow"/>
          <w:b/>
          <w:sz w:val="22"/>
          <w:szCs w:val="22"/>
        </w:rPr>
        <w:t>zákonné rozpočtové rezervy</w:t>
      </w:r>
      <w:r w:rsidRPr="00C65CAA">
        <w:rPr>
          <w:rFonts w:ascii="Arial Narrow" w:hAnsi="Arial Narrow"/>
          <w:sz w:val="22"/>
          <w:szCs w:val="22"/>
        </w:rPr>
        <w:t>, ktoré tvorí najmä rozpočtová rezerva vlády, rozpočtová rezerva predsedu vlád</w:t>
      </w:r>
      <w:r w:rsidR="008E0327" w:rsidRPr="00C65CAA">
        <w:rPr>
          <w:rFonts w:ascii="Arial Narrow" w:hAnsi="Arial Narrow"/>
          <w:sz w:val="22"/>
          <w:szCs w:val="22"/>
        </w:rPr>
        <w:t>y a rezerva na prostriedky EÚ a </w:t>
      </w:r>
      <w:r w:rsidRPr="00C65CAA">
        <w:rPr>
          <w:rFonts w:ascii="Arial Narrow" w:hAnsi="Arial Narrow"/>
          <w:sz w:val="22"/>
          <w:szCs w:val="22"/>
        </w:rPr>
        <w:t>odvody EÚ. V návrhu zákona o ŠR sú rozpočtované rezervy ŠR na rok 2019 v celkovej sume 2</w:t>
      </w:r>
      <w:r w:rsidR="008E0327" w:rsidRPr="00C65CAA">
        <w:rPr>
          <w:rFonts w:ascii="Arial Narrow" w:hAnsi="Arial Narrow"/>
          <w:sz w:val="22"/>
          <w:szCs w:val="22"/>
        </w:rPr>
        <w:t>30 266 </w:t>
      </w:r>
      <w:r w:rsidRPr="00C65CAA">
        <w:rPr>
          <w:rFonts w:ascii="Arial Narrow" w:hAnsi="Arial Narrow"/>
          <w:sz w:val="22"/>
          <w:szCs w:val="22"/>
        </w:rPr>
        <w:t>tis. eur; ich rozdelenie je uveden</w:t>
      </w:r>
      <w:r w:rsidR="00116B8F" w:rsidRPr="00C65CAA">
        <w:rPr>
          <w:rFonts w:ascii="Arial Narrow" w:hAnsi="Arial Narrow"/>
          <w:sz w:val="22"/>
          <w:szCs w:val="22"/>
        </w:rPr>
        <w:t>é v prílohe č. 6</w:t>
      </w:r>
      <w:r w:rsidRPr="00C65CAA">
        <w:rPr>
          <w:rFonts w:ascii="Arial Narrow" w:hAnsi="Arial Narrow"/>
          <w:sz w:val="22"/>
          <w:szCs w:val="22"/>
        </w:rPr>
        <w:t xml:space="preserve"> nasledovne:</w:t>
      </w:r>
    </w:p>
    <w:p w:rsidR="009947D5" w:rsidRPr="00C65CAA" w:rsidRDefault="008E0327" w:rsidP="00C8633E">
      <w:pPr>
        <w:pStyle w:val="Bezriadkovania"/>
        <w:rPr>
          <w:rFonts w:ascii="Arial Narrow" w:hAnsi="Arial Narrow"/>
          <w:sz w:val="22"/>
        </w:rPr>
      </w:pPr>
      <w:r w:rsidRPr="00C65CAA">
        <w:rPr>
          <w:rFonts w:ascii="Arial Narrow" w:eastAsia="Times New Roman" w:hAnsi="Arial Narrow" w:cs="Times New Roman"/>
          <w:sz w:val="22"/>
          <w:lang w:eastAsia="sk-SK"/>
        </w:rPr>
        <w:t>Rezerva vlády SR</w:t>
      </w:r>
      <w:r w:rsidRPr="00C65CAA">
        <w:rPr>
          <w:rFonts w:ascii="Arial Narrow" w:eastAsia="Times New Roman" w:hAnsi="Arial Narrow" w:cs="Times New Roman"/>
          <w:sz w:val="22"/>
          <w:lang w:eastAsia="sk-SK"/>
        </w:rPr>
        <w:tab/>
      </w:r>
      <w:r w:rsidRPr="00C65CAA">
        <w:rPr>
          <w:rFonts w:ascii="Arial Narrow" w:eastAsia="Times New Roman" w:hAnsi="Arial Narrow" w:cs="Times New Roman"/>
          <w:sz w:val="22"/>
          <w:lang w:eastAsia="sk-SK"/>
        </w:rPr>
        <w:tab/>
      </w:r>
      <w:r w:rsidRPr="00C65CAA">
        <w:rPr>
          <w:rFonts w:ascii="Arial Narrow" w:eastAsia="Times New Roman" w:hAnsi="Arial Narrow" w:cs="Times New Roman"/>
          <w:sz w:val="22"/>
          <w:lang w:eastAsia="sk-SK"/>
        </w:rPr>
        <w:tab/>
      </w:r>
      <w:r w:rsidRPr="00C65CAA">
        <w:rPr>
          <w:rFonts w:ascii="Arial Narrow" w:eastAsia="Times New Roman" w:hAnsi="Arial Narrow" w:cs="Times New Roman"/>
          <w:sz w:val="22"/>
          <w:lang w:eastAsia="sk-SK"/>
        </w:rPr>
        <w:tab/>
        <w:t>5 000 tis.</w:t>
      </w:r>
      <w:r w:rsidR="009947D5" w:rsidRPr="00C65CAA">
        <w:rPr>
          <w:rFonts w:ascii="Arial Narrow" w:eastAsia="Times New Roman" w:hAnsi="Arial Narrow" w:cs="Times New Roman"/>
          <w:sz w:val="22"/>
          <w:lang w:eastAsia="sk-SK"/>
        </w:rPr>
        <w:t xml:space="preserve"> eur</w:t>
      </w:r>
    </w:p>
    <w:p w:rsidR="009947D5" w:rsidRPr="00C65CAA" w:rsidRDefault="009947D5" w:rsidP="00C8633E">
      <w:pPr>
        <w:pStyle w:val="Bezriadkovania"/>
        <w:rPr>
          <w:rFonts w:ascii="Arial Narrow" w:hAnsi="Arial Narrow"/>
          <w:sz w:val="22"/>
        </w:rPr>
      </w:pPr>
      <w:r w:rsidRPr="00C65CAA">
        <w:rPr>
          <w:rFonts w:ascii="Arial Narrow" w:eastAsia="Times New Roman" w:hAnsi="Arial Narrow" w:cs="Times New Roman"/>
          <w:sz w:val="22"/>
          <w:lang w:eastAsia="sk-SK"/>
        </w:rPr>
        <w:t>Rezerva predsedu vlády SR</w:t>
      </w:r>
      <w:r w:rsidRPr="00C65CAA">
        <w:rPr>
          <w:rFonts w:ascii="Arial Narrow" w:eastAsia="Times New Roman" w:hAnsi="Arial Narrow" w:cs="Times New Roman"/>
          <w:sz w:val="22"/>
          <w:lang w:eastAsia="sk-SK"/>
        </w:rPr>
        <w:tab/>
      </w:r>
      <w:r w:rsidRPr="00C65CAA">
        <w:rPr>
          <w:rFonts w:ascii="Arial Narrow" w:eastAsia="Times New Roman" w:hAnsi="Arial Narrow" w:cs="Times New Roman"/>
          <w:sz w:val="22"/>
          <w:lang w:eastAsia="sk-SK"/>
        </w:rPr>
        <w:tab/>
      </w:r>
      <w:r w:rsidRPr="00C65CAA">
        <w:rPr>
          <w:rFonts w:ascii="Arial Narrow" w:eastAsia="Times New Roman" w:hAnsi="Arial Narrow" w:cs="Times New Roman"/>
          <w:sz w:val="22"/>
          <w:lang w:eastAsia="sk-SK"/>
        </w:rPr>
        <w:tab/>
        <w:t>1 500 tis. eur</w:t>
      </w:r>
    </w:p>
    <w:p w:rsidR="009947D5" w:rsidRPr="00C65CAA" w:rsidRDefault="009947D5" w:rsidP="00C8633E">
      <w:pPr>
        <w:pStyle w:val="Bezriadkovania"/>
        <w:rPr>
          <w:rFonts w:ascii="Arial Narrow" w:eastAsia="Times New Roman" w:hAnsi="Arial Narrow" w:cs="Times New Roman"/>
          <w:sz w:val="22"/>
          <w:lang w:eastAsia="sk-SK"/>
        </w:rPr>
      </w:pPr>
      <w:r w:rsidRPr="00C65CAA">
        <w:rPr>
          <w:rFonts w:ascii="Arial Narrow" w:eastAsia="Times New Roman" w:hAnsi="Arial Narrow" w:cs="Times New Roman"/>
          <w:sz w:val="22"/>
          <w:lang w:eastAsia="sk-SK"/>
        </w:rPr>
        <w:t>Rezerva na prostriedky EÚ a odvody EÚ</w:t>
      </w:r>
      <w:r w:rsidRPr="00C65CAA">
        <w:rPr>
          <w:rFonts w:ascii="Arial Narrow" w:eastAsia="Times New Roman" w:hAnsi="Arial Narrow" w:cs="Times New Roman"/>
          <w:sz w:val="22"/>
          <w:lang w:eastAsia="sk-SK"/>
        </w:rPr>
        <w:tab/>
      </w:r>
      <w:r w:rsidR="008C14C1" w:rsidRPr="00C65CAA">
        <w:rPr>
          <w:rFonts w:ascii="Arial Narrow" w:eastAsia="Times New Roman" w:hAnsi="Arial Narrow" w:cs="Times New Roman"/>
          <w:sz w:val="22"/>
          <w:lang w:eastAsia="sk-SK"/>
        </w:rPr>
        <w:t xml:space="preserve">     </w:t>
      </w:r>
      <w:r w:rsidRPr="00C65CAA">
        <w:rPr>
          <w:rFonts w:ascii="Arial Narrow" w:eastAsia="Times New Roman" w:hAnsi="Arial Narrow" w:cs="Times New Roman"/>
          <w:sz w:val="22"/>
          <w:lang w:eastAsia="sk-SK"/>
        </w:rPr>
        <w:t xml:space="preserve">    223 766 tis. eur</w:t>
      </w:r>
    </w:p>
    <w:p w:rsidR="009947D5" w:rsidRPr="00C65CAA" w:rsidRDefault="009947D5" w:rsidP="00256AF8">
      <w:pPr>
        <w:pStyle w:val="Bezriadkovania"/>
        <w:spacing w:before="100" w:after="100"/>
        <w:rPr>
          <w:rFonts w:ascii="Arial Narrow" w:eastAsia="Times New Roman" w:hAnsi="Arial Narrow" w:cs="Times New Roman"/>
          <w:sz w:val="22"/>
          <w:lang w:eastAsia="sk-SK"/>
        </w:rPr>
      </w:pPr>
      <w:r w:rsidRPr="00C65CAA">
        <w:rPr>
          <w:rFonts w:ascii="Arial Narrow" w:eastAsia="Times New Roman" w:hAnsi="Arial Narrow" w:cs="Times New Roman"/>
          <w:sz w:val="22"/>
          <w:lang w:eastAsia="sk-SK"/>
        </w:rPr>
        <w:tab/>
        <w:t>Rezerva vlády SR a Rezerva na prostriedky EÚ a odvody EÚ sú rozpočtované v kapitole VPS a Rezerva predsedu vlády SR je rozpočtovaná v kapitole Ú</w:t>
      </w:r>
      <w:r w:rsidR="008E0327" w:rsidRPr="00C65CAA">
        <w:rPr>
          <w:rFonts w:ascii="Arial Narrow" w:eastAsia="Times New Roman" w:hAnsi="Arial Narrow" w:cs="Times New Roman"/>
          <w:sz w:val="22"/>
          <w:lang w:eastAsia="sk-SK"/>
        </w:rPr>
        <w:t>V SR</w:t>
      </w:r>
      <w:r w:rsidRPr="00C65CAA">
        <w:rPr>
          <w:rFonts w:ascii="Arial Narrow" w:eastAsia="Times New Roman" w:hAnsi="Arial Narrow" w:cs="Times New Roman"/>
          <w:sz w:val="22"/>
          <w:lang w:eastAsia="sk-SK"/>
        </w:rPr>
        <w:t>.</w:t>
      </w:r>
    </w:p>
    <w:p w:rsidR="009947D5" w:rsidRPr="00C65CAA" w:rsidRDefault="009947D5" w:rsidP="00256AF8">
      <w:pPr>
        <w:pStyle w:val="Bezriadkovania"/>
        <w:spacing w:before="100" w:after="100"/>
        <w:ind w:firstLine="708"/>
        <w:rPr>
          <w:rFonts w:ascii="Arial Narrow" w:eastAsia="Times New Roman" w:hAnsi="Arial Narrow" w:cs="Times New Roman"/>
          <w:sz w:val="22"/>
          <w:lang w:eastAsia="sk-SK"/>
        </w:rPr>
      </w:pPr>
      <w:r w:rsidRPr="00C65CAA">
        <w:rPr>
          <w:rFonts w:ascii="Arial Narrow" w:eastAsia="Times New Roman" w:hAnsi="Arial Narrow" w:cs="Times New Roman"/>
          <w:sz w:val="22"/>
          <w:lang w:eastAsia="sk-SK"/>
        </w:rPr>
        <w:t>Rezervy rozpočtované v kapitole VPS</w:t>
      </w:r>
      <w:r w:rsidR="001D2AD7" w:rsidRPr="00C65CAA">
        <w:rPr>
          <w:rFonts w:ascii="Arial Narrow" w:eastAsia="Times New Roman" w:hAnsi="Arial Narrow" w:cs="Times New Roman"/>
          <w:sz w:val="22"/>
          <w:lang w:eastAsia="sk-SK"/>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1"/>
        <w:gridCol w:w="1133"/>
        <w:gridCol w:w="1133"/>
        <w:gridCol w:w="1280"/>
        <w:gridCol w:w="1137"/>
        <w:gridCol w:w="839"/>
      </w:tblGrid>
      <w:tr w:rsidR="009947D5" w:rsidRPr="00C65CAA" w:rsidTr="00EB59B2">
        <w:trPr>
          <w:trHeight w:val="479"/>
        </w:trPr>
        <w:tc>
          <w:tcPr>
            <w:tcW w:w="1954" w:type="pct"/>
            <w:tcBorders>
              <w:right w:val="single" w:sz="4" w:space="0" w:color="FFFFFF" w:themeColor="background1"/>
            </w:tcBorders>
            <w:shd w:val="clear" w:color="auto" w:fill="0070C0"/>
            <w:noWrap/>
            <w:vAlign w:val="center"/>
          </w:tcPr>
          <w:p w:rsidR="009947D5" w:rsidRPr="00C65CAA" w:rsidRDefault="009947D5" w:rsidP="009879BE">
            <w:pPr>
              <w:rPr>
                <w:rFonts w:ascii="Arial Narrow" w:hAnsi="Arial Narrow"/>
                <w:b/>
                <w:color w:val="FFFFFF" w:themeColor="background1"/>
                <w:sz w:val="20"/>
                <w:szCs w:val="20"/>
              </w:rPr>
            </w:pPr>
            <w:r w:rsidRPr="00C65CAA">
              <w:rPr>
                <w:rFonts w:ascii="Arial Narrow" w:hAnsi="Arial Narrow"/>
                <w:b/>
                <w:color w:val="FFFFFF" w:themeColor="background1"/>
                <w:sz w:val="20"/>
                <w:szCs w:val="20"/>
              </w:rPr>
              <w:t>Rezervy (v eurách)</w:t>
            </w:r>
          </w:p>
        </w:tc>
        <w:tc>
          <w:tcPr>
            <w:tcW w:w="625" w:type="pct"/>
            <w:tcBorders>
              <w:left w:val="single" w:sz="4" w:space="0" w:color="FFFFFF" w:themeColor="background1"/>
              <w:right w:val="single" w:sz="4" w:space="0" w:color="FFFFFF" w:themeColor="background1"/>
            </w:tcBorders>
            <w:shd w:val="clear" w:color="auto" w:fill="0070C0"/>
            <w:vAlign w:val="center"/>
          </w:tcPr>
          <w:p w:rsidR="009947D5" w:rsidRPr="00C65CAA" w:rsidRDefault="009947D5" w:rsidP="009879BE">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Skutočnosť 2017</w:t>
            </w:r>
          </w:p>
        </w:tc>
        <w:tc>
          <w:tcPr>
            <w:tcW w:w="625" w:type="pct"/>
            <w:tcBorders>
              <w:left w:val="single" w:sz="4" w:space="0" w:color="FFFFFF" w:themeColor="background1"/>
              <w:right w:val="single" w:sz="4" w:space="0" w:color="FFFFFF" w:themeColor="background1"/>
            </w:tcBorders>
            <w:shd w:val="clear" w:color="auto" w:fill="0070C0"/>
            <w:vAlign w:val="center"/>
          </w:tcPr>
          <w:p w:rsidR="009947D5" w:rsidRPr="00C65CAA" w:rsidRDefault="009947D5" w:rsidP="009879BE">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Rozpočet 2018</w:t>
            </w:r>
          </w:p>
        </w:tc>
        <w:tc>
          <w:tcPr>
            <w:tcW w:w="706" w:type="pct"/>
            <w:tcBorders>
              <w:left w:val="single" w:sz="4" w:space="0" w:color="FFFFFF" w:themeColor="background1"/>
              <w:right w:val="single" w:sz="4" w:space="0" w:color="FFFFFF" w:themeColor="background1"/>
            </w:tcBorders>
            <w:shd w:val="clear" w:color="auto" w:fill="0070C0"/>
            <w:noWrap/>
            <w:vAlign w:val="center"/>
          </w:tcPr>
          <w:p w:rsidR="009947D5" w:rsidRPr="00C65CAA" w:rsidRDefault="009947D5" w:rsidP="009879BE">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Návrh rozpočtu 2019</w:t>
            </w:r>
          </w:p>
        </w:tc>
        <w:tc>
          <w:tcPr>
            <w:tcW w:w="627" w:type="pct"/>
            <w:tcBorders>
              <w:left w:val="single" w:sz="4" w:space="0" w:color="FFFFFF" w:themeColor="background1"/>
              <w:right w:val="single" w:sz="4" w:space="0" w:color="FFFFFF" w:themeColor="background1"/>
            </w:tcBorders>
            <w:shd w:val="clear" w:color="auto" w:fill="0070C0"/>
            <w:vAlign w:val="center"/>
          </w:tcPr>
          <w:p w:rsidR="009947D5" w:rsidRPr="00C65CAA" w:rsidRDefault="009947D5" w:rsidP="009879BE">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Rozdiel</w:t>
            </w:r>
          </w:p>
        </w:tc>
        <w:tc>
          <w:tcPr>
            <w:tcW w:w="463" w:type="pct"/>
            <w:tcBorders>
              <w:left w:val="single" w:sz="4" w:space="0" w:color="FFFFFF" w:themeColor="background1"/>
            </w:tcBorders>
            <w:shd w:val="clear" w:color="auto" w:fill="0070C0"/>
            <w:vAlign w:val="center"/>
          </w:tcPr>
          <w:p w:rsidR="009947D5" w:rsidRPr="00C65CAA" w:rsidRDefault="009947D5" w:rsidP="009879BE">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Podiel</w:t>
            </w:r>
          </w:p>
        </w:tc>
      </w:tr>
      <w:tr w:rsidR="00631161" w:rsidRPr="00C65CAA" w:rsidTr="00631161">
        <w:trPr>
          <w:trHeight w:val="20"/>
        </w:trPr>
        <w:tc>
          <w:tcPr>
            <w:tcW w:w="1954" w:type="pct"/>
            <w:shd w:val="clear" w:color="auto" w:fill="auto"/>
            <w:vAlign w:val="center"/>
          </w:tcPr>
          <w:p w:rsidR="00631161" w:rsidRPr="00C65CAA" w:rsidRDefault="00631161" w:rsidP="009879BE">
            <w:pPr>
              <w:jc w:val="center"/>
              <w:rPr>
                <w:rFonts w:ascii="Arial Narrow" w:hAnsi="Arial Narrow"/>
                <w:color w:val="000000"/>
                <w:sz w:val="20"/>
                <w:szCs w:val="20"/>
              </w:rPr>
            </w:pPr>
            <w:r w:rsidRPr="00C65CAA">
              <w:rPr>
                <w:rFonts w:ascii="Arial Narrow" w:eastAsia="Calibri" w:hAnsi="Arial Narrow"/>
                <w:bCs/>
                <w:color w:val="000000"/>
                <w:sz w:val="18"/>
                <w:szCs w:val="18"/>
                <w:lang w:eastAsia="en-US"/>
              </w:rPr>
              <w:t>a</w:t>
            </w:r>
          </w:p>
        </w:tc>
        <w:tc>
          <w:tcPr>
            <w:tcW w:w="625" w:type="pct"/>
            <w:shd w:val="clear" w:color="auto" w:fill="auto"/>
          </w:tcPr>
          <w:p w:rsidR="00631161" w:rsidRPr="00C65CAA" w:rsidRDefault="00631161" w:rsidP="009879BE">
            <w:pPr>
              <w:jc w:val="center"/>
              <w:rPr>
                <w:rFonts w:ascii="Arial Narrow" w:hAnsi="Arial Narrow"/>
                <w:color w:val="000000"/>
                <w:sz w:val="20"/>
                <w:szCs w:val="20"/>
              </w:rPr>
            </w:pPr>
            <w:r w:rsidRPr="00C65CAA">
              <w:rPr>
                <w:rFonts w:ascii="Arial Narrow" w:eastAsia="Calibri" w:hAnsi="Arial Narrow"/>
                <w:sz w:val="18"/>
                <w:szCs w:val="18"/>
                <w:lang w:eastAsia="en-US"/>
              </w:rPr>
              <w:t>1</w:t>
            </w:r>
          </w:p>
        </w:tc>
        <w:tc>
          <w:tcPr>
            <w:tcW w:w="625" w:type="pct"/>
            <w:shd w:val="clear" w:color="auto" w:fill="auto"/>
          </w:tcPr>
          <w:p w:rsidR="00631161" w:rsidRPr="00C65CAA" w:rsidRDefault="00631161" w:rsidP="009879BE">
            <w:pPr>
              <w:jc w:val="center"/>
              <w:rPr>
                <w:rFonts w:ascii="Arial Narrow" w:hAnsi="Arial Narrow"/>
                <w:color w:val="000000"/>
                <w:sz w:val="20"/>
                <w:szCs w:val="20"/>
              </w:rPr>
            </w:pPr>
            <w:r w:rsidRPr="00C65CAA">
              <w:rPr>
                <w:rFonts w:ascii="Arial Narrow" w:eastAsia="Calibri" w:hAnsi="Arial Narrow"/>
                <w:sz w:val="18"/>
                <w:szCs w:val="18"/>
                <w:lang w:eastAsia="en-US"/>
              </w:rPr>
              <w:t>2</w:t>
            </w:r>
          </w:p>
        </w:tc>
        <w:tc>
          <w:tcPr>
            <w:tcW w:w="706" w:type="pct"/>
            <w:shd w:val="clear" w:color="auto" w:fill="auto"/>
            <w:noWrap/>
          </w:tcPr>
          <w:p w:rsidR="00631161" w:rsidRPr="00C65CAA" w:rsidRDefault="00631161" w:rsidP="009879BE">
            <w:pPr>
              <w:jc w:val="center"/>
              <w:rPr>
                <w:rFonts w:ascii="Arial Narrow" w:hAnsi="Arial Narrow"/>
                <w:color w:val="000000"/>
                <w:sz w:val="20"/>
                <w:szCs w:val="20"/>
              </w:rPr>
            </w:pPr>
            <w:r w:rsidRPr="00C65CAA">
              <w:rPr>
                <w:rFonts w:ascii="Arial Narrow" w:eastAsia="Calibri" w:hAnsi="Arial Narrow"/>
                <w:sz w:val="18"/>
                <w:szCs w:val="18"/>
                <w:lang w:eastAsia="en-US"/>
              </w:rPr>
              <w:t>3</w:t>
            </w:r>
          </w:p>
        </w:tc>
        <w:tc>
          <w:tcPr>
            <w:tcW w:w="627" w:type="pct"/>
            <w:shd w:val="clear" w:color="auto" w:fill="auto"/>
          </w:tcPr>
          <w:p w:rsidR="00631161" w:rsidRPr="00C65CAA" w:rsidRDefault="00631161" w:rsidP="009879BE">
            <w:pPr>
              <w:jc w:val="center"/>
              <w:rPr>
                <w:rFonts w:ascii="Arial Narrow" w:hAnsi="Arial Narrow"/>
                <w:color w:val="000000"/>
                <w:sz w:val="20"/>
                <w:szCs w:val="20"/>
              </w:rPr>
            </w:pPr>
            <w:r w:rsidRPr="00C65CAA">
              <w:rPr>
                <w:rFonts w:ascii="Arial Narrow" w:eastAsia="Calibri" w:hAnsi="Arial Narrow"/>
                <w:sz w:val="18"/>
                <w:szCs w:val="18"/>
                <w:lang w:eastAsia="en-US"/>
              </w:rPr>
              <w:t>4=3-2</w:t>
            </w:r>
          </w:p>
        </w:tc>
        <w:tc>
          <w:tcPr>
            <w:tcW w:w="463" w:type="pct"/>
            <w:shd w:val="clear" w:color="auto" w:fill="auto"/>
          </w:tcPr>
          <w:p w:rsidR="00631161" w:rsidRPr="00C65CAA" w:rsidRDefault="00631161" w:rsidP="009879BE">
            <w:pPr>
              <w:jc w:val="center"/>
              <w:rPr>
                <w:rFonts w:ascii="Arial Narrow" w:hAnsi="Arial Narrow"/>
                <w:color w:val="000000"/>
                <w:sz w:val="20"/>
                <w:szCs w:val="20"/>
              </w:rPr>
            </w:pPr>
            <w:r w:rsidRPr="00C65CAA">
              <w:rPr>
                <w:rFonts w:ascii="Arial Narrow" w:eastAsia="Calibri" w:hAnsi="Arial Narrow"/>
                <w:sz w:val="18"/>
                <w:szCs w:val="18"/>
                <w:lang w:eastAsia="en-US"/>
              </w:rPr>
              <w:t>5=3/2*100</w:t>
            </w:r>
          </w:p>
        </w:tc>
      </w:tr>
      <w:tr w:rsidR="00631161" w:rsidRPr="00C65CAA" w:rsidTr="00EB59B2">
        <w:trPr>
          <w:trHeight w:val="20"/>
        </w:trPr>
        <w:tc>
          <w:tcPr>
            <w:tcW w:w="1954" w:type="pct"/>
            <w:shd w:val="clear" w:color="auto" w:fill="auto"/>
            <w:vAlign w:val="center"/>
            <w:hideMark/>
          </w:tcPr>
          <w:p w:rsidR="00631161" w:rsidRPr="00C65CAA" w:rsidRDefault="00631161" w:rsidP="009879BE">
            <w:pPr>
              <w:rPr>
                <w:rFonts w:ascii="Arial Narrow" w:hAnsi="Arial Narrow"/>
                <w:color w:val="000000"/>
                <w:sz w:val="20"/>
                <w:szCs w:val="20"/>
              </w:rPr>
            </w:pPr>
            <w:r w:rsidRPr="00C65CAA">
              <w:rPr>
                <w:rFonts w:ascii="Arial Narrow" w:hAnsi="Arial Narrow"/>
                <w:color w:val="000000"/>
                <w:sz w:val="20"/>
                <w:szCs w:val="20"/>
              </w:rPr>
              <w:t>Rezerva vlády</w:t>
            </w:r>
          </w:p>
        </w:tc>
        <w:tc>
          <w:tcPr>
            <w:tcW w:w="625" w:type="pct"/>
            <w:shd w:val="clear" w:color="auto" w:fill="auto"/>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2 186 292</w:t>
            </w:r>
          </w:p>
        </w:tc>
        <w:tc>
          <w:tcPr>
            <w:tcW w:w="625" w:type="pct"/>
            <w:shd w:val="clear" w:color="auto" w:fill="auto"/>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5 000 000</w:t>
            </w:r>
          </w:p>
        </w:tc>
        <w:tc>
          <w:tcPr>
            <w:tcW w:w="706" w:type="pct"/>
            <w:shd w:val="clear" w:color="auto" w:fill="auto"/>
            <w:noWrap/>
            <w:vAlign w:val="center"/>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5 000 000</w:t>
            </w:r>
          </w:p>
        </w:tc>
        <w:tc>
          <w:tcPr>
            <w:tcW w:w="627" w:type="pct"/>
            <w:shd w:val="clear" w:color="auto" w:fill="auto"/>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0</w:t>
            </w:r>
          </w:p>
        </w:tc>
        <w:tc>
          <w:tcPr>
            <w:tcW w:w="463" w:type="pct"/>
            <w:shd w:val="clear" w:color="auto" w:fill="auto"/>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100,0</w:t>
            </w:r>
          </w:p>
        </w:tc>
      </w:tr>
      <w:tr w:rsidR="00631161" w:rsidRPr="00C65CAA" w:rsidTr="00EB59B2">
        <w:trPr>
          <w:trHeight w:val="20"/>
        </w:trPr>
        <w:tc>
          <w:tcPr>
            <w:tcW w:w="1954" w:type="pct"/>
            <w:shd w:val="clear" w:color="auto" w:fill="auto"/>
            <w:vAlign w:val="center"/>
            <w:hideMark/>
          </w:tcPr>
          <w:p w:rsidR="00631161" w:rsidRPr="00C65CAA" w:rsidRDefault="00631161" w:rsidP="009879BE">
            <w:pPr>
              <w:rPr>
                <w:rFonts w:ascii="Arial Narrow" w:hAnsi="Arial Narrow"/>
                <w:color w:val="000000"/>
                <w:sz w:val="20"/>
                <w:szCs w:val="20"/>
              </w:rPr>
            </w:pPr>
            <w:r w:rsidRPr="00C65CAA">
              <w:rPr>
                <w:rFonts w:ascii="Arial Narrow" w:hAnsi="Arial Narrow"/>
                <w:color w:val="000000"/>
                <w:sz w:val="20"/>
                <w:szCs w:val="20"/>
              </w:rPr>
              <w:t>Rezerva na realizáciu súdnych a exekučných rozhodnutí  a na výdavky  súvisiace s vrátenými príjmami z minulých rokov</w:t>
            </w:r>
          </w:p>
        </w:tc>
        <w:tc>
          <w:tcPr>
            <w:tcW w:w="625" w:type="pct"/>
            <w:shd w:val="clear" w:color="auto" w:fill="auto"/>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1 939 858</w:t>
            </w:r>
          </w:p>
        </w:tc>
        <w:tc>
          <w:tcPr>
            <w:tcW w:w="625" w:type="pct"/>
            <w:shd w:val="clear" w:color="auto" w:fill="auto"/>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10 000 000</w:t>
            </w:r>
          </w:p>
        </w:tc>
        <w:tc>
          <w:tcPr>
            <w:tcW w:w="706" w:type="pct"/>
            <w:shd w:val="clear" w:color="auto" w:fill="auto"/>
            <w:noWrap/>
            <w:vAlign w:val="center"/>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10 000 000</w:t>
            </w:r>
          </w:p>
        </w:tc>
        <w:tc>
          <w:tcPr>
            <w:tcW w:w="627" w:type="pct"/>
            <w:shd w:val="clear" w:color="auto" w:fill="auto"/>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0</w:t>
            </w:r>
          </w:p>
        </w:tc>
        <w:tc>
          <w:tcPr>
            <w:tcW w:w="463" w:type="pct"/>
            <w:shd w:val="clear" w:color="auto" w:fill="auto"/>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100,0</w:t>
            </w:r>
          </w:p>
        </w:tc>
      </w:tr>
      <w:tr w:rsidR="00631161" w:rsidRPr="00C65CAA" w:rsidTr="00EB59B2">
        <w:trPr>
          <w:trHeight w:val="20"/>
        </w:trPr>
        <w:tc>
          <w:tcPr>
            <w:tcW w:w="1954" w:type="pct"/>
            <w:shd w:val="clear" w:color="auto" w:fill="auto"/>
            <w:vAlign w:val="center"/>
            <w:hideMark/>
          </w:tcPr>
          <w:p w:rsidR="00631161" w:rsidRPr="00C65CAA" w:rsidRDefault="00631161" w:rsidP="009879BE">
            <w:pPr>
              <w:rPr>
                <w:rFonts w:ascii="Arial Narrow" w:hAnsi="Arial Narrow"/>
                <w:color w:val="000000"/>
                <w:sz w:val="20"/>
                <w:szCs w:val="20"/>
              </w:rPr>
            </w:pPr>
            <w:r w:rsidRPr="00C65CAA">
              <w:rPr>
                <w:rFonts w:ascii="Arial Narrow" w:hAnsi="Arial Narrow"/>
                <w:color w:val="000000"/>
                <w:sz w:val="20"/>
                <w:szCs w:val="20"/>
              </w:rPr>
              <w:t>Rezerva na riešenie vplyvov nových zákonných úprav a iných vplyvov</w:t>
            </w:r>
          </w:p>
        </w:tc>
        <w:tc>
          <w:tcPr>
            <w:tcW w:w="625" w:type="pct"/>
            <w:shd w:val="clear" w:color="auto" w:fill="auto"/>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0</w:t>
            </w:r>
          </w:p>
        </w:tc>
        <w:tc>
          <w:tcPr>
            <w:tcW w:w="625" w:type="pct"/>
            <w:shd w:val="clear" w:color="auto" w:fill="auto"/>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106 653 330</w:t>
            </w:r>
          </w:p>
        </w:tc>
        <w:tc>
          <w:tcPr>
            <w:tcW w:w="706" w:type="pct"/>
            <w:shd w:val="clear" w:color="auto" w:fill="auto"/>
            <w:noWrap/>
            <w:vAlign w:val="center"/>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400 000 000</w:t>
            </w:r>
          </w:p>
        </w:tc>
        <w:tc>
          <w:tcPr>
            <w:tcW w:w="627" w:type="pct"/>
            <w:shd w:val="clear" w:color="auto" w:fill="auto"/>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293 346 670</w:t>
            </w:r>
          </w:p>
        </w:tc>
        <w:tc>
          <w:tcPr>
            <w:tcW w:w="463" w:type="pct"/>
            <w:shd w:val="clear" w:color="auto" w:fill="auto"/>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375,0</w:t>
            </w:r>
          </w:p>
        </w:tc>
      </w:tr>
      <w:tr w:rsidR="00631161" w:rsidRPr="00C65CAA" w:rsidTr="00EB59B2">
        <w:trPr>
          <w:trHeight w:val="20"/>
        </w:trPr>
        <w:tc>
          <w:tcPr>
            <w:tcW w:w="1954" w:type="pct"/>
            <w:shd w:val="clear" w:color="auto" w:fill="auto"/>
            <w:vAlign w:val="center"/>
            <w:hideMark/>
          </w:tcPr>
          <w:p w:rsidR="00631161" w:rsidRPr="00C65CAA" w:rsidRDefault="00631161" w:rsidP="009879BE">
            <w:pPr>
              <w:rPr>
                <w:rFonts w:ascii="Arial Narrow" w:hAnsi="Arial Narrow"/>
                <w:color w:val="000000"/>
                <w:sz w:val="20"/>
                <w:szCs w:val="20"/>
              </w:rPr>
            </w:pPr>
            <w:r w:rsidRPr="00C65CAA">
              <w:rPr>
                <w:rFonts w:ascii="Arial Narrow" w:hAnsi="Arial Narrow"/>
                <w:color w:val="000000"/>
                <w:sz w:val="20"/>
                <w:szCs w:val="20"/>
              </w:rPr>
              <w:t xml:space="preserve">Rezerva na riešenie krízových situácií </w:t>
            </w:r>
          </w:p>
        </w:tc>
        <w:tc>
          <w:tcPr>
            <w:tcW w:w="625" w:type="pct"/>
            <w:shd w:val="clear" w:color="auto" w:fill="auto"/>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339 369</w:t>
            </w:r>
          </w:p>
        </w:tc>
        <w:tc>
          <w:tcPr>
            <w:tcW w:w="625" w:type="pct"/>
            <w:shd w:val="clear" w:color="auto" w:fill="auto"/>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11 000 000</w:t>
            </w:r>
          </w:p>
        </w:tc>
        <w:tc>
          <w:tcPr>
            <w:tcW w:w="706" w:type="pct"/>
            <w:shd w:val="clear" w:color="auto" w:fill="auto"/>
            <w:noWrap/>
            <w:vAlign w:val="center"/>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11 000 000</w:t>
            </w:r>
          </w:p>
        </w:tc>
        <w:tc>
          <w:tcPr>
            <w:tcW w:w="627" w:type="pct"/>
            <w:shd w:val="clear" w:color="auto" w:fill="auto"/>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0</w:t>
            </w:r>
          </w:p>
        </w:tc>
        <w:tc>
          <w:tcPr>
            <w:tcW w:w="463" w:type="pct"/>
            <w:shd w:val="clear" w:color="auto" w:fill="auto"/>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100,0</w:t>
            </w:r>
          </w:p>
        </w:tc>
      </w:tr>
      <w:tr w:rsidR="00631161" w:rsidRPr="00C65CAA" w:rsidTr="00EB59B2">
        <w:trPr>
          <w:trHeight w:val="20"/>
        </w:trPr>
        <w:tc>
          <w:tcPr>
            <w:tcW w:w="1954" w:type="pct"/>
            <w:shd w:val="clear" w:color="auto" w:fill="auto"/>
            <w:vAlign w:val="center"/>
            <w:hideMark/>
          </w:tcPr>
          <w:p w:rsidR="00631161" w:rsidRPr="00C65CAA" w:rsidRDefault="00631161" w:rsidP="009879BE">
            <w:pPr>
              <w:rPr>
                <w:rFonts w:ascii="Arial Narrow" w:hAnsi="Arial Narrow"/>
                <w:color w:val="000000"/>
                <w:sz w:val="20"/>
                <w:szCs w:val="20"/>
              </w:rPr>
            </w:pPr>
            <w:r w:rsidRPr="00C65CAA">
              <w:rPr>
                <w:rFonts w:ascii="Arial Narrow" w:hAnsi="Arial Narrow"/>
                <w:color w:val="000000"/>
                <w:sz w:val="20"/>
                <w:szCs w:val="20"/>
              </w:rPr>
              <w:t>Rezerva na mzdy a poistné</w:t>
            </w:r>
          </w:p>
        </w:tc>
        <w:tc>
          <w:tcPr>
            <w:tcW w:w="625" w:type="pct"/>
            <w:shd w:val="clear" w:color="auto" w:fill="auto"/>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0</w:t>
            </w:r>
          </w:p>
        </w:tc>
        <w:tc>
          <w:tcPr>
            <w:tcW w:w="625" w:type="pct"/>
            <w:shd w:val="clear" w:color="auto" w:fill="auto"/>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167 770 747</w:t>
            </w:r>
          </w:p>
        </w:tc>
        <w:tc>
          <w:tcPr>
            <w:tcW w:w="706" w:type="pct"/>
            <w:shd w:val="clear" w:color="auto" w:fill="auto"/>
            <w:noWrap/>
            <w:vAlign w:val="center"/>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592 228 348</w:t>
            </w:r>
          </w:p>
        </w:tc>
        <w:tc>
          <w:tcPr>
            <w:tcW w:w="627" w:type="pct"/>
            <w:shd w:val="clear" w:color="auto" w:fill="auto"/>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424 457 601</w:t>
            </w:r>
          </w:p>
        </w:tc>
        <w:tc>
          <w:tcPr>
            <w:tcW w:w="463" w:type="pct"/>
            <w:shd w:val="clear" w:color="auto" w:fill="auto"/>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353,0</w:t>
            </w:r>
          </w:p>
        </w:tc>
      </w:tr>
      <w:tr w:rsidR="00631161" w:rsidRPr="00C65CAA" w:rsidTr="00EB59B2">
        <w:trPr>
          <w:trHeight w:val="20"/>
        </w:trPr>
        <w:tc>
          <w:tcPr>
            <w:tcW w:w="1954" w:type="pct"/>
            <w:shd w:val="clear" w:color="auto" w:fill="auto"/>
            <w:vAlign w:val="center"/>
            <w:hideMark/>
          </w:tcPr>
          <w:p w:rsidR="00631161" w:rsidRPr="00C65CAA" w:rsidRDefault="00631161" w:rsidP="009879BE">
            <w:pPr>
              <w:rPr>
                <w:rFonts w:ascii="Arial Narrow" w:hAnsi="Arial Narrow"/>
                <w:color w:val="000000"/>
                <w:sz w:val="20"/>
                <w:szCs w:val="20"/>
              </w:rPr>
            </w:pPr>
            <w:r w:rsidRPr="00C65CAA">
              <w:rPr>
                <w:rFonts w:ascii="Arial Narrow" w:hAnsi="Arial Narrow"/>
                <w:color w:val="000000"/>
                <w:sz w:val="20"/>
                <w:szCs w:val="20"/>
              </w:rPr>
              <w:t>Rezerva na významné investície</w:t>
            </w:r>
          </w:p>
        </w:tc>
        <w:tc>
          <w:tcPr>
            <w:tcW w:w="625" w:type="pct"/>
            <w:shd w:val="clear" w:color="auto" w:fill="auto"/>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0</w:t>
            </w:r>
          </w:p>
        </w:tc>
        <w:tc>
          <w:tcPr>
            <w:tcW w:w="625" w:type="pct"/>
            <w:shd w:val="clear" w:color="auto" w:fill="auto"/>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158 442 677</w:t>
            </w:r>
          </w:p>
        </w:tc>
        <w:tc>
          <w:tcPr>
            <w:tcW w:w="706" w:type="pct"/>
            <w:shd w:val="clear" w:color="auto" w:fill="auto"/>
            <w:noWrap/>
            <w:vAlign w:val="center"/>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0</w:t>
            </w:r>
          </w:p>
        </w:tc>
        <w:tc>
          <w:tcPr>
            <w:tcW w:w="627" w:type="pct"/>
            <w:shd w:val="clear" w:color="auto" w:fill="auto"/>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-158 442 677</w:t>
            </w:r>
          </w:p>
        </w:tc>
        <w:tc>
          <w:tcPr>
            <w:tcW w:w="463" w:type="pct"/>
            <w:shd w:val="clear" w:color="auto" w:fill="auto"/>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0,0</w:t>
            </w:r>
          </w:p>
        </w:tc>
      </w:tr>
      <w:tr w:rsidR="00631161" w:rsidRPr="00C65CAA" w:rsidTr="00EB59B2">
        <w:trPr>
          <w:trHeight w:val="20"/>
        </w:trPr>
        <w:tc>
          <w:tcPr>
            <w:tcW w:w="1954" w:type="pct"/>
            <w:shd w:val="clear" w:color="auto" w:fill="auto"/>
            <w:vAlign w:val="center"/>
            <w:hideMark/>
          </w:tcPr>
          <w:p w:rsidR="00631161" w:rsidRPr="00C65CAA" w:rsidRDefault="00631161" w:rsidP="009879BE">
            <w:pPr>
              <w:rPr>
                <w:rFonts w:ascii="Arial Narrow" w:hAnsi="Arial Narrow"/>
                <w:color w:val="000000"/>
                <w:sz w:val="20"/>
                <w:szCs w:val="20"/>
              </w:rPr>
            </w:pPr>
            <w:r w:rsidRPr="00C65CAA">
              <w:rPr>
                <w:rFonts w:ascii="Arial Narrow" w:hAnsi="Arial Narrow"/>
                <w:color w:val="000000"/>
                <w:sz w:val="20"/>
                <w:szCs w:val="20"/>
              </w:rPr>
              <w:t>Rezerva na rok 2019</w:t>
            </w:r>
          </w:p>
        </w:tc>
        <w:tc>
          <w:tcPr>
            <w:tcW w:w="625" w:type="pct"/>
            <w:shd w:val="clear" w:color="auto" w:fill="auto"/>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0</w:t>
            </w:r>
          </w:p>
        </w:tc>
        <w:tc>
          <w:tcPr>
            <w:tcW w:w="625" w:type="pct"/>
            <w:shd w:val="clear" w:color="auto" w:fill="auto"/>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0</w:t>
            </w:r>
          </w:p>
        </w:tc>
        <w:tc>
          <w:tcPr>
            <w:tcW w:w="706" w:type="pct"/>
            <w:shd w:val="clear" w:color="auto" w:fill="auto"/>
            <w:noWrap/>
            <w:vAlign w:val="center"/>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150 000 000</w:t>
            </w:r>
          </w:p>
        </w:tc>
        <w:tc>
          <w:tcPr>
            <w:tcW w:w="627" w:type="pct"/>
            <w:shd w:val="clear" w:color="auto" w:fill="auto"/>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150 000 000</w:t>
            </w:r>
          </w:p>
        </w:tc>
        <w:tc>
          <w:tcPr>
            <w:tcW w:w="463" w:type="pct"/>
            <w:shd w:val="clear" w:color="auto" w:fill="auto"/>
            <w:vAlign w:val="center"/>
            <w:hideMark/>
          </w:tcPr>
          <w:p w:rsidR="00631161" w:rsidRPr="00C65CAA" w:rsidRDefault="00631161" w:rsidP="009879BE">
            <w:pPr>
              <w:jc w:val="center"/>
              <w:rPr>
                <w:rFonts w:ascii="Arial Narrow" w:hAnsi="Arial Narrow"/>
                <w:color w:val="000000"/>
                <w:sz w:val="20"/>
                <w:szCs w:val="20"/>
              </w:rPr>
            </w:pPr>
            <w:r w:rsidRPr="00C65CAA">
              <w:rPr>
                <w:rFonts w:ascii="Arial Narrow" w:hAnsi="Arial Narrow"/>
                <w:color w:val="000000"/>
                <w:sz w:val="20"/>
                <w:szCs w:val="20"/>
              </w:rPr>
              <w:t>-</w:t>
            </w:r>
          </w:p>
        </w:tc>
      </w:tr>
      <w:tr w:rsidR="00631161" w:rsidRPr="00C65CAA" w:rsidTr="00EB59B2">
        <w:trPr>
          <w:trHeight w:val="20"/>
        </w:trPr>
        <w:tc>
          <w:tcPr>
            <w:tcW w:w="1954" w:type="pct"/>
            <w:shd w:val="clear" w:color="auto" w:fill="auto"/>
            <w:vAlign w:val="center"/>
            <w:hideMark/>
          </w:tcPr>
          <w:p w:rsidR="00631161" w:rsidRPr="00C65CAA" w:rsidRDefault="00631161" w:rsidP="009879BE">
            <w:pPr>
              <w:rPr>
                <w:rFonts w:ascii="Arial Narrow" w:hAnsi="Arial Narrow"/>
                <w:color w:val="000000"/>
                <w:sz w:val="20"/>
                <w:szCs w:val="20"/>
              </w:rPr>
            </w:pPr>
            <w:r w:rsidRPr="00C65CAA">
              <w:rPr>
                <w:rFonts w:ascii="Arial Narrow" w:hAnsi="Arial Narrow"/>
                <w:color w:val="000000"/>
                <w:sz w:val="20"/>
                <w:szCs w:val="20"/>
              </w:rPr>
              <w:t>Rezerva na zhoršenie daňových a nedaňových príjmov</w:t>
            </w:r>
          </w:p>
        </w:tc>
        <w:tc>
          <w:tcPr>
            <w:tcW w:w="625" w:type="pct"/>
            <w:shd w:val="clear" w:color="auto" w:fill="auto"/>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0</w:t>
            </w:r>
          </w:p>
        </w:tc>
        <w:tc>
          <w:tcPr>
            <w:tcW w:w="625" w:type="pct"/>
            <w:shd w:val="clear" w:color="auto" w:fill="auto"/>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140 000 000</w:t>
            </w:r>
          </w:p>
        </w:tc>
        <w:tc>
          <w:tcPr>
            <w:tcW w:w="706" w:type="pct"/>
            <w:shd w:val="clear" w:color="auto" w:fill="auto"/>
            <w:noWrap/>
            <w:vAlign w:val="center"/>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0</w:t>
            </w:r>
          </w:p>
        </w:tc>
        <w:tc>
          <w:tcPr>
            <w:tcW w:w="627" w:type="pct"/>
            <w:shd w:val="clear" w:color="auto" w:fill="auto"/>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-140 000 000</w:t>
            </w:r>
          </w:p>
        </w:tc>
        <w:tc>
          <w:tcPr>
            <w:tcW w:w="463" w:type="pct"/>
            <w:shd w:val="clear" w:color="auto" w:fill="auto"/>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0,0</w:t>
            </w:r>
          </w:p>
        </w:tc>
      </w:tr>
      <w:tr w:rsidR="00631161" w:rsidRPr="00C65CAA" w:rsidTr="00EB59B2">
        <w:trPr>
          <w:trHeight w:val="20"/>
        </w:trPr>
        <w:tc>
          <w:tcPr>
            <w:tcW w:w="1954" w:type="pct"/>
            <w:shd w:val="clear" w:color="auto" w:fill="BFBFBF" w:themeFill="background1" w:themeFillShade="BF"/>
            <w:noWrap/>
            <w:vAlign w:val="center"/>
            <w:hideMark/>
          </w:tcPr>
          <w:p w:rsidR="00631161" w:rsidRPr="00C65CAA" w:rsidRDefault="00631161" w:rsidP="009879BE">
            <w:pPr>
              <w:rPr>
                <w:rFonts w:ascii="Arial Narrow" w:hAnsi="Arial Narrow"/>
                <w:color w:val="000000"/>
                <w:sz w:val="20"/>
                <w:szCs w:val="20"/>
              </w:rPr>
            </w:pPr>
            <w:r w:rsidRPr="00C65CAA">
              <w:rPr>
                <w:rFonts w:ascii="Arial Narrow" w:hAnsi="Arial Narrow"/>
                <w:color w:val="000000"/>
                <w:sz w:val="20"/>
                <w:szCs w:val="20"/>
              </w:rPr>
              <w:t>Rezervy</w:t>
            </w:r>
          </w:p>
        </w:tc>
        <w:tc>
          <w:tcPr>
            <w:tcW w:w="625" w:type="pct"/>
            <w:shd w:val="clear" w:color="auto" w:fill="BFBFBF" w:themeFill="background1" w:themeFillShade="BF"/>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4 465 519</w:t>
            </w:r>
          </w:p>
        </w:tc>
        <w:tc>
          <w:tcPr>
            <w:tcW w:w="625" w:type="pct"/>
            <w:shd w:val="clear" w:color="auto" w:fill="BFBFBF" w:themeFill="background1" w:themeFillShade="BF"/>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598 866 754</w:t>
            </w:r>
          </w:p>
        </w:tc>
        <w:tc>
          <w:tcPr>
            <w:tcW w:w="706" w:type="pct"/>
            <w:shd w:val="clear" w:color="auto" w:fill="BFBFBF" w:themeFill="background1" w:themeFillShade="BF"/>
            <w:noWrap/>
            <w:vAlign w:val="center"/>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1 168 228 348</w:t>
            </w:r>
          </w:p>
        </w:tc>
        <w:tc>
          <w:tcPr>
            <w:tcW w:w="627" w:type="pct"/>
            <w:shd w:val="clear" w:color="auto" w:fill="BFBFBF" w:themeFill="background1" w:themeFillShade="BF"/>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569 361 594</w:t>
            </w:r>
          </w:p>
        </w:tc>
        <w:tc>
          <w:tcPr>
            <w:tcW w:w="463" w:type="pct"/>
            <w:shd w:val="clear" w:color="auto" w:fill="BFBFBF" w:themeFill="background1" w:themeFillShade="BF"/>
            <w:vAlign w:val="center"/>
            <w:hideMark/>
          </w:tcPr>
          <w:p w:rsidR="00631161" w:rsidRPr="00C65CAA" w:rsidRDefault="00631161" w:rsidP="009879BE">
            <w:pPr>
              <w:jc w:val="right"/>
              <w:rPr>
                <w:rFonts w:ascii="Arial Narrow" w:hAnsi="Arial Narrow"/>
                <w:color w:val="000000"/>
                <w:sz w:val="20"/>
                <w:szCs w:val="20"/>
              </w:rPr>
            </w:pPr>
            <w:r w:rsidRPr="00C65CAA">
              <w:rPr>
                <w:rFonts w:ascii="Arial Narrow" w:hAnsi="Arial Narrow"/>
                <w:color w:val="000000"/>
                <w:sz w:val="20"/>
                <w:szCs w:val="20"/>
              </w:rPr>
              <w:t>195,1</w:t>
            </w:r>
          </w:p>
        </w:tc>
      </w:tr>
    </w:tbl>
    <w:p w:rsidR="009947D5" w:rsidRPr="00C65CAA" w:rsidRDefault="009947D5" w:rsidP="00C8633E">
      <w:pPr>
        <w:pStyle w:val="Bezriadkovania"/>
        <w:spacing w:after="100"/>
        <w:rPr>
          <w:rFonts w:ascii="Arial Narrow" w:eastAsia="Times New Roman" w:hAnsi="Arial Narrow" w:cs="Times New Roman"/>
          <w:sz w:val="20"/>
          <w:szCs w:val="20"/>
          <w:lang w:eastAsia="sk-SK"/>
        </w:rPr>
      </w:pPr>
      <w:r w:rsidRPr="00C65CAA">
        <w:rPr>
          <w:rFonts w:ascii="Arial Narrow" w:eastAsia="Times New Roman" w:hAnsi="Arial Narrow" w:cs="Times New Roman"/>
          <w:sz w:val="20"/>
          <w:szCs w:val="20"/>
          <w:lang w:eastAsia="sk-SK"/>
        </w:rPr>
        <w:t>Zdroj: Návrh RVS na roky 2019 až 2021</w:t>
      </w:r>
    </w:p>
    <w:p w:rsidR="009947D5" w:rsidRPr="00C65CAA" w:rsidRDefault="009947D5" w:rsidP="00256AF8">
      <w:pPr>
        <w:pStyle w:val="Bezriadkovania"/>
        <w:spacing w:before="100" w:after="100"/>
        <w:ind w:firstLine="708"/>
        <w:rPr>
          <w:rFonts w:ascii="Arial Narrow" w:hAnsi="Arial Narrow"/>
          <w:sz w:val="22"/>
        </w:rPr>
      </w:pPr>
      <w:r w:rsidRPr="00C65CAA">
        <w:rPr>
          <w:rFonts w:ascii="Arial Narrow" w:hAnsi="Arial Narrow"/>
          <w:sz w:val="22"/>
        </w:rPr>
        <w:t xml:space="preserve">Vzhľadom na skutočnosť, že v čase prípravy rozpočtu verejnej správy nebola známa definitívna legislatívna podoba viacerých opatrení, rozpočtuje sa v kapitole VPS </w:t>
      </w:r>
      <w:r w:rsidRPr="00C65CAA">
        <w:rPr>
          <w:rFonts w:ascii="Arial Narrow" w:hAnsi="Arial Narrow"/>
          <w:b/>
          <w:sz w:val="22"/>
        </w:rPr>
        <w:t xml:space="preserve">Rezerva na riešenie vplyvov nových </w:t>
      </w:r>
      <w:r w:rsidRPr="00C65CAA">
        <w:rPr>
          <w:rFonts w:ascii="Arial Narrow" w:hAnsi="Arial Narrow"/>
          <w:b/>
          <w:sz w:val="22"/>
        </w:rPr>
        <w:lastRenderedPageBreak/>
        <w:t xml:space="preserve">zákonných úprav a iných vplyvov </w:t>
      </w:r>
      <w:r w:rsidRPr="00C65CAA">
        <w:rPr>
          <w:rFonts w:ascii="Arial Narrow" w:hAnsi="Arial Narrow"/>
          <w:sz w:val="22"/>
        </w:rPr>
        <w:t>v objeme 400 mil. eur. Účelom tejto rezervy je kryť vplyvy vyplývajúce najmä z titulu zavedenia bezplatného stravovania na školách a rekreačných šekov. Ďalej sa v rámci tejto rezervy uvažuje s krytím zvýšeného vianočného príspevku, zvýšeného daňového bonusu a zníženej sadzby DPH na ubytovanie.</w:t>
      </w:r>
    </w:p>
    <w:p w:rsidR="009947D5" w:rsidRPr="00C65CAA" w:rsidRDefault="009947D5" w:rsidP="00256AF8">
      <w:pPr>
        <w:pStyle w:val="Bezriadkovania"/>
        <w:spacing w:before="100" w:after="100"/>
        <w:ind w:firstLine="708"/>
        <w:rPr>
          <w:rFonts w:ascii="Arial Narrow" w:hAnsi="Arial Narrow"/>
          <w:sz w:val="22"/>
        </w:rPr>
      </w:pPr>
      <w:r w:rsidRPr="00C65CAA">
        <w:rPr>
          <w:rFonts w:ascii="Arial Narrow" w:hAnsi="Arial Narrow"/>
          <w:b/>
          <w:sz w:val="22"/>
        </w:rPr>
        <w:t>Bezplatné stravovanie</w:t>
      </w:r>
      <w:r w:rsidRPr="00C65CAA">
        <w:rPr>
          <w:rFonts w:ascii="Arial Narrow" w:hAnsi="Arial Narrow"/>
          <w:sz w:val="22"/>
        </w:rPr>
        <w:t xml:space="preserve"> sa navrhuje v rámci zmeny a doplneni</w:t>
      </w:r>
      <w:r w:rsidR="00AA0A1F" w:rsidRPr="00C65CAA">
        <w:rPr>
          <w:rFonts w:ascii="Arial Narrow" w:hAnsi="Arial Narrow"/>
          <w:sz w:val="22"/>
        </w:rPr>
        <w:t xml:space="preserve">a zákona </w:t>
      </w:r>
      <w:r w:rsidRPr="00C65CAA">
        <w:rPr>
          <w:rFonts w:ascii="Arial Narrow" w:hAnsi="Arial Narrow"/>
          <w:sz w:val="22"/>
        </w:rPr>
        <w:t>č. 544/2010 Z. z. o dotáciách v pôsobnosti Ministerstva práce, sociálnych vecí a rodiny SR</w:t>
      </w:r>
      <w:r w:rsidR="0009228D" w:rsidRPr="00C65CAA">
        <w:rPr>
          <w:rFonts w:ascii="Arial Narrow" w:hAnsi="Arial Narrow"/>
          <w:sz w:val="22"/>
        </w:rPr>
        <w:t>,</w:t>
      </w:r>
      <w:r w:rsidRPr="00C65CAA">
        <w:rPr>
          <w:rFonts w:ascii="Arial Narrow" w:hAnsi="Arial Narrow"/>
          <w:sz w:val="22"/>
        </w:rPr>
        <w:t xml:space="preserve"> v znení neskorších predpisov. Navrhuje sa poskytovať dotáciu na podporu výchovy k stravovacím návykom dieťaťa všetkým deťom navštevujúcim posledný ročník vzdelávacieho programu odboru vzdelávania materskej školy a všetkým deťom plniacim si povinnú školskú dochádzku na základných školách. V </w:t>
      </w:r>
      <w:r w:rsidRPr="00C65CAA">
        <w:rPr>
          <w:rFonts w:ascii="Arial Narrow" w:hAnsi="Arial Narrow"/>
          <w:sz w:val="22"/>
          <w:lang w:bidi="sk-SK"/>
        </w:rPr>
        <w:t>doložke vybraných vplyvov je síce označený negatívny vplyv na rozpočet VS, ale nie sú uvedené žiadne kvantifikácie.</w:t>
      </w:r>
    </w:p>
    <w:p w:rsidR="009947D5" w:rsidRPr="00C65CAA" w:rsidRDefault="009947D5" w:rsidP="00256AF8">
      <w:pPr>
        <w:pStyle w:val="Bezriadkovania"/>
        <w:spacing w:before="100" w:after="100"/>
        <w:ind w:firstLine="708"/>
        <w:rPr>
          <w:rFonts w:ascii="Arial Narrow" w:hAnsi="Arial Narrow"/>
          <w:color w:val="000000"/>
          <w:sz w:val="22"/>
          <w:lang w:eastAsia="sk-SK" w:bidi="sk-SK"/>
        </w:rPr>
      </w:pPr>
      <w:r w:rsidRPr="00C65CAA">
        <w:rPr>
          <w:rFonts w:ascii="Arial Narrow" w:hAnsi="Arial Narrow"/>
          <w:b/>
          <w:sz w:val="22"/>
        </w:rPr>
        <w:t xml:space="preserve">Rekreačné šeky </w:t>
      </w:r>
      <w:r w:rsidRPr="00C65CAA">
        <w:rPr>
          <w:rFonts w:ascii="Arial Narrow" w:hAnsi="Arial Narrow"/>
          <w:sz w:val="22"/>
        </w:rPr>
        <w:t>sa</w:t>
      </w:r>
      <w:r w:rsidR="00AA0A1F" w:rsidRPr="00C65CAA">
        <w:rPr>
          <w:rFonts w:ascii="Arial Narrow" w:hAnsi="Arial Narrow"/>
          <w:sz w:val="22"/>
        </w:rPr>
        <w:t xml:space="preserve"> navrhujú v rámci doplnenia zákona</w:t>
      </w:r>
      <w:r w:rsidRPr="00C65CAA">
        <w:rPr>
          <w:rFonts w:ascii="Arial Narrow" w:hAnsi="Arial Narrow"/>
          <w:sz w:val="22"/>
        </w:rPr>
        <w:t xml:space="preserve"> č. 91/2010 Z. z. o podpore cestovného ruchu v znení neskorších predpisov a ktorým sa menia a dopĺňajú niektoré zákony. Cieľom návrhu zákona je podpora domáceho cestovného ruchu prostredníctvom zavedenia nových nástrojov financovania rozvoja cestovného ruchu. Medzi navrhované nástroje financovania cestovného ruchu patria rekreačný poukaz, podpora rozvoja cykloturistiky a poskytovanie investičnej pomoci pre oblasť cestovného ruchu. V </w:t>
      </w:r>
      <w:r w:rsidRPr="00C65CAA">
        <w:rPr>
          <w:rFonts w:ascii="Arial Narrow" w:hAnsi="Arial Narrow"/>
          <w:color w:val="000000"/>
          <w:sz w:val="22"/>
          <w:lang w:eastAsia="sk-SK" w:bidi="sk-SK"/>
        </w:rPr>
        <w:t xml:space="preserve">doložke vybraných vplyvov sú síce uvedené pozitívne a negatívne vplyvy na rozpočet VS, ale kvantifikácia týchto vplyvov nie je uvedená. </w:t>
      </w:r>
    </w:p>
    <w:p w:rsidR="009947D5" w:rsidRPr="00C65CAA" w:rsidRDefault="009947D5" w:rsidP="00256AF8">
      <w:pPr>
        <w:pStyle w:val="Bezriadkovania"/>
        <w:spacing w:before="100" w:after="100"/>
        <w:ind w:firstLine="708"/>
        <w:rPr>
          <w:rFonts w:ascii="Arial Narrow" w:hAnsi="Arial Narrow"/>
          <w:b/>
          <w:sz w:val="22"/>
        </w:rPr>
      </w:pPr>
      <w:r w:rsidRPr="00C65CAA">
        <w:rPr>
          <w:rFonts w:ascii="Arial Narrow" w:hAnsi="Arial Narrow"/>
          <w:b/>
          <w:color w:val="000000"/>
          <w:sz w:val="22"/>
          <w:lang w:eastAsia="sk-SK" w:bidi="sk-SK"/>
        </w:rPr>
        <w:t xml:space="preserve">NKÚ SR hodnotí tieto opatrenia síce ako legitímne, ale bez uvedenia finančných dopadov, čo nie je v súlade so zákonom o rozpočtových pravidlách verejnej správy a o zmene a doplnení niektorých zákonov v znení neskorších predpisov. </w:t>
      </w:r>
    </w:p>
    <w:p w:rsidR="00910607" w:rsidRPr="00C65CAA" w:rsidRDefault="00910607" w:rsidP="00256AF8">
      <w:pPr>
        <w:spacing w:before="100" w:after="100"/>
        <w:ind w:firstLine="709"/>
        <w:jc w:val="both"/>
        <w:rPr>
          <w:rFonts w:ascii="Arial Narrow" w:hAnsi="Arial Narrow"/>
          <w:sz w:val="22"/>
          <w:szCs w:val="22"/>
          <w:lang w:eastAsia="cs-CZ"/>
        </w:rPr>
      </w:pPr>
      <w:r w:rsidRPr="00C65CAA">
        <w:rPr>
          <w:rFonts w:ascii="Arial Narrow" w:hAnsi="Arial Narrow"/>
          <w:b/>
          <w:sz w:val="22"/>
          <w:szCs w:val="22"/>
        </w:rPr>
        <w:t>Rezerva na významné investície</w:t>
      </w:r>
      <w:r w:rsidRPr="00C65CAA">
        <w:rPr>
          <w:rFonts w:ascii="Arial Narrow" w:hAnsi="Arial Narrow"/>
          <w:sz w:val="22"/>
          <w:szCs w:val="22"/>
        </w:rPr>
        <w:t xml:space="preserve"> bola rozpočtovaná už v</w:t>
      </w:r>
      <w:r w:rsidR="00B01186" w:rsidRPr="00C65CAA">
        <w:rPr>
          <w:rFonts w:ascii="Arial Narrow" w:hAnsi="Arial Narrow"/>
          <w:sz w:val="22"/>
          <w:szCs w:val="22"/>
        </w:rPr>
        <w:t> </w:t>
      </w:r>
      <w:r w:rsidRPr="00C65CAA">
        <w:rPr>
          <w:rFonts w:ascii="Arial Narrow" w:hAnsi="Arial Narrow"/>
          <w:sz w:val="22"/>
          <w:szCs w:val="22"/>
        </w:rPr>
        <w:t>roku</w:t>
      </w:r>
      <w:r w:rsidR="00B01186" w:rsidRPr="00C65CAA">
        <w:rPr>
          <w:rFonts w:ascii="Arial Narrow" w:hAnsi="Arial Narrow"/>
          <w:sz w:val="22"/>
          <w:szCs w:val="22"/>
        </w:rPr>
        <w:t xml:space="preserve"> </w:t>
      </w:r>
      <w:r w:rsidRPr="00C65CAA">
        <w:rPr>
          <w:rFonts w:ascii="Arial Narrow" w:hAnsi="Arial Narrow"/>
          <w:sz w:val="22"/>
          <w:szCs w:val="22"/>
        </w:rPr>
        <w:t>2017 v sume 215 152,5 tis. eur. Zdroje rezervy sa použili v rámci podpory významnej investičnej akcie prostredníctvom MŽP SR v sume 5 198,7 tis. eur na pokrytie výdavkov pre realizáciu protipovodňovej ochrany na rieke Nitra. Finančné prostriedky v celkovej sume 45 266,0 ti</w:t>
      </w:r>
      <w:r w:rsidR="00FC3875" w:rsidRPr="00C65CAA">
        <w:rPr>
          <w:rFonts w:ascii="Arial Narrow" w:hAnsi="Arial Narrow"/>
          <w:sz w:val="22"/>
          <w:szCs w:val="22"/>
        </w:rPr>
        <w:t>s. eur sa použili na vytvorenie</w:t>
      </w:r>
      <w:r w:rsidRPr="00C65CAA">
        <w:rPr>
          <w:rFonts w:ascii="Arial Narrow" w:hAnsi="Arial Narrow"/>
          <w:sz w:val="22"/>
          <w:szCs w:val="22"/>
        </w:rPr>
        <w:t xml:space="preserve"> výdavkového titulu </w:t>
      </w:r>
      <w:r w:rsidRPr="00C65CAA">
        <w:rPr>
          <w:rFonts w:ascii="Arial Narrow" w:hAnsi="Arial Narrow"/>
          <w:b/>
          <w:sz w:val="22"/>
          <w:szCs w:val="22"/>
        </w:rPr>
        <w:t>Výdavky na realizáciu nerozpočtovaných potrieb</w:t>
      </w:r>
      <w:r w:rsidRPr="00C65CAA">
        <w:rPr>
          <w:rFonts w:ascii="Arial Narrow" w:hAnsi="Arial Narrow"/>
          <w:sz w:val="22"/>
          <w:szCs w:val="22"/>
        </w:rPr>
        <w:t xml:space="preserve"> a nevyčerpané finančné prostriedky vo výške 164 687,8 tis. eur sa presunuli na výdavkový titul </w:t>
      </w:r>
      <w:r w:rsidRPr="00C65CAA">
        <w:rPr>
          <w:rFonts w:ascii="Arial Narrow" w:hAnsi="Arial Narrow"/>
          <w:b/>
          <w:sz w:val="22"/>
          <w:szCs w:val="22"/>
        </w:rPr>
        <w:t xml:space="preserve">Výdavky na vybrané investície </w:t>
      </w:r>
      <w:r w:rsidRPr="00C65CAA">
        <w:rPr>
          <w:rFonts w:ascii="Arial Narrow" w:hAnsi="Arial Narrow"/>
          <w:sz w:val="22"/>
          <w:szCs w:val="22"/>
        </w:rPr>
        <w:t>a viazali na použitie</w:t>
      </w:r>
      <w:r w:rsidRPr="00C65CAA">
        <w:rPr>
          <w:rFonts w:ascii="Arial Narrow" w:hAnsi="Arial Narrow"/>
          <w:b/>
          <w:sz w:val="22"/>
          <w:szCs w:val="22"/>
        </w:rPr>
        <w:t xml:space="preserve"> v nasledujúcich rokoch. </w:t>
      </w:r>
      <w:r w:rsidRPr="00C65CAA">
        <w:rPr>
          <w:rFonts w:ascii="Arial Narrow" w:hAnsi="Arial Narrow"/>
          <w:sz w:val="22"/>
          <w:szCs w:val="22"/>
        </w:rPr>
        <w:t>N</w:t>
      </w:r>
      <w:r w:rsidR="00B01186" w:rsidRPr="00C65CAA">
        <w:rPr>
          <w:rFonts w:ascii="Arial Narrow" w:hAnsi="Arial Narrow"/>
          <w:sz w:val="22"/>
          <w:szCs w:val="22"/>
        </w:rPr>
        <w:t>apriek tomu rezerva na významné/vybrané investície na rok 2019 už nie</w:t>
      </w:r>
      <w:r w:rsidR="00FC3875" w:rsidRPr="00C65CAA">
        <w:rPr>
          <w:rFonts w:ascii="Arial Narrow" w:hAnsi="Arial Narrow"/>
          <w:sz w:val="22"/>
          <w:szCs w:val="22"/>
        </w:rPr>
        <w:t xml:space="preserve"> je</w:t>
      </w:r>
      <w:r w:rsidR="00B01186" w:rsidRPr="00C65CAA">
        <w:rPr>
          <w:rFonts w:ascii="Arial Narrow" w:hAnsi="Arial Narrow"/>
          <w:sz w:val="22"/>
          <w:szCs w:val="22"/>
        </w:rPr>
        <w:t xml:space="preserve"> rozpočtovaná, ale bola vytvorená rezerva na rok 2019 </w:t>
      </w:r>
      <w:r w:rsidR="00B01186" w:rsidRPr="00C65CAA">
        <w:rPr>
          <w:rFonts w:ascii="Arial Narrow" w:hAnsi="Arial Narrow"/>
          <w:sz w:val="22"/>
          <w:szCs w:val="22"/>
          <w:lang w:eastAsia="cs-CZ"/>
        </w:rPr>
        <w:t>vo výške 150 mil. eur, ktorá môže byť v prípade potreby využitá na investície a infraštruktúrne projekty. NKÚ SR v tejto súvislosti upozorňuje na neprehľadný proces</w:t>
      </w:r>
      <w:r w:rsidR="00776F8C" w:rsidRPr="00C65CAA">
        <w:rPr>
          <w:rFonts w:ascii="Arial Narrow" w:hAnsi="Arial Narrow"/>
          <w:sz w:val="22"/>
          <w:szCs w:val="22"/>
          <w:lang w:eastAsia="cs-CZ"/>
        </w:rPr>
        <w:t xml:space="preserve"> vytvárania rezerv, prípadne nových výdavkových titulov a ich účelového čerpania.</w:t>
      </w:r>
    </w:p>
    <w:p w:rsidR="009947D5" w:rsidRPr="00C65CAA" w:rsidRDefault="001D2AD7" w:rsidP="00256AF8">
      <w:pPr>
        <w:spacing w:before="100" w:after="100"/>
        <w:ind w:firstLine="708"/>
        <w:jc w:val="both"/>
        <w:rPr>
          <w:rFonts w:ascii="Arial Narrow" w:hAnsi="Arial Narrow"/>
          <w:sz w:val="22"/>
          <w:szCs w:val="22"/>
          <w:lang w:eastAsia="cs-CZ"/>
        </w:rPr>
      </w:pPr>
      <w:r w:rsidRPr="00C65CAA">
        <w:rPr>
          <w:rFonts w:ascii="Arial Narrow" w:hAnsi="Arial Narrow"/>
          <w:sz w:val="22"/>
          <w:szCs w:val="22"/>
          <w:lang w:eastAsia="cs-CZ"/>
        </w:rPr>
        <w:t xml:space="preserve">Štruktúra </w:t>
      </w:r>
      <w:r w:rsidRPr="00C65CAA">
        <w:rPr>
          <w:rFonts w:ascii="Arial Narrow" w:hAnsi="Arial Narrow"/>
          <w:sz w:val="22"/>
          <w:szCs w:val="22"/>
        </w:rPr>
        <w:t>rezervy na prostriedky EÚ </w:t>
      </w:r>
      <w:r w:rsidR="009947D5" w:rsidRPr="00C65CAA">
        <w:rPr>
          <w:rFonts w:ascii="Arial Narrow" w:hAnsi="Arial Narrow"/>
          <w:sz w:val="22"/>
          <w:szCs w:val="22"/>
        </w:rPr>
        <w:t>a odvody EÚ</w:t>
      </w:r>
      <w:r w:rsidRPr="00C65CAA">
        <w:rPr>
          <w:rFonts w:ascii="Arial Narrow" w:hAnsi="Arial Narrow"/>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1"/>
        <w:gridCol w:w="1133"/>
        <w:gridCol w:w="1133"/>
        <w:gridCol w:w="1280"/>
        <w:gridCol w:w="1137"/>
        <w:gridCol w:w="839"/>
      </w:tblGrid>
      <w:tr w:rsidR="009947D5" w:rsidRPr="00C65CAA" w:rsidTr="00EB59B2">
        <w:trPr>
          <w:trHeight w:val="479"/>
        </w:trPr>
        <w:tc>
          <w:tcPr>
            <w:tcW w:w="1954" w:type="pct"/>
            <w:tcBorders>
              <w:right w:val="single" w:sz="4" w:space="0" w:color="FFFFFF" w:themeColor="background1"/>
            </w:tcBorders>
            <w:shd w:val="clear" w:color="auto" w:fill="0070C0"/>
            <w:noWrap/>
            <w:vAlign w:val="center"/>
          </w:tcPr>
          <w:p w:rsidR="009947D5" w:rsidRPr="00C65CAA" w:rsidRDefault="009947D5" w:rsidP="00011F12">
            <w:pPr>
              <w:rPr>
                <w:rFonts w:ascii="Arial Narrow" w:hAnsi="Arial Narrow"/>
                <w:b/>
                <w:color w:val="FFFFFF" w:themeColor="background1"/>
                <w:sz w:val="20"/>
                <w:szCs w:val="20"/>
              </w:rPr>
            </w:pPr>
            <w:r w:rsidRPr="00C65CAA">
              <w:rPr>
                <w:rFonts w:ascii="Arial Narrow" w:hAnsi="Arial Narrow"/>
                <w:b/>
                <w:color w:val="FFFFFF" w:themeColor="background1"/>
                <w:sz w:val="20"/>
                <w:szCs w:val="20"/>
              </w:rPr>
              <w:t>Rezervy (v eurách)</w:t>
            </w:r>
          </w:p>
        </w:tc>
        <w:tc>
          <w:tcPr>
            <w:tcW w:w="625" w:type="pct"/>
            <w:tcBorders>
              <w:left w:val="single" w:sz="4" w:space="0" w:color="FFFFFF" w:themeColor="background1"/>
              <w:right w:val="single" w:sz="4" w:space="0" w:color="FFFFFF" w:themeColor="background1"/>
            </w:tcBorders>
            <w:shd w:val="clear" w:color="auto" w:fill="0070C0"/>
            <w:vAlign w:val="center"/>
          </w:tcPr>
          <w:p w:rsidR="009947D5" w:rsidRPr="00C65CAA" w:rsidRDefault="009947D5" w:rsidP="00011F12">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Skutočnosť 2017</w:t>
            </w:r>
          </w:p>
        </w:tc>
        <w:tc>
          <w:tcPr>
            <w:tcW w:w="625" w:type="pct"/>
            <w:tcBorders>
              <w:left w:val="single" w:sz="4" w:space="0" w:color="FFFFFF" w:themeColor="background1"/>
              <w:right w:val="single" w:sz="4" w:space="0" w:color="FFFFFF" w:themeColor="background1"/>
            </w:tcBorders>
            <w:shd w:val="clear" w:color="auto" w:fill="0070C0"/>
            <w:vAlign w:val="center"/>
          </w:tcPr>
          <w:p w:rsidR="009947D5" w:rsidRPr="00C65CAA" w:rsidRDefault="009947D5" w:rsidP="00011F12">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Rozpočet 2018</w:t>
            </w:r>
          </w:p>
        </w:tc>
        <w:tc>
          <w:tcPr>
            <w:tcW w:w="706" w:type="pct"/>
            <w:tcBorders>
              <w:left w:val="single" w:sz="4" w:space="0" w:color="FFFFFF" w:themeColor="background1"/>
              <w:right w:val="single" w:sz="4" w:space="0" w:color="FFFFFF" w:themeColor="background1"/>
            </w:tcBorders>
            <w:shd w:val="clear" w:color="auto" w:fill="0070C0"/>
            <w:noWrap/>
            <w:vAlign w:val="center"/>
          </w:tcPr>
          <w:p w:rsidR="009947D5" w:rsidRPr="00C65CAA" w:rsidRDefault="009947D5" w:rsidP="00011F12">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Návrh rozpočtu 2019</w:t>
            </w:r>
          </w:p>
        </w:tc>
        <w:tc>
          <w:tcPr>
            <w:tcW w:w="627" w:type="pct"/>
            <w:tcBorders>
              <w:left w:val="single" w:sz="4" w:space="0" w:color="FFFFFF" w:themeColor="background1"/>
              <w:right w:val="single" w:sz="4" w:space="0" w:color="FFFFFF" w:themeColor="background1"/>
            </w:tcBorders>
            <w:shd w:val="clear" w:color="auto" w:fill="0070C0"/>
            <w:vAlign w:val="center"/>
          </w:tcPr>
          <w:p w:rsidR="009947D5" w:rsidRPr="00C65CAA" w:rsidRDefault="009947D5" w:rsidP="00011F12">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Rozdiel</w:t>
            </w:r>
          </w:p>
        </w:tc>
        <w:tc>
          <w:tcPr>
            <w:tcW w:w="463" w:type="pct"/>
            <w:tcBorders>
              <w:left w:val="single" w:sz="4" w:space="0" w:color="FFFFFF" w:themeColor="background1"/>
            </w:tcBorders>
            <w:shd w:val="clear" w:color="auto" w:fill="0070C0"/>
            <w:vAlign w:val="center"/>
          </w:tcPr>
          <w:p w:rsidR="009947D5" w:rsidRPr="00C65CAA" w:rsidRDefault="009947D5" w:rsidP="00011F12">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Podiel</w:t>
            </w:r>
          </w:p>
        </w:tc>
      </w:tr>
      <w:tr w:rsidR="00631161" w:rsidRPr="00C65CAA" w:rsidTr="00631161">
        <w:trPr>
          <w:trHeight w:val="20"/>
        </w:trPr>
        <w:tc>
          <w:tcPr>
            <w:tcW w:w="1954" w:type="pct"/>
            <w:shd w:val="clear" w:color="auto" w:fill="auto"/>
            <w:vAlign w:val="center"/>
          </w:tcPr>
          <w:p w:rsidR="00631161" w:rsidRPr="00C65CAA" w:rsidRDefault="00631161" w:rsidP="00011F12">
            <w:pPr>
              <w:jc w:val="center"/>
              <w:rPr>
                <w:rFonts w:ascii="Arial Narrow" w:hAnsi="Arial Narrow"/>
                <w:sz w:val="20"/>
                <w:szCs w:val="20"/>
              </w:rPr>
            </w:pPr>
            <w:r w:rsidRPr="00C65CAA">
              <w:rPr>
                <w:rFonts w:ascii="Arial Narrow" w:eastAsia="Calibri" w:hAnsi="Arial Narrow"/>
                <w:bCs/>
                <w:color w:val="000000"/>
                <w:sz w:val="18"/>
                <w:szCs w:val="18"/>
                <w:lang w:eastAsia="en-US"/>
              </w:rPr>
              <w:t>a</w:t>
            </w:r>
          </w:p>
        </w:tc>
        <w:tc>
          <w:tcPr>
            <w:tcW w:w="625" w:type="pct"/>
            <w:shd w:val="clear" w:color="auto" w:fill="auto"/>
          </w:tcPr>
          <w:p w:rsidR="00631161" w:rsidRPr="00C65CAA" w:rsidRDefault="00631161" w:rsidP="00011F12">
            <w:pPr>
              <w:jc w:val="center"/>
              <w:rPr>
                <w:rFonts w:ascii="Arial Narrow" w:hAnsi="Arial Narrow"/>
                <w:sz w:val="20"/>
                <w:szCs w:val="20"/>
              </w:rPr>
            </w:pPr>
            <w:r w:rsidRPr="00C65CAA">
              <w:rPr>
                <w:rFonts w:ascii="Arial Narrow" w:eastAsia="Calibri" w:hAnsi="Arial Narrow"/>
                <w:sz w:val="18"/>
                <w:szCs w:val="18"/>
                <w:lang w:eastAsia="en-US"/>
              </w:rPr>
              <w:t>1</w:t>
            </w:r>
          </w:p>
        </w:tc>
        <w:tc>
          <w:tcPr>
            <w:tcW w:w="625" w:type="pct"/>
            <w:shd w:val="clear" w:color="auto" w:fill="auto"/>
          </w:tcPr>
          <w:p w:rsidR="00631161" w:rsidRPr="00C65CAA" w:rsidRDefault="00631161" w:rsidP="00011F12">
            <w:pPr>
              <w:jc w:val="center"/>
              <w:rPr>
                <w:rFonts w:ascii="Arial Narrow" w:hAnsi="Arial Narrow"/>
                <w:sz w:val="20"/>
                <w:szCs w:val="20"/>
              </w:rPr>
            </w:pPr>
            <w:r w:rsidRPr="00C65CAA">
              <w:rPr>
                <w:rFonts w:ascii="Arial Narrow" w:eastAsia="Calibri" w:hAnsi="Arial Narrow"/>
                <w:sz w:val="18"/>
                <w:szCs w:val="18"/>
                <w:lang w:eastAsia="en-US"/>
              </w:rPr>
              <w:t>2</w:t>
            </w:r>
          </w:p>
        </w:tc>
        <w:tc>
          <w:tcPr>
            <w:tcW w:w="706" w:type="pct"/>
            <w:shd w:val="clear" w:color="auto" w:fill="auto"/>
            <w:noWrap/>
          </w:tcPr>
          <w:p w:rsidR="00631161" w:rsidRPr="00C65CAA" w:rsidRDefault="00631161" w:rsidP="00011F12">
            <w:pPr>
              <w:jc w:val="center"/>
              <w:rPr>
                <w:rFonts w:ascii="Arial Narrow" w:hAnsi="Arial Narrow"/>
                <w:sz w:val="20"/>
                <w:szCs w:val="20"/>
              </w:rPr>
            </w:pPr>
            <w:r w:rsidRPr="00C65CAA">
              <w:rPr>
                <w:rFonts w:ascii="Arial Narrow" w:eastAsia="Calibri" w:hAnsi="Arial Narrow"/>
                <w:sz w:val="18"/>
                <w:szCs w:val="18"/>
                <w:lang w:eastAsia="en-US"/>
              </w:rPr>
              <w:t>3</w:t>
            </w:r>
          </w:p>
        </w:tc>
        <w:tc>
          <w:tcPr>
            <w:tcW w:w="627" w:type="pct"/>
            <w:shd w:val="clear" w:color="auto" w:fill="auto"/>
          </w:tcPr>
          <w:p w:rsidR="00631161" w:rsidRPr="00C65CAA" w:rsidRDefault="00631161" w:rsidP="00011F12">
            <w:pPr>
              <w:jc w:val="center"/>
              <w:rPr>
                <w:rFonts w:ascii="Arial Narrow" w:hAnsi="Arial Narrow"/>
                <w:color w:val="000000"/>
                <w:sz w:val="20"/>
                <w:szCs w:val="20"/>
              </w:rPr>
            </w:pPr>
            <w:r w:rsidRPr="00C65CAA">
              <w:rPr>
                <w:rFonts w:ascii="Arial Narrow" w:eastAsia="Calibri" w:hAnsi="Arial Narrow"/>
                <w:sz w:val="18"/>
                <w:szCs w:val="18"/>
                <w:lang w:eastAsia="en-US"/>
              </w:rPr>
              <w:t>4=3-2</w:t>
            </w:r>
          </w:p>
        </w:tc>
        <w:tc>
          <w:tcPr>
            <w:tcW w:w="463" w:type="pct"/>
            <w:shd w:val="clear" w:color="auto" w:fill="auto"/>
          </w:tcPr>
          <w:p w:rsidR="00631161" w:rsidRPr="00C65CAA" w:rsidRDefault="00631161" w:rsidP="00011F12">
            <w:pPr>
              <w:jc w:val="center"/>
              <w:rPr>
                <w:rFonts w:ascii="Arial Narrow" w:hAnsi="Arial Narrow"/>
                <w:color w:val="000000"/>
                <w:sz w:val="20"/>
                <w:szCs w:val="20"/>
              </w:rPr>
            </w:pPr>
            <w:r w:rsidRPr="00C65CAA">
              <w:rPr>
                <w:rFonts w:ascii="Arial Narrow" w:eastAsia="Calibri" w:hAnsi="Arial Narrow"/>
                <w:sz w:val="18"/>
                <w:szCs w:val="18"/>
                <w:lang w:eastAsia="en-US"/>
              </w:rPr>
              <w:t>5=3/2*100</w:t>
            </w:r>
          </w:p>
        </w:tc>
      </w:tr>
      <w:tr w:rsidR="00631161" w:rsidRPr="00C65CAA" w:rsidTr="00EB59B2">
        <w:trPr>
          <w:trHeight w:val="20"/>
        </w:trPr>
        <w:tc>
          <w:tcPr>
            <w:tcW w:w="1954" w:type="pct"/>
            <w:shd w:val="clear" w:color="auto" w:fill="auto"/>
            <w:vAlign w:val="center"/>
          </w:tcPr>
          <w:p w:rsidR="00631161" w:rsidRPr="00C65CAA" w:rsidRDefault="00631161" w:rsidP="00011F12">
            <w:pPr>
              <w:rPr>
                <w:rFonts w:ascii="Arial Narrow" w:hAnsi="Arial Narrow"/>
                <w:sz w:val="20"/>
                <w:szCs w:val="20"/>
              </w:rPr>
            </w:pPr>
            <w:r w:rsidRPr="00C65CAA">
              <w:rPr>
                <w:rFonts w:ascii="Arial Narrow" w:hAnsi="Arial Narrow"/>
                <w:sz w:val="20"/>
                <w:szCs w:val="20"/>
              </w:rPr>
              <w:t>Rezerva na  prostriedky Európskej únie a odvody Európskej únii, v tom:</w:t>
            </w:r>
          </w:p>
        </w:tc>
        <w:tc>
          <w:tcPr>
            <w:tcW w:w="625" w:type="pct"/>
            <w:shd w:val="clear" w:color="auto" w:fill="auto"/>
            <w:vAlign w:val="center"/>
          </w:tcPr>
          <w:p w:rsidR="00631161" w:rsidRPr="00C65CAA" w:rsidRDefault="00631161" w:rsidP="00011F12">
            <w:pPr>
              <w:jc w:val="right"/>
              <w:rPr>
                <w:rFonts w:ascii="Arial Narrow" w:hAnsi="Arial Narrow"/>
                <w:sz w:val="20"/>
                <w:szCs w:val="20"/>
              </w:rPr>
            </w:pPr>
            <w:r w:rsidRPr="00C65CAA">
              <w:rPr>
                <w:rFonts w:ascii="Arial Narrow" w:hAnsi="Arial Narrow"/>
                <w:sz w:val="20"/>
                <w:szCs w:val="20"/>
              </w:rPr>
              <w:t>0</w:t>
            </w:r>
          </w:p>
        </w:tc>
        <w:tc>
          <w:tcPr>
            <w:tcW w:w="625" w:type="pct"/>
            <w:shd w:val="clear" w:color="auto" w:fill="auto"/>
            <w:vAlign w:val="center"/>
          </w:tcPr>
          <w:p w:rsidR="00631161" w:rsidRPr="00C65CAA" w:rsidRDefault="00631161" w:rsidP="00011F12">
            <w:pPr>
              <w:jc w:val="right"/>
              <w:rPr>
                <w:rFonts w:ascii="Arial Narrow" w:hAnsi="Arial Narrow"/>
                <w:sz w:val="20"/>
                <w:szCs w:val="20"/>
              </w:rPr>
            </w:pPr>
            <w:r w:rsidRPr="00C65CAA">
              <w:rPr>
                <w:rFonts w:ascii="Arial Narrow" w:hAnsi="Arial Narrow"/>
                <w:sz w:val="20"/>
                <w:szCs w:val="20"/>
              </w:rPr>
              <w:t>130 206 017</w:t>
            </w:r>
          </w:p>
        </w:tc>
        <w:tc>
          <w:tcPr>
            <w:tcW w:w="706" w:type="pct"/>
            <w:shd w:val="clear" w:color="auto" w:fill="auto"/>
            <w:noWrap/>
            <w:vAlign w:val="center"/>
          </w:tcPr>
          <w:p w:rsidR="00631161" w:rsidRPr="00C65CAA" w:rsidRDefault="00631161" w:rsidP="00011F12">
            <w:pPr>
              <w:jc w:val="right"/>
              <w:rPr>
                <w:rFonts w:ascii="Arial Narrow" w:hAnsi="Arial Narrow"/>
                <w:sz w:val="20"/>
                <w:szCs w:val="20"/>
              </w:rPr>
            </w:pPr>
            <w:r w:rsidRPr="00C65CAA">
              <w:rPr>
                <w:rFonts w:ascii="Arial Narrow" w:hAnsi="Arial Narrow"/>
                <w:sz w:val="20"/>
                <w:szCs w:val="20"/>
              </w:rPr>
              <w:t>223 765 936</w:t>
            </w:r>
          </w:p>
        </w:tc>
        <w:tc>
          <w:tcPr>
            <w:tcW w:w="627" w:type="pct"/>
            <w:shd w:val="clear" w:color="auto" w:fill="auto"/>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93 559 919</w:t>
            </w:r>
          </w:p>
        </w:tc>
        <w:tc>
          <w:tcPr>
            <w:tcW w:w="463" w:type="pct"/>
            <w:shd w:val="clear" w:color="auto" w:fill="auto"/>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171,9</w:t>
            </w:r>
          </w:p>
        </w:tc>
      </w:tr>
      <w:tr w:rsidR="00631161" w:rsidRPr="00C65CAA" w:rsidTr="00EB59B2">
        <w:trPr>
          <w:trHeight w:val="20"/>
        </w:trPr>
        <w:tc>
          <w:tcPr>
            <w:tcW w:w="1954" w:type="pct"/>
            <w:shd w:val="clear" w:color="auto" w:fill="auto"/>
            <w:vAlign w:val="center"/>
          </w:tcPr>
          <w:p w:rsidR="00631161" w:rsidRPr="00C65CAA" w:rsidRDefault="00631161" w:rsidP="00011F12">
            <w:pPr>
              <w:pStyle w:val="Odsekzoznamu"/>
              <w:numPr>
                <w:ilvl w:val="0"/>
                <w:numId w:val="101"/>
              </w:numPr>
              <w:rPr>
                <w:rFonts w:ascii="Arial Narrow" w:hAnsi="Arial Narrow"/>
                <w:sz w:val="20"/>
                <w:szCs w:val="20"/>
              </w:rPr>
            </w:pPr>
            <w:r w:rsidRPr="00C65CAA">
              <w:rPr>
                <w:rFonts w:ascii="Arial Narrow" w:hAnsi="Arial Narrow"/>
                <w:sz w:val="20"/>
                <w:szCs w:val="20"/>
              </w:rPr>
              <w:t xml:space="preserve">rýchlejšia realizácia a väčší počet projektov </w:t>
            </w:r>
          </w:p>
        </w:tc>
        <w:tc>
          <w:tcPr>
            <w:tcW w:w="625" w:type="pct"/>
            <w:shd w:val="clear" w:color="auto" w:fill="auto"/>
            <w:vAlign w:val="center"/>
          </w:tcPr>
          <w:p w:rsidR="00631161" w:rsidRPr="00C65CAA" w:rsidRDefault="00631161" w:rsidP="00011F12">
            <w:pPr>
              <w:jc w:val="right"/>
              <w:rPr>
                <w:rFonts w:ascii="Arial Narrow" w:hAnsi="Arial Narrow"/>
                <w:sz w:val="20"/>
                <w:szCs w:val="20"/>
              </w:rPr>
            </w:pPr>
            <w:r w:rsidRPr="00C65CAA">
              <w:rPr>
                <w:rFonts w:ascii="Arial Narrow" w:hAnsi="Arial Narrow"/>
                <w:sz w:val="20"/>
                <w:szCs w:val="20"/>
              </w:rPr>
              <w:t>0</w:t>
            </w:r>
          </w:p>
        </w:tc>
        <w:tc>
          <w:tcPr>
            <w:tcW w:w="625" w:type="pct"/>
            <w:shd w:val="clear" w:color="auto" w:fill="auto"/>
            <w:vAlign w:val="center"/>
          </w:tcPr>
          <w:p w:rsidR="00631161" w:rsidRPr="00C65CAA" w:rsidRDefault="00631161" w:rsidP="00011F12">
            <w:pPr>
              <w:jc w:val="right"/>
              <w:rPr>
                <w:rFonts w:ascii="Arial Narrow" w:hAnsi="Arial Narrow"/>
                <w:sz w:val="20"/>
                <w:szCs w:val="20"/>
              </w:rPr>
            </w:pPr>
            <w:r w:rsidRPr="00C65CAA">
              <w:rPr>
                <w:rFonts w:ascii="Arial Narrow" w:hAnsi="Arial Narrow"/>
                <w:sz w:val="20"/>
                <w:szCs w:val="20"/>
              </w:rPr>
              <w:t>124 206 017</w:t>
            </w:r>
          </w:p>
        </w:tc>
        <w:tc>
          <w:tcPr>
            <w:tcW w:w="706" w:type="pct"/>
            <w:shd w:val="clear" w:color="auto" w:fill="auto"/>
            <w:noWrap/>
            <w:vAlign w:val="center"/>
          </w:tcPr>
          <w:p w:rsidR="00631161" w:rsidRPr="00C65CAA" w:rsidRDefault="00631161" w:rsidP="00011F12">
            <w:pPr>
              <w:jc w:val="right"/>
              <w:rPr>
                <w:rFonts w:ascii="Arial Narrow" w:hAnsi="Arial Narrow"/>
                <w:sz w:val="20"/>
                <w:szCs w:val="20"/>
              </w:rPr>
            </w:pPr>
            <w:r w:rsidRPr="00C65CAA">
              <w:rPr>
                <w:rFonts w:ascii="Arial Narrow" w:hAnsi="Arial Narrow"/>
                <w:sz w:val="20"/>
                <w:szCs w:val="20"/>
              </w:rPr>
              <w:t>217 765 936</w:t>
            </w:r>
          </w:p>
        </w:tc>
        <w:tc>
          <w:tcPr>
            <w:tcW w:w="627" w:type="pct"/>
            <w:shd w:val="clear" w:color="auto" w:fill="auto"/>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93 559 919</w:t>
            </w:r>
          </w:p>
        </w:tc>
        <w:tc>
          <w:tcPr>
            <w:tcW w:w="463" w:type="pct"/>
            <w:shd w:val="clear" w:color="auto" w:fill="auto"/>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175,3</w:t>
            </w:r>
          </w:p>
        </w:tc>
      </w:tr>
      <w:tr w:rsidR="00631161" w:rsidRPr="00C65CAA" w:rsidTr="00EB59B2">
        <w:trPr>
          <w:trHeight w:val="20"/>
        </w:trPr>
        <w:tc>
          <w:tcPr>
            <w:tcW w:w="1954" w:type="pct"/>
            <w:shd w:val="clear" w:color="auto" w:fill="auto"/>
            <w:vAlign w:val="center"/>
          </w:tcPr>
          <w:p w:rsidR="00631161" w:rsidRPr="00C65CAA" w:rsidRDefault="00631161" w:rsidP="00011F12">
            <w:pPr>
              <w:pStyle w:val="Odsekzoznamu"/>
              <w:numPr>
                <w:ilvl w:val="0"/>
                <w:numId w:val="101"/>
              </w:numPr>
              <w:rPr>
                <w:rFonts w:ascii="Arial Narrow" w:hAnsi="Arial Narrow"/>
                <w:sz w:val="20"/>
                <w:szCs w:val="20"/>
              </w:rPr>
            </w:pPr>
            <w:r w:rsidRPr="00C65CAA">
              <w:rPr>
                <w:rFonts w:ascii="Arial Narrow" w:hAnsi="Arial Narrow"/>
                <w:sz w:val="20"/>
                <w:szCs w:val="20"/>
              </w:rPr>
              <w:t xml:space="preserve">ďalšie výdavky súvisiace s financovaním spoločných programov </w:t>
            </w:r>
          </w:p>
        </w:tc>
        <w:tc>
          <w:tcPr>
            <w:tcW w:w="625" w:type="pct"/>
            <w:shd w:val="clear" w:color="auto" w:fill="auto"/>
            <w:vAlign w:val="center"/>
          </w:tcPr>
          <w:p w:rsidR="00631161" w:rsidRPr="00C65CAA" w:rsidRDefault="00631161" w:rsidP="00011F12">
            <w:pPr>
              <w:jc w:val="right"/>
              <w:rPr>
                <w:rFonts w:ascii="Arial Narrow" w:hAnsi="Arial Narrow"/>
                <w:sz w:val="20"/>
                <w:szCs w:val="20"/>
              </w:rPr>
            </w:pPr>
            <w:r w:rsidRPr="00C65CAA">
              <w:rPr>
                <w:rFonts w:ascii="Arial Narrow" w:hAnsi="Arial Narrow"/>
                <w:sz w:val="20"/>
                <w:szCs w:val="20"/>
              </w:rPr>
              <w:t>0</w:t>
            </w:r>
          </w:p>
        </w:tc>
        <w:tc>
          <w:tcPr>
            <w:tcW w:w="625" w:type="pct"/>
            <w:shd w:val="clear" w:color="auto" w:fill="auto"/>
            <w:vAlign w:val="center"/>
          </w:tcPr>
          <w:p w:rsidR="00631161" w:rsidRPr="00C65CAA" w:rsidRDefault="00631161" w:rsidP="00011F12">
            <w:pPr>
              <w:jc w:val="right"/>
              <w:rPr>
                <w:rFonts w:ascii="Arial Narrow" w:hAnsi="Arial Narrow"/>
                <w:sz w:val="20"/>
                <w:szCs w:val="20"/>
              </w:rPr>
            </w:pPr>
            <w:r w:rsidRPr="00C65CAA">
              <w:rPr>
                <w:rFonts w:ascii="Arial Narrow" w:hAnsi="Arial Narrow"/>
                <w:sz w:val="20"/>
                <w:szCs w:val="20"/>
              </w:rPr>
              <w:t>1 000 000</w:t>
            </w:r>
          </w:p>
        </w:tc>
        <w:tc>
          <w:tcPr>
            <w:tcW w:w="706" w:type="pct"/>
            <w:shd w:val="clear" w:color="auto" w:fill="auto"/>
            <w:noWrap/>
            <w:vAlign w:val="center"/>
          </w:tcPr>
          <w:p w:rsidR="00631161" w:rsidRPr="00C65CAA" w:rsidRDefault="00631161" w:rsidP="00011F12">
            <w:pPr>
              <w:jc w:val="right"/>
              <w:rPr>
                <w:rFonts w:ascii="Arial Narrow" w:hAnsi="Arial Narrow"/>
                <w:sz w:val="20"/>
                <w:szCs w:val="20"/>
              </w:rPr>
            </w:pPr>
            <w:r w:rsidRPr="00C65CAA">
              <w:rPr>
                <w:rFonts w:ascii="Arial Narrow" w:hAnsi="Arial Narrow"/>
                <w:sz w:val="20"/>
                <w:szCs w:val="20"/>
              </w:rPr>
              <w:t>1 000 000</w:t>
            </w:r>
          </w:p>
        </w:tc>
        <w:tc>
          <w:tcPr>
            <w:tcW w:w="627" w:type="pct"/>
            <w:shd w:val="clear" w:color="auto" w:fill="auto"/>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0</w:t>
            </w:r>
          </w:p>
        </w:tc>
        <w:tc>
          <w:tcPr>
            <w:tcW w:w="463" w:type="pct"/>
            <w:shd w:val="clear" w:color="auto" w:fill="auto"/>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100,0</w:t>
            </w:r>
          </w:p>
        </w:tc>
      </w:tr>
      <w:tr w:rsidR="00631161" w:rsidRPr="00C65CAA" w:rsidTr="00EB59B2">
        <w:trPr>
          <w:trHeight w:val="20"/>
        </w:trPr>
        <w:tc>
          <w:tcPr>
            <w:tcW w:w="1954" w:type="pct"/>
            <w:shd w:val="clear" w:color="auto" w:fill="auto"/>
            <w:vAlign w:val="center"/>
          </w:tcPr>
          <w:p w:rsidR="00631161" w:rsidRPr="00C65CAA" w:rsidRDefault="00631161" w:rsidP="00011F12">
            <w:pPr>
              <w:pStyle w:val="Odsekzoznamu"/>
              <w:numPr>
                <w:ilvl w:val="0"/>
                <w:numId w:val="101"/>
              </w:numPr>
              <w:rPr>
                <w:rFonts w:ascii="Arial Narrow" w:hAnsi="Arial Narrow"/>
                <w:sz w:val="20"/>
                <w:szCs w:val="20"/>
                <w:lang w:eastAsia="cs-CZ"/>
              </w:rPr>
            </w:pPr>
            <w:r w:rsidRPr="00C65CAA">
              <w:rPr>
                <w:rFonts w:ascii="Arial Narrow" w:hAnsi="Arial Narrow"/>
                <w:sz w:val="20"/>
                <w:szCs w:val="20"/>
                <w:lang w:eastAsia="cs-CZ"/>
              </w:rPr>
              <w:t>zefektívnenie systému finančného riadenia EÚ fondov a iných finančných nástrojov</w:t>
            </w:r>
          </w:p>
        </w:tc>
        <w:tc>
          <w:tcPr>
            <w:tcW w:w="625" w:type="pct"/>
            <w:shd w:val="clear" w:color="auto" w:fill="auto"/>
            <w:vAlign w:val="center"/>
          </w:tcPr>
          <w:p w:rsidR="00631161" w:rsidRPr="00C65CAA" w:rsidRDefault="00631161" w:rsidP="00011F12">
            <w:pPr>
              <w:jc w:val="right"/>
              <w:rPr>
                <w:rFonts w:ascii="Arial Narrow" w:hAnsi="Arial Narrow"/>
                <w:sz w:val="20"/>
                <w:szCs w:val="20"/>
              </w:rPr>
            </w:pPr>
            <w:r w:rsidRPr="00C65CAA">
              <w:rPr>
                <w:rFonts w:ascii="Arial Narrow" w:hAnsi="Arial Narrow"/>
                <w:sz w:val="20"/>
                <w:szCs w:val="20"/>
              </w:rPr>
              <w:t>0</w:t>
            </w:r>
          </w:p>
        </w:tc>
        <w:tc>
          <w:tcPr>
            <w:tcW w:w="625" w:type="pct"/>
            <w:shd w:val="clear" w:color="auto" w:fill="auto"/>
            <w:vAlign w:val="center"/>
          </w:tcPr>
          <w:p w:rsidR="00631161" w:rsidRPr="00C65CAA" w:rsidRDefault="00631161" w:rsidP="00011F12">
            <w:pPr>
              <w:jc w:val="right"/>
              <w:rPr>
                <w:rFonts w:ascii="Arial Narrow" w:hAnsi="Arial Narrow"/>
                <w:sz w:val="20"/>
                <w:szCs w:val="20"/>
              </w:rPr>
            </w:pPr>
            <w:r w:rsidRPr="00C65CAA">
              <w:rPr>
                <w:rFonts w:ascii="Arial Narrow" w:hAnsi="Arial Narrow"/>
                <w:sz w:val="20"/>
                <w:szCs w:val="20"/>
              </w:rPr>
              <w:t>5 000 000</w:t>
            </w:r>
          </w:p>
        </w:tc>
        <w:tc>
          <w:tcPr>
            <w:tcW w:w="706" w:type="pct"/>
            <w:shd w:val="clear" w:color="auto" w:fill="auto"/>
            <w:noWrap/>
            <w:vAlign w:val="center"/>
          </w:tcPr>
          <w:p w:rsidR="00631161" w:rsidRPr="00C65CAA" w:rsidRDefault="00631161" w:rsidP="00011F12">
            <w:pPr>
              <w:jc w:val="right"/>
              <w:rPr>
                <w:rFonts w:ascii="Arial Narrow" w:hAnsi="Arial Narrow"/>
                <w:sz w:val="20"/>
                <w:szCs w:val="20"/>
              </w:rPr>
            </w:pPr>
            <w:r w:rsidRPr="00C65CAA">
              <w:rPr>
                <w:rFonts w:ascii="Arial Narrow" w:hAnsi="Arial Narrow"/>
                <w:sz w:val="20"/>
                <w:szCs w:val="20"/>
              </w:rPr>
              <w:t>5 000 000</w:t>
            </w:r>
          </w:p>
        </w:tc>
        <w:tc>
          <w:tcPr>
            <w:tcW w:w="627" w:type="pct"/>
            <w:shd w:val="clear" w:color="auto" w:fill="auto"/>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0</w:t>
            </w:r>
          </w:p>
        </w:tc>
        <w:tc>
          <w:tcPr>
            <w:tcW w:w="463" w:type="pct"/>
            <w:shd w:val="clear" w:color="auto" w:fill="auto"/>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100,0</w:t>
            </w:r>
          </w:p>
        </w:tc>
      </w:tr>
    </w:tbl>
    <w:p w:rsidR="009947D5" w:rsidRPr="00C65CAA" w:rsidRDefault="009947D5" w:rsidP="00C8633E">
      <w:pPr>
        <w:pStyle w:val="Bezriadkovania"/>
        <w:spacing w:after="100"/>
        <w:rPr>
          <w:rFonts w:ascii="Arial Narrow" w:eastAsia="Times New Roman" w:hAnsi="Arial Narrow" w:cs="Times New Roman"/>
          <w:sz w:val="20"/>
          <w:szCs w:val="20"/>
          <w:lang w:eastAsia="sk-SK"/>
        </w:rPr>
      </w:pPr>
      <w:r w:rsidRPr="00C65CAA">
        <w:rPr>
          <w:rFonts w:ascii="Arial Narrow" w:eastAsia="Times New Roman" w:hAnsi="Arial Narrow" w:cs="Times New Roman"/>
          <w:sz w:val="20"/>
          <w:szCs w:val="20"/>
          <w:lang w:eastAsia="sk-SK"/>
        </w:rPr>
        <w:t>Zdroj: Návrh RVS na roky 2019 až 2021</w:t>
      </w:r>
    </w:p>
    <w:p w:rsidR="009947D5" w:rsidRPr="00C65CAA" w:rsidRDefault="009947D5" w:rsidP="00256AF8">
      <w:pPr>
        <w:pStyle w:val="Bezriadkovania"/>
        <w:spacing w:before="100" w:after="100"/>
        <w:rPr>
          <w:rFonts w:ascii="Arial Narrow" w:eastAsia="Times New Roman" w:hAnsi="Arial Narrow" w:cs="Times New Roman"/>
          <w:sz w:val="22"/>
          <w:lang w:eastAsia="sk-SK"/>
        </w:rPr>
      </w:pPr>
      <w:r w:rsidRPr="00C65CAA">
        <w:rPr>
          <w:rFonts w:ascii="Arial Narrow" w:eastAsia="Times New Roman" w:hAnsi="Arial Narrow" w:cs="Times New Roman"/>
          <w:sz w:val="22"/>
          <w:lang w:eastAsia="sk-SK"/>
        </w:rPr>
        <w:tab/>
        <w:t>V rámci kontroly rezervy na prostriedky EÚ a odvody EÚ</w:t>
      </w:r>
      <w:r w:rsidR="00116B8F" w:rsidRPr="00C65CAA">
        <w:rPr>
          <w:rFonts w:ascii="Arial Narrow" w:eastAsia="Times New Roman" w:hAnsi="Arial Narrow" w:cs="Times New Roman"/>
          <w:sz w:val="22"/>
          <w:lang w:eastAsia="sk-SK"/>
        </w:rPr>
        <w:t>,</w:t>
      </w:r>
      <w:r w:rsidRPr="00C65CAA">
        <w:rPr>
          <w:rFonts w:ascii="Arial Narrow" w:eastAsia="Times New Roman" w:hAnsi="Arial Narrow" w:cs="Times New Roman"/>
          <w:sz w:val="22"/>
          <w:lang w:eastAsia="sk-SK"/>
        </w:rPr>
        <w:t xml:space="preserve"> NKÚ SR zistil, že v priebehu roka 2017 nevznikol dôvod uvoľniť zdroje rezervy na pôvodný účel</w:t>
      </w:r>
      <w:r w:rsidR="00FC3875" w:rsidRPr="00C65CAA">
        <w:rPr>
          <w:rFonts w:ascii="Arial Narrow" w:eastAsia="Times New Roman" w:hAnsi="Arial Narrow" w:cs="Times New Roman"/>
          <w:sz w:val="22"/>
          <w:lang w:eastAsia="sk-SK"/>
        </w:rPr>
        <w:t>,</w:t>
      </w:r>
      <w:r w:rsidRPr="00C65CAA">
        <w:rPr>
          <w:rFonts w:ascii="Arial Narrow" w:eastAsia="Times New Roman" w:hAnsi="Arial Narrow" w:cs="Times New Roman"/>
          <w:sz w:val="22"/>
          <w:lang w:eastAsia="sk-SK"/>
        </w:rPr>
        <w:t xml:space="preserve"> a preto sa finančné prostriedky použili najmä pre kapitoly ŠR. Nevyčerpané finančné prostriedky v sume 57 008,6 tis. eur sa viazali v rámci rezervy na použitie v nasledujúcich rokoch a kapitálové výdavky v sume 15 000 tis. eur boli rozpočtovým o</w:t>
      </w:r>
      <w:r w:rsidR="001D2AD7" w:rsidRPr="00C65CAA">
        <w:rPr>
          <w:rFonts w:ascii="Arial Narrow" w:eastAsia="Times New Roman" w:hAnsi="Arial Narrow" w:cs="Times New Roman"/>
          <w:sz w:val="22"/>
          <w:lang w:eastAsia="sk-SK"/>
        </w:rPr>
        <w:t>patrením presunuté a viazané na </w:t>
      </w:r>
      <w:r w:rsidRPr="00C65CAA">
        <w:rPr>
          <w:rFonts w:ascii="Arial Narrow" w:eastAsia="Times New Roman" w:hAnsi="Arial Narrow" w:cs="Times New Roman"/>
          <w:sz w:val="22"/>
          <w:lang w:eastAsia="sk-SK"/>
        </w:rPr>
        <w:t>výdavkovom titule Výdavky na vybrané investície.</w:t>
      </w:r>
    </w:p>
    <w:p w:rsidR="009947D5" w:rsidRPr="00C65CAA" w:rsidRDefault="009947D5" w:rsidP="00256AF8">
      <w:pPr>
        <w:spacing w:before="100" w:after="100"/>
        <w:ind w:firstLine="708"/>
        <w:jc w:val="both"/>
        <w:rPr>
          <w:rFonts w:ascii="Arial Narrow" w:hAnsi="Arial Narrow"/>
          <w:sz w:val="22"/>
          <w:szCs w:val="22"/>
        </w:rPr>
      </w:pPr>
      <w:r w:rsidRPr="00C65CAA">
        <w:rPr>
          <w:rFonts w:ascii="Arial Narrow" w:hAnsi="Arial Narrow"/>
          <w:sz w:val="22"/>
          <w:szCs w:val="22"/>
        </w:rPr>
        <w:t>NKÚ SR upozorňuje na zvýšenie objemu rezerv v návrhu RVS na roky 2019 až 2020 a opakovane upozorňuje na viaceré problémy spojené s čerpaním rezerv, ktoré môžu byť použité na iné účely v súlade s rozhodnutím vlády alebo ministra financií.</w:t>
      </w:r>
    </w:p>
    <w:p w:rsidR="00D23611" w:rsidRPr="00C65CAA" w:rsidRDefault="00D23611" w:rsidP="00256AF8">
      <w:pPr>
        <w:spacing w:before="100" w:after="100"/>
        <w:ind w:firstLine="708"/>
        <w:jc w:val="both"/>
        <w:rPr>
          <w:rFonts w:ascii="Arial Narrow" w:hAnsi="Arial Narrow"/>
          <w:sz w:val="22"/>
          <w:szCs w:val="22"/>
        </w:rPr>
      </w:pPr>
      <w:r w:rsidRPr="00C65CAA">
        <w:rPr>
          <w:rFonts w:ascii="Arial Narrow" w:hAnsi="Arial Narrow"/>
          <w:sz w:val="22"/>
          <w:szCs w:val="22"/>
        </w:rPr>
        <w:t xml:space="preserve">Porovnanie </w:t>
      </w:r>
      <w:r w:rsidRPr="00C65CAA">
        <w:rPr>
          <w:rFonts w:ascii="Arial Narrow" w:hAnsi="Arial Narrow"/>
          <w:b/>
          <w:sz w:val="22"/>
          <w:szCs w:val="22"/>
        </w:rPr>
        <w:t>bežných výdavkov</w:t>
      </w:r>
      <w:r w:rsidRPr="00C65CAA">
        <w:rPr>
          <w:rFonts w:ascii="Arial Narrow" w:hAnsi="Arial Narrow"/>
          <w:sz w:val="22"/>
          <w:szCs w:val="22"/>
        </w:rPr>
        <w:t xml:space="preserve"> za rok 201</w:t>
      </w:r>
      <w:r w:rsidR="001065C1" w:rsidRPr="00C65CAA">
        <w:rPr>
          <w:rFonts w:ascii="Arial Narrow" w:hAnsi="Arial Narrow"/>
          <w:sz w:val="22"/>
          <w:szCs w:val="22"/>
        </w:rPr>
        <w:t>7, schváleného rozpočtu na ro</w:t>
      </w:r>
      <w:r w:rsidR="001D2AD7" w:rsidRPr="00C65CAA">
        <w:rPr>
          <w:rFonts w:ascii="Arial Narrow" w:hAnsi="Arial Narrow"/>
          <w:sz w:val="22"/>
          <w:szCs w:val="22"/>
        </w:rPr>
        <w:t>k 2018 a návrhu rozpočtu na rok </w:t>
      </w:r>
      <w:r w:rsidR="001065C1" w:rsidRPr="00C65CAA">
        <w:rPr>
          <w:rFonts w:ascii="Arial Narrow" w:hAnsi="Arial Narrow"/>
          <w:sz w:val="22"/>
          <w:szCs w:val="22"/>
        </w:rPr>
        <w:t>2019</w:t>
      </w:r>
      <w:r w:rsidR="001D2AD7" w:rsidRPr="00C65CAA">
        <w:rPr>
          <w:rFonts w:ascii="Arial Narrow" w:hAnsi="Arial Narrow"/>
          <w:sz w:val="22"/>
          <w:szCs w:val="22"/>
        </w:rPr>
        <w:t>:</w:t>
      </w:r>
    </w:p>
    <w:tbl>
      <w:tblPr>
        <w:tblW w:w="5157"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80"/>
        <w:gridCol w:w="1135"/>
        <w:gridCol w:w="1135"/>
        <w:gridCol w:w="1425"/>
        <w:gridCol w:w="978"/>
        <w:gridCol w:w="995"/>
      </w:tblGrid>
      <w:tr w:rsidR="00246EC8" w:rsidRPr="00C65CAA" w:rsidTr="003306A1">
        <w:trPr>
          <w:trHeight w:val="329"/>
          <w:tblHeader/>
          <w:jc w:val="center"/>
        </w:trPr>
        <w:tc>
          <w:tcPr>
            <w:tcW w:w="1968" w:type="pct"/>
            <w:vMerge w:val="restart"/>
            <w:shd w:val="clear" w:color="auto" w:fill="0070C0"/>
            <w:vAlign w:val="center"/>
          </w:tcPr>
          <w:p w:rsidR="00246EC8" w:rsidRPr="00C65CAA" w:rsidRDefault="00246EC8" w:rsidP="00011F12">
            <w:pPr>
              <w:rPr>
                <w:rFonts w:ascii="Arial Narrow" w:eastAsia="Calibri" w:hAnsi="Arial Narrow"/>
                <w:b/>
                <w:color w:val="FFFFFF"/>
                <w:sz w:val="20"/>
                <w:szCs w:val="20"/>
                <w:lang w:eastAsia="en-US"/>
              </w:rPr>
            </w:pPr>
            <w:r w:rsidRPr="00C65CAA">
              <w:rPr>
                <w:rFonts w:ascii="Arial Narrow" w:eastAsia="Calibri" w:hAnsi="Arial Narrow"/>
                <w:b/>
                <w:bCs/>
                <w:color w:val="FFFFFF"/>
                <w:sz w:val="20"/>
                <w:szCs w:val="20"/>
                <w:lang w:eastAsia="en-US"/>
              </w:rPr>
              <w:lastRenderedPageBreak/>
              <w:t>Ukazovateľ</w:t>
            </w:r>
          </w:p>
        </w:tc>
        <w:tc>
          <w:tcPr>
            <w:tcW w:w="607" w:type="pct"/>
            <w:vMerge w:val="restart"/>
            <w:shd w:val="clear" w:color="auto" w:fill="0070C0"/>
            <w:vAlign w:val="center"/>
          </w:tcPr>
          <w:p w:rsidR="00246EC8" w:rsidRPr="00C65CAA" w:rsidRDefault="00246EC8" w:rsidP="00011F12">
            <w:pPr>
              <w:jc w:val="center"/>
              <w:rPr>
                <w:rFonts w:ascii="Arial Narrow" w:eastAsia="Calibri" w:hAnsi="Arial Narrow"/>
                <w:b/>
                <w:color w:val="FFFFFF"/>
                <w:sz w:val="20"/>
                <w:szCs w:val="20"/>
                <w:lang w:eastAsia="en-US"/>
              </w:rPr>
            </w:pPr>
            <w:r w:rsidRPr="00C65CAA">
              <w:rPr>
                <w:rFonts w:ascii="Arial Narrow" w:eastAsia="Calibri" w:hAnsi="Arial Narrow"/>
                <w:b/>
                <w:color w:val="FFFFFF"/>
                <w:sz w:val="20"/>
                <w:szCs w:val="20"/>
                <w:lang w:eastAsia="en-US"/>
              </w:rPr>
              <w:t>Skutočnosť</w:t>
            </w:r>
          </w:p>
          <w:p w:rsidR="00246EC8" w:rsidRPr="00C65CAA" w:rsidRDefault="00246EC8" w:rsidP="00011F12">
            <w:pPr>
              <w:jc w:val="center"/>
              <w:rPr>
                <w:rFonts w:ascii="Arial Narrow" w:eastAsia="Calibri" w:hAnsi="Arial Narrow"/>
                <w:b/>
                <w:color w:val="FFFFFF"/>
                <w:sz w:val="20"/>
                <w:szCs w:val="20"/>
                <w:lang w:eastAsia="en-US"/>
              </w:rPr>
            </w:pPr>
            <w:r w:rsidRPr="00C65CAA">
              <w:rPr>
                <w:rFonts w:ascii="Arial Narrow" w:eastAsia="Calibri" w:hAnsi="Arial Narrow"/>
                <w:b/>
                <w:color w:val="FFFFFF"/>
                <w:sz w:val="20"/>
                <w:szCs w:val="20"/>
                <w:lang w:eastAsia="en-US"/>
              </w:rPr>
              <w:t>2017</w:t>
            </w:r>
          </w:p>
        </w:tc>
        <w:tc>
          <w:tcPr>
            <w:tcW w:w="607" w:type="pct"/>
            <w:vMerge w:val="restart"/>
            <w:shd w:val="clear" w:color="auto" w:fill="0070C0"/>
          </w:tcPr>
          <w:p w:rsidR="00246EC8" w:rsidRPr="00C65CAA" w:rsidRDefault="00246EC8" w:rsidP="00011F12">
            <w:pPr>
              <w:jc w:val="center"/>
              <w:rPr>
                <w:rFonts w:ascii="Arial Narrow" w:eastAsia="Calibri" w:hAnsi="Arial Narrow"/>
                <w:b/>
                <w:color w:val="FFFFFF"/>
                <w:sz w:val="20"/>
                <w:szCs w:val="20"/>
                <w:lang w:eastAsia="en-US"/>
              </w:rPr>
            </w:pPr>
            <w:r w:rsidRPr="00C65CAA">
              <w:rPr>
                <w:rFonts w:ascii="Arial Narrow" w:eastAsia="Calibri" w:hAnsi="Arial Narrow"/>
                <w:b/>
                <w:color w:val="FFFFFF"/>
                <w:sz w:val="20"/>
                <w:szCs w:val="20"/>
                <w:lang w:eastAsia="en-US"/>
              </w:rPr>
              <w:t>Rozpočet 2018</w:t>
            </w:r>
          </w:p>
        </w:tc>
        <w:tc>
          <w:tcPr>
            <w:tcW w:w="762" w:type="pct"/>
            <w:vMerge w:val="restart"/>
            <w:shd w:val="clear" w:color="auto" w:fill="0070C0"/>
          </w:tcPr>
          <w:p w:rsidR="00246EC8" w:rsidRPr="00C65CAA" w:rsidRDefault="00246EC8" w:rsidP="00011F12">
            <w:pPr>
              <w:jc w:val="center"/>
              <w:rPr>
                <w:rFonts w:ascii="Arial Narrow" w:eastAsia="Calibri" w:hAnsi="Arial Narrow"/>
                <w:b/>
                <w:color w:val="FFFFFF"/>
                <w:sz w:val="20"/>
                <w:szCs w:val="20"/>
                <w:lang w:eastAsia="en-US"/>
              </w:rPr>
            </w:pPr>
            <w:r w:rsidRPr="00C65CAA">
              <w:rPr>
                <w:rFonts w:ascii="Arial Narrow" w:eastAsia="Calibri" w:hAnsi="Arial Narrow"/>
                <w:b/>
                <w:color w:val="FFFFFF"/>
                <w:sz w:val="20"/>
                <w:szCs w:val="20"/>
                <w:lang w:eastAsia="en-US"/>
              </w:rPr>
              <w:t>Návrh rozpočtu 2019</w:t>
            </w:r>
          </w:p>
        </w:tc>
        <w:tc>
          <w:tcPr>
            <w:tcW w:w="523" w:type="pct"/>
            <w:vMerge w:val="restart"/>
            <w:shd w:val="clear" w:color="auto" w:fill="0070C0"/>
            <w:vAlign w:val="center"/>
          </w:tcPr>
          <w:p w:rsidR="00246EC8" w:rsidRPr="00C65CAA" w:rsidRDefault="00246EC8" w:rsidP="00011F12">
            <w:pPr>
              <w:jc w:val="center"/>
              <w:rPr>
                <w:rFonts w:ascii="Arial Narrow" w:eastAsia="Calibri" w:hAnsi="Arial Narrow"/>
                <w:b/>
                <w:color w:val="FFFFFF"/>
                <w:sz w:val="20"/>
                <w:szCs w:val="20"/>
                <w:lang w:eastAsia="en-US"/>
              </w:rPr>
            </w:pPr>
            <w:r w:rsidRPr="00C65CAA">
              <w:rPr>
                <w:rFonts w:ascii="Arial Narrow" w:eastAsia="Calibri" w:hAnsi="Arial Narrow"/>
                <w:b/>
                <w:color w:val="FFFFFF"/>
                <w:sz w:val="20"/>
                <w:szCs w:val="20"/>
                <w:lang w:eastAsia="en-US"/>
              </w:rPr>
              <w:t>Rozdiel</w:t>
            </w:r>
          </w:p>
        </w:tc>
        <w:tc>
          <w:tcPr>
            <w:tcW w:w="532" w:type="pct"/>
            <w:vMerge w:val="restart"/>
            <w:shd w:val="clear" w:color="auto" w:fill="0070C0"/>
            <w:vAlign w:val="center"/>
          </w:tcPr>
          <w:p w:rsidR="00246EC8" w:rsidRPr="00C65CAA" w:rsidRDefault="00246EC8" w:rsidP="00011F12">
            <w:pPr>
              <w:jc w:val="center"/>
              <w:rPr>
                <w:rFonts w:ascii="Arial Narrow" w:eastAsia="Calibri" w:hAnsi="Arial Narrow"/>
                <w:b/>
                <w:color w:val="FFFFFF"/>
                <w:sz w:val="20"/>
                <w:szCs w:val="20"/>
                <w:lang w:eastAsia="en-US"/>
              </w:rPr>
            </w:pPr>
            <w:r w:rsidRPr="00C65CAA">
              <w:rPr>
                <w:rFonts w:ascii="Arial Narrow" w:eastAsia="Calibri" w:hAnsi="Arial Narrow"/>
                <w:b/>
                <w:color w:val="FFFFFF"/>
                <w:sz w:val="20"/>
                <w:szCs w:val="20"/>
                <w:lang w:eastAsia="en-US"/>
              </w:rPr>
              <w:t>Podiel</w:t>
            </w:r>
          </w:p>
          <w:p w:rsidR="00246EC8" w:rsidRPr="00C65CAA" w:rsidRDefault="00246EC8" w:rsidP="00011F12">
            <w:pPr>
              <w:jc w:val="center"/>
              <w:rPr>
                <w:rFonts w:ascii="Arial Narrow" w:eastAsia="Calibri" w:hAnsi="Arial Narrow"/>
                <w:b/>
                <w:color w:val="FFFFFF"/>
                <w:sz w:val="20"/>
                <w:szCs w:val="20"/>
                <w:lang w:eastAsia="en-US"/>
              </w:rPr>
            </w:pPr>
            <w:r w:rsidRPr="00C65CAA">
              <w:rPr>
                <w:rFonts w:ascii="Arial Narrow" w:eastAsia="Calibri" w:hAnsi="Arial Narrow"/>
                <w:b/>
                <w:color w:val="FFFFFF"/>
                <w:sz w:val="20"/>
                <w:szCs w:val="20"/>
                <w:lang w:eastAsia="en-US"/>
              </w:rPr>
              <w:t>(v %)</w:t>
            </w:r>
          </w:p>
        </w:tc>
      </w:tr>
      <w:tr w:rsidR="00246EC8" w:rsidRPr="00C65CAA" w:rsidTr="003306A1">
        <w:trPr>
          <w:trHeight w:val="429"/>
          <w:tblHeader/>
          <w:jc w:val="center"/>
        </w:trPr>
        <w:tc>
          <w:tcPr>
            <w:tcW w:w="1968" w:type="pct"/>
            <w:vMerge/>
            <w:tcBorders>
              <w:bottom w:val="single" w:sz="4" w:space="0" w:color="auto"/>
            </w:tcBorders>
            <w:shd w:val="clear" w:color="auto" w:fill="D9D9D9"/>
          </w:tcPr>
          <w:p w:rsidR="00246EC8" w:rsidRPr="00C65CAA" w:rsidRDefault="00246EC8" w:rsidP="00011F12">
            <w:pPr>
              <w:rPr>
                <w:rFonts w:ascii="Arial Narrow" w:eastAsia="Calibri" w:hAnsi="Arial Narrow"/>
                <w:sz w:val="20"/>
                <w:szCs w:val="20"/>
                <w:lang w:eastAsia="en-US"/>
              </w:rPr>
            </w:pPr>
          </w:p>
        </w:tc>
        <w:tc>
          <w:tcPr>
            <w:tcW w:w="607" w:type="pct"/>
            <w:vMerge/>
            <w:tcBorders>
              <w:bottom w:val="single" w:sz="4" w:space="0" w:color="auto"/>
            </w:tcBorders>
            <w:shd w:val="clear" w:color="auto" w:fill="D9D9D9"/>
          </w:tcPr>
          <w:p w:rsidR="00246EC8" w:rsidRPr="00C65CAA" w:rsidRDefault="00246EC8" w:rsidP="00011F12">
            <w:pPr>
              <w:rPr>
                <w:rFonts w:ascii="Arial Narrow" w:eastAsia="Calibri" w:hAnsi="Arial Narrow"/>
                <w:sz w:val="20"/>
                <w:szCs w:val="20"/>
                <w:lang w:eastAsia="en-US"/>
              </w:rPr>
            </w:pPr>
          </w:p>
        </w:tc>
        <w:tc>
          <w:tcPr>
            <w:tcW w:w="607" w:type="pct"/>
            <w:vMerge/>
            <w:tcBorders>
              <w:bottom w:val="single" w:sz="4" w:space="0" w:color="auto"/>
            </w:tcBorders>
            <w:shd w:val="clear" w:color="auto" w:fill="0070C0"/>
          </w:tcPr>
          <w:p w:rsidR="00246EC8" w:rsidRPr="00C65CAA" w:rsidRDefault="00246EC8" w:rsidP="00011F12">
            <w:pPr>
              <w:jc w:val="center"/>
              <w:rPr>
                <w:rFonts w:ascii="Arial Narrow" w:eastAsia="Calibri" w:hAnsi="Arial Narrow"/>
                <w:b/>
                <w:color w:val="FFFFFF"/>
                <w:sz w:val="20"/>
                <w:szCs w:val="20"/>
                <w:lang w:eastAsia="en-US"/>
              </w:rPr>
            </w:pPr>
          </w:p>
        </w:tc>
        <w:tc>
          <w:tcPr>
            <w:tcW w:w="762" w:type="pct"/>
            <w:vMerge/>
            <w:tcBorders>
              <w:bottom w:val="single" w:sz="4" w:space="0" w:color="auto"/>
            </w:tcBorders>
            <w:shd w:val="clear" w:color="auto" w:fill="0070C0"/>
          </w:tcPr>
          <w:p w:rsidR="00246EC8" w:rsidRPr="00C65CAA" w:rsidRDefault="00246EC8" w:rsidP="00011F12">
            <w:pPr>
              <w:rPr>
                <w:rFonts w:ascii="Arial Narrow" w:eastAsia="Calibri" w:hAnsi="Arial Narrow"/>
                <w:sz w:val="20"/>
                <w:szCs w:val="20"/>
                <w:lang w:eastAsia="en-US"/>
              </w:rPr>
            </w:pPr>
          </w:p>
        </w:tc>
        <w:tc>
          <w:tcPr>
            <w:tcW w:w="523" w:type="pct"/>
            <w:vMerge/>
            <w:tcBorders>
              <w:bottom w:val="single" w:sz="4" w:space="0" w:color="auto"/>
            </w:tcBorders>
            <w:shd w:val="clear" w:color="auto" w:fill="D9D9D9"/>
          </w:tcPr>
          <w:p w:rsidR="00246EC8" w:rsidRPr="00C65CAA" w:rsidRDefault="00246EC8" w:rsidP="00011F12">
            <w:pPr>
              <w:rPr>
                <w:rFonts w:ascii="Arial Narrow" w:eastAsia="Calibri" w:hAnsi="Arial Narrow"/>
                <w:sz w:val="20"/>
                <w:szCs w:val="20"/>
                <w:lang w:eastAsia="en-US"/>
              </w:rPr>
            </w:pPr>
          </w:p>
        </w:tc>
        <w:tc>
          <w:tcPr>
            <w:tcW w:w="532" w:type="pct"/>
            <w:vMerge/>
            <w:tcBorders>
              <w:bottom w:val="single" w:sz="4" w:space="0" w:color="auto"/>
            </w:tcBorders>
            <w:shd w:val="clear" w:color="auto" w:fill="D9D9D9"/>
          </w:tcPr>
          <w:p w:rsidR="00246EC8" w:rsidRPr="00C65CAA" w:rsidRDefault="00246EC8" w:rsidP="00011F12">
            <w:pPr>
              <w:rPr>
                <w:rFonts w:ascii="Arial Narrow" w:eastAsia="Calibri" w:hAnsi="Arial Narrow"/>
                <w:sz w:val="20"/>
                <w:szCs w:val="20"/>
                <w:lang w:eastAsia="en-US"/>
              </w:rPr>
            </w:pPr>
          </w:p>
        </w:tc>
      </w:tr>
      <w:tr w:rsidR="00631161" w:rsidRPr="00C65CAA" w:rsidTr="003306A1">
        <w:trPr>
          <w:trHeight w:val="170"/>
          <w:tblHeader/>
          <w:jc w:val="center"/>
        </w:trPr>
        <w:tc>
          <w:tcPr>
            <w:tcW w:w="1968"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center"/>
              <w:rPr>
                <w:rFonts w:ascii="Arial Narrow" w:eastAsia="Calibri" w:hAnsi="Arial Narrow"/>
                <w:bCs/>
                <w:color w:val="000000"/>
                <w:sz w:val="20"/>
                <w:szCs w:val="20"/>
                <w:lang w:eastAsia="en-US"/>
              </w:rPr>
            </w:pPr>
            <w:r w:rsidRPr="00C65CAA">
              <w:rPr>
                <w:rFonts w:ascii="Arial Narrow" w:eastAsia="Calibri" w:hAnsi="Arial Narrow"/>
                <w:bCs/>
                <w:color w:val="000000"/>
                <w:sz w:val="18"/>
                <w:szCs w:val="18"/>
                <w:lang w:eastAsia="en-US"/>
              </w:rPr>
              <w:t>a</w:t>
            </w:r>
          </w:p>
        </w:tc>
        <w:tc>
          <w:tcPr>
            <w:tcW w:w="607" w:type="pct"/>
            <w:tcBorders>
              <w:top w:val="single" w:sz="4" w:space="0" w:color="auto"/>
              <w:left w:val="single" w:sz="4" w:space="0" w:color="auto"/>
              <w:bottom w:val="single" w:sz="4" w:space="0" w:color="auto"/>
              <w:right w:val="single" w:sz="4" w:space="0" w:color="auto"/>
            </w:tcBorders>
          </w:tcPr>
          <w:p w:rsidR="00631161" w:rsidRPr="00C65CAA" w:rsidRDefault="00631161" w:rsidP="00011F12">
            <w:pPr>
              <w:jc w:val="center"/>
              <w:rPr>
                <w:rFonts w:ascii="Arial Narrow" w:eastAsia="Calibri" w:hAnsi="Arial Narrow"/>
                <w:sz w:val="20"/>
                <w:szCs w:val="20"/>
                <w:lang w:eastAsia="en-US"/>
              </w:rPr>
            </w:pPr>
            <w:r w:rsidRPr="00C65CAA">
              <w:rPr>
                <w:rFonts w:ascii="Arial Narrow" w:eastAsia="Calibri" w:hAnsi="Arial Narrow"/>
                <w:sz w:val="18"/>
                <w:szCs w:val="18"/>
                <w:lang w:eastAsia="en-US"/>
              </w:rPr>
              <w:t>1</w:t>
            </w:r>
          </w:p>
        </w:tc>
        <w:tc>
          <w:tcPr>
            <w:tcW w:w="607" w:type="pct"/>
            <w:tcBorders>
              <w:top w:val="single" w:sz="4" w:space="0" w:color="auto"/>
              <w:left w:val="single" w:sz="4" w:space="0" w:color="auto"/>
              <w:bottom w:val="single" w:sz="4" w:space="0" w:color="auto"/>
              <w:right w:val="single" w:sz="4" w:space="0" w:color="auto"/>
            </w:tcBorders>
          </w:tcPr>
          <w:p w:rsidR="00631161" w:rsidRPr="00C65CAA" w:rsidRDefault="00631161" w:rsidP="00011F12">
            <w:pPr>
              <w:jc w:val="center"/>
              <w:rPr>
                <w:rFonts w:ascii="Arial Narrow" w:eastAsia="Calibri" w:hAnsi="Arial Narrow"/>
                <w:sz w:val="20"/>
                <w:szCs w:val="20"/>
                <w:lang w:eastAsia="en-US"/>
              </w:rPr>
            </w:pPr>
            <w:r w:rsidRPr="00C65CAA">
              <w:rPr>
                <w:rFonts w:ascii="Arial Narrow" w:eastAsia="Calibri" w:hAnsi="Arial Narrow"/>
                <w:sz w:val="18"/>
                <w:szCs w:val="18"/>
                <w:lang w:eastAsia="en-US"/>
              </w:rPr>
              <w:t>2</w:t>
            </w:r>
          </w:p>
        </w:tc>
        <w:tc>
          <w:tcPr>
            <w:tcW w:w="762" w:type="pct"/>
            <w:tcBorders>
              <w:top w:val="single" w:sz="4" w:space="0" w:color="auto"/>
              <w:left w:val="single" w:sz="4" w:space="0" w:color="auto"/>
              <w:bottom w:val="single" w:sz="4" w:space="0" w:color="auto"/>
              <w:right w:val="single" w:sz="4" w:space="0" w:color="auto"/>
            </w:tcBorders>
          </w:tcPr>
          <w:p w:rsidR="00631161" w:rsidRPr="00C65CAA" w:rsidRDefault="00631161" w:rsidP="00011F12">
            <w:pPr>
              <w:jc w:val="center"/>
              <w:rPr>
                <w:rFonts w:ascii="Arial Narrow" w:eastAsia="Calibri" w:hAnsi="Arial Narrow"/>
                <w:sz w:val="20"/>
                <w:szCs w:val="20"/>
                <w:lang w:eastAsia="en-US"/>
              </w:rPr>
            </w:pPr>
            <w:r w:rsidRPr="00C65CAA">
              <w:rPr>
                <w:rFonts w:ascii="Arial Narrow" w:eastAsia="Calibri" w:hAnsi="Arial Narrow"/>
                <w:sz w:val="18"/>
                <w:szCs w:val="18"/>
                <w:lang w:eastAsia="en-US"/>
              </w:rPr>
              <w:t>3</w:t>
            </w:r>
          </w:p>
        </w:tc>
        <w:tc>
          <w:tcPr>
            <w:tcW w:w="523" w:type="pct"/>
            <w:tcBorders>
              <w:top w:val="single" w:sz="4" w:space="0" w:color="auto"/>
              <w:left w:val="single" w:sz="4" w:space="0" w:color="auto"/>
              <w:bottom w:val="single" w:sz="4" w:space="0" w:color="auto"/>
              <w:right w:val="single" w:sz="4" w:space="0" w:color="auto"/>
            </w:tcBorders>
          </w:tcPr>
          <w:p w:rsidR="00631161" w:rsidRPr="00C65CAA" w:rsidRDefault="00631161" w:rsidP="00011F12">
            <w:pPr>
              <w:jc w:val="center"/>
              <w:rPr>
                <w:rFonts w:ascii="Arial Narrow" w:eastAsia="Calibri" w:hAnsi="Arial Narrow"/>
                <w:sz w:val="20"/>
                <w:szCs w:val="20"/>
                <w:lang w:eastAsia="en-US"/>
              </w:rPr>
            </w:pPr>
            <w:r w:rsidRPr="00C65CAA">
              <w:rPr>
                <w:rFonts w:ascii="Arial Narrow" w:eastAsia="Calibri" w:hAnsi="Arial Narrow"/>
                <w:sz w:val="18"/>
                <w:szCs w:val="18"/>
                <w:lang w:eastAsia="en-US"/>
              </w:rPr>
              <w:t>4=3-2</w:t>
            </w:r>
          </w:p>
        </w:tc>
        <w:tc>
          <w:tcPr>
            <w:tcW w:w="532" w:type="pct"/>
            <w:tcBorders>
              <w:top w:val="single" w:sz="4" w:space="0" w:color="auto"/>
              <w:left w:val="single" w:sz="4" w:space="0" w:color="auto"/>
              <w:bottom w:val="single" w:sz="4" w:space="0" w:color="auto"/>
              <w:right w:val="single" w:sz="4" w:space="0" w:color="auto"/>
            </w:tcBorders>
          </w:tcPr>
          <w:p w:rsidR="00631161" w:rsidRPr="00C65CAA" w:rsidRDefault="00631161" w:rsidP="00011F12">
            <w:pPr>
              <w:jc w:val="center"/>
              <w:rPr>
                <w:rFonts w:ascii="Arial Narrow" w:eastAsia="Calibri" w:hAnsi="Arial Narrow"/>
                <w:sz w:val="20"/>
                <w:szCs w:val="20"/>
                <w:lang w:eastAsia="en-US"/>
              </w:rPr>
            </w:pPr>
            <w:r w:rsidRPr="00C65CAA">
              <w:rPr>
                <w:rFonts w:ascii="Arial Narrow" w:eastAsia="Calibri" w:hAnsi="Arial Narrow"/>
                <w:sz w:val="18"/>
                <w:szCs w:val="18"/>
                <w:lang w:eastAsia="en-US"/>
              </w:rPr>
              <w:t>5=3/2*100</w:t>
            </w:r>
          </w:p>
        </w:tc>
      </w:tr>
      <w:tr w:rsidR="00631161" w:rsidRPr="00C65CAA" w:rsidTr="003306A1">
        <w:trPr>
          <w:trHeight w:val="170"/>
          <w:jc w:val="center"/>
        </w:trPr>
        <w:tc>
          <w:tcPr>
            <w:tcW w:w="1968" w:type="pct"/>
            <w:tcBorders>
              <w:top w:val="single" w:sz="4" w:space="0" w:color="auto"/>
              <w:left w:val="single" w:sz="4" w:space="0" w:color="auto"/>
              <w:bottom w:val="single" w:sz="4" w:space="0" w:color="auto"/>
              <w:right w:val="single" w:sz="4" w:space="0" w:color="auto"/>
            </w:tcBorders>
            <w:shd w:val="clear" w:color="auto" w:fill="D9D9D9"/>
            <w:vAlign w:val="center"/>
          </w:tcPr>
          <w:p w:rsidR="00631161" w:rsidRPr="00C65CAA" w:rsidRDefault="00631161" w:rsidP="00011F12">
            <w:pPr>
              <w:rPr>
                <w:rFonts w:ascii="Arial Narrow" w:eastAsia="Calibri" w:hAnsi="Arial Narrow"/>
                <w:b/>
                <w:bCs/>
                <w:sz w:val="20"/>
                <w:szCs w:val="20"/>
                <w:lang w:eastAsia="en-US"/>
              </w:rPr>
            </w:pPr>
            <w:r w:rsidRPr="00C65CAA">
              <w:rPr>
                <w:rFonts w:ascii="Arial Narrow" w:eastAsia="Calibri" w:hAnsi="Arial Narrow"/>
                <w:b/>
                <w:bCs/>
                <w:sz w:val="20"/>
                <w:szCs w:val="20"/>
                <w:lang w:eastAsia="en-US"/>
              </w:rPr>
              <w:t>Bežné výdavky</w:t>
            </w:r>
          </w:p>
        </w:tc>
        <w:tc>
          <w:tcPr>
            <w:tcW w:w="607" w:type="pct"/>
            <w:tcBorders>
              <w:top w:val="single" w:sz="4" w:space="0" w:color="auto"/>
              <w:left w:val="single" w:sz="4" w:space="0" w:color="auto"/>
              <w:bottom w:val="single" w:sz="4" w:space="0" w:color="auto"/>
              <w:right w:val="single" w:sz="4" w:space="0" w:color="auto"/>
            </w:tcBorders>
            <w:shd w:val="clear" w:color="auto" w:fill="D9D9D9"/>
            <w:vAlign w:val="center"/>
          </w:tcPr>
          <w:p w:rsidR="00631161" w:rsidRPr="00C65CAA" w:rsidRDefault="00631161" w:rsidP="00011F12">
            <w:pPr>
              <w:jc w:val="right"/>
              <w:rPr>
                <w:rFonts w:ascii="Arial Narrow" w:eastAsia="Calibri" w:hAnsi="Arial Narrow" w:cs="Arial CE"/>
                <w:b/>
                <w:bCs/>
                <w:sz w:val="20"/>
                <w:szCs w:val="20"/>
              </w:rPr>
            </w:pPr>
            <w:r w:rsidRPr="00C65CAA">
              <w:rPr>
                <w:rFonts w:ascii="Arial Narrow" w:eastAsia="Calibri" w:hAnsi="Arial Narrow" w:cs="Arial CE"/>
                <w:b/>
                <w:bCs/>
                <w:sz w:val="20"/>
                <w:szCs w:val="20"/>
              </w:rPr>
              <w:t>13 681 468</w:t>
            </w:r>
          </w:p>
        </w:tc>
        <w:tc>
          <w:tcPr>
            <w:tcW w:w="607" w:type="pct"/>
            <w:tcBorders>
              <w:top w:val="single" w:sz="4" w:space="0" w:color="auto"/>
              <w:left w:val="single" w:sz="4" w:space="0" w:color="auto"/>
              <w:bottom w:val="single" w:sz="4" w:space="0" w:color="auto"/>
              <w:right w:val="single" w:sz="4" w:space="0" w:color="auto"/>
            </w:tcBorders>
            <w:shd w:val="clear" w:color="auto" w:fill="D9D9D9"/>
            <w:vAlign w:val="center"/>
          </w:tcPr>
          <w:p w:rsidR="00631161" w:rsidRPr="00C65CAA" w:rsidRDefault="00631161" w:rsidP="00011F12">
            <w:pPr>
              <w:jc w:val="right"/>
              <w:rPr>
                <w:rFonts w:ascii="Arial Narrow" w:hAnsi="Arial Narrow"/>
                <w:b/>
                <w:bCs/>
                <w:color w:val="000000"/>
                <w:sz w:val="20"/>
                <w:szCs w:val="20"/>
              </w:rPr>
            </w:pPr>
            <w:r w:rsidRPr="00C65CAA">
              <w:rPr>
                <w:rFonts w:ascii="Arial Narrow" w:hAnsi="Arial Narrow"/>
                <w:b/>
                <w:bCs/>
                <w:color w:val="000000"/>
                <w:sz w:val="20"/>
                <w:szCs w:val="20"/>
              </w:rPr>
              <w:t>14 624 299</w:t>
            </w:r>
          </w:p>
        </w:tc>
        <w:tc>
          <w:tcPr>
            <w:tcW w:w="762" w:type="pct"/>
            <w:tcBorders>
              <w:top w:val="single" w:sz="4" w:space="0" w:color="auto"/>
              <w:left w:val="single" w:sz="4" w:space="0" w:color="auto"/>
              <w:bottom w:val="single" w:sz="4" w:space="0" w:color="auto"/>
              <w:right w:val="single" w:sz="4" w:space="0" w:color="auto"/>
            </w:tcBorders>
            <w:shd w:val="clear" w:color="auto" w:fill="D9D9D9"/>
            <w:vAlign w:val="center"/>
          </w:tcPr>
          <w:p w:rsidR="00631161" w:rsidRPr="00C65CAA" w:rsidRDefault="00631161" w:rsidP="00011F12">
            <w:pPr>
              <w:jc w:val="right"/>
              <w:rPr>
                <w:rFonts w:ascii="Arial Narrow" w:hAnsi="Arial Narrow"/>
                <w:b/>
                <w:bCs/>
                <w:color w:val="000000"/>
                <w:sz w:val="20"/>
                <w:szCs w:val="20"/>
              </w:rPr>
            </w:pPr>
            <w:r w:rsidRPr="00C65CAA">
              <w:rPr>
                <w:rFonts w:ascii="Arial Narrow" w:hAnsi="Arial Narrow"/>
                <w:b/>
                <w:bCs/>
                <w:color w:val="000000"/>
                <w:sz w:val="20"/>
                <w:szCs w:val="20"/>
              </w:rPr>
              <w:t>15 250 323</w:t>
            </w:r>
          </w:p>
        </w:tc>
        <w:tc>
          <w:tcPr>
            <w:tcW w:w="523" w:type="pct"/>
            <w:tcBorders>
              <w:top w:val="single" w:sz="4" w:space="0" w:color="auto"/>
              <w:left w:val="single" w:sz="4" w:space="0" w:color="auto"/>
              <w:bottom w:val="single" w:sz="4" w:space="0" w:color="auto"/>
              <w:right w:val="single" w:sz="4" w:space="0" w:color="auto"/>
            </w:tcBorders>
            <w:shd w:val="clear" w:color="auto" w:fill="D9D9D9"/>
            <w:vAlign w:val="center"/>
          </w:tcPr>
          <w:p w:rsidR="00631161" w:rsidRPr="00C65CAA" w:rsidRDefault="00631161" w:rsidP="00011F12">
            <w:pPr>
              <w:jc w:val="right"/>
              <w:rPr>
                <w:rFonts w:ascii="Arial Narrow" w:hAnsi="Arial Narrow"/>
                <w:b/>
                <w:bCs/>
                <w:color w:val="000000"/>
                <w:sz w:val="20"/>
                <w:szCs w:val="20"/>
              </w:rPr>
            </w:pPr>
            <w:r w:rsidRPr="00C65CAA">
              <w:rPr>
                <w:rFonts w:ascii="Arial Narrow" w:hAnsi="Arial Narrow"/>
                <w:b/>
                <w:bCs/>
                <w:color w:val="000000"/>
                <w:sz w:val="20"/>
                <w:szCs w:val="20"/>
              </w:rPr>
              <w:t>626 024</w:t>
            </w:r>
          </w:p>
        </w:tc>
        <w:tc>
          <w:tcPr>
            <w:tcW w:w="532" w:type="pct"/>
            <w:tcBorders>
              <w:top w:val="single" w:sz="4" w:space="0" w:color="auto"/>
              <w:left w:val="single" w:sz="4" w:space="0" w:color="auto"/>
              <w:bottom w:val="single" w:sz="4" w:space="0" w:color="auto"/>
              <w:right w:val="single" w:sz="4" w:space="0" w:color="auto"/>
            </w:tcBorders>
            <w:shd w:val="clear" w:color="auto" w:fill="D9D9D9"/>
            <w:vAlign w:val="center"/>
          </w:tcPr>
          <w:p w:rsidR="00631161" w:rsidRPr="00C65CAA" w:rsidRDefault="00631161" w:rsidP="00011F12">
            <w:pPr>
              <w:jc w:val="right"/>
              <w:rPr>
                <w:rFonts w:ascii="Arial Narrow" w:hAnsi="Arial Narrow"/>
                <w:b/>
                <w:bCs/>
                <w:color w:val="000000"/>
                <w:sz w:val="20"/>
                <w:szCs w:val="20"/>
              </w:rPr>
            </w:pPr>
            <w:r w:rsidRPr="00C65CAA">
              <w:rPr>
                <w:rFonts w:ascii="Arial Narrow" w:hAnsi="Arial Narrow"/>
                <w:b/>
                <w:bCs/>
                <w:color w:val="000000"/>
                <w:sz w:val="20"/>
                <w:szCs w:val="20"/>
              </w:rPr>
              <w:t>104,3</w:t>
            </w:r>
          </w:p>
        </w:tc>
      </w:tr>
      <w:tr w:rsidR="00631161" w:rsidRPr="00C65CAA" w:rsidTr="003306A1">
        <w:trPr>
          <w:trHeight w:val="170"/>
          <w:jc w:val="center"/>
        </w:trPr>
        <w:tc>
          <w:tcPr>
            <w:tcW w:w="1968"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pStyle w:val="Odsekzoznamu"/>
              <w:numPr>
                <w:ilvl w:val="0"/>
                <w:numId w:val="97"/>
              </w:numPr>
              <w:rPr>
                <w:rFonts w:ascii="Arial Narrow" w:eastAsia="Calibri" w:hAnsi="Arial Narrow"/>
                <w:sz w:val="20"/>
                <w:szCs w:val="20"/>
                <w:lang w:eastAsia="en-US"/>
              </w:rPr>
            </w:pPr>
            <w:r w:rsidRPr="00C65CAA">
              <w:rPr>
                <w:rFonts w:ascii="Arial Narrow" w:eastAsia="Calibri" w:hAnsi="Arial Narrow"/>
                <w:bCs/>
                <w:sz w:val="20"/>
                <w:szCs w:val="20"/>
                <w:lang w:eastAsia="en-US"/>
              </w:rPr>
              <w:t>Mzdy, platy, služobné príjmy a ostatné osobné výdavky</w:t>
            </w:r>
          </w:p>
        </w:tc>
        <w:tc>
          <w:tcPr>
            <w:tcW w:w="607"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eastAsia="Calibri" w:hAnsi="Arial Narrow" w:cs="Arial CE"/>
                <w:sz w:val="20"/>
                <w:szCs w:val="20"/>
              </w:rPr>
            </w:pPr>
            <w:r w:rsidRPr="00C65CAA">
              <w:rPr>
                <w:rFonts w:ascii="Arial Narrow" w:eastAsia="Calibri" w:hAnsi="Arial Narrow" w:cs="Arial CE"/>
                <w:sz w:val="20"/>
                <w:szCs w:val="20"/>
              </w:rPr>
              <w:t>1 869 049</w:t>
            </w:r>
          </w:p>
        </w:tc>
        <w:tc>
          <w:tcPr>
            <w:tcW w:w="607"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1 953 532</w:t>
            </w:r>
          </w:p>
        </w:tc>
        <w:tc>
          <w:tcPr>
            <w:tcW w:w="762"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2 221 695</w:t>
            </w:r>
          </w:p>
        </w:tc>
        <w:tc>
          <w:tcPr>
            <w:tcW w:w="523"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268 163</w:t>
            </w:r>
          </w:p>
        </w:tc>
        <w:tc>
          <w:tcPr>
            <w:tcW w:w="532"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113,7</w:t>
            </w:r>
          </w:p>
        </w:tc>
      </w:tr>
      <w:tr w:rsidR="00631161" w:rsidRPr="00C65CAA" w:rsidTr="003306A1">
        <w:trPr>
          <w:trHeight w:val="170"/>
          <w:jc w:val="center"/>
        </w:trPr>
        <w:tc>
          <w:tcPr>
            <w:tcW w:w="1968"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pStyle w:val="Odsekzoznamu"/>
              <w:numPr>
                <w:ilvl w:val="0"/>
                <w:numId w:val="97"/>
              </w:numPr>
              <w:rPr>
                <w:rFonts w:ascii="Arial Narrow" w:eastAsia="Calibri" w:hAnsi="Arial Narrow"/>
                <w:sz w:val="20"/>
                <w:szCs w:val="20"/>
                <w:lang w:eastAsia="en-US"/>
              </w:rPr>
            </w:pPr>
            <w:r w:rsidRPr="00C65CAA">
              <w:rPr>
                <w:rFonts w:ascii="Arial Narrow" w:eastAsia="Calibri" w:hAnsi="Arial Narrow"/>
                <w:bCs/>
                <w:sz w:val="20"/>
                <w:szCs w:val="20"/>
                <w:lang w:eastAsia="en-US"/>
              </w:rPr>
              <w:t>Poistné a príspevok do poisťovní</w:t>
            </w:r>
          </w:p>
        </w:tc>
        <w:tc>
          <w:tcPr>
            <w:tcW w:w="607" w:type="pct"/>
            <w:tcBorders>
              <w:top w:val="single" w:sz="4" w:space="0" w:color="auto"/>
              <w:left w:val="single" w:sz="4" w:space="0" w:color="auto"/>
              <w:bottom w:val="single" w:sz="4" w:space="0" w:color="auto"/>
              <w:right w:val="single" w:sz="4" w:space="0" w:color="auto"/>
            </w:tcBorders>
            <w:vAlign w:val="center"/>
          </w:tcPr>
          <w:p w:rsidR="00631161" w:rsidRPr="00C65CAA" w:rsidRDefault="006C51D0" w:rsidP="00011F12">
            <w:pPr>
              <w:jc w:val="right"/>
              <w:rPr>
                <w:rFonts w:ascii="Arial Narrow" w:eastAsia="Calibri" w:hAnsi="Arial Narrow" w:cs="Arial CE"/>
                <w:sz w:val="20"/>
                <w:szCs w:val="20"/>
              </w:rPr>
            </w:pPr>
            <w:r w:rsidRPr="00C65CAA">
              <w:rPr>
                <w:rFonts w:ascii="Arial Narrow" w:eastAsia="Calibri" w:hAnsi="Arial Narrow" w:cs="Arial CE"/>
                <w:sz w:val="20"/>
                <w:szCs w:val="20"/>
              </w:rPr>
              <w:t>675 515</w:t>
            </w:r>
          </w:p>
        </w:tc>
        <w:tc>
          <w:tcPr>
            <w:tcW w:w="607"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688 415</w:t>
            </w:r>
          </w:p>
        </w:tc>
        <w:tc>
          <w:tcPr>
            <w:tcW w:w="762"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782 871</w:t>
            </w:r>
          </w:p>
        </w:tc>
        <w:tc>
          <w:tcPr>
            <w:tcW w:w="523"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94 456</w:t>
            </w:r>
          </w:p>
        </w:tc>
        <w:tc>
          <w:tcPr>
            <w:tcW w:w="532"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113,7</w:t>
            </w:r>
          </w:p>
        </w:tc>
      </w:tr>
      <w:tr w:rsidR="00631161" w:rsidRPr="00C65CAA" w:rsidTr="003306A1">
        <w:trPr>
          <w:trHeight w:val="170"/>
          <w:jc w:val="center"/>
        </w:trPr>
        <w:tc>
          <w:tcPr>
            <w:tcW w:w="1968"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pStyle w:val="Odsekzoznamu"/>
              <w:numPr>
                <w:ilvl w:val="0"/>
                <w:numId w:val="97"/>
              </w:numPr>
              <w:rPr>
                <w:rFonts w:ascii="Arial Narrow" w:eastAsia="Calibri" w:hAnsi="Arial Narrow"/>
                <w:sz w:val="20"/>
                <w:szCs w:val="20"/>
                <w:lang w:eastAsia="en-US"/>
              </w:rPr>
            </w:pPr>
            <w:r w:rsidRPr="00C65CAA">
              <w:rPr>
                <w:rFonts w:ascii="Arial Narrow" w:eastAsia="Calibri" w:hAnsi="Arial Narrow"/>
                <w:bCs/>
                <w:sz w:val="20"/>
                <w:szCs w:val="20"/>
                <w:lang w:eastAsia="en-US"/>
              </w:rPr>
              <w:t>Tovary a služby</w:t>
            </w:r>
          </w:p>
        </w:tc>
        <w:tc>
          <w:tcPr>
            <w:tcW w:w="607"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eastAsia="Calibri" w:hAnsi="Arial Narrow" w:cs="Arial CE"/>
                <w:sz w:val="20"/>
                <w:szCs w:val="20"/>
              </w:rPr>
            </w:pPr>
            <w:r w:rsidRPr="00C65CAA">
              <w:rPr>
                <w:rFonts w:ascii="Arial Narrow" w:eastAsia="Calibri" w:hAnsi="Arial Narrow" w:cs="Arial CE"/>
                <w:sz w:val="20"/>
                <w:szCs w:val="20"/>
              </w:rPr>
              <w:t>1 483 709</w:t>
            </w:r>
          </w:p>
        </w:tc>
        <w:tc>
          <w:tcPr>
            <w:tcW w:w="607"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1 998 722</w:t>
            </w:r>
          </w:p>
        </w:tc>
        <w:tc>
          <w:tcPr>
            <w:tcW w:w="762"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2 433 259</w:t>
            </w:r>
          </w:p>
        </w:tc>
        <w:tc>
          <w:tcPr>
            <w:tcW w:w="523"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434 537</w:t>
            </w:r>
          </w:p>
        </w:tc>
        <w:tc>
          <w:tcPr>
            <w:tcW w:w="532"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121,7</w:t>
            </w:r>
          </w:p>
        </w:tc>
      </w:tr>
      <w:tr w:rsidR="00631161" w:rsidRPr="00C65CAA" w:rsidTr="003306A1">
        <w:trPr>
          <w:trHeight w:val="170"/>
          <w:jc w:val="center"/>
        </w:trPr>
        <w:tc>
          <w:tcPr>
            <w:tcW w:w="1968"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pStyle w:val="Odsekzoznamu"/>
              <w:numPr>
                <w:ilvl w:val="0"/>
                <w:numId w:val="97"/>
              </w:numPr>
              <w:rPr>
                <w:rFonts w:ascii="Arial Narrow" w:eastAsia="Calibri" w:hAnsi="Arial Narrow"/>
                <w:sz w:val="20"/>
                <w:szCs w:val="20"/>
                <w:lang w:eastAsia="en-US"/>
              </w:rPr>
            </w:pPr>
            <w:r w:rsidRPr="00C65CAA">
              <w:rPr>
                <w:rFonts w:ascii="Arial Narrow" w:eastAsia="Calibri" w:hAnsi="Arial Narrow"/>
                <w:bCs/>
                <w:sz w:val="20"/>
                <w:szCs w:val="20"/>
                <w:lang w:eastAsia="en-US"/>
              </w:rPr>
              <w:t>Bežné transfery</w:t>
            </w:r>
          </w:p>
        </w:tc>
        <w:tc>
          <w:tcPr>
            <w:tcW w:w="607"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eastAsia="Calibri" w:hAnsi="Arial Narrow" w:cs="Arial CE"/>
                <w:sz w:val="20"/>
                <w:szCs w:val="20"/>
              </w:rPr>
            </w:pPr>
            <w:r w:rsidRPr="00C65CAA">
              <w:rPr>
                <w:rFonts w:ascii="Arial Narrow" w:eastAsia="Calibri" w:hAnsi="Arial Narrow" w:cs="Arial CE"/>
                <w:sz w:val="20"/>
                <w:szCs w:val="20"/>
              </w:rPr>
              <w:t>9 652 937</w:t>
            </w:r>
          </w:p>
        </w:tc>
        <w:tc>
          <w:tcPr>
            <w:tcW w:w="607"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9 983 360</w:t>
            </w:r>
          </w:p>
        </w:tc>
        <w:tc>
          <w:tcPr>
            <w:tcW w:w="762"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9 812 228</w:t>
            </w:r>
          </w:p>
        </w:tc>
        <w:tc>
          <w:tcPr>
            <w:tcW w:w="523"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-171 133</w:t>
            </w:r>
          </w:p>
        </w:tc>
        <w:tc>
          <w:tcPr>
            <w:tcW w:w="532"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98,3</w:t>
            </w:r>
          </w:p>
        </w:tc>
      </w:tr>
      <w:tr w:rsidR="00631161" w:rsidRPr="00C65CAA" w:rsidTr="003306A1">
        <w:trPr>
          <w:trHeight w:val="170"/>
          <w:jc w:val="center"/>
        </w:trPr>
        <w:tc>
          <w:tcPr>
            <w:tcW w:w="1968"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pStyle w:val="Odsekzoznamu"/>
              <w:numPr>
                <w:ilvl w:val="0"/>
                <w:numId w:val="97"/>
              </w:numPr>
              <w:rPr>
                <w:rFonts w:ascii="Arial Narrow" w:eastAsia="Calibri" w:hAnsi="Arial Narrow"/>
                <w:sz w:val="20"/>
                <w:szCs w:val="20"/>
                <w:lang w:eastAsia="en-US"/>
              </w:rPr>
            </w:pPr>
            <w:r w:rsidRPr="00C65CAA">
              <w:rPr>
                <w:rFonts w:ascii="Arial Narrow" w:eastAsia="Calibri" w:hAnsi="Arial Narrow"/>
                <w:bCs/>
                <w:sz w:val="20"/>
                <w:szCs w:val="20"/>
                <w:lang w:eastAsia="en-US"/>
              </w:rPr>
              <w:t>Splácanie úrokov a ostatné platby súvisiace s úvermi</w:t>
            </w:r>
          </w:p>
        </w:tc>
        <w:tc>
          <w:tcPr>
            <w:tcW w:w="607"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eastAsia="Calibri" w:hAnsi="Arial Narrow" w:cs="Arial CE"/>
                <w:sz w:val="20"/>
                <w:szCs w:val="20"/>
              </w:rPr>
            </w:pPr>
            <w:r w:rsidRPr="00C65CAA">
              <w:rPr>
                <w:rFonts w:ascii="Arial Narrow" w:eastAsia="Calibri" w:hAnsi="Arial Narrow" w:cs="Arial CE"/>
                <w:sz w:val="20"/>
                <w:szCs w:val="20"/>
              </w:rPr>
              <w:t>270</w:t>
            </w:r>
          </w:p>
        </w:tc>
        <w:tc>
          <w:tcPr>
            <w:tcW w:w="607"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270</w:t>
            </w:r>
          </w:p>
        </w:tc>
        <w:tc>
          <w:tcPr>
            <w:tcW w:w="762"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270</w:t>
            </w:r>
          </w:p>
        </w:tc>
        <w:tc>
          <w:tcPr>
            <w:tcW w:w="523"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0</w:t>
            </w:r>
          </w:p>
        </w:tc>
        <w:tc>
          <w:tcPr>
            <w:tcW w:w="532"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100,0</w:t>
            </w:r>
          </w:p>
        </w:tc>
      </w:tr>
    </w:tbl>
    <w:p w:rsidR="00246EC8" w:rsidRPr="00C65CAA" w:rsidRDefault="00246EC8" w:rsidP="00C8633E">
      <w:pPr>
        <w:pStyle w:val="Zkladntext"/>
        <w:spacing w:after="100"/>
        <w:jc w:val="both"/>
        <w:rPr>
          <w:rFonts w:ascii="Arial Narrow" w:hAnsi="Arial Narrow"/>
          <w:color w:val="000000"/>
          <w:sz w:val="20"/>
        </w:rPr>
      </w:pPr>
      <w:r w:rsidRPr="00C65CAA">
        <w:rPr>
          <w:rFonts w:ascii="Arial Narrow" w:hAnsi="Arial Narrow"/>
          <w:color w:val="000000"/>
          <w:sz w:val="20"/>
        </w:rPr>
        <w:t>Zdroj: ŠZÚ za rok 2017, RVS na roky 2018 až 2020, Návrh RVS na roky 2019 až 2021</w:t>
      </w:r>
    </w:p>
    <w:p w:rsidR="008773B2" w:rsidRPr="00C65CAA" w:rsidRDefault="00D23611" w:rsidP="00256AF8">
      <w:pPr>
        <w:spacing w:before="100" w:after="100"/>
        <w:jc w:val="both"/>
        <w:rPr>
          <w:rFonts w:ascii="Arial Narrow" w:hAnsi="Arial Narrow"/>
          <w:sz w:val="22"/>
          <w:szCs w:val="22"/>
        </w:rPr>
      </w:pPr>
      <w:r w:rsidRPr="00C65CAA">
        <w:rPr>
          <w:rFonts w:ascii="Arial Narrow" w:hAnsi="Arial Narrow"/>
          <w:sz w:val="22"/>
          <w:szCs w:val="22"/>
        </w:rPr>
        <w:tab/>
        <w:t>Bežné v</w:t>
      </w:r>
      <w:r w:rsidR="008773B2" w:rsidRPr="00C65CAA">
        <w:rPr>
          <w:rFonts w:ascii="Arial Narrow" w:hAnsi="Arial Narrow"/>
          <w:sz w:val="22"/>
          <w:szCs w:val="22"/>
        </w:rPr>
        <w:t>ýdavky ŠR na rok 2019</w:t>
      </w:r>
      <w:r w:rsidRPr="00C65CAA">
        <w:rPr>
          <w:rFonts w:ascii="Arial Narrow" w:hAnsi="Arial Narrow"/>
          <w:sz w:val="22"/>
          <w:szCs w:val="22"/>
        </w:rPr>
        <w:t xml:space="preserve"> sa rozpočtu</w:t>
      </w:r>
      <w:r w:rsidR="008773B2" w:rsidRPr="00C65CAA">
        <w:rPr>
          <w:rFonts w:ascii="Arial Narrow" w:hAnsi="Arial Narrow"/>
          <w:sz w:val="22"/>
          <w:szCs w:val="22"/>
        </w:rPr>
        <w:t>jú vo výške 15 25 323</w:t>
      </w:r>
      <w:r w:rsidRPr="00C65CAA">
        <w:rPr>
          <w:rFonts w:ascii="Arial Narrow" w:hAnsi="Arial Narrow"/>
          <w:sz w:val="22"/>
          <w:szCs w:val="22"/>
        </w:rPr>
        <w:t xml:space="preserve"> tis. eur, čo je o</w:t>
      </w:r>
      <w:r w:rsidR="008773B2" w:rsidRPr="00C65CAA">
        <w:rPr>
          <w:rFonts w:ascii="Arial Narrow" w:hAnsi="Arial Narrow"/>
          <w:sz w:val="22"/>
          <w:szCs w:val="22"/>
        </w:rPr>
        <w:t> 626 024 tis. eur</w:t>
      </w:r>
      <w:r w:rsidRPr="00C65CAA">
        <w:rPr>
          <w:rFonts w:ascii="Arial Narrow" w:hAnsi="Arial Narrow"/>
          <w:sz w:val="22"/>
          <w:szCs w:val="22"/>
        </w:rPr>
        <w:t xml:space="preserve"> </w:t>
      </w:r>
      <w:r w:rsidR="008773B2" w:rsidRPr="00C65CAA">
        <w:rPr>
          <w:rFonts w:ascii="Arial Narrow" w:hAnsi="Arial Narrow"/>
          <w:sz w:val="22"/>
          <w:szCs w:val="22"/>
        </w:rPr>
        <w:t xml:space="preserve">viac </w:t>
      </w:r>
      <w:r w:rsidRPr="00C65CAA">
        <w:rPr>
          <w:rFonts w:ascii="Arial Narrow" w:hAnsi="Arial Narrow"/>
          <w:sz w:val="22"/>
          <w:szCs w:val="22"/>
        </w:rPr>
        <w:t>oproti rozpočtu na rok 201</w:t>
      </w:r>
      <w:r w:rsidR="008773B2" w:rsidRPr="00C65CAA">
        <w:rPr>
          <w:rFonts w:ascii="Arial Narrow" w:hAnsi="Arial Narrow"/>
          <w:sz w:val="22"/>
          <w:szCs w:val="22"/>
        </w:rPr>
        <w:t>8</w:t>
      </w:r>
      <w:r w:rsidR="0056008D" w:rsidRPr="00C65CAA">
        <w:rPr>
          <w:rFonts w:ascii="Arial Narrow" w:hAnsi="Arial Narrow"/>
          <w:sz w:val="22"/>
          <w:szCs w:val="22"/>
        </w:rPr>
        <w:t xml:space="preserve">. Uvedená výška </w:t>
      </w:r>
      <w:r w:rsidRPr="00C65CAA">
        <w:rPr>
          <w:rFonts w:ascii="Arial Narrow" w:hAnsi="Arial Narrow"/>
          <w:sz w:val="22"/>
          <w:szCs w:val="22"/>
        </w:rPr>
        <w:t>rozpočtovania bežných výdavko</w:t>
      </w:r>
      <w:r w:rsidR="0056008D" w:rsidRPr="00C65CAA">
        <w:rPr>
          <w:rFonts w:ascii="Arial Narrow" w:hAnsi="Arial Narrow"/>
          <w:sz w:val="22"/>
          <w:szCs w:val="22"/>
        </w:rPr>
        <w:t>v neumožní pokryť v plnej výške náklady na energie.</w:t>
      </w:r>
    </w:p>
    <w:p w:rsidR="00D23611" w:rsidRPr="00C65CAA" w:rsidRDefault="001065C1" w:rsidP="00256AF8">
      <w:pPr>
        <w:spacing w:before="100" w:after="100"/>
        <w:ind w:firstLine="708"/>
        <w:jc w:val="both"/>
        <w:rPr>
          <w:rFonts w:ascii="Arial Narrow" w:hAnsi="Arial Narrow"/>
          <w:sz w:val="22"/>
          <w:szCs w:val="22"/>
        </w:rPr>
      </w:pPr>
      <w:r w:rsidRPr="00C65CAA">
        <w:rPr>
          <w:rFonts w:ascii="Arial Narrow" w:hAnsi="Arial Narrow"/>
          <w:sz w:val="22"/>
          <w:szCs w:val="22"/>
        </w:rPr>
        <w:t xml:space="preserve">Porovnanie </w:t>
      </w:r>
      <w:r w:rsidRPr="00C65CAA">
        <w:rPr>
          <w:rFonts w:ascii="Arial Narrow" w:hAnsi="Arial Narrow"/>
          <w:b/>
          <w:sz w:val="22"/>
          <w:szCs w:val="22"/>
        </w:rPr>
        <w:t>kapitálových výdavkov</w:t>
      </w:r>
      <w:r w:rsidRPr="00C65CAA">
        <w:rPr>
          <w:rFonts w:ascii="Arial Narrow" w:hAnsi="Arial Narrow"/>
          <w:sz w:val="22"/>
          <w:szCs w:val="22"/>
        </w:rPr>
        <w:t xml:space="preserve"> za rok 2017, schváleného rozpočtu na rok 2018 a návrhu rozpočtu na rok 2019</w:t>
      </w:r>
      <w:r w:rsidR="001D2AD7" w:rsidRPr="00C65CAA">
        <w:rPr>
          <w:rFonts w:ascii="Arial Narrow" w:hAnsi="Arial Narrow"/>
          <w:sz w:val="22"/>
          <w:szCs w:val="22"/>
        </w:rPr>
        <w:t>:</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973"/>
        <w:gridCol w:w="1218"/>
        <w:gridCol w:w="1049"/>
        <w:gridCol w:w="1559"/>
        <w:gridCol w:w="1046"/>
        <w:gridCol w:w="1218"/>
      </w:tblGrid>
      <w:tr w:rsidR="00246EC8" w:rsidRPr="00C65CAA" w:rsidTr="00776F8C">
        <w:trPr>
          <w:trHeight w:val="329"/>
          <w:tblHeader/>
        </w:trPr>
        <w:tc>
          <w:tcPr>
            <w:tcW w:w="1640" w:type="pct"/>
            <w:vMerge w:val="restart"/>
            <w:shd w:val="clear" w:color="auto" w:fill="0070C0"/>
            <w:vAlign w:val="center"/>
          </w:tcPr>
          <w:p w:rsidR="00246EC8" w:rsidRPr="00C65CAA" w:rsidRDefault="00246EC8" w:rsidP="00011F12">
            <w:pPr>
              <w:rPr>
                <w:rFonts w:ascii="Arial Narrow" w:eastAsia="Calibri" w:hAnsi="Arial Narrow"/>
                <w:b/>
                <w:color w:val="FFFFFF"/>
                <w:sz w:val="20"/>
                <w:szCs w:val="20"/>
                <w:lang w:eastAsia="en-US"/>
              </w:rPr>
            </w:pPr>
            <w:r w:rsidRPr="00C65CAA">
              <w:rPr>
                <w:rFonts w:ascii="Arial Narrow" w:eastAsia="Calibri" w:hAnsi="Arial Narrow"/>
                <w:b/>
                <w:bCs/>
                <w:color w:val="FFFFFF"/>
                <w:sz w:val="20"/>
                <w:szCs w:val="20"/>
                <w:lang w:eastAsia="en-US"/>
              </w:rPr>
              <w:t>Ukazovateľ</w:t>
            </w:r>
          </w:p>
        </w:tc>
        <w:tc>
          <w:tcPr>
            <w:tcW w:w="672" w:type="pct"/>
            <w:vMerge w:val="restart"/>
            <w:shd w:val="clear" w:color="auto" w:fill="0070C0"/>
            <w:vAlign w:val="center"/>
          </w:tcPr>
          <w:p w:rsidR="00246EC8" w:rsidRPr="00C65CAA" w:rsidRDefault="00246EC8" w:rsidP="00011F12">
            <w:pPr>
              <w:jc w:val="center"/>
              <w:rPr>
                <w:rFonts w:ascii="Arial Narrow" w:eastAsia="Calibri" w:hAnsi="Arial Narrow"/>
                <w:b/>
                <w:color w:val="FFFFFF"/>
                <w:sz w:val="20"/>
                <w:szCs w:val="20"/>
                <w:lang w:eastAsia="en-US"/>
              </w:rPr>
            </w:pPr>
            <w:r w:rsidRPr="00C65CAA">
              <w:rPr>
                <w:rFonts w:ascii="Arial Narrow" w:eastAsia="Calibri" w:hAnsi="Arial Narrow"/>
                <w:b/>
                <w:color w:val="FFFFFF"/>
                <w:sz w:val="20"/>
                <w:szCs w:val="20"/>
                <w:lang w:eastAsia="en-US"/>
              </w:rPr>
              <w:t>Skutočnosť</w:t>
            </w:r>
          </w:p>
          <w:p w:rsidR="00246EC8" w:rsidRPr="00C65CAA" w:rsidRDefault="00246EC8" w:rsidP="00011F12">
            <w:pPr>
              <w:jc w:val="center"/>
              <w:rPr>
                <w:rFonts w:ascii="Arial Narrow" w:eastAsia="Calibri" w:hAnsi="Arial Narrow"/>
                <w:b/>
                <w:color w:val="FFFFFF"/>
                <w:sz w:val="20"/>
                <w:szCs w:val="20"/>
                <w:lang w:eastAsia="en-US"/>
              </w:rPr>
            </w:pPr>
            <w:r w:rsidRPr="00C65CAA">
              <w:rPr>
                <w:rFonts w:ascii="Arial Narrow" w:eastAsia="Calibri" w:hAnsi="Arial Narrow"/>
                <w:b/>
                <w:color w:val="FFFFFF"/>
                <w:sz w:val="20"/>
                <w:szCs w:val="20"/>
                <w:lang w:eastAsia="en-US"/>
              </w:rPr>
              <w:t>2017</w:t>
            </w:r>
          </w:p>
        </w:tc>
        <w:tc>
          <w:tcPr>
            <w:tcW w:w="579" w:type="pct"/>
            <w:vMerge w:val="restart"/>
            <w:shd w:val="clear" w:color="auto" w:fill="0070C0"/>
          </w:tcPr>
          <w:p w:rsidR="00246EC8" w:rsidRPr="00C65CAA" w:rsidRDefault="00246EC8" w:rsidP="00011F12">
            <w:pPr>
              <w:jc w:val="center"/>
              <w:rPr>
                <w:rFonts w:ascii="Arial Narrow" w:eastAsia="Calibri" w:hAnsi="Arial Narrow"/>
                <w:b/>
                <w:color w:val="FFFFFF"/>
                <w:sz w:val="20"/>
                <w:szCs w:val="20"/>
                <w:lang w:eastAsia="en-US"/>
              </w:rPr>
            </w:pPr>
            <w:r w:rsidRPr="00C65CAA">
              <w:rPr>
                <w:rFonts w:ascii="Arial Narrow" w:eastAsia="Calibri" w:hAnsi="Arial Narrow"/>
                <w:b/>
                <w:color w:val="FFFFFF"/>
                <w:sz w:val="20"/>
                <w:szCs w:val="20"/>
                <w:lang w:eastAsia="en-US"/>
              </w:rPr>
              <w:t>Rozpočet 2018</w:t>
            </w:r>
          </w:p>
        </w:tc>
        <w:tc>
          <w:tcPr>
            <w:tcW w:w="860" w:type="pct"/>
            <w:vMerge w:val="restart"/>
            <w:shd w:val="clear" w:color="auto" w:fill="0070C0"/>
          </w:tcPr>
          <w:p w:rsidR="00246EC8" w:rsidRPr="00C65CAA" w:rsidRDefault="00246EC8" w:rsidP="00011F12">
            <w:pPr>
              <w:jc w:val="center"/>
              <w:rPr>
                <w:rFonts w:ascii="Arial Narrow" w:eastAsia="Calibri" w:hAnsi="Arial Narrow"/>
                <w:b/>
                <w:color w:val="FFFFFF"/>
                <w:sz w:val="20"/>
                <w:szCs w:val="20"/>
                <w:lang w:eastAsia="en-US"/>
              </w:rPr>
            </w:pPr>
            <w:r w:rsidRPr="00C65CAA">
              <w:rPr>
                <w:rFonts w:ascii="Arial Narrow" w:eastAsia="Calibri" w:hAnsi="Arial Narrow"/>
                <w:b/>
                <w:color w:val="FFFFFF"/>
                <w:sz w:val="20"/>
                <w:szCs w:val="20"/>
                <w:lang w:eastAsia="en-US"/>
              </w:rPr>
              <w:t>Návrh rozpočtu 2019</w:t>
            </w:r>
          </w:p>
        </w:tc>
        <w:tc>
          <w:tcPr>
            <w:tcW w:w="577" w:type="pct"/>
            <w:vMerge w:val="restart"/>
            <w:shd w:val="clear" w:color="auto" w:fill="0070C0"/>
            <w:vAlign w:val="center"/>
          </w:tcPr>
          <w:p w:rsidR="00246EC8" w:rsidRPr="00C65CAA" w:rsidRDefault="00246EC8" w:rsidP="00011F12">
            <w:pPr>
              <w:jc w:val="center"/>
              <w:rPr>
                <w:rFonts w:ascii="Arial Narrow" w:eastAsia="Calibri" w:hAnsi="Arial Narrow"/>
                <w:b/>
                <w:color w:val="FFFFFF"/>
                <w:sz w:val="20"/>
                <w:szCs w:val="20"/>
                <w:lang w:eastAsia="en-US"/>
              </w:rPr>
            </w:pPr>
            <w:r w:rsidRPr="00C65CAA">
              <w:rPr>
                <w:rFonts w:ascii="Arial Narrow" w:eastAsia="Calibri" w:hAnsi="Arial Narrow"/>
                <w:b/>
                <w:color w:val="FFFFFF"/>
                <w:sz w:val="20"/>
                <w:szCs w:val="20"/>
                <w:lang w:eastAsia="en-US"/>
              </w:rPr>
              <w:t>Rozdiel</w:t>
            </w:r>
          </w:p>
        </w:tc>
        <w:tc>
          <w:tcPr>
            <w:tcW w:w="672" w:type="pct"/>
            <w:vMerge w:val="restart"/>
            <w:shd w:val="clear" w:color="auto" w:fill="0070C0"/>
            <w:vAlign w:val="center"/>
          </w:tcPr>
          <w:p w:rsidR="00246EC8" w:rsidRPr="00C65CAA" w:rsidRDefault="00246EC8" w:rsidP="00011F12">
            <w:pPr>
              <w:jc w:val="center"/>
              <w:rPr>
                <w:rFonts w:ascii="Arial Narrow" w:eastAsia="Calibri" w:hAnsi="Arial Narrow"/>
                <w:b/>
                <w:color w:val="FFFFFF"/>
                <w:sz w:val="20"/>
                <w:szCs w:val="20"/>
                <w:lang w:eastAsia="en-US"/>
              </w:rPr>
            </w:pPr>
            <w:r w:rsidRPr="00C65CAA">
              <w:rPr>
                <w:rFonts w:ascii="Arial Narrow" w:eastAsia="Calibri" w:hAnsi="Arial Narrow"/>
                <w:b/>
                <w:color w:val="FFFFFF"/>
                <w:sz w:val="20"/>
                <w:szCs w:val="20"/>
                <w:lang w:eastAsia="en-US"/>
              </w:rPr>
              <w:t>Podiel</w:t>
            </w:r>
          </w:p>
          <w:p w:rsidR="00246EC8" w:rsidRPr="00C65CAA" w:rsidRDefault="00246EC8" w:rsidP="00011F12">
            <w:pPr>
              <w:jc w:val="center"/>
              <w:rPr>
                <w:rFonts w:ascii="Arial Narrow" w:eastAsia="Calibri" w:hAnsi="Arial Narrow"/>
                <w:b/>
                <w:color w:val="FFFFFF"/>
                <w:sz w:val="20"/>
                <w:szCs w:val="20"/>
                <w:lang w:eastAsia="en-US"/>
              </w:rPr>
            </w:pPr>
            <w:r w:rsidRPr="00C65CAA">
              <w:rPr>
                <w:rFonts w:ascii="Arial Narrow" w:eastAsia="Calibri" w:hAnsi="Arial Narrow"/>
                <w:b/>
                <w:color w:val="FFFFFF"/>
                <w:sz w:val="20"/>
                <w:szCs w:val="20"/>
                <w:lang w:eastAsia="en-US"/>
              </w:rPr>
              <w:t>(v %)</w:t>
            </w:r>
          </w:p>
        </w:tc>
      </w:tr>
      <w:tr w:rsidR="00246EC8" w:rsidRPr="00C65CAA" w:rsidTr="00776F8C">
        <w:trPr>
          <w:trHeight w:val="429"/>
          <w:tblHeader/>
        </w:trPr>
        <w:tc>
          <w:tcPr>
            <w:tcW w:w="1640" w:type="pct"/>
            <w:vMerge/>
            <w:tcBorders>
              <w:bottom w:val="single" w:sz="4" w:space="0" w:color="auto"/>
            </w:tcBorders>
            <w:shd w:val="clear" w:color="auto" w:fill="D9D9D9"/>
          </w:tcPr>
          <w:p w:rsidR="00246EC8" w:rsidRPr="00C65CAA" w:rsidRDefault="00246EC8" w:rsidP="00011F12">
            <w:pPr>
              <w:rPr>
                <w:rFonts w:ascii="Arial Narrow" w:eastAsia="Calibri" w:hAnsi="Arial Narrow"/>
                <w:sz w:val="20"/>
                <w:szCs w:val="20"/>
                <w:lang w:eastAsia="en-US"/>
              </w:rPr>
            </w:pPr>
          </w:p>
        </w:tc>
        <w:tc>
          <w:tcPr>
            <w:tcW w:w="672" w:type="pct"/>
            <w:vMerge/>
            <w:tcBorders>
              <w:bottom w:val="single" w:sz="4" w:space="0" w:color="auto"/>
            </w:tcBorders>
            <w:shd w:val="clear" w:color="auto" w:fill="D9D9D9"/>
          </w:tcPr>
          <w:p w:rsidR="00246EC8" w:rsidRPr="00C65CAA" w:rsidRDefault="00246EC8" w:rsidP="00011F12">
            <w:pPr>
              <w:rPr>
                <w:rFonts w:ascii="Arial Narrow" w:eastAsia="Calibri" w:hAnsi="Arial Narrow"/>
                <w:sz w:val="20"/>
                <w:szCs w:val="20"/>
                <w:lang w:eastAsia="en-US"/>
              </w:rPr>
            </w:pPr>
          </w:p>
        </w:tc>
        <w:tc>
          <w:tcPr>
            <w:tcW w:w="579" w:type="pct"/>
            <w:vMerge/>
            <w:tcBorders>
              <w:bottom w:val="single" w:sz="4" w:space="0" w:color="auto"/>
            </w:tcBorders>
            <w:shd w:val="clear" w:color="auto" w:fill="0070C0"/>
          </w:tcPr>
          <w:p w:rsidR="00246EC8" w:rsidRPr="00C65CAA" w:rsidRDefault="00246EC8" w:rsidP="00011F12">
            <w:pPr>
              <w:jc w:val="center"/>
              <w:rPr>
                <w:rFonts w:ascii="Arial Narrow" w:eastAsia="Calibri" w:hAnsi="Arial Narrow"/>
                <w:b/>
                <w:color w:val="FFFFFF"/>
                <w:sz w:val="20"/>
                <w:szCs w:val="20"/>
                <w:lang w:eastAsia="en-US"/>
              </w:rPr>
            </w:pPr>
          </w:p>
        </w:tc>
        <w:tc>
          <w:tcPr>
            <w:tcW w:w="860" w:type="pct"/>
            <w:vMerge/>
            <w:tcBorders>
              <w:bottom w:val="single" w:sz="4" w:space="0" w:color="auto"/>
            </w:tcBorders>
            <w:shd w:val="clear" w:color="auto" w:fill="0070C0"/>
          </w:tcPr>
          <w:p w:rsidR="00246EC8" w:rsidRPr="00C65CAA" w:rsidRDefault="00246EC8" w:rsidP="00011F12">
            <w:pPr>
              <w:rPr>
                <w:rFonts w:ascii="Arial Narrow" w:eastAsia="Calibri" w:hAnsi="Arial Narrow"/>
                <w:sz w:val="20"/>
                <w:szCs w:val="20"/>
                <w:lang w:eastAsia="en-US"/>
              </w:rPr>
            </w:pPr>
          </w:p>
        </w:tc>
        <w:tc>
          <w:tcPr>
            <w:tcW w:w="577" w:type="pct"/>
            <w:vMerge/>
            <w:tcBorders>
              <w:bottom w:val="single" w:sz="4" w:space="0" w:color="auto"/>
            </w:tcBorders>
            <w:shd w:val="clear" w:color="auto" w:fill="D9D9D9"/>
          </w:tcPr>
          <w:p w:rsidR="00246EC8" w:rsidRPr="00C65CAA" w:rsidRDefault="00246EC8" w:rsidP="00011F12">
            <w:pPr>
              <w:rPr>
                <w:rFonts w:ascii="Arial Narrow" w:eastAsia="Calibri" w:hAnsi="Arial Narrow"/>
                <w:sz w:val="20"/>
                <w:szCs w:val="20"/>
                <w:lang w:eastAsia="en-US"/>
              </w:rPr>
            </w:pPr>
          </w:p>
        </w:tc>
        <w:tc>
          <w:tcPr>
            <w:tcW w:w="672" w:type="pct"/>
            <w:vMerge/>
            <w:tcBorders>
              <w:bottom w:val="single" w:sz="4" w:space="0" w:color="auto"/>
            </w:tcBorders>
            <w:shd w:val="clear" w:color="auto" w:fill="D9D9D9"/>
          </w:tcPr>
          <w:p w:rsidR="00246EC8" w:rsidRPr="00C65CAA" w:rsidRDefault="00246EC8" w:rsidP="00011F12">
            <w:pPr>
              <w:rPr>
                <w:rFonts w:ascii="Arial Narrow" w:eastAsia="Calibri" w:hAnsi="Arial Narrow"/>
                <w:sz w:val="20"/>
                <w:szCs w:val="20"/>
                <w:lang w:eastAsia="en-US"/>
              </w:rPr>
            </w:pPr>
          </w:p>
        </w:tc>
      </w:tr>
      <w:tr w:rsidR="00631161" w:rsidRPr="00C65CAA" w:rsidTr="00776F8C">
        <w:trPr>
          <w:trHeight w:val="170"/>
          <w:tblHeader/>
        </w:trPr>
        <w:tc>
          <w:tcPr>
            <w:tcW w:w="1640"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center"/>
              <w:rPr>
                <w:rFonts w:ascii="Arial Narrow" w:eastAsia="Calibri" w:hAnsi="Arial Narrow"/>
                <w:bCs/>
                <w:color w:val="000000"/>
                <w:sz w:val="20"/>
                <w:szCs w:val="20"/>
                <w:lang w:eastAsia="en-US"/>
              </w:rPr>
            </w:pPr>
            <w:r w:rsidRPr="00C65CAA">
              <w:rPr>
                <w:rFonts w:ascii="Arial Narrow" w:eastAsia="Calibri" w:hAnsi="Arial Narrow"/>
                <w:bCs/>
                <w:color w:val="000000"/>
                <w:sz w:val="18"/>
                <w:szCs w:val="18"/>
                <w:lang w:eastAsia="en-US"/>
              </w:rPr>
              <w:t>a</w:t>
            </w:r>
          </w:p>
        </w:tc>
        <w:tc>
          <w:tcPr>
            <w:tcW w:w="672" w:type="pct"/>
            <w:tcBorders>
              <w:top w:val="single" w:sz="4" w:space="0" w:color="auto"/>
              <w:left w:val="single" w:sz="4" w:space="0" w:color="auto"/>
              <w:bottom w:val="single" w:sz="4" w:space="0" w:color="auto"/>
              <w:right w:val="single" w:sz="4" w:space="0" w:color="auto"/>
            </w:tcBorders>
          </w:tcPr>
          <w:p w:rsidR="00631161" w:rsidRPr="00C65CAA" w:rsidRDefault="00631161" w:rsidP="00011F12">
            <w:pPr>
              <w:jc w:val="center"/>
              <w:rPr>
                <w:rFonts w:ascii="Arial Narrow" w:eastAsia="Calibri" w:hAnsi="Arial Narrow"/>
                <w:sz w:val="20"/>
                <w:szCs w:val="20"/>
                <w:lang w:eastAsia="en-US"/>
              </w:rPr>
            </w:pPr>
            <w:r w:rsidRPr="00C65CAA">
              <w:rPr>
                <w:rFonts w:ascii="Arial Narrow" w:eastAsia="Calibri" w:hAnsi="Arial Narrow"/>
                <w:sz w:val="18"/>
                <w:szCs w:val="18"/>
                <w:lang w:eastAsia="en-US"/>
              </w:rPr>
              <w:t>1</w:t>
            </w:r>
          </w:p>
        </w:tc>
        <w:tc>
          <w:tcPr>
            <w:tcW w:w="579" w:type="pct"/>
            <w:tcBorders>
              <w:top w:val="single" w:sz="4" w:space="0" w:color="auto"/>
              <w:left w:val="single" w:sz="4" w:space="0" w:color="auto"/>
              <w:bottom w:val="single" w:sz="4" w:space="0" w:color="auto"/>
              <w:right w:val="single" w:sz="4" w:space="0" w:color="auto"/>
            </w:tcBorders>
          </w:tcPr>
          <w:p w:rsidR="00631161" w:rsidRPr="00C65CAA" w:rsidRDefault="00631161" w:rsidP="00011F12">
            <w:pPr>
              <w:jc w:val="center"/>
              <w:rPr>
                <w:rFonts w:ascii="Arial Narrow" w:eastAsia="Calibri" w:hAnsi="Arial Narrow"/>
                <w:sz w:val="20"/>
                <w:szCs w:val="20"/>
                <w:lang w:eastAsia="en-US"/>
              </w:rPr>
            </w:pPr>
            <w:r w:rsidRPr="00C65CAA">
              <w:rPr>
                <w:rFonts w:ascii="Arial Narrow" w:eastAsia="Calibri" w:hAnsi="Arial Narrow"/>
                <w:sz w:val="18"/>
                <w:szCs w:val="18"/>
                <w:lang w:eastAsia="en-US"/>
              </w:rPr>
              <w:t>2</w:t>
            </w:r>
          </w:p>
        </w:tc>
        <w:tc>
          <w:tcPr>
            <w:tcW w:w="860" w:type="pct"/>
            <w:tcBorders>
              <w:top w:val="single" w:sz="4" w:space="0" w:color="auto"/>
              <w:left w:val="single" w:sz="4" w:space="0" w:color="auto"/>
              <w:bottom w:val="single" w:sz="4" w:space="0" w:color="auto"/>
              <w:right w:val="single" w:sz="4" w:space="0" w:color="auto"/>
            </w:tcBorders>
          </w:tcPr>
          <w:p w:rsidR="00631161" w:rsidRPr="00C65CAA" w:rsidRDefault="00631161" w:rsidP="00011F12">
            <w:pPr>
              <w:jc w:val="center"/>
              <w:rPr>
                <w:rFonts w:ascii="Arial Narrow" w:eastAsia="Calibri" w:hAnsi="Arial Narrow"/>
                <w:sz w:val="20"/>
                <w:szCs w:val="20"/>
                <w:lang w:eastAsia="en-US"/>
              </w:rPr>
            </w:pPr>
            <w:r w:rsidRPr="00C65CAA">
              <w:rPr>
                <w:rFonts w:ascii="Arial Narrow" w:eastAsia="Calibri" w:hAnsi="Arial Narrow"/>
                <w:sz w:val="18"/>
                <w:szCs w:val="18"/>
                <w:lang w:eastAsia="en-US"/>
              </w:rPr>
              <w:t>3</w:t>
            </w:r>
          </w:p>
        </w:tc>
        <w:tc>
          <w:tcPr>
            <w:tcW w:w="577" w:type="pct"/>
            <w:tcBorders>
              <w:top w:val="single" w:sz="4" w:space="0" w:color="auto"/>
              <w:left w:val="single" w:sz="4" w:space="0" w:color="auto"/>
              <w:bottom w:val="single" w:sz="4" w:space="0" w:color="auto"/>
              <w:right w:val="single" w:sz="4" w:space="0" w:color="auto"/>
            </w:tcBorders>
          </w:tcPr>
          <w:p w:rsidR="00631161" w:rsidRPr="00C65CAA" w:rsidRDefault="00631161" w:rsidP="00011F12">
            <w:pPr>
              <w:jc w:val="center"/>
              <w:rPr>
                <w:rFonts w:ascii="Arial Narrow" w:eastAsia="Calibri" w:hAnsi="Arial Narrow"/>
                <w:sz w:val="20"/>
                <w:szCs w:val="20"/>
                <w:lang w:eastAsia="en-US"/>
              </w:rPr>
            </w:pPr>
            <w:r w:rsidRPr="00C65CAA">
              <w:rPr>
                <w:rFonts w:ascii="Arial Narrow" w:eastAsia="Calibri" w:hAnsi="Arial Narrow"/>
                <w:sz w:val="18"/>
                <w:szCs w:val="18"/>
                <w:lang w:eastAsia="en-US"/>
              </w:rPr>
              <w:t>4=3-2</w:t>
            </w:r>
          </w:p>
        </w:tc>
        <w:tc>
          <w:tcPr>
            <w:tcW w:w="672" w:type="pct"/>
            <w:tcBorders>
              <w:top w:val="single" w:sz="4" w:space="0" w:color="auto"/>
              <w:left w:val="single" w:sz="4" w:space="0" w:color="auto"/>
              <w:bottom w:val="single" w:sz="4" w:space="0" w:color="auto"/>
              <w:right w:val="single" w:sz="4" w:space="0" w:color="auto"/>
            </w:tcBorders>
          </w:tcPr>
          <w:p w:rsidR="00631161" w:rsidRPr="00C65CAA" w:rsidRDefault="00631161" w:rsidP="00011F12">
            <w:pPr>
              <w:jc w:val="center"/>
              <w:rPr>
                <w:rFonts w:ascii="Arial Narrow" w:eastAsia="Calibri" w:hAnsi="Arial Narrow"/>
                <w:sz w:val="20"/>
                <w:szCs w:val="20"/>
                <w:lang w:eastAsia="en-US"/>
              </w:rPr>
            </w:pPr>
            <w:r w:rsidRPr="00C65CAA">
              <w:rPr>
                <w:rFonts w:ascii="Arial Narrow" w:eastAsia="Calibri" w:hAnsi="Arial Narrow"/>
                <w:sz w:val="18"/>
                <w:szCs w:val="18"/>
                <w:lang w:eastAsia="en-US"/>
              </w:rPr>
              <w:t>5=3/2*100</w:t>
            </w:r>
          </w:p>
        </w:tc>
      </w:tr>
      <w:tr w:rsidR="00631161" w:rsidRPr="00C65CAA" w:rsidTr="00776F8C">
        <w:trPr>
          <w:trHeight w:val="170"/>
        </w:trPr>
        <w:tc>
          <w:tcPr>
            <w:tcW w:w="1640" w:type="pct"/>
            <w:tcBorders>
              <w:top w:val="single" w:sz="4" w:space="0" w:color="auto"/>
              <w:left w:val="single" w:sz="4" w:space="0" w:color="auto"/>
              <w:bottom w:val="single" w:sz="4" w:space="0" w:color="auto"/>
              <w:right w:val="single" w:sz="4" w:space="0" w:color="auto"/>
            </w:tcBorders>
            <w:shd w:val="clear" w:color="auto" w:fill="D9D9D9"/>
            <w:vAlign w:val="center"/>
          </w:tcPr>
          <w:p w:rsidR="00631161" w:rsidRPr="00C65CAA" w:rsidRDefault="00631161" w:rsidP="00011F12">
            <w:pPr>
              <w:rPr>
                <w:rFonts w:ascii="Arial Narrow" w:eastAsia="Calibri" w:hAnsi="Arial Narrow"/>
                <w:b/>
                <w:bCs/>
                <w:sz w:val="20"/>
                <w:szCs w:val="20"/>
                <w:lang w:eastAsia="en-US"/>
              </w:rPr>
            </w:pPr>
            <w:r w:rsidRPr="00C65CAA">
              <w:rPr>
                <w:rFonts w:ascii="Arial Narrow" w:eastAsia="Calibri" w:hAnsi="Arial Narrow"/>
                <w:b/>
                <w:bCs/>
                <w:sz w:val="20"/>
                <w:szCs w:val="20"/>
                <w:lang w:eastAsia="en-US"/>
              </w:rPr>
              <w:t>Kapitálové výdavky</w:t>
            </w:r>
          </w:p>
        </w:tc>
        <w:tc>
          <w:tcPr>
            <w:tcW w:w="672" w:type="pct"/>
            <w:tcBorders>
              <w:top w:val="single" w:sz="4" w:space="0" w:color="auto"/>
              <w:left w:val="single" w:sz="4" w:space="0" w:color="auto"/>
              <w:bottom w:val="single" w:sz="4" w:space="0" w:color="auto"/>
              <w:right w:val="single" w:sz="4" w:space="0" w:color="auto"/>
            </w:tcBorders>
            <w:shd w:val="clear" w:color="auto" w:fill="D9D9D9"/>
            <w:vAlign w:val="center"/>
          </w:tcPr>
          <w:p w:rsidR="00631161" w:rsidRPr="00C65CAA" w:rsidRDefault="00631161" w:rsidP="00011F12">
            <w:pPr>
              <w:jc w:val="right"/>
              <w:rPr>
                <w:rFonts w:ascii="Arial Narrow" w:eastAsia="Calibri" w:hAnsi="Arial Narrow" w:cs="Arial CE"/>
                <w:b/>
                <w:bCs/>
                <w:sz w:val="20"/>
                <w:szCs w:val="20"/>
              </w:rPr>
            </w:pPr>
            <w:r w:rsidRPr="00C65CAA">
              <w:rPr>
                <w:rFonts w:ascii="Arial Narrow" w:eastAsia="Calibri" w:hAnsi="Arial Narrow" w:cs="Arial CE"/>
                <w:b/>
                <w:bCs/>
                <w:sz w:val="20"/>
                <w:szCs w:val="20"/>
              </w:rPr>
              <w:t>1 552 793</w:t>
            </w:r>
          </w:p>
        </w:tc>
        <w:tc>
          <w:tcPr>
            <w:tcW w:w="579" w:type="pct"/>
            <w:tcBorders>
              <w:top w:val="single" w:sz="4" w:space="0" w:color="auto"/>
              <w:left w:val="single" w:sz="4" w:space="0" w:color="auto"/>
              <w:bottom w:val="single" w:sz="4" w:space="0" w:color="auto"/>
              <w:right w:val="single" w:sz="4" w:space="0" w:color="auto"/>
            </w:tcBorders>
            <w:shd w:val="clear" w:color="auto" w:fill="D9D9D9"/>
            <w:vAlign w:val="center"/>
          </w:tcPr>
          <w:p w:rsidR="00631161" w:rsidRPr="00C65CAA" w:rsidRDefault="00631161" w:rsidP="00011F12">
            <w:pPr>
              <w:jc w:val="right"/>
              <w:rPr>
                <w:rFonts w:ascii="Arial Narrow" w:hAnsi="Arial Narrow"/>
                <w:b/>
                <w:bCs/>
                <w:color w:val="000000"/>
                <w:sz w:val="20"/>
                <w:szCs w:val="20"/>
              </w:rPr>
            </w:pPr>
            <w:r w:rsidRPr="00C65CAA">
              <w:rPr>
                <w:rFonts w:ascii="Arial Narrow" w:hAnsi="Arial Narrow"/>
                <w:b/>
                <w:bCs/>
                <w:color w:val="000000"/>
                <w:sz w:val="20"/>
                <w:szCs w:val="20"/>
              </w:rPr>
              <w:t>1 331 415</w:t>
            </w:r>
          </w:p>
        </w:tc>
        <w:tc>
          <w:tcPr>
            <w:tcW w:w="860" w:type="pct"/>
            <w:tcBorders>
              <w:top w:val="single" w:sz="4" w:space="0" w:color="auto"/>
              <w:left w:val="single" w:sz="4" w:space="0" w:color="auto"/>
              <w:bottom w:val="single" w:sz="4" w:space="0" w:color="auto"/>
              <w:right w:val="single" w:sz="4" w:space="0" w:color="auto"/>
            </w:tcBorders>
            <w:shd w:val="clear" w:color="auto" w:fill="D9D9D9"/>
            <w:vAlign w:val="center"/>
          </w:tcPr>
          <w:p w:rsidR="00631161" w:rsidRPr="00C65CAA" w:rsidRDefault="00631161" w:rsidP="00011F12">
            <w:pPr>
              <w:jc w:val="right"/>
              <w:rPr>
                <w:rFonts w:ascii="Arial Narrow" w:hAnsi="Arial Narrow"/>
                <w:b/>
                <w:bCs/>
                <w:color w:val="000000"/>
                <w:sz w:val="20"/>
                <w:szCs w:val="20"/>
              </w:rPr>
            </w:pPr>
            <w:r w:rsidRPr="00C65CAA">
              <w:rPr>
                <w:rFonts w:ascii="Arial Narrow" w:hAnsi="Arial Narrow"/>
                <w:b/>
                <w:bCs/>
                <w:color w:val="000000"/>
                <w:sz w:val="20"/>
                <w:szCs w:val="20"/>
              </w:rPr>
              <w:t>2 385 469</w:t>
            </w:r>
          </w:p>
        </w:tc>
        <w:tc>
          <w:tcPr>
            <w:tcW w:w="577" w:type="pct"/>
            <w:tcBorders>
              <w:top w:val="single" w:sz="4" w:space="0" w:color="auto"/>
              <w:left w:val="single" w:sz="4" w:space="0" w:color="auto"/>
              <w:bottom w:val="single" w:sz="4" w:space="0" w:color="auto"/>
              <w:right w:val="single" w:sz="4" w:space="0" w:color="auto"/>
            </w:tcBorders>
            <w:shd w:val="clear" w:color="auto" w:fill="D9D9D9"/>
            <w:vAlign w:val="center"/>
          </w:tcPr>
          <w:p w:rsidR="00631161" w:rsidRPr="00C65CAA" w:rsidRDefault="00631161" w:rsidP="00011F12">
            <w:pPr>
              <w:jc w:val="right"/>
              <w:rPr>
                <w:rFonts w:ascii="Arial Narrow" w:hAnsi="Arial Narrow"/>
                <w:b/>
                <w:bCs/>
                <w:color w:val="000000"/>
                <w:sz w:val="20"/>
                <w:szCs w:val="20"/>
              </w:rPr>
            </w:pPr>
            <w:r w:rsidRPr="00C65CAA">
              <w:rPr>
                <w:rFonts w:ascii="Arial Narrow" w:hAnsi="Arial Narrow"/>
                <w:b/>
                <w:bCs/>
                <w:color w:val="000000"/>
                <w:sz w:val="20"/>
                <w:szCs w:val="20"/>
              </w:rPr>
              <w:t>1 054 053</w:t>
            </w:r>
          </w:p>
        </w:tc>
        <w:tc>
          <w:tcPr>
            <w:tcW w:w="672" w:type="pct"/>
            <w:tcBorders>
              <w:top w:val="single" w:sz="4" w:space="0" w:color="auto"/>
              <w:left w:val="single" w:sz="4" w:space="0" w:color="auto"/>
              <w:bottom w:val="single" w:sz="4" w:space="0" w:color="auto"/>
              <w:right w:val="single" w:sz="4" w:space="0" w:color="auto"/>
            </w:tcBorders>
            <w:shd w:val="clear" w:color="auto" w:fill="D9D9D9"/>
            <w:vAlign w:val="center"/>
          </w:tcPr>
          <w:p w:rsidR="00631161" w:rsidRPr="00C65CAA" w:rsidRDefault="00631161" w:rsidP="00011F12">
            <w:pPr>
              <w:jc w:val="right"/>
              <w:rPr>
                <w:rFonts w:ascii="Arial Narrow" w:hAnsi="Arial Narrow"/>
                <w:b/>
                <w:bCs/>
                <w:color w:val="000000"/>
                <w:sz w:val="20"/>
                <w:szCs w:val="20"/>
              </w:rPr>
            </w:pPr>
            <w:r w:rsidRPr="00C65CAA">
              <w:rPr>
                <w:rFonts w:ascii="Arial Narrow" w:hAnsi="Arial Narrow"/>
                <w:b/>
                <w:bCs/>
                <w:color w:val="000000"/>
                <w:sz w:val="20"/>
                <w:szCs w:val="20"/>
              </w:rPr>
              <w:t>179,2</w:t>
            </w:r>
          </w:p>
        </w:tc>
      </w:tr>
      <w:tr w:rsidR="00631161" w:rsidRPr="00C65CAA" w:rsidTr="00776F8C">
        <w:trPr>
          <w:trHeight w:val="170"/>
        </w:trPr>
        <w:tc>
          <w:tcPr>
            <w:tcW w:w="1640"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pStyle w:val="Odsekzoznamu"/>
              <w:numPr>
                <w:ilvl w:val="0"/>
                <w:numId w:val="98"/>
              </w:numPr>
              <w:rPr>
                <w:rFonts w:ascii="Arial Narrow" w:eastAsia="Calibri" w:hAnsi="Arial Narrow"/>
                <w:sz w:val="20"/>
                <w:szCs w:val="20"/>
                <w:lang w:eastAsia="en-US"/>
              </w:rPr>
            </w:pPr>
            <w:r w:rsidRPr="00C65CAA">
              <w:rPr>
                <w:rFonts w:ascii="Arial Narrow" w:eastAsia="Calibri" w:hAnsi="Arial Narrow"/>
                <w:bCs/>
                <w:sz w:val="20"/>
                <w:szCs w:val="20"/>
                <w:lang w:eastAsia="en-US"/>
              </w:rPr>
              <w:t>Obstarávanie kapitálových aktív</w:t>
            </w:r>
          </w:p>
        </w:tc>
        <w:tc>
          <w:tcPr>
            <w:tcW w:w="672"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eastAsia="Calibri" w:hAnsi="Arial Narrow" w:cs="Arial CE"/>
                <w:sz w:val="20"/>
                <w:szCs w:val="20"/>
              </w:rPr>
            </w:pPr>
            <w:r w:rsidRPr="00C65CAA">
              <w:rPr>
                <w:rFonts w:ascii="Arial Narrow" w:eastAsia="Calibri" w:hAnsi="Arial Narrow" w:cs="Arial CE"/>
                <w:sz w:val="20"/>
                <w:szCs w:val="20"/>
              </w:rPr>
              <w:t>605 628</w:t>
            </w:r>
          </w:p>
        </w:tc>
        <w:tc>
          <w:tcPr>
            <w:tcW w:w="579"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643 217</w:t>
            </w:r>
          </w:p>
        </w:tc>
        <w:tc>
          <w:tcPr>
            <w:tcW w:w="860"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1 379 901</w:t>
            </w:r>
          </w:p>
        </w:tc>
        <w:tc>
          <w:tcPr>
            <w:tcW w:w="577"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736 684</w:t>
            </w:r>
          </w:p>
        </w:tc>
        <w:tc>
          <w:tcPr>
            <w:tcW w:w="672"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214,5</w:t>
            </w:r>
          </w:p>
        </w:tc>
      </w:tr>
      <w:tr w:rsidR="00631161" w:rsidRPr="00C65CAA" w:rsidTr="00776F8C">
        <w:trPr>
          <w:trHeight w:val="170"/>
        </w:trPr>
        <w:tc>
          <w:tcPr>
            <w:tcW w:w="1640"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pStyle w:val="Odsekzoznamu"/>
              <w:numPr>
                <w:ilvl w:val="0"/>
                <w:numId w:val="98"/>
              </w:numPr>
              <w:rPr>
                <w:rFonts w:ascii="Arial Narrow" w:eastAsia="Calibri" w:hAnsi="Arial Narrow"/>
                <w:sz w:val="20"/>
                <w:szCs w:val="20"/>
                <w:lang w:eastAsia="en-US"/>
              </w:rPr>
            </w:pPr>
            <w:r w:rsidRPr="00C65CAA">
              <w:rPr>
                <w:rFonts w:ascii="Arial Narrow" w:eastAsia="Calibri" w:hAnsi="Arial Narrow"/>
                <w:bCs/>
                <w:sz w:val="20"/>
                <w:szCs w:val="20"/>
                <w:lang w:eastAsia="en-US"/>
              </w:rPr>
              <w:t>Kapitálové transfery</w:t>
            </w:r>
          </w:p>
        </w:tc>
        <w:tc>
          <w:tcPr>
            <w:tcW w:w="672"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eastAsia="Calibri" w:hAnsi="Arial Narrow" w:cs="Arial CE"/>
                <w:sz w:val="20"/>
                <w:szCs w:val="20"/>
              </w:rPr>
            </w:pPr>
            <w:r w:rsidRPr="00C65CAA">
              <w:rPr>
                <w:rFonts w:ascii="Arial Narrow" w:eastAsia="Calibri" w:hAnsi="Arial Narrow" w:cs="Arial CE"/>
                <w:sz w:val="20"/>
                <w:szCs w:val="20"/>
              </w:rPr>
              <w:t>947 165</w:t>
            </w:r>
          </w:p>
        </w:tc>
        <w:tc>
          <w:tcPr>
            <w:tcW w:w="579"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688 198</w:t>
            </w:r>
          </w:p>
        </w:tc>
        <w:tc>
          <w:tcPr>
            <w:tcW w:w="860"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1 005 567</w:t>
            </w:r>
          </w:p>
        </w:tc>
        <w:tc>
          <w:tcPr>
            <w:tcW w:w="577"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317 369</w:t>
            </w:r>
          </w:p>
        </w:tc>
        <w:tc>
          <w:tcPr>
            <w:tcW w:w="672" w:type="pct"/>
            <w:tcBorders>
              <w:top w:val="single" w:sz="4" w:space="0" w:color="auto"/>
              <w:left w:val="single" w:sz="4" w:space="0" w:color="auto"/>
              <w:bottom w:val="single" w:sz="4" w:space="0" w:color="auto"/>
              <w:right w:val="single" w:sz="4" w:space="0" w:color="auto"/>
            </w:tcBorders>
            <w:vAlign w:val="center"/>
          </w:tcPr>
          <w:p w:rsidR="00631161" w:rsidRPr="00C65CAA" w:rsidRDefault="00631161" w:rsidP="00011F12">
            <w:pPr>
              <w:jc w:val="right"/>
              <w:rPr>
                <w:rFonts w:ascii="Arial Narrow" w:hAnsi="Arial Narrow"/>
                <w:color w:val="000000"/>
                <w:sz w:val="20"/>
                <w:szCs w:val="20"/>
              </w:rPr>
            </w:pPr>
            <w:r w:rsidRPr="00C65CAA">
              <w:rPr>
                <w:rFonts w:ascii="Arial Narrow" w:hAnsi="Arial Narrow"/>
                <w:color w:val="000000"/>
                <w:sz w:val="20"/>
                <w:szCs w:val="20"/>
              </w:rPr>
              <w:t>146,1</w:t>
            </w:r>
          </w:p>
        </w:tc>
      </w:tr>
    </w:tbl>
    <w:p w:rsidR="00246EC8" w:rsidRPr="00C65CAA" w:rsidRDefault="00246EC8" w:rsidP="00C8633E">
      <w:pPr>
        <w:pStyle w:val="Zkladntext"/>
        <w:spacing w:after="100"/>
        <w:jc w:val="both"/>
        <w:rPr>
          <w:rFonts w:ascii="Arial Narrow" w:hAnsi="Arial Narrow"/>
          <w:color w:val="000000"/>
          <w:sz w:val="20"/>
        </w:rPr>
      </w:pPr>
      <w:r w:rsidRPr="00C65CAA">
        <w:rPr>
          <w:rFonts w:ascii="Arial Narrow" w:hAnsi="Arial Narrow"/>
          <w:color w:val="000000"/>
          <w:sz w:val="20"/>
        </w:rPr>
        <w:t>Zdroj: ŠZÚ za rok 2017, RVS na roky 2018 až 2020, Návrh RVS na roky 2019 až 2021</w:t>
      </w:r>
    </w:p>
    <w:p w:rsidR="00D23611" w:rsidRPr="00C65CAA" w:rsidRDefault="00116B8F" w:rsidP="00256AF8">
      <w:pPr>
        <w:spacing w:before="100" w:after="100"/>
        <w:ind w:firstLine="709"/>
        <w:jc w:val="both"/>
        <w:rPr>
          <w:rFonts w:ascii="Arial Narrow" w:hAnsi="Arial Narrow"/>
          <w:sz w:val="22"/>
          <w:szCs w:val="22"/>
        </w:rPr>
      </w:pPr>
      <w:r w:rsidRPr="00C65CAA">
        <w:rPr>
          <w:rFonts w:ascii="Arial Narrow" w:hAnsi="Arial Narrow"/>
          <w:sz w:val="22"/>
          <w:szCs w:val="22"/>
        </w:rPr>
        <w:t>Kapitálové výdavky sa medziročne</w:t>
      </w:r>
      <w:r w:rsidR="00D23611" w:rsidRPr="00C65CAA">
        <w:rPr>
          <w:rFonts w:ascii="Arial Narrow" w:hAnsi="Arial Narrow"/>
          <w:sz w:val="22"/>
          <w:szCs w:val="22"/>
        </w:rPr>
        <w:t xml:space="preserve"> z</w:t>
      </w:r>
      <w:r w:rsidR="00631161" w:rsidRPr="00C65CAA">
        <w:rPr>
          <w:rFonts w:ascii="Arial Narrow" w:hAnsi="Arial Narrow"/>
          <w:sz w:val="22"/>
          <w:szCs w:val="22"/>
        </w:rPr>
        <w:t>vyšujú o 1 054 053</w:t>
      </w:r>
      <w:r w:rsidR="00D23611" w:rsidRPr="00C65CAA">
        <w:rPr>
          <w:rFonts w:ascii="Arial Narrow" w:hAnsi="Arial Narrow"/>
          <w:sz w:val="22"/>
          <w:szCs w:val="22"/>
        </w:rPr>
        <w:t xml:space="preserve"> </w:t>
      </w:r>
      <w:r w:rsidR="00FC3875" w:rsidRPr="00C65CAA">
        <w:rPr>
          <w:rFonts w:ascii="Arial Narrow" w:hAnsi="Arial Narrow"/>
          <w:color w:val="000000"/>
          <w:sz w:val="22"/>
          <w:szCs w:val="22"/>
        </w:rPr>
        <w:t xml:space="preserve">tis. eur na úroveň </w:t>
      </w:r>
      <w:r w:rsidR="00631161" w:rsidRPr="00C65CAA">
        <w:rPr>
          <w:rFonts w:ascii="Arial Narrow" w:hAnsi="Arial Narrow"/>
          <w:color w:val="000000"/>
          <w:sz w:val="22"/>
          <w:szCs w:val="22"/>
        </w:rPr>
        <w:t xml:space="preserve">2 385 469 tis. eur. </w:t>
      </w:r>
      <w:r w:rsidR="00FF603D" w:rsidRPr="00C65CAA">
        <w:rPr>
          <w:rFonts w:ascii="Arial Narrow" w:hAnsi="Arial Narrow"/>
          <w:color w:val="000000"/>
          <w:sz w:val="22"/>
          <w:szCs w:val="22"/>
        </w:rPr>
        <w:t xml:space="preserve">Navrhovaná výška súvisí aj so zvýšením prostriedkov z rozpočtu EÚ, ale aj tak neumožní plne odstrániť modernizačný dlh v kapitolách ŠR, a tak </w:t>
      </w:r>
      <w:r w:rsidR="00D23611" w:rsidRPr="00C65CAA">
        <w:rPr>
          <w:rFonts w:ascii="Arial Narrow" w:hAnsi="Arial Narrow"/>
          <w:sz w:val="22"/>
          <w:szCs w:val="22"/>
        </w:rPr>
        <w:t>rekonštrukcie, modernizácie a nákupy objektov a ich realizácia sa bude musieť opätovne presunúť na ďalšie roky.</w:t>
      </w:r>
    </w:p>
    <w:p w:rsidR="00D23611" w:rsidRPr="00C65CAA" w:rsidRDefault="00D23611" w:rsidP="00256AF8">
      <w:pPr>
        <w:pStyle w:val="Nadpis2"/>
        <w:numPr>
          <w:ilvl w:val="1"/>
          <w:numId w:val="92"/>
        </w:numPr>
        <w:spacing w:before="100" w:after="100"/>
        <w:rPr>
          <w:szCs w:val="22"/>
        </w:rPr>
      </w:pPr>
      <w:bookmarkStart w:id="20" w:name="_Toc431901284"/>
      <w:bookmarkStart w:id="21" w:name="_Toc495316431"/>
      <w:bookmarkStart w:id="22" w:name="_Toc529507594"/>
      <w:r w:rsidRPr="00C65CAA">
        <w:rPr>
          <w:szCs w:val="22"/>
        </w:rPr>
        <w:t>Stanovisko k návrhom rozpočtov kapitol ŠR na rok 201</w:t>
      </w:r>
      <w:bookmarkEnd w:id="20"/>
      <w:bookmarkEnd w:id="21"/>
      <w:r w:rsidR="00972CEB" w:rsidRPr="00C65CAA">
        <w:rPr>
          <w:szCs w:val="22"/>
        </w:rPr>
        <w:t>9</w:t>
      </w:r>
      <w:bookmarkEnd w:id="22"/>
    </w:p>
    <w:p w:rsidR="00D23611" w:rsidRPr="00C65CAA" w:rsidRDefault="00D23611" w:rsidP="00256AF8">
      <w:pPr>
        <w:pStyle w:val="Nadpis3"/>
        <w:numPr>
          <w:ilvl w:val="2"/>
          <w:numId w:val="92"/>
        </w:numPr>
        <w:spacing w:before="100" w:after="100"/>
        <w:rPr>
          <w:szCs w:val="22"/>
        </w:rPr>
      </w:pPr>
      <w:bookmarkStart w:id="23" w:name="_Toc431901285"/>
      <w:bookmarkStart w:id="24" w:name="_Toc495316432"/>
      <w:bookmarkStart w:id="25" w:name="_Toc529507595"/>
      <w:r w:rsidRPr="00C65CAA">
        <w:rPr>
          <w:szCs w:val="22"/>
        </w:rPr>
        <w:t>Stanovisko k príjmom kapitol návrhu ŠR na rok 201</w:t>
      </w:r>
      <w:bookmarkEnd w:id="23"/>
      <w:bookmarkEnd w:id="24"/>
      <w:r w:rsidR="00972CEB" w:rsidRPr="00C65CAA">
        <w:rPr>
          <w:szCs w:val="22"/>
        </w:rPr>
        <w:t>9</w:t>
      </w:r>
      <w:bookmarkEnd w:id="25"/>
    </w:p>
    <w:p w:rsidR="00D23611" w:rsidRPr="00C65CAA" w:rsidRDefault="00D23611" w:rsidP="00256AF8">
      <w:pPr>
        <w:spacing w:before="100" w:after="100"/>
        <w:ind w:firstLine="708"/>
        <w:jc w:val="both"/>
        <w:rPr>
          <w:rFonts w:ascii="Arial Narrow" w:hAnsi="Arial Narrow"/>
          <w:sz w:val="22"/>
          <w:szCs w:val="22"/>
        </w:rPr>
      </w:pPr>
      <w:r w:rsidRPr="00C65CAA">
        <w:rPr>
          <w:rFonts w:ascii="Arial Narrow" w:hAnsi="Arial Narrow"/>
          <w:sz w:val="22"/>
          <w:szCs w:val="22"/>
        </w:rPr>
        <w:t>Rozpočtovanie hot</w:t>
      </w:r>
      <w:r w:rsidR="00387229" w:rsidRPr="00C65CAA">
        <w:rPr>
          <w:rFonts w:ascii="Arial Narrow" w:hAnsi="Arial Narrow"/>
          <w:sz w:val="22"/>
          <w:szCs w:val="22"/>
        </w:rPr>
        <w:t>ovostných príjmov ŠR na rok 2019</w:t>
      </w:r>
      <w:r w:rsidRPr="00C65CAA">
        <w:rPr>
          <w:rFonts w:ascii="Arial Narrow" w:hAnsi="Arial Narrow"/>
          <w:sz w:val="22"/>
          <w:szCs w:val="22"/>
        </w:rPr>
        <w:t xml:space="preserve"> na medziročne z</w:t>
      </w:r>
      <w:r w:rsidR="00387229" w:rsidRPr="00C65CAA">
        <w:rPr>
          <w:rFonts w:ascii="Arial Narrow" w:hAnsi="Arial Narrow"/>
          <w:sz w:val="22"/>
          <w:szCs w:val="22"/>
        </w:rPr>
        <w:t>vyšuje o 1 514 844</w:t>
      </w:r>
      <w:r w:rsidR="00AA0A1F" w:rsidRPr="00C65CAA">
        <w:rPr>
          <w:rFonts w:ascii="Arial Narrow" w:hAnsi="Arial Narrow"/>
          <w:sz w:val="22"/>
          <w:szCs w:val="22"/>
        </w:rPr>
        <w:t xml:space="preserve"> tis. eur na </w:t>
      </w:r>
      <w:r w:rsidRPr="00C65CAA">
        <w:rPr>
          <w:rFonts w:ascii="Arial Narrow" w:hAnsi="Arial Narrow"/>
          <w:sz w:val="22"/>
          <w:szCs w:val="22"/>
        </w:rPr>
        <w:t>úroveň 1</w:t>
      </w:r>
      <w:r w:rsidR="00387229" w:rsidRPr="00C65CAA">
        <w:rPr>
          <w:rFonts w:ascii="Arial Narrow" w:hAnsi="Arial Narrow"/>
          <w:sz w:val="22"/>
          <w:szCs w:val="22"/>
        </w:rPr>
        <w:t>5 497 654</w:t>
      </w:r>
      <w:r w:rsidRPr="00C65CAA">
        <w:rPr>
          <w:rFonts w:ascii="Arial Narrow" w:hAnsi="Arial Narrow"/>
          <w:sz w:val="22"/>
          <w:szCs w:val="22"/>
        </w:rPr>
        <w:t xml:space="preserve"> tis. eur.</w:t>
      </w:r>
    </w:p>
    <w:p w:rsidR="00D23611" w:rsidRPr="00C65CAA" w:rsidRDefault="00D23611" w:rsidP="00256AF8">
      <w:pPr>
        <w:tabs>
          <w:tab w:val="left" w:pos="709"/>
        </w:tabs>
        <w:spacing w:before="100" w:after="100"/>
        <w:jc w:val="both"/>
        <w:rPr>
          <w:rFonts w:ascii="Arial Narrow" w:hAnsi="Arial Narrow"/>
          <w:sz w:val="22"/>
          <w:szCs w:val="22"/>
        </w:rPr>
      </w:pPr>
      <w:r w:rsidRPr="00C65CAA">
        <w:rPr>
          <w:rFonts w:ascii="Arial Narrow" w:hAnsi="Arial Narrow"/>
          <w:sz w:val="22"/>
          <w:szCs w:val="22"/>
        </w:rPr>
        <w:tab/>
        <w:t>Medziročný nárast príjmov</w:t>
      </w:r>
      <w:r w:rsidR="00A724D0" w:rsidRPr="00C65CAA">
        <w:rPr>
          <w:rFonts w:ascii="Arial Narrow" w:hAnsi="Arial Narrow"/>
          <w:sz w:val="22"/>
          <w:szCs w:val="22"/>
        </w:rPr>
        <w:t xml:space="preserve"> na rok 2019</w:t>
      </w:r>
      <w:r w:rsidR="00387229" w:rsidRPr="00C65CAA">
        <w:rPr>
          <w:rFonts w:ascii="Arial Narrow" w:hAnsi="Arial Narrow"/>
          <w:sz w:val="22"/>
          <w:szCs w:val="22"/>
        </w:rPr>
        <w:t xml:space="preserve"> je rozpočtovaný v 11</w:t>
      </w:r>
      <w:r w:rsidRPr="00C65CAA">
        <w:rPr>
          <w:rFonts w:ascii="Arial Narrow" w:hAnsi="Arial Narrow"/>
          <w:sz w:val="22"/>
          <w:szCs w:val="22"/>
        </w:rPr>
        <w:t xml:space="preserve"> kapitolách. Medziročný pokles príjmo</w:t>
      </w:r>
      <w:r w:rsidR="00AA0A1F" w:rsidRPr="00C65CAA">
        <w:rPr>
          <w:rFonts w:ascii="Arial Narrow" w:hAnsi="Arial Narrow"/>
          <w:sz w:val="22"/>
          <w:szCs w:val="22"/>
        </w:rPr>
        <w:t>v na rok </w:t>
      </w:r>
      <w:r w:rsidR="00A724D0" w:rsidRPr="00C65CAA">
        <w:rPr>
          <w:rFonts w:ascii="Arial Narrow" w:hAnsi="Arial Narrow"/>
          <w:sz w:val="22"/>
          <w:szCs w:val="22"/>
        </w:rPr>
        <w:t>2019</w:t>
      </w:r>
      <w:r w:rsidR="00387229" w:rsidRPr="00C65CAA">
        <w:rPr>
          <w:rFonts w:ascii="Arial Narrow" w:hAnsi="Arial Narrow"/>
          <w:sz w:val="22"/>
          <w:szCs w:val="22"/>
        </w:rPr>
        <w:t xml:space="preserve"> sa rozpočtuje v 5 kapitolách. V 17</w:t>
      </w:r>
      <w:r w:rsidRPr="00C65CAA">
        <w:rPr>
          <w:rFonts w:ascii="Arial Narrow" w:hAnsi="Arial Narrow"/>
          <w:sz w:val="22"/>
          <w:szCs w:val="22"/>
        </w:rPr>
        <w:t xml:space="preserve"> rozpočtových kapitolách sú príjmy </w:t>
      </w:r>
      <w:r w:rsidR="00AA0A1F" w:rsidRPr="00C65CAA">
        <w:rPr>
          <w:rFonts w:ascii="Arial Narrow" w:hAnsi="Arial Narrow"/>
          <w:sz w:val="22"/>
          <w:szCs w:val="22"/>
        </w:rPr>
        <w:t>rozpočtované na úrovni roka </w:t>
      </w:r>
      <w:r w:rsidR="00387229" w:rsidRPr="00C65CAA">
        <w:rPr>
          <w:rFonts w:ascii="Arial Narrow" w:hAnsi="Arial Narrow"/>
          <w:sz w:val="22"/>
          <w:szCs w:val="22"/>
        </w:rPr>
        <w:t>2018</w:t>
      </w:r>
      <w:r w:rsidRPr="00C65CAA">
        <w:rPr>
          <w:rFonts w:ascii="Arial Narrow" w:hAnsi="Arial Narrow"/>
          <w:sz w:val="22"/>
          <w:szCs w:val="22"/>
        </w:rPr>
        <w:t xml:space="preserve"> a v 2 </w:t>
      </w:r>
      <w:r w:rsidR="00A724D0" w:rsidRPr="00C65CAA">
        <w:rPr>
          <w:rFonts w:ascii="Arial Narrow" w:hAnsi="Arial Narrow"/>
          <w:sz w:val="22"/>
          <w:szCs w:val="22"/>
        </w:rPr>
        <w:t>kapitolách sa príjmy na rok 2019</w:t>
      </w:r>
      <w:r w:rsidRPr="00C65CAA">
        <w:rPr>
          <w:rFonts w:ascii="Arial Narrow" w:hAnsi="Arial Narrow"/>
          <w:sz w:val="22"/>
          <w:szCs w:val="22"/>
        </w:rPr>
        <w:t xml:space="preserve"> nerozpočtujú.</w:t>
      </w:r>
    </w:p>
    <w:p w:rsidR="00246EC8" w:rsidRPr="00C65CAA" w:rsidRDefault="00972CEB" w:rsidP="00256AF8">
      <w:pPr>
        <w:spacing w:before="100" w:after="100"/>
        <w:ind w:firstLine="708"/>
        <w:jc w:val="both"/>
        <w:rPr>
          <w:rFonts w:ascii="Arial Narrow" w:hAnsi="Arial Narrow"/>
          <w:sz w:val="22"/>
          <w:szCs w:val="22"/>
        </w:rPr>
      </w:pPr>
      <w:r w:rsidRPr="00C65CAA">
        <w:rPr>
          <w:rFonts w:ascii="Arial Narrow" w:hAnsi="Arial Narrow"/>
          <w:sz w:val="22"/>
          <w:szCs w:val="22"/>
        </w:rPr>
        <w:t>Návrh rozpočtu príjmov</w:t>
      </w:r>
      <w:r w:rsidR="00246EC8" w:rsidRPr="00C65CAA">
        <w:rPr>
          <w:rFonts w:ascii="Arial Narrow" w:hAnsi="Arial Narrow"/>
          <w:sz w:val="22"/>
          <w:szCs w:val="22"/>
        </w:rPr>
        <w:t xml:space="preserve"> podľa jednotlivých kapitol na rok 2019 a ich porovnanie so schváleným rozpočtom na rok 2018 a skutočnosťou za rok 2017</w:t>
      </w:r>
      <w:r w:rsidR="001D2AD7" w:rsidRPr="00C65CAA">
        <w:rPr>
          <w:rFonts w:ascii="Arial Narrow" w:hAnsi="Arial Narrow"/>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4"/>
        <w:gridCol w:w="1189"/>
        <w:gridCol w:w="1191"/>
        <w:gridCol w:w="1448"/>
        <w:gridCol w:w="1135"/>
        <w:gridCol w:w="986"/>
      </w:tblGrid>
      <w:tr w:rsidR="00246EC8" w:rsidRPr="00C65CAA" w:rsidTr="00246EC8">
        <w:trPr>
          <w:trHeight w:val="170"/>
          <w:tblHeader/>
        </w:trPr>
        <w:tc>
          <w:tcPr>
            <w:tcW w:w="1718" w:type="pct"/>
            <w:shd w:val="clear" w:color="auto" w:fill="0070C0"/>
            <w:vAlign w:val="center"/>
          </w:tcPr>
          <w:p w:rsidR="00246EC8" w:rsidRPr="00C65CAA" w:rsidRDefault="00246EC8" w:rsidP="00011F12">
            <w:pPr>
              <w:jc w:val="center"/>
              <w:rPr>
                <w:rFonts w:ascii="Arial Narrow" w:hAnsi="Arial Narrow"/>
                <w:b/>
                <w:bCs/>
                <w:color w:val="FFFFFF" w:themeColor="background1"/>
                <w:sz w:val="20"/>
                <w:szCs w:val="20"/>
              </w:rPr>
            </w:pPr>
            <w:r w:rsidRPr="00C65CAA">
              <w:rPr>
                <w:rFonts w:ascii="Arial Narrow" w:hAnsi="Arial Narrow"/>
                <w:b/>
                <w:bCs/>
                <w:color w:val="FFFFFF" w:themeColor="background1"/>
                <w:sz w:val="20"/>
                <w:szCs w:val="20"/>
              </w:rPr>
              <w:t xml:space="preserve">Príjmy ŠR </w:t>
            </w:r>
            <w:r w:rsidRPr="00C65CAA">
              <w:rPr>
                <w:rFonts w:ascii="Arial Narrow" w:hAnsi="Arial Narrow"/>
                <w:b/>
                <w:color w:val="FFFFFF" w:themeColor="background1"/>
                <w:sz w:val="20"/>
                <w:szCs w:val="20"/>
              </w:rPr>
              <w:t>(v tis. eur)</w:t>
            </w:r>
          </w:p>
        </w:tc>
        <w:tc>
          <w:tcPr>
            <w:tcW w:w="656" w:type="pct"/>
            <w:shd w:val="clear" w:color="auto" w:fill="0070C0"/>
            <w:vAlign w:val="center"/>
          </w:tcPr>
          <w:p w:rsidR="00246EC8" w:rsidRPr="00C65CAA" w:rsidRDefault="00246EC8" w:rsidP="00011F12">
            <w:pPr>
              <w:jc w:val="center"/>
              <w:rPr>
                <w:rFonts w:ascii="Arial Narrow" w:hAnsi="Arial Narrow"/>
                <w:b/>
                <w:bCs/>
                <w:color w:val="FFFFFF" w:themeColor="background1"/>
                <w:sz w:val="20"/>
                <w:szCs w:val="20"/>
              </w:rPr>
            </w:pPr>
            <w:r w:rsidRPr="00C65CAA">
              <w:rPr>
                <w:rFonts w:ascii="Arial Narrow" w:hAnsi="Arial Narrow"/>
                <w:b/>
                <w:bCs/>
                <w:color w:val="FFFFFF" w:themeColor="background1"/>
                <w:sz w:val="20"/>
                <w:szCs w:val="20"/>
              </w:rPr>
              <w:t>Skutočnosť</w:t>
            </w:r>
          </w:p>
          <w:p w:rsidR="00246EC8" w:rsidRPr="00C65CAA" w:rsidRDefault="00246EC8" w:rsidP="00011F12">
            <w:pPr>
              <w:jc w:val="center"/>
              <w:rPr>
                <w:rFonts w:ascii="Arial Narrow" w:hAnsi="Arial Narrow"/>
                <w:b/>
                <w:bCs/>
                <w:color w:val="FFFFFF" w:themeColor="background1"/>
                <w:sz w:val="20"/>
                <w:szCs w:val="20"/>
              </w:rPr>
            </w:pPr>
            <w:r w:rsidRPr="00C65CAA">
              <w:rPr>
                <w:rFonts w:ascii="Arial Narrow" w:hAnsi="Arial Narrow"/>
                <w:b/>
                <w:bCs/>
                <w:color w:val="FFFFFF" w:themeColor="background1"/>
                <w:sz w:val="20"/>
                <w:szCs w:val="20"/>
              </w:rPr>
              <w:t>2017</w:t>
            </w:r>
          </w:p>
        </w:tc>
        <w:tc>
          <w:tcPr>
            <w:tcW w:w="657" w:type="pct"/>
            <w:shd w:val="clear" w:color="auto" w:fill="0070C0"/>
            <w:vAlign w:val="center"/>
          </w:tcPr>
          <w:p w:rsidR="00246EC8" w:rsidRPr="00C65CAA" w:rsidRDefault="00246EC8" w:rsidP="00011F12">
            <w:pPr>
              <w:jc w:val="center"/>
              <w:rPr>
                <w:rFonts w:ascii="Arial Narrow" w:hAnsi="Arial Narrow"/>
                <w:b/>
                <w:bCs/>
                <w:color w:val="FFFFFF" w:themeColor="background1"/>
                <w:sz w:val="20"/>
                <w:szCs w:val="20"/>
              </w:rPr>
            </w:pPr>
            <w:r w:rsidRPr="00C65CAA">
              <w:rPr>
                <w:rFonts w:ascii="Arial Narrow" w:hAnsi="Arial Narrow"/>
                <w:b/>
                <w:bCs/>
                <w:color w:val="FFFFFF" w:themeColor="background1"/>
                <w:sz w:val="20"/>
                <w:szCs w:val="20"/>
              </w:rPr>
              <w:t>Rozpočet</w:t>
            </w:r>
          </w:p>
          <w:p w:rsidR="00246EC8" w:rsidRPr="00C65CAA" w:rsidRDefault="00246EC8" w:rsidP="00011F12">
            <w:pPr>
              <w:jc w:val="center"/>
              <w:rPr>
                <w:rFonts w:ascii="Arial Narrow" w:hAnsi="Arial Narrow"/>
                <w:b/>
                <w:bCs/>
                <w:color w:val="FFFFFF" w:themeColor="background1"/>
                <w:sz w:val="20"/>
                <w:szCs w:val="20"/>
              </w:rPr>
            </w:pPr>
            <w:r w:rsidRPr="00C65CAA">
              <w:rPr>
                <w:rFonts w:ascii="Arial Narrow" w:hAnsi="Arial Narrow"/>
                <w:b/>
                <w:bCs/>
                <w:color w:val="FFFFFF" w:themeColor="background1"/>
                <w:sz w:val="20"/>
                <w:szCs w:val="20"/>
              </w:rPr>
              <w:t>2018</w:t>
            </w:r>
          </w:p>
        </w:tc>
        <w:tc>
          <w:tcPr>
            <w:tcW w:w="799" w:type="pct"/>
            <w:shd w:val="clear" w:color="auto" w:fill="0070C0"/>
            <w:vAlign w:val="center"/>
          </w:tcPr>
          <w:p w:rsidR="00246EC8" w:rsidRPr="00C65CAA" w:rsidRDefault="00246EC8" w:rsidP="00011F12">
            <w:pPr>
              <w:jc w:val="center"/>
              <w:rPr>
                <w:rFonts w:ascii="Arial Narrow" w:hAnsi="Arial Narrow"/>
                <w:b/>
                <w:bCs/>
                <w:color w:val="FFFFFF" w:themeColor="background1"/>
                <w:sz w:val="20"/>
                <w:szCs w:val="20"/>
              </w:rPr>
            </w:pPr>
            <w:r w:rsidRPr="00C65CAA">
              <w:rPr>
                <w:rFonts w:ascii="Arial Narrow" w:hAnsi="Arial Narrow"/>
                <w:b/>
                <w:bCs/>
                <w:color w:val="FFFFFF" w:themeColor="background1"/>
                <w:sz w:val="20"/>
                <w:szCs w:val="20"/>
              </w:rPr>
              <w:t>Návrh rozpočtu</w:t>
            </w:r>
          </w:p>
          <w:p w:rsidR="00246EC8" w:rsidRPr="00C65CAA" w:rsidRDefault="00246EC8" w:rsidP="00011F12">
            <w:pPr>
              <w:jc w:val="center"/>
              <w:rPr>
                <w:rFonts w:ascii="Arial Narrow" w:hAnsi="Arial Narrow"/>
                <w:b/>
                <w:bCs/>
                <w:color w:val="FFFFFF" w:themeColor="background1"/>
                <w:sz w:val="20"/>
                <w:szCs w:val="20"/>
              </w:rPr>
            </w:pPr>
            <w:r w:rsidRPr="00C65CAA">
              <w:rPr>
                <w:rFonts w:ascii="Arial Narrow" w:hAnsi="Arial Narrow"/>
                <w:b/>
                <w:bCs/>
                <w:color w:val="FFFFFF" w:themeColor="background1"/>
                <w:sz w:val="20"/>
                <w:szCs w:val="20"/>
              </w:rPr>
              <w:t>2019</w:t>
            </w:r>
          </w:p>
        </w:tc>
        <w:tc>
          <w:tcPr>
            <w:tcW w:w="626" w:type="pct"/>
            <w:shd w:val="clear" w:color="auto" w:fill="0070C0"/>
            <w:vAlign w:val="center"/>
          </w:tcPr>
          <w:p w:rsidR="00246EC8" w:rsidRPr="00C65CAA" w:rsidRDefault="00246EC8" w:rsidP="00011F12">
            <w:pPr>
              <w:jc w:val="center"/>
              <w:rPr>
                <w:rFonts w:ascii="Arial Narrow" w:hAnsi="Arial Narrow"/>
                <w:b/>
                <w:bCs/>
                <w:color w:val="FFFFFF" w:themeColor="background1"/>
                <w:sz w:val="20"/>
                <w:szCs w:val="20"/>
              </w:rPr>
            </w:pPr>
            <w:r w:rsidRPr="00C65CAA">
              <w:rPr>
                <w:rFonts w:ascii="Arial Narrow" w:hAnsi="Arial Narrow"/>
                <w:b/>
                <w:bCs/>
                <w:color w:val="FFFFFF" w:themeColor="background1"/>
                <w:sz w:val="20"/>
                <w:szCs w:val="20"/>
              </w:rPr>
              <w:t>Rozdiel</w:t>
            </w:r>
          </w:p>
        </w:tc>
        <w:tc>
          <w:tcPr>
            <w:tcW w:w="544" w:type="pct"/>
            <w:shd w:val="clear" w:color="auto" w:fill="0070C0"/>
            <w:vAlign w:val="center"/>
          </w:tcPr>
          <w:p w:rsidR="00246EC8" w:rsidRPr="00C65CAA" w:rsidRDefault="00246EC8" w:rsidP="00011F12">
            <w:pPr>
              <w:jc w:val="center"/>
              <w:rPr>
                <w:rFonts w:ascii="Arial Narrow" w:hAnsi="Arial Narrow"/>
                <w:b/>
                <w:bCs/>
                <w:color w:val="FFFFFF" w:themeColor="background1"/>
                <w:sz w:val="20"/>
                <w:szCs w:val="20"/>
              </w:rPr>
            </w:pPr>
            <w:r w:rsidRPr="00C65CAA">
              <w:rPr>
                <w:rFonts w:ascii="Arial Narrow" w:hAnsi="Arial Narrow"/>
                <w:b/>
                <w:bCs/>
                <w:color w:val="FFFFFF" w:themeColor="background1"/>
                <w:sz w:val="20"/>
                <w:szCs w:val="20"/>
              </w:rPr>
              <w:t xml:space="preserve">Podiel </w:t>
            </w:r>
          </w:p>
          <w:p w:rsidR="00246EC8" w:rsidRPr="00C65CAA" w:rsidRDefault="00246EC8" w:rsidP="00011F12">
            <w:pPr>
              <w:jc w:val="center"/>
              <w:rPr>
                <w:rFonts w:ascii="Arial Narrow" w:hAnsi="Arial Narrow"/>
                <w:b/>
                <w:bCs/>
                <w:color w:val="FFFFFF" w:themeColor="background1"/>
                <w:sz w:val="20"/>
                <w:szCs w:val="20"/>
              </w:rPr>
            </w:pPr>
            <w:r w:rsidRPr="00C65CAA">
              <w:rPr>
                <w:rFonts w:ascii="Arial Narrow" w:hAnsi="Arial Narrow"/>
                <w:b/>
                <w:bCs/>
                <w:color w:val="FFFFFF" w:themeColor="background1"/>
                <w:sz w:val="20"/>
                <w:szCs w:val="20"/>
              </w:rPr>
              <w:t>v %</w:t>
            </w:r>
          </w:p>
        </w:tc>
      </w:tr>
      <w:tr w:rsidR="00246EC8" w:rsidRPr="00C65CAA" w:rsidTr="00246EC8">
        <w:trPr>
          <w:trHeight w:val="170"/>
          <w:tblHeader/>
        </w:trPr>
        <w:tc>
          <w:tcPr>
            <w:tcW w:w="1718" w:type="pct"/>
            <w:shd w:val="clear" w:color="auto" w:fill="auto"/>
            <w:vAlign w:val="center"/>
            <w:hideMark/>
          </w:tcPr>
          <w:p w:rsidR="00246EC8" w:rsidRPr="00C65CAA" w:rsidRDefault="00246EC8" w:rsidP="00011F12">
            <w:pPr>
              <w:jc w:val="center"/>
              <w:rPr>
                <w:rFonts w:ascii="Arial Narrow" w:hAnsi="Arial Narrow"/>
                <w:bCs/>
                <w:sz w:val="20"/>
                <w:szCs w:val="20"/>
              </w:rPr>
            </w:pPr>
            <w:r w:rsidRPr="00C65CAA">
              <w:rPr>
                <w:rFonts w:ascii="Arial Narrow" w:hAnsi="Arial Narrow"/>
                <w:bCs/>
                <w:sz w:val="20"/>
                <w:szCs w:val="20"/>
              </w:rPr>
              <w:t>a</w:t>
            </w:r>
          </w:p>
        </w:tc>
        <w:tc>
          <w:tcPr>
            <w:tcW w:w="656" w:type="pct"/>
            <w:shd w:val="clear" w:color="auto" w:fill="auto"/>
            <w:vAlign w:val="center"/>
            <w:hideMark/>
          </w:tcPr>
          <w:p w:rsidR="00246EC8" w:rsidRPr="00C65CAA" w:rsidRDefault="00246EC8" w:rsidP="00011F12">
            <w:pPr>
              <w:jc w:val="center"/>
              <w:rPr>
                <w:rFonts w:ascii="Arial Narrow" w:hAnsi="Arial Narrow"/>
                <w:sz w:val="20"/>
                <w:szCs w:val="20"/>
              </w:rPr>
            </w:pPr>
            <w:r w:rsidRPr="00C65CAA">
              <w:rPr>
                <w:rFonts w:ascii="Arial Narrow" w:hAnsi="Arial Narrow"/>
                <w:sz w:val="20"/>
                <w:szCs w:val="20"/>
              </w:rPr>
              <w:t>1</w:t>
            </w:r>
          </w:p>
        </w:tc>
        <w:tc>
          <w:tcPr>
            <w:tcW w:w="657" w:type="pct"/>
            <w:shd w:val="clear" w:color="auto" w:fill="auto"/>
            <w:vAlign w:val="center"/>
            <w:hideMark/>
          </w:tcPr>
          <w:p w:rsidR="00246EC8" w:rsidRPr="00C65CAA" w:rsidRDefault="00246EC8" w:rsidP="00011F12">
            <w:pPr>
              <w:jc w:val="center"/>
              <w:rPr>
                <w:rFonts w:ascii="Arial Narrow" w:hAnsi="Arial Narrow"/>
                <w:sz w:val="20"/>
                <w:szCs w:val="20"/>
              </w:rPr>
            </w:pPr>
            <w:r w:rsidRPr="00C65CAA">
              <w:rPr>
                <w:rFonts w:ascii="Arial Narrow" w:hAnsi="Arial Narrow"/>
                <w:sz w:val="20"/>
                <w:szCs w:val="20"/>
              </w:rPr>
              <w:t>2</w:t>
            </w:r>
          </w:p>
        </w:tc>
        <w:tc>
          <w:tcPr>
            <w:tcW w:w="799" w:type="pct"/>
            <w:shd w:val="clear" w:color="auto" w:fill="auto"/>
            <w:vAlign w:val="center"/>
            <w:hideMark/>
          </w:tcPr>
          <w:p w:rsidR="00246EC8" w:rsidRPr="00C65CAA" w:rsidRDefault="00246EC8" w:rsidP="00011F12">
            <w:pPr>
              <w:jc w:val="center"/>
              <w:rPr>
                <w:rFonts w:ascii="Arial Narrow" w:hAnsi="Arial Narrow"/>
                <w:sz w:val="20"/>
                <w:szCs w:val="20"/>
              </w:rPr>
            </w:pPr>
            <w:r w:rsidRPr="00C65CAA">
              <w:rPr>
                <w:rFonts w:ascii="Arial Narrow" w:hAnsi="Arial Narrow"/>
                <w:sz w:val="20"/>
                <w:szCs w:val="20"/>
              </w:rPr>
              <w:t>3</w:t>
            </w:r>
          </w:p>
        </w:tc>
        <w:tc>
          <w:tcPr>
            <w:tcW w:w="626" w:type="pct"/>
            <w:shd w:val="clear" w:color="auto" w:fill="auto"/>
            <w:vAlign w:val="center"/>
            <w:hideMark/>
          </w:tcPr>
          <w:p w:rsidR="00246EC8" w:rsidRPr="00C65CAA" w:rsidRDefault="00246EC8" w:rsidP="00011F12">
            <w:pPr>
              <w:jc w:val="center"/>
              <w:rPr>
                <w:rFonts w:ascii="Arial Narrow" w:hAnsi="Arial Narrow"/>
                <w:sz w:val="20"/>
                <w:szCs w:val="20"/>
              </w:rPr>
            </w:pPr>
            <w:r w:rsidRPr="00C65CAA">
              <w:rPr>
                <w:rFonts w:ascii="Arial Narrow" w:hAnsi="Arial Narrow"/>
                <w:sz w:val="20"/>
                <w:szCs w:val="20"/>
              </w:rPr>
              <w:t>3-2</w:t>
            </w:r>
          </w:p>
        </w:tc>
        <w:tc>
          <w:tcPr>
            <w:tcW w:w="544" w:type="pct"/>
            <w:shd w:val="clear" w:color="auto" w:fill="auto"/>
            <w:vAlign w:val="center"/>
            <w:hideMark/>
          </w:tcPr>
          <w:p w:rsidR="00246EC8" w:rsidRPr="00C65CAA" w:rsidRDefault="00246EC8" w:rsidP="00011F12">
            <w:pPr>
              <w:jc w:val="center"/>
              <w:rPr>
                <w:rFonts w:ascii="Arial Narrow" w:hAnsi="Arial Narrow"/>
                <w:sz w:val="20"/>
                <w:szCs w:val="20"/>
              </w:rPr>
            </w:pPr>
            <w:r w:rsidRPr="00C65CAA">
              <w:rPr>
                <w:rFonts w:ascii="Arial Narrow" w:hAnsi="Arial Narrow"/>
                <w:sz w:val="20"/>
                <w:szCs w:val="20"/>
              </w:rPr>
              <w:t>3/2*100</w:t>
            </w:r>
          </w:p>
        </w:tc>
      </w:tr>
      <w:tr w:rsidR="00246EC8" w:rsidRPr="00C65CAA" w:rsidTr="00246EC8">
        <w:trPr>
          <w:trHeight w:val="227"/>
        </w:trPr>
        <w:tc>
          <w:tcPr>
            <w:tcW w:w="1718" w:type="pct"/>
            <w:shd w:val="clear" w:color="auto" w:fill="auto"/>
            <w:vAlign w:val="center"/>
            <w:hideMark/>
          </w:tcPr>
          <w:p w:rsidR="00246EC8" w:rsidRPr="00C65CAA" w:rsidRDefault="00246EC8" w:rsidP="00011F12">
            <w:pPr>
              <w:rPr>
                <w:rFonts w:ascii="Arial Narrow" w:hAnsi="Arial Narrow"/>
                <w:b/>
                <w:bCs/>
                <w:color w:val="000000"/>
                <w:sz w:val="20"/>
                <w:szCs w:val="20"/>
              </w:rPr>
            </w:pPr>
            <w:r w:rsidRPr="00C65CAA">
              <w:rPr>
                <w:rFonts w:ascii="Arial Narrow" w:hAnsi="Arial Narrow"/>
                <w:b/>
                <w:bCs/>
                <w:color w:val="000000"/>
                <w:sz w:val="20"/>
                <w:szCs w:val="20"/>
              </w:rPr>
              <w:t>Kapitoly ŠR spolu</w:t>
            </w:r>
          </w:p>
        </w:tc>
        <w:tc>
          <w:tcPr>
            <w:tcW w:w="656" w:type="pct"/>
            <w:shd w:val="clear" w:color="auto" w:fill="auto"/>
            <w:vAlign w:val="center"/>
          </w:tcPr>
          <w:p w:rsidR="00246EC8" w:rsidRPr="00C65CAA" w:rsidRDefault="00246EC8" w:rsidP="00011F12">
            <w:pPr>
              <w:jc w:val="right"/>
              <w:rPr>
                <w:rFonts w:ascii="Arial Narrow" w:hAnsi="Arial Narrow"/>
                <w:b/>
                <w:bCs/>
                <w:color w:val="000000"/>
                <w:sz w:val="20"/>
                <w:szCs w:val="20"/>
              </w:rPr>
            </w:pPr>
            <w:r w:rsidRPr="00C65CAA">
              <w:rPr>
                <w:rFonts w:ascii="Arial Narrow" w:hAnsi="Arial Narrow" w:cs="Tahoma"/>
                <w:b/>
                <w:bCs/>
                <w:color w:val="000000"/>
                <w:sz w:val="20"/>
                <w:szCs w:val="20"/>
              </w:rPr>
              <w:t>14 014 129</w:t>
            </w:r>
          </w:p>
        </w:tc>
        <w:tc>
          <w:tcPr>
            <w:tcW w:w="657" w:type="pct"/>
            <w:shd w:val="clear" w:color="auto" w:fill="auto"/>
            <w:vAlign w:val="center"/>
          </w:tcPr>
          <w:p w:rsidR="00246EC8" w:rsidRPr="00C65CAA" w:rsidRDefault="00246EC8" w:rsidP="00011F12">
            <w:pPr>
              <w:jc w:val="right"/>
              <w:rPr>
                <w:rFonts w:ascii="Arial Narrow" w:hAnsi="Arial Narrow"/>
                <w:b/>
                <w:bCs/>
                <w:color w:val="000000"/>
                <w:sz w:val="20"/>
                <w:szCs w:val="20"/>
              </w:rPr>
            </w:pPr>
            <w:r w:rsidRPr="00C65CAA">
              <w:rPr>
                <w:rFonts w:ascii="Arial Narrow" w:hAnsi="Arial Narrow"/>
                <w:b/>
                <w:bCs/>
                <w:color w:val="000000"/>
                <w:sz w:val="20"/>
                <w:szCs w:val="20"/>
              </w:rPr>
              <w:t>13 982 810</w:t>
            </w:r>
          </w:p>
        </w:tc>
        <w:tc>
          <w:tcPr>
            <w:tcW w:w="799" w:type="pct"/>
            <w:shd w:val="clear" w:color="auto" w:fill="auto"/>
            <w:vAlign w:val="center"/>
          </w:tcPr>
          <w:p w:rsidR="00246EC8" w:rsidRPr="00C65CAA" w:rsidRDefault="00246EC8" w:rsidP="00011F12">
            <w:pPr>
              <w:jc w:val="right"/>
              <w:rPr>
                <w:rFonts w:ascii="Arial Narrow" w:hAnsi="Arial Narrow"/>
                <w:b/>
                <w:bCs/>
                <w:color w:val="000000"/>
                <w:sz w:val="20"/>
                <w:szCs w:val="20"/>
              </w:rPr>
            </w:pPr>
            <w:r w:rsidRPr="00C65CAA">
              <w:rPr>
                <w:rFonts w:ascii="Arial Narrow" w:hAnsi="Arial Narrow"/>
                <w:b/>
                <w:bCs/>
                <w:color w:val="000000"/>
                <w:sz w:val="20"/>
                <w:szCs w:val="20"/>
              </w:rPr>
              <w:t>15 497 654</w:t>
            </w:r>
          </w:p>
        </w:tc>
        <w:tc>
          <w:tcPr>
            <w:tcW w:w="626" w:type="pct"/>
            <w:shd w:val="clear" w:color="auto" w:fill="auto"/>
            <w:vAlign w:val="center"/>
          </w:tcPr>
          <w:p w:rsidR="00246EC8" w:rsidRPr="00C65CAA" w:rsidRDefault="00246EC8" w:rsidP="00011F12">
            <w:pPr>
              <w:jc w:val="right"/>
              <w:rPr>
                <w:rFonts w:ascii="Arial Narrow" w:hAnsi="Arial Narrow"/>
                <w:b/>
                <w:bCs/>
                <w:color w:val="000000"/>
                <w:sz w:val="20"/>
                <w:szCs w:val="20"/>
              </w:rPr>
            </w:pPr>
            <w:r w:rsidRPr="00C65CAA">
              <w:rPr>
                <w:rFonts w:ascii="Arial Narrow" w:hAnsi="Arial Narrow" w:cs="Tahoma"/>
                <w:b/>
                <w:bCs/>
                <w:color w:val="000000"/>
                <w:sz w:val="20"/>
                <w:szCs w:val="20"/>
              </w:rPr>
              <w:t>1 514 844</w:t>
            </w:r>
          </w:p>
        </w:tc>
        <w:tc>
          <w:tcPr>
            <w:tcW w:w="544" w:type="pct"/>
            <w:shd w:val="clear" w:color="auto" w:fill="auto"/>
            <w:vAlign w:val="center"/>
          </w:tcPr>
          <w:p w:rsidR="00246EC8" w:rsidRPr="00C65CAA" w:rsidRDefault="00246EC8" w:rsidP="00011F12">
            <w:pPr>
              <w:jc w:val="right"/>
              <w:rPr>
                <w:rFonts w:ascii="Arial Narrow" w:hAnsi="Arial Narrow"/>
                <w:b/>
                <w:bCs/>
                <w:color w:val="000000"/>
                <w:sz w:val="20"/>
                <w:szCs w:val="20"/>
              </w:rPr>
            </w:pPr>
            <w:r w:rsidRPr="00C65CAA">
              <w:rPr>
                <w:rFonts w:ascii="Arial Narrow" w:hAnsi="Arial Narrow" w:cs="Tahoma"/>
                <w:b/>
                <w:bCs/>
                <w:color w:val="000000"/>
                <w:sz w:val="20"/>
                <w:szCs w:val="20"/>
              </w:rPr>
              <w:t>110,8</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Všeobecná pokladničná správa</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12 153 111</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12 251 119</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13 462 654</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1 211 535</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109,9</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Ministerstvo životného prostredia SR</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145 247</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89 909</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409 228</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319 320</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455,2</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Ministerstvo hospodárstva SR</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130 719</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211 968</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293 693</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81 725</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138,6</w:t>
            </w:r>
          </w:p>
        </w:tc>
      </w:tr>
      <w:tr w:rsidR="007106CA" w:rsidRPr="00C65CAA" w:rsidTr="007106CA">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Ministerstvo školstva, vedy, výskumu a športu SR</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54 280</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40 817</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81 529</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40 712</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199,7</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Ministerstvo dopravy a výstavby SR</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346 202</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14 438</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43 963</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29 525</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304,5</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Úrad vlády SR</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23 174</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8 072</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25 821</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17 749</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319,9</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Ministerstvo financií SR</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117 558</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24 481</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37 810</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13 329</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154,4</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Ministerstvo spravodlivosti SR</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24 784</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21 481</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23 281</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1 800</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108,4</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lastRenderedPageBreak/>
              <w:t>Ministerstvo zdravotníctva SR</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31 798</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37 392</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39 078</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1 686</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104,5</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 xml:space="preserve">Úrad pre normalizáciu, metrológiu a skúšobníctvo </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1 122</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1 000</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2 152</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1 152</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215,2</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Úrad jadrového dozoru SR</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8 962</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8 696</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9 121</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425</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104,9</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Kancelária NR SR</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1 574</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1 280</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1 280</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0</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100,0</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Úrad podpredsedu vlády pre investície a informatizáciu</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5</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0</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0</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0</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0,0</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Kancelária Ústavného súdu SR</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10</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12</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12</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0</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100,0</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Najvyšší súd SR</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26</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10</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10</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0</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100,0</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Generálna prokuratúra SR</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560</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500</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500</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0</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100,0</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Najvyšší kontrolný úrad SR</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41</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20</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20</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0</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100,0</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Slovenská informačná služba</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168</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130</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130</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0</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100,0</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Ministerstvo zahraničných vecí a európskych záležitostí SR</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2 629</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1 800</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1 800</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0</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100,0</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Ministerstvo obrany SR</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5 268</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9 047</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9 047</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0</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100,0</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Ministerstvo kultúry SR</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2 539</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1 500</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1 500</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0</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100,0</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Úrad geodézie, kartografie a katastra SR</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404</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200</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200</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0</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100,0</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Štatistický úrad SR</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1 246</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120</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120</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0</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100,0</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Úrad pre verejné obstarávanie</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662</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500</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500</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0</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100,0</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Úrad pre reguláciu sieťových odvetví</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238</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1 000</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1 000</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0</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100,0</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Úrad priemyselného vlastníctva SR</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3 252</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3 200</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3 200</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0</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100,0</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Protimonopolný úrad SR</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20 805</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200</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200</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0</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100,0</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Národný bezpečnostný úrad SR</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36</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22</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22</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0</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100,0</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Správa štátnych hmotných rezerv SR</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700</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600</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600</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0</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100,0</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Kancelária súdnej rady SR</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1</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0</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0</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0</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0,0</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Kancelária prezidenta SR</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27</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15</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10</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-5</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66,7</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Slovenská akadémia vied</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5 083</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1 710</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500</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-1 210</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29,2</w:t>
            </w:r>
          </w:p>
        </w:tc>
      </w:tr>
      <w:tr w:rsidR="007106CA" w:rsidRPr="00C65CAA" w:rsidTr="00FE57DF">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Ministerstvo vnútra SR</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87 508</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132 474</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120 822</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-11 653</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91,2</w:t>
            </w:r>
          </w:p>
        </w:tc>
      </w:tr>
      <w:tr w:rsidR="007106CA" w:rsidRPr="00C65CAA" w:rsidTr="007106CA">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Ministerstvo pôdohospodárstva a rozvoja vidieka SR</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661 856</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897 779</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829 679</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-68 100</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92,4</w:t>
            </w:r>
          </w:p>
        </w:tc>
      </w:tr>
      <w:tr w:rsidR="007106CA" w:rsidRPr="00C65CAA" w:rsidTr="007106CA">
        <w:trPr>
          <w:trHeight w:val="227"/>
        </w:trPr>
        <w:tc>
          <w:tcPr>
            <w:tcW w:w="1718" w:type="pct"/>
            <w:shd w:val="clear" w:color="auto" w:fill="auto"/>
            <w:vAlign w:val="bottom"/>
          </w:tcPr>
          <w:p w:rsidR="007106CA" w:rsidRPr="00C65CAA" w:rsidRDefault="007106CA" w:rsidP="00011F12">
            <w:pPr>
              <w:rPr>
                <w:rFonts w:ascii="Arial Narrow" w:hAnsi="Arial Narrow"/>
                <w:color w:val="000000"/>
                <w:sz w:val="20"/>
                <w:szCs w:val="20"/>
              </w:rPr>
            </w:pPr>
            <w:r w:rsidRPr="00C65CAA">
              <w:rPr>
                <w:rFonts w:ascii="Arial Narrow" w:hAnsi="Arial Narrow"/>
                <w:color w:val="000000"/>
                <w:sz w:val="20"/>
                <w:szCs w:val="20"/>
              </w:rPr>
              <w:t>Ministerstvo práce, sociálnych vecí a rodiny SR</w:t>
            </w:r>
          </w:p>
        </w:tc>
        <w:tc>
          <w:tcPr>
            <w:tcW w:w="656" w:type="pct"/>
            <w:shd w:val="clear" w:color="auto" w:fill="auto"/>
            <w:vAlign w:val="bottom"/>
          </w:tcPr>
          <w:p w:rsidR="007106CA" w:rsidRPr="00C65CAA" w:rsidRDefault="007106CA" w:rsidP="00011F12">
            <w:pPr>
              <w:jc w:val="right"/>
              <w:rPr>
                <w:rFonts w:ascii="Arial Narrow" w:hAnsi="Arial Narrow" w:cs="Arial"/>
                <w:sz w:val="20"/>
                <w:szCs w:val="20"/>
              </w:rPr>
            </w:pPr>
            <w:r w:rsidRPr="00C65CAA">
              <w:rPr>
                <w:rFonts w:ascii="Arial Narrow" w:hAnsi="Arial Narrow"/>
                <w:color w:val="000000"/>
                <w:sz w:val="20"/>
                <w:szCs w:val="20"/>
              </w:rPr>
              <w:t>182 534</w:t>
            </w:r>
          </w:p>
        </w:tc>
        <w:tc>
          <w:tcPr>
            <w:tcW w:w="657"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221 317</w:t>
            </w:r>
          </w:p>
        </w:tc>
        <w:tc>
          <w:tcPr>
            <w:tcW w:w="799"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98 172</w:t>
            </w:r>
          </w:p>
        </w:tc>
        <w:tc>
          <w:tcPr>
            <w:tcW w:w="626"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-123 145</w:t>
            </w:r>
          </w:p>
        </w:tc>
        <w:tc>
          <w:tcPr>
            <w:tcW w:w="544" w:type="pct"/>
            <w:shd w:val="clear" w:color="auto" w:fill="auto"/>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20"/>
                <w:szCs w:val="20"/>
              </w:rPr>
              <w:t>44,4</w:t>
            </w:r>
          </w:p>
        </w:tc>
      </w:tr>
    </w:tbl>
    <w:p w:rsidR="00246EC8" w:rsidRPr="00C65CAA" w:rsidRDefault="00246EC8" w:rsidP="00011F12">
      <w:pPr>
        <w:pStyle w:val="Zkladntext"/>
        <w:spacing w:after="100"/>
        <w:jc w:val="both"/>
        <w:rPr>
          <w:rFonts w:ascii="Arial Narrow" w:hAnsi="Arial Narrow"/>
          <w:color w:val="000000"/>
          <w:sz w:val="20"/>
        </w:rPr>
      </w:pPr>
      <w:r w:rsidRPr="00C65CAA">
        <w:rPr>
          <w:rFonts w:ascii="Arial Narrow" w:hAnsi="Arial Narrow"/>
          <w:color w:val="000000"/>
          <w:sz w:val="20"/>
        </w:rPr>
        <w:t>Zdroj: ŠZÚ za rok 2017, RVS na roky 2018 až 2020, Návrh RVS na roky 2019 až 2021</w:t>
      </w:r>
    </w:p>
    <w:p w:rsidR="00D23611" w:rsidRPr="00C65CAA" w:rsidRDefault="00D23611" w:rsidP="00256AF8">
      <w:pPr>
        <w:tabs>
          <w:tab w:val="left" w:pos="709"/>
        </w:tabs>
        <w:spacing w:before="100" w:after="100"/>
        <w:jc w:val="both"/>
        <w:rPr>
          <w:rFonts w:ascii="Arial Narrow" w:hAnsi="Arial Narrow"/>
          <w:sz w:val="22"/>
          <w:szCs w:val="22"/>
        </w:rPr>
      </w:pPr>
      <w:r w:rsidRPr="00C65CAA">
        <w:rPr>
          <w:rFonts w:ascii="Arial Narrow" w:hAnsi="Arial Narrow"/>
          <w:sz w:val="22"/>
          <w:szCs w:val="22"/>
        </w:rPr>
        <w:tab/>
        <w:t xml:space="preserve">Najvýznamnejší medziročný nárast príjmov v </w:t>
      </w:r>
      <w:r w:rsidR="00502C72" w:rsidRPr="00C65CAA">
        <w:rPr>
          <w:rFonts w:ascii="Arial Narrow" w:hAnsi="Arial Narrow"/>
          <w:sz w:val="22"/>
          <w:szCs w:val="22"/>
        </w:rPr>
        <w:t>absolútnom vyjadrení na rok 2019</w:t>
      </w:r>
      <w:r w:rsidRPr="00C65CAA">
        <w:rPr>
          <w:rFonts w:ascii="Arial Narrow" w:hAnsi="Arial Narrow"/>
          <w:sz w:val="22"/>
          <w:szCs w:val="22"/>
        </w:rPr>
        <w:t xml:space="preserve"> je rozpočtovaný v kapitolách </w:t>
      </w:r>
      <w:r w:rsidR="00474D54" w:rsidRPr="00C65CAA">
        <w:rPr>
          <w:rFonts w:ascii="Arial Narrow" w:hAnsi="Arial Narrow"/>
          <w:sz w:val="22"/>
          <w:szCs w:val="22"/>
        </w:rPr>
        <w:t>Všeobecná pokladničná správa</w:t>
      </w:r>
      <w:r w:rsidR="00FC3875" w:rsidRPr="00C65CAA">
        <w:rPr>
          <w:rFonts w:ascii="Arial Narrow" w:hAnsi="Arial Narrow"/>
          <w:sz w:val="22"/>
          <w:szCs w:val="22"/>
        </w:rPr>
        <w:t xml:space="preserve"> –</w:t>
      </w:r>
      <w:r w:rsidR="00474D54" w:rsidRPr="00C65CAA">
        <w:rPr>
          <w:rFonts w:ascii="Arial Narrow" w:hAnsi="Arial Narrow"/>
          <w:sz w:val="22"/>
          <w:szCs w:val="22"/>
        </w:rPr>
        <w:t xml:space="preserve"> o 1 211 535 </w:t>
      </w:r>
      <w:r w:rsidR="00FC3875" w:rsidRPr="00C65CAA">
        <w:rPr>
          <w:rFonts w:ascii="Arial Narrow" w:hAnsi="Arial Narrow"/>
          <w:sz w:val="22"/>
          <w:szCs w:val="22"/>
        </w:rPr>
        <w:t>tis. eur;</w:t>
      </w:r>
      <w:r w:rsidRPr="00C65CAA">
        <w:rPr>
          <w:rFonts w:ascii="Arial Narrow" w:hAnsi="Arial Narrow"/>
          <w:sz w:val="22"/>
          <w:szCs w:val="22"/>
        </w:rPr>
        <w:t xml:space="preserve"> </w:t>
      </w:r>
      <w:r w:rsidR="00474D54" w:rsidRPr="00C65CAA">
        <w:rPr>
          <w:rFonts w:ascii="Arial Narrow" w:hAnsi="Arial Narrow"/>
          <w:color w:val="000000"/>
          <w:sz w:val="22"/>
          <w:szCs w:val="22"/>
        </w:rPr>
        <w:t>Ministerstvo životného prostredia SR</w:t>
      </w:r>
      <w:r w:rsidR="00474D54" w:rsidRPr="00C65CAA">
        <w:rPr>
          <w:rFonts w:ascii="Arial Narrow" w:hAnsi="Arial Narrow"/>
          <w:sz w:val="22"/>
          <w:szCs w:val="22"/>
        </w:rPr>
        <w:t xml:space="preserve"> </w:t>
      </w:r>
      <w:r w:rsidR="00FC3875" w:rsidRPr="00C65CAA">
        <w:rPr>
          <w:rFonts w:ascii="Arial Narrow" w:hAnsi="Arial Narrow"/>
          <w:sz w:val="22"/>
          <w:szCs w:val="22"/>
        </w:rPr>
        <w:t>–</w:t>
      </w:r>
      <w:r w:rsidR="00474D54" w:rsidRPr="00C65CAA">
        <w:rPr>
          <w:rFonts w:ascii="Arial Narrow" w:hAnsi="Arial Narrow"/>
          <w:sz w:val="22"/>
          <w:szCs w:val="22"/>
        </w:rPr>
        <w:t>o 319 320</w:t>
      </w:r>
      <w:r w:rsidR="00474D54" w:rsidRPr="00C65CAA">
        <w:rPr>
          <w:rFonts w:ascii="Arial Narrow" w:hAnsi="Arial Narrow"/>
          <w:color w:val="000000"/>
          <w:sz w:val="22"/>
          <w:szCs w:val="22"/>
        </w:rPr>
        <w:t> </w:t>
      </w:r>
      <w:r w:rsidR="00FC3875" w:rsidRPr="00C65CAA">
        <w:rPr>
          <w:rFonts w:ascii="Arial Narrow" w:hAnsi="Arial Narrow"/>
          <w:sz w:val="22"/>
          <w:szCs w:val="22"/>
        </w:rPr>
        <w:t>tis. eur;</w:t>
      </w:r>
      <w:r w:rsidR="00474D54" w:rsidRPr="00C65CAA">
        <w:rPr>
          <w:rFonts w:ascii="Arial Narrow" w:hAnsi="Arial Narrow"/>
          <w:sz w:val="22"/>
          <w:szCs w:val="22"/>
        </w:rPr>
        <w:t xml:space="preserve"> v kapitole </w:t>
      </w:r>
      <w:r w:rsidRPr="00C65CAA">
        <w:rPr>
          <w:rFonts w:ascii="Arial Narrow" w:hAnsi="Arial Narrow"/>
          <w:sz w:val="22"/>
          <w:szCs w:val="22"/>
        </w:rPr>
        <w:t xml:space="preserve">Ministerstvo hospodárstva SR </w:t>
      </w:r>
      <w:r w:rsidR="00FC3875" w:rsidRPr="00C65CAA">
        <w:rPr>
          <w:rFonts w:ascii="Arial Narrow" w:hAnsi="Arial Narrow"/>
          <w:sz w:val="22"/>
          <w:szCs w:val="22"/>
        </w:rPr>
        <w:t xml:space="preserve">– </w:t>
      </w:r>
      <w:r w:rsidRPr="00C65CAA">
        <w:rPr>
          <w:rFonts w:ascii="Arial Narrow" w:hAnsi="Arial Narrow"/>
          <w:sz w:val="22"/>
          <w:szCs w:val="22"/>
        </w:rPr>
        <w:t>o</w:t>
      </w:r>
      <w:r w:rsidR="00474D54" w:rsidRPr="00C65CAA">
        <w:rPr>
          <w:rFonts w:ascii="Arial Narrow" w:hAnsi="Arial Narrow"/>
          <w:sz w:val="22"/>
          <w:szCs w:val="22"/>
        </w:rPr>
        <w:t> </w:t>
      </w:r>
      <w:r w:rsidR="00474D54" w:rsidRPr="00C65CAA">
        <w:rPr>
          <w:rFonts w:ascii="Arial Narrow" w:hAnsi="Arial Narrow"/>
          <w:color w:val="000000"/>
          <w:sz w:val="22"/>
          <w:szCs w:val="22"/>
        </w:rPr>
        <w:t>81 725</w:t>
      </w:r>
      <w:r w:rsidRPr="00C65CAA">
        <w:rPr>
          <w:rFonts w:ascii="Arial Narrow" w:hAnsi="Arial Narrow"/>
          <w:color w:val="000000"/>
          <w:sz w:val="22"/>
          <w:szCs w:val="22"/>
        </w:rPr>
        <w:t xml:space="preserve"> </w:t>
      </w:r>
      <w:r w:rsidR="00474D54" w:rsidRPr="00C65CAA">
        <w:rPr>
          <w:rFonts w:ascii="Arial Narrow" w:hAnsi="Arial Narrow"/>
          <w:sz w:val="22"/>
          <w:szCs w:val="22"/>
        </w:rPr>
        <w:t>tis. eur.</w:t>
      </w:r>
    </w:p>
    <w:p w:rsidR="00D23611" w:rsidRPr="00C65CAA" w:rsidRDefault="00D23611" w:rsidP="00256AF8">
      <w:pPr>
        <w:tabs>
          <w:tab w:val="left" w:pos="709"/>
        </w:tabs>
        <w:spacing w:before="100" w:after="100"/>
        <w:jc w:val="both"/>
        <w:rPr>
          <w:rFonts w:ascii="Arial Narrow" w:hAnsi="Arial Narrow"/>
          <w:sz w:val="22"/>
          <w:szCs w:val="22"/>
        </w:rPr>
      </w:pPr>
      <w:r w:rsidRPr="00C65CAA">
        <w:rPr>
          <w:rFonts w:ascii="Arial Narrow" w:hAnsi="Arial Narrow"/>
          <w:sz w:val="22"/>
          <w:szCs w:val="22"/>
        </w:rPr>
        <w:tab/>
        <w:t xml:space="preserve">Najvýraznejší medziročný pokles príjmov v absolútnom vyjadrení na rok 2018 je rozpočtovaný v kapitolách </w:t>
      </w:r>
      <w:r w:rsidR="00474D54" w:rsidRPr="00C65CAA">
        <w:rPr>
          <w:rFonts w:ascii="Arial Narrow" w:hAnsi="Arial Narrow"/>
          <w:color w:val="000000"/>
          <w:sz w:val="22"/>
          <w:szCs w:val="22"/>
        </w:rPr>
        <w:t xml:space="preserve">Ministerstvo práce, sociálnych vecí a rodiny SR </w:t>
      </w:r>
      <w:r w:rsidR="00FC3875" w:rsidRPr="00C65CAA">
        <w:rPr>
          <w:rFonts w:ascii="Arial Narrow" w:hAnsi="Arial Narrow"/>
          <w:sz w:val="22"/>
          <w:szCs w:val="22"/>
        </w:rPr>
        <w:t xml:space="preserve">– </w:t>
      </w:r>
      <w:r w:rsidR="00474D54" w:rsidRPr="00C65CAA">
        <w:rPr>
          <w:rFonts w:ascii="Arial Narrow" w:hAnsi="Arial Narrow"/>
          <w:sz w:val="22"/>
          <w:szCs w:val="22"/>
        </w:rPr>
        <w:t>o 123 145</w:t>
      </w:r>
      <w:r w:rsidRPr="00C65CAA">
        <w:rPr>
          <w:rFonts w:ascii="Arial Narrow" w:hAnsi="Arial Narrow"/>
          <w:color w:val="000000"/>
          <w:sz w:val="22"/>
          <w:szCs w:val="22"/>
        </w:rPr>
        <w:t xml:space="preserve"> </w:t>
      </w:r>
      <w:r w:rsidR="00FC3875" w:rsidRPr="00C65CAA">
        <w:rPr>
          <w:rFonts w:ascii="Arial Narrow" w:hAnsi="Arial Narrow"/>
          <w:sz w:val="22"/>
          <w:szCs w:val="22"/>
        </w:rPr>
        <w:t>tis. eur;</w:t>
      </w:r>
      <w:r w:rsidRPr="00C65CAA">
        <w:rPr>
          <w:rFonts w:ascii="Arial Narrow" w:hAnsi="Arial Narrow"/>
          <w:sz w:val="22"/>
          <w:szCs w:val="22"/>
        </w:rPr>
        <w:t xml:space="preserve"> </w:t>
      </w:r>
      <w:r w:rsidR="00474D54" w:rsidRPr="00C65CAA">
        <w:rPr>
          <w:rFonts w:ascii="Arial Narrow" w:hAnsi="Arial Narrow"/>
          <w:color w:val="000000"/>
          <w:sz w:val="22"/>
          <w:szCs w:val="22"/>
        </w:rPr>
        <w:t xml:space="preserve">Ministerstvo pôdohospodárstva a rozvoja vidieka SR </w:t>
      </w:r>
      <w:r w:rsidR="00FC3875" w:rsidRPr="00C65CAA">
        <w:rPr>
          <w:rFonts w:ascii="Arial Narrow" w:hAnsi="Arial Narrow"/>
          <w:sz w:val="22"/>
          <w:szCs w:val="22"/>
        </w:rPr>
        <w:t xml:space="preserve">– </w:t>
      </w:r>
      <w:r w:rsidR="00474D54" w:rsidRPr="00C65CAA">
        <w:rPr>
          <w:rFonts w:ascii="Arial Narrow" w:hAnsi="Arial Narrow"/>
          <w:color w:val="000000"/>
          <w:sz w:val="22"/>
          <w:szCs w:val="22"/>
        </w:rPr>
        <w:t>o 68 100 t</w:t>
      </w:r>
      <w:r w:rsidR="00FC3875" w:rsidRPr="00C65CAA">
        <w:rPr>
          <w:rFonts w:ascii="Arial Narrow" w:hAnsi="Arial Narrow"/>
          <w:sz w:val="22"/>
          <w:szCs w:val="22"/>
        </w:rPr>
        <w:t>is. eur;</w:t>
      </w:r>
      <w:r w:rsidRPr="00C65CAA">
        <w:rPr>
          <w:rFonts w:ascii="Arial Narrow" w:hAnsi="Arial Narrow"/>
          <w:sz w:val="22"/>
          <w:szCs w:val="22"/>
        </w:rPr>
        <w:t xml:space="preserve"> v kapitole </w:t>
      </w:r>
      <w:r w:rsidR="00474D54" w:rsidRPr="00C65CAA">
        <w:rPr>
          <w:rFonts w:ascii="Arial Narrow" w:hAnsi="Arial Narrow"/>
          <w:color w:val="000000"/>
          <w:sz w:val="20"/>
          <w:szCs w:val="20"/>
        </w:rPr>
        <w:t>Ministerstvo vnútra SR</w:t>
      </w:r>
      <w:r w:rsidR="00474D54" w:rsidRPr="00C65CAA">
        <w:rPr>
          <w:rFonts w:ascii="Arial Narrow" w:hAnsi="Arial Narrow"/>
          <w:sz w:val="22"/>
          <w:szCs w:val="22"/>
        </w:rPr>
        <w:t xml:space="preserve"> </w:t>
      </w:r>
      <w:r w:rsidR="00FC3875" w:rsidRPr="00C65CAA">
        <w:rPr>
          <w:rFonts w:ascii="Arial Narrow" w:hAnsi="Arial Narrow"/>
          <w:sz w:val="22"/>
          <w:szCs w:val="22"/>
        </w:rPr>
        <w:t>–</w:t>
      </w:r>
      <w:r w:rsidRPr="00C65CAA">
        <w:rPr>
          <w:rFonts w:ascii="Arial Narrow" w:hAnsi="Arial Narrow"/>
          <w:sz w:val="22"/>
          <w:szCs w:val="22"/>
        </w:rPr>
        <w:t>o</w:t>
      </w:r>
      <w:r w:rsidR="00474D54" w:rsidRPr="00C65CAA">
        <w:rPr>
          <w:rFonts w:ascii="Arial Narrow" w:hAnsi="Arial Narrow"/>
          <w:sz w:val="22"/>
          <w:szCs w:val="22"/>
        </w:rPr>
        <w:t> 11 653</w:t>
      </w:r>
      <w:r w:rsidRPr="00C65CAA">
        <w:rPr>
          <w:rFonts w:ascii="Arial Narrow" w:hAnsi="Arial Narrow"/>
          <w:sz w:val="22"/>
          <w:szCs w:val="22"/>
        </w:rPr>
        <w:t xml:space="preserve"> tis. eur.</w:t>
      </w:r>
    </w:p>
    <w:p w:rsidR="00D23611" w:rsidRPr="00C65CAA" w:rsidRDefault="00D23611" w:rsidP="00256AF8">
      <w:pPr>
        <w:pStyle w:val="Nadpis3"/>
        <w:numPr>
          <w:ilvl w:val="2"/>
          <w:numId w:val="92"/>
        </w:numPr>
        <w:spacing w:before="100" w:after="100"/>
        <w:rPr>
          <w:szCs w:val="22"/>
        </w:rPr>
      </w:pPr>
      <w:bookmarkStart w:id="26" w:name="_Toc431901286"/>
      <w:bookmarkStart w:id="27" w:name="_Toc495316433"/>
      <w:bookmarkStart w:id="28" w:name="_Toc529507596"/>
      <w:r w:rsidRPr="00C65CAA">
        <w:rPr>
          <w:szCs w:val="22"/>
        </w:rPr>
        <w:t>Stanovisko k výdavkom kapitol návrhu ŠR na rok 201</w:t>
      </w:r>
      <w:bookmarkEnd w:id="26"/>
      <w:bookmarkEnd w:id="27"/>
      <w:r w:rsidR="002B5822" w:rsidRPr="00C65CAA">
        <w:rPr>
          <w:szCs w:val="22"/>
        </w:rPr>
        <w:t>9</w:t>
      </w:r>
      <w:bookmarkEnd w:id="28"/>
    </w:p>
    <w:p w:rsidR="00D23611" w:rsidRPr="00C65CAA" w:rsidRDefault="00D23611" w:rsidP="00256AF8">
      <w:pPr>
        <w:spacing w:before="100" w:after="100"/>
        <w:ind w:firstLine="708"/>
        <w:jc w:val="both"/>
        <w:rPr>
          <w:rFonts w:ascii="Arial Narrow" w:hAnsi="Arial Narrow"/>
          <w:sz w:val="22"/>
          <w:szCs w:val="22"/>
        </w:rPr>
      </w:pPr>
      <w:r w:rsidRPr="00C65CAA">
        <w:rPr>
          <w:rFonts w:ascii="Arial Narrow" w:hAnsi="Arial Narrow"/>
          <w:sz w:val="22"/>
          <w:szCs w:val="22"/>
        </w:rPr>
        <w:t>Rozpočtovanie hotovostných výdavkov ŠR na rok 201</w:t>
      </w:r>
      <w:r w:rsidR="00474D54" w:rsidRPr="00C65CAA">
        <w:rPr>
          <w:rFonts w:ascii="Arial Narrow" w:hAnsi="Arial Narrow"/>
          <w:sz w:val="22"/>
          <w:szCs w:val="22"/>
        </w:rPr>
        <w:t>9</w:t>
      </w:r>
      <w:r w:rsidRPr="00C65CAA">
        <w:rPr>
          <w:rFonts w:ascii="Arial Narrow" w:hAnsi="Arial Narrow"/>
          <w:sz w:val="22"/>
          <w:szCs w:val="22"/>
        </w:rPr>
        <w:t xml:space="preserve"> sa medziročne znižuje o 1</w:t>
      </w:r>
      <w:r w:rsidR="00A724D0" w:rsidRPr="00C65CAA">
        <w:rPr>
          <w:rFonts w:ascii="Arial Narrow" w:hAnsi="Arial Narrow"/>
          <w:sz w:val="22"/>
          <w:szCs w:val="22"/>
        </w:rPr>
        <w:t> </w:t>
      </w:r>
      <w:r w:rsidRPr="00C65CAA">
        <w:rPr>
          <w:rFonts w:ascii="Arial Narrow" w:hAnsi="Arial Narrow"/>
          <w:sz w:val="22"/>
          <w:szCs w:val="22"/>
        </w:rPr>
        <w:t>427</w:t>
      </w:r>
      <w:r w:rsidR="00A724D0" w:rsidRPr="00C65CAA">
        <w:rPr>
          <w:rFonts w:ascii="Arial Narrow" w:hAnsi="Arial Narrow"/>
          <w:sz w:val="22"/>
          <w:szCs w:val="22"/>
        </w:rPr>
        <w:t xml:space="preserve"> </w:t>
      </w:r>
      <w:r w:rsidRPr="00C65CAA">
        <w:rPr>
          <w:rFonts w:ascii="Arial Narrow" w:hAnsi="Arial Narrow"/>
          <w:sz w:val="22"/>
          <w:szCs w:val="22"/>
        </w:rPr>
        <w:t>652 tis. eur  na úroveň 15 955 715 tis. eur.</w:t>
      </w:r>
    </w:p>
    <w:p w:rsidR="00D23611" w:rsidRPr="00C65CAA" w:rsidRDefault="00D23611" w:rsidP="00256AF8">
      <w:pPr>
        <w:spacing w:before="100" w:after="100"/>
        <w:ind w:firstLine="708"/>
        <w:jc w:val="both"/>
        <w:rPr>
          <w:rFonts w:ascii="Arial Narrow" w:hAnsi="Arial Narrow"/>
          <w:sz w:val="22"/>
          <w:szCs w:val="22"/>
        </w:rPr>
      </w:pPr>
      <w:r w:rsidRPr="00C65CAA">
        <w:rPr>
          <w:rFonts w:ascii="Arial Narrow" w:hAnsi="Arial Narrow"/>
          <w:sz w:val="22"/>
          <w:szCs w:val="22"/>
        </w:rPr>
        <w:t>Návrh rozpočtu výdavkov podľa jednotlivých kapitol na rok 201</w:t>
      </w:r>
      <w:r w:rsidR="00246EC8" w:rsidRPr="00C65CAA">
        <w:rPr>
          <w:rFonts w:ascii="Arial Narrow" w:hAnsi="Arial Narrow"/>
          <w:sz w:val="22"/>
          <w:szCs w:val="22"/>
        </w:rPr>
        <w:t>9</w:t>
      </w:r>
      <w:r w:rsidRPr="00C65CAA">
        <w:rPr>
          <w:rFonts w:ascii="Arial Narrow" w:hAnsi="Arial Narrow"/>
          <w:sz w:val="22"/>
          <w:szCs w:val="22"/>
        </w:rPr>
        <w:t xml:space="preserve"> a ich porovnanie so </w:t>
      </w:r>
      <w:r w:rsidR="00246EC8" w:rsidRPr="00C65CAA">
        <w:rPr>
          <w:rFonts w:ascii="Arial Narrow" w:hAnsi="Arial Narrow"/>
          <w:sz w:val="22"/>
          <w:szCs w:val="22"/>
        </w:rPr>
        <w:t>schváleným rozpočtom na rok 2018 a skutočnosťou za rok 2017</w:t>
      </w:r>
      <w:r w:rsidR="001D2AD7" w:rsidRPr="00C65CAA">
        <w:rPr>
          <w:rFonts w:ascii="Arial Narrow" w:hAnsi="Arial Narrow"/>
          <w:sz w:val="22"/>
          <w:szCs w:val="22"/>
        </w:rPr>
        <w:t>:</w:t>
      </w:r>
    </w:p>
    <w:tbl>
      <w:tblPr>
        <w:tblStyle w:val="Mriekatabu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1042"/>
        <w:gridCol w:w="1083"/>
        <w:gridCol w:w="1394"/>
        <w:gridCol w:w="1016"/>
        <w:gridCol w:w="845"/>
      </w:tblGrid>
      <w:tr w:rsidR="00972CEB" w:rsidRPr="00C65CAA" w:rsidTr="008A7EC8">
        <w:trPr>
          <w:tblHeader/>
        </w:trPr>
        <w:tc>
          <w:tcPr>
            <w:tcW w:w="3682" w:type="dxa"/>
            <w:shd w:val="clear" w:color="auto" w:fill="0070C0"/>
            <w:vAlign w:val="center"/>
          </w:tcPr>
          <w:p w:rsidR="00972CEB" w:rsidRPr="00C65CAA" w:rsidRDefault="00972CEB" w:rsidP="00011F12">
            <w:pPr>
              <w:jc w:val="center"/>
              <w:rPr>
                <w:rFonts w:ascii="Arial Narrow" w:eastAsia="Calibri" w:hAnsi="Arial Narrow"/>
                <w:b/>
                <w:color w:val="FFFFFF" w:themeColor="background1"/>
                <w:sz w:val="18"/>
                <w:szCs w:val="18"/>
              </w:rPr>
            </w:pPr>
            <w:r w:rsidRPr="00C65CAA">
              <w:rPr>
                <w:rFonts w:ascii="Arial Narrow" w:eastAsia="Calibri" w:hAnsi="Arial Narrow"/>
                <w:b/>
                <w:bCs/>
                <w:color w:val="FFFFFF" w:themeColor="background1"/>
                <w:sz w:val="18"/>
                <w:szCs w:val="18"/>
              </w:rPr>
              <w:t xml:space="preserve">Výdavky kapitol ŠR </w:t>
            </w:r>
            <w:r w:rsidRPr="00C65CAA">
              <w:rPr>
                <w:rFonts w:ascii="Arial Narrow" w:hAnsi="Arial Narrow"/>
                <w:b/>
                <w:color w:val="FFFFFF" w:themeColor="background1"/>
                <w:sz w:val="18"/>
                <w:szCs w:val="18"/>
              </w:rPr>
              <w:t>(v tis. eur)</w:t>
            </w:r>
          </w:p>
        </w:tc>
        <w:tc>
          <w:tcPr>
            <w:tcW w:w="1042" w:type="dxa"/>
            <w:shd w:val="clear" w:color="auto" w:fill="0070C0"/>
            <w:vAlign w:val="center"/>
          </w:tcPr>
          <w:p w:rsidR="00972CEB" w:rsidRPr="00C65CAA" w:rsidRDefault="00972CEB" w:rsidP="00011F12">
            <w:pPr>
              <w:jc w:val="center"/>
              <w:rPr>
                <w:rFonts w:ascii="Arial Narrow" w:hAnsi="Arial Narrow"/>
                <w:b/>
                <w:color w:val="FFFFFF" w:themeColor="background1"/>
                <w:sz w:val="18"/>
                <w:szCs w:val="18"/>
              </w:rPr>
            </w:pPr>
            <w:r w:rsidRPr="00C65CAA">
              <w:rPr>
                <w:rFonts w:ascii="Arial Narrow" w:hAnsi="Arial Narrow"/>
                <w:b/>
                <w:color w:val="FFFFFF" w:themeColor="background1"/>
                <w:sz w:val="18"/>
                <w:szCs w:val="18"/>
              </w:rPr>
              <w:t>Skutočnosť</w:t>
            </w:r>
          </w:p>
          <w:p w:rsidR="00972CEB" w:rsidRPr="00C65CAA" w:rsidRDefault="00972CEB" w:rsidP="00011F12">
            <w:pPr>
              <w:jc w:val="center"/>
              <w:rPr>
                <w:rFonts w:ascii="Arial Narrow" w:hAnsi="Arial Narrow"/>
                <w:b/>
                <w:color w:val="FFFFFF" w:themeColor="background1"/>
                <w:sz w:val="18"/>
                <w:szCs w:val="18"/>
              </w:rPr>
            </w:pPr>
            <w:r w:rsidRPr="00C65CAA">
              <w:rPr>
                <w:rFonts w:ascii="Arial Narrow" w:hAnsi="Arial Narrow"/>
                <w:b/>
                <w:color w:val="FFFFFF" w:themeColor="background1"/>
                <w:sz w:val="18"/>
                <w:szCs w:val="18"/>
              </w:rPr>
              <w:t>2017</w:t>
            </w:r>
          </w:p>
        </w:tc>
        <w:tc>
          <w:tcPr>
            <w:tcW w:w="1083" w:type="dxa"/>
            <w:shd w:val="clear" w:color="auto" w:fill="0070C0"/>
            <w:vAlign w:val="center"/>
          </w:tcPr>
          <w:p w:rsidR="00972CEB" w:rsidRPr="00C65CAA" w:rsidRDefault="00972CEB" w:rsidP="00011F12">
            <w:pPr>
              <w:jc w:val="center"/>
              <w:rPr>
                <w:rFonts w:ascii="Arial Narrow" w:hAnsi="Arial Narrow"/>
                <w:b/>
                <w:color w:val="FFFFFF" w:themeColor="background1"/>
                <w:sz w:val="18"/>
                <w:szCs w:val="18"/>
              </w:rPr>
            </w:pPr>
            <w:r w:rsidRPr="00C65CAA">
              <w:rPr>
                <w:rFonts w:ascii="Arial Narrow" w:hAnsi="Arial Narrow"/>
                <w:b/>
                <w:color w:val="FFFFFF" w:themeColor="background1"/>
                <w:sz w:val="18"/>
                <w:szCs w:val="18"/>
              </w:rPr>
              <w:t>Rozpočet</w:t>
            </w:r>
          </w:p>
          <w:p w:rsidR="00972CEB" w:rsidRPr="00C65CAA" w:rsidRDefault="00972CEB" w:rsidP="00011F12">
            <w:pPr>
              <w:jc w:val="center"/>
              <w:rPr>
                <w:rFonts w:ascii="Arial Narrow" w:hAnsi="Arial Narrow"/>
                <w:b/>
                <w:color w:val="FFFFFF" w:themeColor="background1"/>
                <w:sz w:val="18"/>
                <w:szCs w:val="18"/>
              </w:rPr>
            </w:pPr>
            <w:r w:rsidRPr="00C65CAA">
              <w:rPr>
                <w:rFonts w:ascii="Arial Narrow" w:hAnsi="Arial Narrow"/>
                <w:b/>
                <w:color w:val="FFFFFF" w:themeColor="background1"/>
                <w:sz w:val="18"/>
                <w:szCs w:val="18"/>
              </w:rPr>
              <w:t>2018</w:t>
            </w:r>
          </w:p>
        </w:tc>
        <w:tc>
          <w:tcPr>
            <w:tcW w:w="1394" w:type="dxa"/>
            <w:shd w:val="clear" w:color="auto" w:fill="0070C0"/>
            <w:vAlign w:val="center"/>
          </w:tcPr>
          <w:p w:rsidR="00972CEB" w:rsidRPr="00C65CAA" w:rsidRDefault="00972CEB" w:rsidP="00011F12">
            <w:pPr>
              <w:jc w:val="center"/>
              <w:rPr>
                <w:rFonts w:ascii="Arial Narrow" w:hAnsi="Arial Narrow"/>
                <w:b/>
                <w:color w:val="FFFFFF" w:themeColor="background1"/>
                <w:sz w:val="18"/>
                <w:szCs w:val="18"/>
              </w:rPr>
            </w:pPr>
            <w:r w:rsidRPr="00C65CAA">
              <w:rPr>
                <w:rFonts w:ascii="Arial Narrow" w:hAnsi="Arial Narrow"/>
                <w:b/>
                <w:color w:val="FFFFFF" w:themeColor="background1"/>
                <w:sz w:val="18"/>
                <w:szCs w:val="18"/>
              </w:rPr>
              <w:t>Návrh rozpočtu</w:t>
            </w:r>
          </w:p>
          <w:p w:rsidR="00972CEB" w:rsidRPr="00C65CAA" w:rsidRDefault="00972CEB" w:rsidP="00011F12">
            <w:pPr>
              <w:jc w:val="center"/>
              <w:rPr>
                <w:rFonts w:ascii="Arial Narrow" w:hAnsi="Arial Narrow"/>
                <w:b/>
                <w:color w:val="FFFFFF" w:themeColor="background1"/>
                <w:sz w:val="18"/>
                <w:szCs w:val="18"/>
              </w:rPr>
            </w:pPr>
            <w:r w:rsidRPr="00C65CAA">
              <w:rPr>
                <w:rFonts w:ascii="Arial Narrow" w:hAnsi="Arial Narrow"/>
                <w:b/>
                <w:color w:val="FFFFFF" w:themeColor="background1"/>
                <w:sz w:val="18"/>
                <w:szCs w:val="18"/>
              </w:rPr>
              <w:t>2019</w:t>
            </w:r>
          </w:p>
        </w:tc>
        <w:tc>
          <w:tcPr>
            <w:tcW w:w="1016" w:type="dxa"/>
            <w:shd w:val="clear" w:color="auto" w:fill="0070C0"/>
            <w:vAlign w:val="center"/>
          </w:tcPr>
          <w:p w:rsidR="00972CEB" w:rsidRPr="00C65CAA" w:rsidRDefault="00972CEB" w:rsidP="00011F12">
            <w:pPr>
              <w:jc w:val="center"/>
              <w:rPr>
                <w:rFonts w:ascii="Arial Narrow" w:hAnsi="Arial Narrow"/>
                <w:b/>
                <w:color w:val="FFFFFF" w:themeColor="background1"/>
                <w:sz w:val="18"/>
                <w:szCs w:val="18"/>
              </w:rPr>
            </w:pPr>
            <w:r w:rsidRPr="00C65CAA">
              <w:rPr>
                <w:rFonts w:ascii="Arial Narrow" w:hAnsi="Arial Narrow"/>
                <w:b/>
                <w:color w:val="FFFFFF" w:themeColor="background1"/>
                <w:sz w:val="18"/>
                <w:szCs w:val="18"/>
              </w:rPr>
              <w:t>Rozdiel</w:t>
            </w:r>
          </w:p>
        </w:tc>
        <w:tc>
          <w:tcPr>
            <w:tcW w:w="845" w:type="dxa"/>
            <w:shd w:val="clear" w:color="auto" w:fill="0070C0"/>
            <w:vAlign w:val="center"/>
          </w:tcPr>
          <w:p w:rsidR="00972CEB" w:rsidRPr="00C65CAA" w:rsidRDefault="00972CEB" w:rsidP="00011F12">
            <w:pPr>
              <w:jc w:val="center"/>
              <w:rPr>
                <w:rFonts w:ascii="Arial Narrow" w:hAnsi="Arial Narrow"/>
                <w:b/>
                <w:color w:val="FFFFFF" w:themeColor="background1"/>
                <w:sz w:val="18"/>
                <w:szCs w:val="18"/>
              </w:rPr>
            </w:pPr>
            <w:r w:rsidRPr="00C65CAA">
              <w:rPr>
                <w:rFonts w:ascii="Arial Narrow" w:hAnsi="Arial Narrow"/>
                <w:b/>
                <w:color w:val="FFFFFF" w:themeColor="background1"/>
                <w:sz w:val="18"/>
                <w:szCs w:val="18"/>
              </w:rPr>
              <w:t>Podiel v %</w:t>
            </w:r>
          </w:p>
        </w:tc>
      </w:tr>
      <w:tr w:rsidR="00972CEB" w:rsidRPr="00C65CAA" w:rsidTr="008A7EC8">
        <w:trPr>
          <w:tblHeader/>
        </w:trPr>
        <w:tc>
          <w:tcPr>
            <w:tcW w:w="3682" w:type="dxa"/>
            <w:vAlign w:val="center"/>
          </w:tcPr>
          <w:p w:rsidR="00972CEB" w:rsidRPr="00C65CAA" w:rsidRDefault="00972CEB" w:rsidP="00011F12">
            <w:pPr>
              <w:jc w:val="center"/>
              <w:rPr>
                <w:rFonts w:ascii="Arial Narrow" w:hAnsi="Arial Narrow"/>
                <w:bCs/>
                <w:color w:val="000000"/>
                <w:sz w:val="18"/>
                <w:szCs w:val="18"/>
              </w:rPr>
            </w:pPr>
            <w:r w:rsidRPr="00C65CAA">
              <w:rPr>
                <w:rFonts w:ascii="Arial Narrow" w:hAnsi="Arial Narrow"/>
                <w:bCs/>
                <w:color w:val="000000"/>
                <w:sz w:val="18"/>
                <w:szCs w:val="18"/>
              </w:rPr>
              <w:t>a</w:t>
            </w:r>
          </w:p>
        </w:tc>
        <w:tc>
          <w:tcPr>
            <w:tcW w:w="1042" w:type="dxa"/>
          </w:tcPr>
          <w:p w:rsidR="00972CEB" w:rsidRPr="00C65CAA" w:rsidRDefault="00972CEB" w:rsidP="00011F12">
            <w:pPr>
              <w:jc w:val="center"/>
              <w:rPr>
                <w:rFonts w:ascii="Arial Narrow" w:hAnsi="Arial Narrow"/>
                <w:sz w:val="18"/>
                <w:szCs w:val="18"/>
              </w:rPr>
            </w:pPr>
            <w:r w:rsidRPr="00C65CAA">
              <w:rPr>
                <w:rFonts w:ascii="Arial Narrow" w:hAnsi="Arial Narrow"/>
                <w:sz w:val="18"/>
                <w:szCs w:val="18"/>
              </w:rPr>
              <w:t>1</w:t>
            </w:r>
          </w:p>
        </w:tc>
        <w:tc>
          <w:tcPr>
            <w:tcW w:w="1083" w:type="dxa"/>
          </w:tcPr>
          <w:p w:rsidR="00972CEB" w:rsidRPr="00C65CAA" w:rsidRDefault="00972CEB" w:rsidP="00011F12">
            <w:pPr>
              <w:jc w:val="center"/>
              <w:rPr>
                <w:rFonts w:ascii="Arial Narrow" w:hAnsi="Arial Narrow"/>
                <w:sz w:val="18"/>
                <w:szCs w:val="18"/>
              </w:rPr>
            </w:pPr>
            <w:r w:rsidRPr="00C65CAA">
              <w:rPr>
                <w:rFonts w:ascii="Arial Narrow" w:hAnsi="Arial Narrow"/>
                <w:sz w:val="18"/>
                <w:szCs w:val="18"/>
              </w:rPr>
              <w:t>2</w:t>
            </w:r>
          </w:p>
        </w:tc>
        <w:tc>
          <w:tcPr>
            <w:tcW w:w="1394" w:type="dxa"/>
          </w:tcPr>
          <w:p w:rsidR="00972CEB" w:rsidRPr="00C65CAA" w:rsidRDefault="00972CEB" w:rsidP="00011F12">
            <w:pPr>
              <w:jc w:val="center"/>
              <w:rPr>
                <w:rFonts w:ascii="Arial Narrow" w:hAnsi="Arial Narrow"/>
                <w:sz w:val="18"/>
                <w:szCs w:val="18"/>
              </w:rPr>
            </w:pPr>
            <w:r w:rsidRPr="00C65CAA">
              <w:rPr>
                <w:rFonts w:ascii="Arial Narrow" w:hAnsi="Arial Narrow"/>
                <w:sz w:val="18"/>
                <w:szCs w:val="18"/>
              </w:rPr>
              <w:t>3</w:t>
            </w:r>
          </w:p>
        </w:tc>
        <w:tc>
          <w:tcPr>
            <w:tcW w:w="1016" w:type="dxa"/>
          </w:tcPr>
          <w:p w:rsidR="00972CEB" w:rsidRPr="00C65CAA" w:rsidRDefault="00972CEB" w:rsidP="00011F12">
            <w:pPr>
              <w:jc w:val="center"/>
              <w:rPr>
                <w:rFonts w:ascii="Arial Narrow" w:hAnsi="Arial Narrow"/>
                <w:sz w:val="18"/>
                <w:szCs w:val="18"/>
              </w:rPr>
            </w:pPr>
            <w:r w:rsidRPr="00C65CAA">
              <w:rPr>
                <w:rFonts w:ascii="Arial Narrow" w:hAnsi="Arial Narrow"/>
                <w:sz w:val="18"/>
                <w:szCs w:val="18"/>
              </w:rPr>
              <w:t>3-2</w:t>
            </w:r>
          </w:p>
        </w:tc>
        <w:tc>
          <w:tcPr>
            <w:tcW w:w="845" w:type="dxa"/>
          </w:tcPr>
          <w:p w:rsidR="00972CEB" w:rsidRPr="00C65CAA" w:rsidRDefault="00972CEB" w:rsidP="00011F12">
            <w:pPr>
              <w:jc w:val="center"/>
              <w:rPr>
                <w:rFonts w:ascii="Arial Narrow" w:hAnsi="Arial Narrow"/>
                <w:sz w:val="18"/>
                <w:szCs w:val="18"/>
              </w:rPr>
            </w:pPr>
            <w:r w:rsidRPr="00C65CAA">
              <w:rPr>
                <w:rFonts w:ascii="Arial Narrow" w:hAnsi="Arial Narrow"/>
                <w:sz w:val="18"/>
                <w:szCs w:val="18"/>
              </w:rPr>
              <w:t>3/2*100</w:t>
            </w:r>
          </w:p>
        </w:tc>
      </w:tr>
      <w:tr w:rsidR="00972CEB" w:rsidRPr="00C65CAA" w:rsidTr="008A7EC8">
        <w:tc>
          <w:tcPr>
            <w:tcW w:w="3682" w:type="dxa"/>
            <w:vAlign w:val="center"/>
          </w:tcPr>
          <w:p w:rsidR="00972CEB" w:rsidRPr="00C65CAA" w:rsidRDefault="00972CEB" w:rsidP="00011F12">
            <w:pPr>
              <w:rPr>
                <w:rFonts w:ascii="Arial Narrow" w:hAnsi="Arial Narrow"/>
                <w:b/>
                <w:bCs/>
                <w:color w:val="000000"/>
                <w:sz w:val="18"/>
                <w:szCs w:val="18"/>
              </w:rPr>
            </w:pPr>
            <w:r w:rsidRPr="00C65CAA">
              <w:rPr>
                <w:rFonts w:ascii="Arial Narrow" w:hAnsi="Arial Narrow"/>
                <w:b/>
                <w:bCs/>
                <w:color w:val="000000"/>
                <w:sz w:val="18"/>
                <w:szCs w:val="18"/>
              </w:rPr>
              <w:t>Kapitoly ŠR spolu</w:t>
            </w:r>
          </w:p>
        </w:tc>
        <w:tc>
          <w:tcPr>
            <w:tcW w:w="1042" w:type="dxa"/>
            <w:vAlign w:val="center"/>
          </w:tcPr>
          <w:p w:rsidR="00972CEB" w:rsidRPr="00C65CAA" w:rsidRDefault="00972CEB" w:rsidP="00011F12">
            <w:pPr>
              <w:jc w:val="right"/>
              <w:rPr>
                <w:rFonts w:ascii="Arial Narrow" w:hAnsi="Arial Narrow"/>
                <w:b/>
                <w:bCs/>
                <w:sz w:val="20"/>
                <w:szCs w:val="20"/>
              </w:rPr>
            </w:pPr>
            <w:r w:rsidRPr="00C65CAA">
              <w:rPr>
                <w:rFonts w:ascii="Arial Narrow" w:hAnsi="Arial Narrow"/>
                <w:b/>
                <w:bCs/>
                <w:sz w:val="20"/>
                <w:szCs w:val="20"/>
              </w:rPr>
              <w:t>15 234 261</w:t>
            </w:r>
          </w:p>
        </w:tc>
        <w:tc>
          <w:tcPr>
            <w:tcW w:w="1083" w:type="dxa"/>
            <w:vAlign w:val="center"/>
          </w:tcPr>
          <w:p w:rsidR="00972CEB" w:rsidRPr="00C65CAA" w:rsidRDefault="00972CEB" w:rsidP="00011F12">
            <w:pPr>
              <w:jc w:val="right"/>
              <w:rPr>
                <w:rFonts w:ascii="Arial Narrow" w:hAnsi="Arial Narrow"/>
                <w:b/>
                <w:bCs/>
                <w:color w:val="000000"/>
                <w:sz w:val="20"/>
                <w:szCs w:val="20"/>
              </w:rPr>
            </w:pPr>
            <w:r w:rsidRPr="00C65CAA">
              <w:rPr>
                <w:rFonts w:ascii="Arial Narrow" w:hAnsi="Arial Narrow"/>
                <w:b/>
                <w:bCs/>
                <w:color w:val="000000"/>
                <w:sz w:val="20"/>
                <w:szCs w:val="20"/>
              </w:rPr>
              <w:t>15 955 715</w:t>
            </w:r>
          </w:p>
        </w:tc>
        <w:tc>
          <w:tcPr>
            <w:tcW w:w="1394" w:type="dxa"/>
            <w:vAlign w:val="center"/>
          </w:tcPr>
          <w:p w:rsidR="00972CEB" w:rsidRPr="00C65CAA" w:rsidRDefault="00972CEB" w:rsidP="00011F12">
            <w:pPr>
              <w:jc w:val="right"/>
              <w:rPr>
                <w:rFonts w:ascii="Arial Narrow" w:hAnsi="Arial Narrow"/>
                <w:b/>
                <w:bCs/>
                <w:color w:val="000000"/>
                <w:sz w:val="20"/>
                <w:szCs w:val="20"/>
              </w:rPr>
            </w:pPr>
            <w:r w:rsidRPr="00C65CAA">
              <w:rPr>
                <w:rFonts w:ascii="Arial Narrow" w:hAnsi="Arial Narrow"/>
                <w:b/>
                <w:bCs/>
                <w:color w:val="000000"/>
                <w:sz w:val="20"/>
                <w:szCs w:val="20"/>
              </w:rPr>
              <w:t>17 635 792</w:t>
            </w:r>
          </w:p>
        </w:tc>
        <w:tc>
          <w:tcPr>
            <w:tcW w:w="1016" w:type="dxa"/>
            <w:vAlign w:val="center"/>
          </w:tcPr>
          <w:p w:rsidR="00972CEB" w:rsidRPr="00C65CAA" w:rsidRDefault="00972CEB" w:rsidP="00011F12">
            <w:pPr>
              <w:jc w:val="right"/>
              <w:rPr>
                <w:rFonts w:ascii="Arial Narrow" w:hAnsi="Arial Narrow"/>
                <w:b/>
                <w:bCs/>
                <w:color w:val="000000"/>
                <w:sz w:val="20"/>
                <w:szCs w:val="20"/>
              </w:rPr>
            </w:pPr>
            <w:r w:rsidRPr="00C65CAA">
              <w:rPr>
                <w:rFonts w:ascii="Arial Narrow" w:hAnsi="Arial Narrow"/>
                <w:b/>
                <w:bCs/>
                <w:color w:val="000000"/>
                <w:sz w:val="20"/>
                <w:szCs w:val="20"/>
              </w:rPr>
              <w:t>1 680 077</w:t>
            </w:r>
          </w:p>
        </w:tc>
        <w:tc>
          <w:tcPr>
            <w:tcW w:w="845" w:type="dxa"/>
            <w:vAlign w:val="center"/>
          </w:tcPr>
          <w:p w:rsidR="00972CEB" w:rsidRPr="00C65CAA" w:rsidRDefault="00972CEB" w:rsidP="00011F12">
            <w:pPr>
              <w:jc w:val="right"/>
              <w:rPr>
                <w:rFonts w:ascii="Arial Narrow" w:hAnsi="Arial Narrow"/>
                <w:b/>
                <w:bCs/>
                <w:color w:val="000000"/>
                <w:sz w:val="20"/>
                <w:szCs w:val="20"/>
              </w:rPr>
            </w:pPr>
            <w:r w:rsidRPr="00C65CAA">
              <w:rPr>
                <w:rFonts w:ascii="Arial Narrow" w:hAnsi="Arial Narrow"/>
                <w:b/>
                <w:bCs/>
                <w:color w:val="000000"/>
                <w:sz w:val="20"/>
                <w:szCs w:val="20"/>
              </w:rPr>
              <w:t>110,5</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Ministerstvo obrany SR</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930 641</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1 082 079</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1 662 684</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580 605</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154</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Všeobecná pokladničná správa</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2 274 479</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3 056 034</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3 623 190</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567 156</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119</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Ministerstvo životného prostredia SR</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256 231</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193 159</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540 617</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347 458</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280</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Ministerstvo hospodárstva SR</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154 314</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256 050</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428 178</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172 128</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167</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Ministerstvo pôdohospodárstva a rozvoja vidieka SR</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843 575</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1 100 869</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1 193 459</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92 589</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108</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lastRenderedPageBreak/>
              <w:t>Ministerstvo vnútra SR</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2 470 968</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2 400 902</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2 464 409</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63 508</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103</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Ministerstvo financií SR</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465 108</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364 404</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420 186</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55 782</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115</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Ministerstvo spravodlivosti SR</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406 912</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400 006</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439 506</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39 500</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110</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Úrad vlády SR</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50 557</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31 244</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54 043</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22 799</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173</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Ministerstvo zahraničných vecí a európskych záležitostí SR</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153 620</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119 354</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136 439</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17 085</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114</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Štatistický úrad SR</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24 831</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22 056</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32 932</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10 876</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149</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Generálna prokuratúra SR</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97 202</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98 895</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106 705</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7 811</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108</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Úrad podpredsedu vlády SR pre investície a informatizáciu</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22 308</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3 096</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10 487</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7 391</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339</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Kancelária Najvyššieho súdu SR</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12 673</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15 364</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19 023</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3 659</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124</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Slovenská akadémia vied</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69 938</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67 103</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69 414</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2 311</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103</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Slovenská informačná služba</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52 659</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52 998</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54 854</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1 856</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104</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Úrad pre verejné obstarávanie</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8 101</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7 548</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9 307</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1 759</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123</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Národný bezpečnostný úrad</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14 990</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9 051</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10 120</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1 069</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112</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Úrad pre normalizáciu, metrológiu a skúšobníctvo SR</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4 523</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5 118</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6 160</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1 043</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120</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Úrad jadrového dozoru SR</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8 451</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8 869</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9 560</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691</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108</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Kancelária Ústavného súdu SR</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4 867</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5 098</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5 677</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578</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111</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Úrad geodézie, kartografie a katastra SR</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26 575</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22 044</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22 282</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238</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101</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Kancelária Súdnej rady SR</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872</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781</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959</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178</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123</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Najvyšší kontrolný úrad SR</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10 161</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10 736</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10 911</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175</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102</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Úrad priemyselného vlastníctva SR</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6 465</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3 444</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3 582</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137</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104</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Kancelária prezidenta SR</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5 936</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4 749</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4 874</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125</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103</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Správa štátnych hmotných rezerv SR</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16 355</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9 854</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9 957</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103</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101</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Protimonopolný úrad SR</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2 782</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2 788</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2 877</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89</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103</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Úrad pre reguláciu sieťových odvetví</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3 798</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4 567</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4 472</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-95</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98</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Ministerstvo školstva, vedy, výskumu a športu SR</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1 233 370</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1 363 929</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1 361 103</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-2 826</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100</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Kancelária Národnej rady SR</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29 933</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39 682</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31 857</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-7 825</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80</w:t>
            </w:r>
          </w:p>
        </w:tc>
      </w:tr>
      <w:tr w:rsidR="007106CA" w:rsidRPr="00C65CAA" w:rsidTr="00FE57DF">
        <w:tc>
          <w:tcPr>
            <w:tcW w:w="3682" w:type="dxa"/>
            <w:vAlign w:val="bottom"/>
          </w:tcPr>
          <w:p w:rsidR="007106CA" w:rsidRPr="00C65CAA" w:rsidRDefault="007106CA" w:rsidP="00011F12">
            <w:pPr>
              <w:ind w:right="-106"/>
              <w:rPr>
                <w:rFonts w:ascii="Arial Narrow" w:hAnsi="Arial Narrow"/>
                <w:color w:val="000000"/>
                <w:sz w:val="18"/>
                <w:szCs w:val="18"/>
              </w:rPr>
            </w:pPr>
            <w:r w:rsidRPr="00C65CAA">
              <w:rPr>
                <w:rFonts w:ascii="Arial Narrow" w:hAnsi="Arial Narrow"/>
                <w:color w:val="000000"/>
                <w:sz w:val="18"/>
                <w:szCs w:val="18"/>
              </w:rPr>
              <w:t>Ministerstvo dopravy a výstavby SR</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1 727 538</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1 176 185</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1 153 931</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-22 254</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98</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Ministerstvo kultúry SR</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247 163</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280 160</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255 194</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-24 966</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91</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Ministerstvo práce, sociálnych vecí a rodiny SR</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2 185 926</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2 341 250</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2 300 898</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-40 353</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98</w:t>
            </w:r>
          </w:p>
        </w:tc>
      </w:tr>
      <w:tr w:rsidR="007106CA" w:rsidRPr="00C65CAA" w:rsidTr="00FE57DF">
        <w:tc>
          <w:tcPr>
            <w:tcW w:w="3682" w:type="dxa"/>
            <w:vAlign w:val="bottom"/>
          </w:tcPr>
          <w:p w:rsidR="007106CA" w:rsidRPr="00C65CAA" w:rsidRDefault="007106CA" w:rsidP="00011F12">
            <w:pPr>
              <w:rPr>
                <w:rFonts w:ascii="Arial Narrow" w:hAnsi="Arial Narrow"/>
                <w:color w:val="000000"/>
                <w:sz w:val="18"/>
                <w:szCs w:val="18"/>
              </w:rPr>
            </w:pPr>
            <w:r w:rsidRPr="00C65CAA">
              <w:rPr>
                <w:rFonts w:ascii="Arial Narrow" w:hAnsi="Arial Narrow"/>
                <w:color w:val="000000"/>
                <w:sz w:val="18"/>
                <w:szCs w:val="18"/>
              </w:rPr>
              <w:t>Ministerstvo zdravotníctva SR</w:t>
            </w:r>
          </w:p>
        </w:tc>
        <w:tc>
          <w:tcPr>
            <w:tcW w:w="1042" w:type="dxa"/>
            <w:vAlign w:val="bottom"/>
          </w:tcPr>
          <w:p w:rsidR="007106CA" w:rsidRPr="00C65CAA" w:rsidRDefault="007106CA" w:rsidP="00011F12">
            <w:pPr>
              <w:jc w:val="right"/>
              <w:rPr>
                <w:rFonts w:ascii="Arial Narrow" w:hAnsi="Arial Narrow"/>
                <w:sz w:val="20"/>
                <w:szCs w:val="20"/>
              </w:rPr>
            </w:pPr>
            <w:r w:rsidRPr="00C65CAA">
              <w:rPr>
                <w:rFonts w:ascii="Arial Narrow" w:hAnsi="Arial Narrow"/>
                <w:color w:val="000000"/>
                <w:sz w:val="18"/>
                <w:szCs w:val="18"/>
              </w:rPr>
              <w:t>1 410 439</w:t>
            </w:r>
          </w:p>
        </w:tc>
        <w:tc>
          <w:tcPr>
            <w:tcW w:w="1083"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1 396 250</w:t>
            </w:r>
          </w:p>
        </w:tc>
        <w:tc>
          <w:tcPr>
            <w:tcW w:w="1394"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1 175 946</w:t>
            </w:r>
          </w:p>
        </w:tc>
        <w:tc>
          <w:tcPr>
            <w:tcW w:w="1016"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-220 304</w:t>
            </w:r>
          </w:p>
        </w:tc>
        <w:tc>
          <w:tcPr>
            <w:tcW w:w="845" w:type="dxa"/>
            <w:vAlign w:val="bottom"/>
          </w:tcPr>
          <w:p w:rsidR="007106CA" w:rsidRPr="00C65CAA" w:rsidRDefault="007106CA" w:rsidP="00011F12">
            <w:pPr>
              <w:jc w:val="right"/>
              <w:rPr>
                <w:rFonts w:ascii="Arial Narrow" w:hAnsi="Arial Narrow"/>
                <w:color w:val="000000"/>
                <w:sz w:val="20"/>
                <w:szCs w:val="20"/>
              </w:rPr>
            </w:pPr>
            <w:r w:rsidRPr="00C65CAA">
              <w:rPr>
                <w:rFonts w:ascii="Arial Narrow" w:hAnsi="Arial Narrow"/>
                <w:color w:val="000000"/>
                <w:sz w:val="18"/>
                <w:szCs w:val="18"/>
              </w:rPr>
              <w:t>84</w:t>
            </w:r>
          </w:p>
        </w:tc>
      </w:tr>
    </w:tbl>
    <w:p w:rsidR="00387229" w:rsidRPr="00C65CAA" w:rsidRDefault="00387229" w:rsidP="00011F12">
      <w:pPr>
        <w:pStyle w:val="Zkladntext"/>
        <w:spacing w:after="100"/>
        <w:jc w:val="both"/>
        <w:rPr>
          <w:rFonts w:ascii="Arial Narrow" w:hAnsi="Arial Narrow"/>
          <w:color w:val="000000"/>
          <w:sz w:val="20"/>
        </w:rPr>
      </w:pPr>
      <w:r w:rsidRPr="00C65CAA">
        <w:rPr>
          <w:rFonts w:ascii="Arial Narrow" w:hAnsi="Arial Narrow"/>
          <w:color w:val="000000"/>
          <w:sz w:val="20"/>
        </w:rPr>
        <w:t>Zdroj: ŠZÚ za rok 2017, RVS na roky 2018 až 2020, Návrh RVS na roky 2019 až 2021</w:t>
      </w:r>
    </w:p>
    <w:p w:rsidR="00D23611" w:rsidRPr="00C65CAA" w:rsidRDefault="00A724D0" w:rsidP="00256AF8">
      <w:pPr>
        <w:spacing w:before="100" w:after="100"/>
        <w:ind w:firstLine="708"/>
        <w:jc w:val="both"/>
        <w:rPr>
          <w:rFonts w:ascii="Arial Narrow" w:hAnsi="Arial Narrow"/>
          <w:sz w:val="22"/>
          <w:szCs w:val="22"/>
        </w:rPr>
      </w:pPr>
      <w:r w:rsidRPr="00C65CAA">
        <w:rPr>
          <w:rFonts w:ascii="Arial Narrow" w:hAnsi="Arial Narrow"/>
          <w:sz w:val="22"/>
          <w:szCs w:val="22"/>
        </w:rPr>
        <w:t>V roku 2019</w:t>
      </w:r>
      <w:r w:rsidR="00D23611" w:rsidRPr="00C65CAA">
        <w:rPr>
          <w:rFonts w:ascii="Arial Narrow" w:hAnsi="Arial Narrow"/>
          <w:sz w:val="22"/>
          <w:szCs w:val="22"/>
        </w:rPr>
        <w:t xml:space="preserve"> najvýznamnejšie medziročne vzrastú výdavky v rozpočtoch kapitol Ministerstva obrany SR o</w:t>
      </w:r>
      <w:r w:rsidR="00AD6555" w:rsidRPr="00C65CAA">
        <w:rPr>
          <w:rFonts w:ascii="Arial Narrow" w:hAnsi="Arial Narrow"/>
          <w:sz w:val="22"/>
          <w:szCs w:val="22"/>
        </w:rPr>
        <w:t> 580 605</w:t>
      </w:r>
      <w:r w:rsidR="00D23611" w:rsidRPr="00C65CAA">
        <w:rPr>
          <w:rFonts w:ascii="Arial Narrow" w:hAnsi="Arial Narrow"/>
          <w:sz w:val="22"/>
          <w:szCs w:val="22"/>
        </w:rPr>
        <w:t xml:space="preserve"> tis. eur, </w:t>
      </w:r>
      <w:r w:rsidR="00AD6555" w:rsidRPr="00C65CAA">
        <w:rPr>
          <w:rFonts w:ascii="Arial Narrow" w:hAnsi="Arial Narrow"/>
          <w:sz w:val="22"/>
          <w:szCs w:val="22"/>
        </w:rPr>
        <w:t xml:space="preserve">VPS </w:t>
      </w:r>
      <w:r w:rsidR="00D23611" w:rsidRPr="00C65CAA">
        <w:rPr>
          <w:rFonts w:ascii="Arial Narrow" w:hAnsi="Arial Narrow"/>
          <w:sz w:val="22"/>
          <w:szCs w:val="22"/>
        </w:rPr>
        <w:t>o</w:t>
      </w:r>
      <w:r w:rsidR="00AD6555" w:rsidRPr="00C65CAA">
        <w:rPr>
          <w:rFonts w:ascii="Arial Narrow" w:hAnsi="Arial Narrow"/>
          <w:sz w:val="22"/>
          <w:szCs w:val="22"/>
        </w:rPr>
        <w:t> 567 156</w:t>
      </w:r>
      <w:r w:rsidR="00D23611" w:rsidRPr="00C65CAA">
        <w:rPr>
          <w:rFonts w:ascii="Arial Narrow" w:hAnsi="Arial Narrow"/>
          <w:sz w:val="22"/>
          <w:szCs w:val="22"/>
        </w:rPr>
        <w:t xml:space="preserve"> tis. eur a </w:t>
      </w:r>
      <w:r w:rsidR="00AD6555" w:rsidRPr="00C65CAA">
        <w:rPr>
          <w:rFonts w:ascii="Arial Narrow" w:hAnsi="Arial Narrow"/>
          <w:color w:val="000000"/>
          <w:sz w:val="22"/>
          <w:szCs w:val="22"/>
        </w:rPr>
        <w:t>Ministerstva životného prostredia SR</w:t>
      </w:r>
      <w:r w:rsidR="00AD6555" w:rsidRPr="00C65CAA">
        <w:rPr>
          <w:rFonts w:ascii="Arial Narrow" w:hAnsi="Arial Narrow"/>
          <w:sz w:val="22"/>
          <w:szCs w:val="22"/>
        </w:rPr>
        <w:t xml:space="preserve"> </w:t>
      </w:r>
      <w:r w:rsidR="00D23611" w:rsidRPr="00C65CAA">
        <w:rPr>
          <w:rFonts w:ascii="Arial Narrow" w:hAnsi="Arial Narrow"/>
          <w:sz w:val="22"/>
          <w:szCs w:val="22"/>
        </w:rPr>
        <w:t>o</w:t>
      </w:r>
      <w:r w:rsidR="00AD6555" w:rsidRPr="00C65CAA">
        <w:rPr>
          <w:rFonts w:ascii="Arial Narrow" w:hAnsi="Arial Narrow"/>
          <w:sz w:val="22"/>
          <w:szCs w:val="22"/>
        </w:rPr>
        <w:t> 347 458</w:t>
      </w:r>
      <w:r w:rsidR="00D23611" w:rsidRPr="00C65CAA">
        <w:rPr>
          <w:rFonts w:ascii="Arial Narrow" w:hAnsi="Arial Narrow"/>
          <w:sz w:val="22"/>
          <w:szCs w:val="22"/>
        </w:rPr>
        <w:t> tis. eur.</w:t>
      </w:r>
    </w:p>
    <w:p w:rsidR="00D23611" w:rsidRPr="00C65CAA" w:rsidRDefault="00D23611" w:rsidP="00256AF8">
      <w:pPr>
        <w:spacing w:before="100" w:after="100"/>
        <w:ind w:firstLine="708"/>
        <w:jc w:val="both"/>
        <w:rPr>
          <w:rFonts w:ascii="Arial Narrow" w:hAnsi="Arial Narrow" w:cs="Tahoma"/>
          <w:color w:val="000000"/>
          <w:sz w:val="22"/>
          <w:szCs w:val="22"/>
        </w:rPr>
      </w:pPr>
      <w:r w:rsidRPr="00C65CAA">
        <w:rPr>
          <w:rFonts w:ascii="Arial Narrow" w:hAnsi="Arial Narrow"/>
          <w:sz w:val="22"/>
          <w:szCs w:val="22"/>
        </w:rPr>
        <w:t>Výrazný medziročn</w:t>
      </w:r>
      <w:r w:rsidR="00A724D0" w:rsidRPr="00C65CAA">
        <w:rPr>
          <w:rFonts w:ascii="Arial Narrow" w:hAnsi="Arial Narrow"/>
          <w:sz w:val="22"/>
          <w:szCs w:val="22"/>
        </w:rPr>
        <w:t>ý pokles výdavkov ŠR na rok 2019</w:t>
      </w:r>
      <w:r w:rsidRPr="00C65CAA">
        <w:rPr>
          <w:rFonts w:ascii="Arial Narrow" w:hAnsi="Arial Narrow"/>
          <w:sz w:val="22"/>
          <w:szCs w:val="22"/>
        </w:rPr>
        <w:t xml:space="preserve"> sa rozpočtuje v kapitolách </w:t>
      </w:r>
      <w:r w:rsidR="00AD6555" w:rsidRPr="00C65CAA">
        <w:rPr>
          <w:rFonts w:ascii="Arial Narrow" w:hAnsi="Arial Narrow"/>
          <w:color w:val="000000"/>
          <w:sz w:val="22"/>
          <w:szCs w:val="22"/>
        </w:rPr>
        <w:t>Ministerstvo zdravotníctva SR</w:t>
      </w:r>
      <w:r w:rsidR="00AD6555" w:rsidRPr="00C65CAA">
        <w:rPr>
          <w:rFonts w:ascii="Arial Narrow" w:hAnsi="Arial Narrow"/>
          <w:sz w:val="22"/>
          <w:szCs w:val="22"/>
        </w:rPr>
        <w:t xml:space="preserve"> o 220 304</w:t>
      </w:r>
      <w:r w:rsidRPr="00C65CAA">
        <w:rPr>
          <w:rFonts w:ascii="Arial Narrow" w:hAnsi="Arial Narrow"/>
          <w:sz w:val="22"/>
          <w:szCs w:val="22"/>
        </w:rPr>
        <w:t xml:space="preserve"> tis. eur, </w:t>
      </w:r>
      <w:r w:rsidR="00AD6555" w:rsidRPr="00C65CAA">
        <w:rPr>
          <w:rFonts w:ascii="Arial Narrow" w:hAnsi="Arial Narrow"/>
          <w:color w:val="000000"/>
          <w:sz w:val="22"/>
          <w:szCs w:val="22"/>
        </w:rPr>
        <w:t>Ministerstvo práce, sociálnych vecí a rodiny SR</w:t>
      </w:r>
      <w:r w:rsidR="00AD6555" w:rsidRPr="00C65CAA">
        <w:rPr>
          <w:rFonts w:ascii="Arial Narrow" w:hAnsi="Arial Narrow"/>
          <w:sz w:val="22"/>
          <w:szCs w:val="22"/>
        </w:rPr>
        <w:t xml:space="preserve"> </w:t>
      </w:r>
      <w:r w:rsidRPr="00C65CAA">
        <w:rPr>
          <w:rFonts w:ascii="Arial Narrow" w:hAnsi="Arial Narrow"/>
          <w:sz w:val="22"/>
          <w:szCs w:val="22"/>
        </w:rPr>
        <w:t> </w:t>
      </w:r>
      <w:r w:rsidR="00AD6555" w:rsidRPr="00C65CAA">
        <w:rPr>
          <w:rFonts w:ascii="Arial Narrow" w:hAnsi="Arial Narrow"/>
          <w:sz w:val="22"/>
          <w:szCs w:val="22"/>
        </w:rPr>
        <w:t>o 40 353</w:t>
      </w:r>
      <w:r w:rsidRPr="00C65CAA">
        <w:rPr>
          <w:rFonts w:ascii="Arial Narrow" w:hAnsi="Arial Narrow"/>
          <w:sz w:val="22"/>
          <w:szCs w:val="22"/>
        </w:rPr>
        <w:t xml:space="preserve"> </w:t>
      </w:r>
      <w:r w:rsidR="00AD6555" w:rsidRPr="00C65CAA">
        <w:rPr>
          <w:rFonts w:ascii="Arial Narrow" w:hAnsi="Arial Narrow"/>
          <w:sz w:val="22"/>
          <w:szCs w:val="22"/>
        </w:rPr>
        <w:t xml:space="preserve">tis. eur </w:t>
      </w:r>
      <w:r w:rsidRPr="00C65CAA">
        <w:rPr>
          <w:rFonts w:ascii="Arial Narrow" w:hAnsi="Arial Narrow" w:cs="Tahoma"/>
          <w:color w:val="000000"/>
          <w:sz w:val="22"/>
          <w:szCs w:val="22"/>
        </w:rPr>
        <w:t xml:space="preserve">a Ministerstvo </w:t>
      </w:r>
      <w:r w:rsidR="00AD6555" w:rsidRPr="00C65CAA">
        <w:rPr>
          <w:rFonts w:ascii="Arial Narrow" w:hAnsi="Arial Narrow" w:cs="Tahoma"/>
          <w:color w:val="000000"/>
          <w:sz w:val="22"/>
          <w:szCs w:val="22"/>
        </w:rPr>
        <w:t>kultúry SR o 24 966 tis. eur.</w:t>
      </w:r>
    </w:p>
    <w:p w:rsidR="00D23611" w:rsidRPr="00C65CAA" w:rsidRDefault="00D23611" w:rsidP="00256AF8">
      <w:pPr>
        <w:spacing w:before="100" w:after="100"/>
        <w:ind w:firstLine="708"/>
        <w:jc w:val="both"/>
        <w:rPr>
          <w:rFonts w:ascii="Arial Narrow" w:hAnsi="Arial Narrow"/>
          <w:b/>
          <w:sz w:val="22"/>
          <w:szCs w:val="22"/>
        </w:rPr>
      </w:pPr>
      <w:r w:rsidRPr="00C65CAA">
        <w:rPr>
          <w:rFonts w:ascii="Arial Narrow" w:hAnsi="Arial Narrow"/>
          <w:b/>
          <w:sz w:val="22"/>
          <w:szCs w:val="22"/>
        </w:rPr>
        <w:t xml:space="preserve">NKÚ SR v tomto stanovisku hodnotí </w:t>
      </w:r>
      <w:r w:rsidR="0059661E" w:rsidRPr="00C65CAA">
        <w:rPr>
          <w:rFonts w:ascii="Arial Narrow" w:hAnsi="Arial Narrow"/>
          <w:b/>
          <w:sz w:val="22"/>
          <w:szCs w:val="22"/>
        </w:rPr>
        <w:t xml:space="preserve">aj </w:t>
      </w:r>
      <w:r w:rsidRPr="00C65CAA">
        <w:rPr>
          <w:rFonts w:ascii="Arial Narrow" w:hAnsi="Arial Narrow"/>
          <w:b/>
          <w:sz w:val="22"/>
          <w:szCs w:val="22"/>
        </w:rPr>
        <w:t>úroveň rozpočtovania výdavkov v</w:t>
      </w:r>
      <w:r w:rsidR="00F26833" w:rsidRPr="00C65CAA">
        <w:rPr>
          <w:rFonts w:ascii="Arial Narrow" w:hAnsi="Arial Narrow"/>
          <w:b/>
          <w:sz w:val="22"/>
          <w:szCs w:val="22"/>
        </w:rPr>
        <w:t> týchto vybraných kapitolách ŠR –</w:t>
      </w:r>
    </w:p>
    <w:p w:rsidR="00D23611" w:rsidRPr="00C65CAA" w:rsidRDefault="00D23611" w:rsidP="00256AF8">
      <w:pPr>
        <w:pStyle w:val="Nadpis3"/>
        <w:spacing w:before="100" w:after="100"/>
        <w:rPr>
          <w:szCs w:val="22"/>
        </w:rPr>
      </w:pPr>
      <w:bookmarkStart w:id="29" w:name="_Toc529507597"/>
      <w:r w:rsidRPr="00C65CAA">
        <w:rPr>
          <w:szCs w:val="22"/>
        </w:rPr>
        <w:t>Ministerstvo obrany SR</w:t>
      </w:r>
      <w:bookmarkEnd w:id="29"/>
    </w:p>
    <w:p w:rsidR="00011F12" w:rsidRPr="00C65CAA" w:rsidRDefault="00011F12" w:rsidP="00011F12">
      <w:pPr>
        <w:spacing w:before="120" w:after="120"/>
        <w:ind w:firstLine="709"/>
        <w:jc w:val="both"/>
        <w:rPr>
          <w:rFonts w:ascii="Arial Narrow" w:hAnsi="Arial Narrow"/>
          <w:sz w:val="22"/>
          <w:szCs w:val="22"/>
        </w:rPr>
      </w:pPr>
      <w:r w:rsidRPr="00C65CAA">
        <w:rPr>
          <w:rFonts w:ascii="Arial Narrow" w:hAnsi="Arial Narrow"/>
          <w:sz w:val="22"/>
          <w:szCs w:val="22"/>
        </w:rPr>
        <w:t xml:space="preserve">Z rozpočtu kapitoly MO SR sa zabezpečujú </w:t>
      </w:r>
      <w:r w:rsidR="00F26833" w:rsidRPr="00C65CAA">
        <w:rPr>
          <w:rFonts w:ascii="Arial Narrow" w:hAnsi="Arial Narrow"/>
          <w:sz w:val="22"/>
          <w:szCs w:val="22"/>
        </w:rPr>
        <w:t xml:space="preserve">– </w:t>
      </w:r>
      <w:r w:rsidRPr="00C65CAA">
        <w:rPr>
          <w:rFonts w:ascii="Arial Narrow" w:hAnsi="Arial Narrow"/>
          <w:sz w:val="22"/>
          <w:szCs w:val="22"/>
        </w:rPr>
        <w:t>rozvoj obrany, obrana a v rámci ostatného najmä hospodárska mobilizácia a podpora obrany.</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011F12" w:rsidRPr="00C65CAA" w:rsidTr="00011F12">
        <w:tc>
          <w:tcPr>
            <w:tcW w:w="9073" w:type="dxa"/>
            <w:tcBorders>
              <w:top w:val="single" w:sz="4" w:space="0" w:color="auto"/>
              <w:bottom w:val="single" w:sz="4" w:space="0" w:color="auto"/>
            </w:tcBorders>
            <w:shd w:val="clear" w:color="auto" w:fill="0070C0"/>
          </w:tcPr>
          <w:p w:rsidR="00011F12" w:rsidRPr="00C65CAA" w:rsidRDefault="00011F12" w:rsidP="00011F12">
            <w:pPr>
              <w:jc w:val="both"/>
              <w:rPr>
                <w:rFonts w:ascii="Arial Narrow" w:hAnsi="Arial Narrow"/>
                <w:b/>
                <w:color w:val="FFFFFF" w:themeColor="background1"/>
                <w:sz w:val="20"/>
                <w:szCs w:val="20"/>
              </w:rPr>
            </w:pPr>
            <w:r w:rsidRPr="00C65CAA">
              <w:rPr>
                <w:rFonts w:ascii="Arial Narrow" w:hAnsi="Arial Narrow"/>
                <w:b/>
                <w:color w:val="FFFFFF" w:themeColor="background1"/>
                <w:sz w:val="20"/>
                <w:szCs w:val="20"/>
              </w:rPr>
              <w:t>Oblasti alokovaných výdavkov (v tis. eur)</w:t>
            </w:r>
          </w:p>
        </w:tc>
      </w:tr>
      <w:tr w:rsidR="00011F12" w:rsidRPr="00C65CAA" w:rsidTr="00011F12">
        <w:tblPrEx>
          <w:tblCellMar>
            <w:left w:w="70" w:type="dxa"/>
            <w:right w:w="70" w:type="dxa"/>
          </w:tblCellMar>
        </w:tblPrEx>
        <w:trPr>
          <w:trHeight w:val="510"/>
        </w:trPr>
        <w:tc>
          <w:tcPr>
            <w:tcW w:w="9073" w:type="dxa"/>
            <w:tcBorders>
              <w:top w:val="single" w:sz="4" w:space="0" w:color="auto"/>
              <w:bottom w:val="single" w:sz="4" w:space="0" w:color="auto"/>
            </w:tcBorders>
          </w:tcPr>
          <w:p w:rsidR="00011F12" w:rsidRPr="00C65CAA" w:rsidRDefault="00011F12" w:rsidP="00011F12">
            <w:pPr>
              <w:jc w:val="both"/>
              <w:rPr>
                <w:rFonts w:ascii="Arial Narrow" w:eastAsia="Calibri" w:hAnsi="Arial Narrow"/>
                <w:lang w:eastAsia="en-US"/>
              </w:rPr>
            </w:pPr>
            <w:r w:rsidRPr="00C65CAA">
              <w:rPr>
                <w:rFonts w:ascii="Arial Narrow" w:hAnsi="Arial Narrow"/>
                <w:noProof/>
              </w:rPr>
              <w:drawing>
                <wp:inline distT="0" distB="0" distL="0" distR="0" wp14:anchorId="605DAF00" wp14:editId="050F7336">
                  <wp:extent cx="5360670" cy="806450"/>
                  <wp:effectExtent l="0" t="0" r="0" b="0"/>
                  <wp:docPr id="14" name="Graf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rsidR="00011F12" w:rsidRPr="00C65CAA" w:rsidRDefault="00011F12" w:rsidP="00011F12">
      <w:pPr>
        <w:jc w:val="both"/>
        <w:rPr>
          <w:rFonts w:ascii="Arial Narrow" w:eastAsia="Calibri" w:hAnsi="Arial Narrow"/>
          <w:sz w:val="20"/>
          <w:szCs w:val="20"/>
          <w:lang w:eastAsia="en-US"/>
        </w:rPr>
      </w:pPr>
      <w:r w:rsidRPr="00C65CAA">
        <w:rPr>
          <w:rFonts w:ascii="Arial Narrow" w:eastAsia="Calibri" w:hAnsi="Arial Narrow"/>
          <w:sz w:val="20"/>
          <w:szCs w:val="20"/>
          <w:lang w:eastAsia="en-US"/>
        </w:rPr>
        <w:t>Zdroj: RVS na roky 2019 až 2021</w:t>
      </w:r>
    </w:p>
    <w:p w:rsidR="00011F12" w:rsidRPr="00C65CAA" w:rsidRDefault="00011F12" w:rsidP="00011F12">
      <w:pPr>
        <w:spacing w:before="120" w:after="120"/>
        <w:ind w:firstLine="709"/>
        <w:jc w:val="both"/>
        <w:rPr>
          <w:rFonts w:ascii="Arial Narrow" w:eastAsia="Calibri" w:hAnsi="Arial Narrow"/>
          <w:sz w:val="22"/>
          <w:szCs w:val="22"/>
          <w:lang w:eastAsia="en-US"/>
        </w:rPr>
      </w:pPr>
      <w:r w:rsidRPr="00C65CAA">
        <w:rPr>
          <w:rFonts w:ascii="Arial Narrow" w:eastAsia="Calibri" w:hAnsi="Arial Narrow"/>
          <w:sz w:val="22"/>
          <w:szCs w:val="22"/>
          <w:lang w:eastAsia="en-US"/>
        </w:rPr>
        <w:t xml:space="preserve">Rozpočet MO SR by sa mal podľa zámerov vlády SR za nasledujúcich 10 rokov zvýšiť na približne trojnásobnú úroveň. Celkové obranné výdavky sú na rok 2019 rozpočtované vo výške 1,73 % HDP (1,66 mld. eur). </w:t>
      </w:r>
      <w:r w:rsidRPr="00C65CAA">
        <w:rPr>
          <w:rFonts w:ascii="Arial Narrow" w:eastAsia="Calibri" w:hAnsi="Arial Narrow"/>
          <w:sz w:val="22"/>
          <w:szCs w:val="22"/>
          <w:lang w:eastAsia="en-US"/>
        </w:rPr>
        <w:lastRenderedPageBreak/>
        <w:t xml:space="preserve">Navrhované rozpočtové výdavky kapitoly na rok 2019 sú v porovnaní so schváleným rozpočtom na rok 2018 vyššie o 581 mil. eur, t. j. 53,7 %. </w:t>
      </w:r>
    </w:p>
    <w:p w:rsidR="00011F12" w:rsidRPr="00C65CAA" w:rsidRDefault="00011F12" w:rsidP="00011F12">
      <w:pPr>
        <w:spacing w:before="120" w:after="120"/>
        <w:ind w:firstLine="708"/>
        <w:jc w:val="both"/>
        <w:rPr>
          <w:rFonts w:ascii="Arial Narrow" w:eastAsia="Calibri" w:hAnsi="Arial Narrow"/>
          <w:sz w:val="22"/>
          <w:szCs w:val="22"/>
          <w:lang w:eastAsia="en-US"/>
        </w:rPr>
      </w:pPr>
      <w:r w:rsidRPr="00C65CAA">
        <w:rPr>
          <w:rFonts w:ascii="Arial Narrow" w:eastAsia="Calibri" w:hAnsi="Arial Narrow"/>
          <w:sz w:val="22"/>
          <w:szCs w:val="22"/>
          <w:lang w:eastAsia="en-US"/>
        </w:rPr>
        <w:t>V rámci rozvoja obrany sú na rok 2019 vyčlenené prostriedky najmä na rozvoj výzbroje, techniky a špeciálneho materiálu, rozvoj komunikačných a informačných systémov, rozvoj infraštruktúry, nákup dopravných prostriedkov a modernizáciu leteckej techniky, vrátane nákupu vrtuľníkov a taktických stíhacích lietadiel.</w:t>
      </w:r>
    </w:p>
    <w:p w:rsidR="00011F12" w:rsidRPr="00C65CAA" w:rsidRDefault="00011F12" w:rsidP="00011F12">
      <w:pPr>
        <w:spacing w:before="120" w:after="120"/>
        <w:ind w:firstLine="709"/>
        <w:jc w:val="both"/>
        <w:rPr>
          <w:rFonts w:ascii="Arial Narrow" w:eastAsia="Calibri" w:hAnsi="Arial Narrow"/>
          <w:sz w:val="22"/>
          <w:szCs w:val="22"/>
          <w:lang w:eastAsia="en-US"/>
        </w:rPr>
      </w:pPr>
      <w:r w:rsidRPr="00C65CAA">
        <w:rPr>
          <w:rFonts w:ascii="Arial Narrow" w:eastAsia="Calibri" w:hAnsi="Arial Narrow"/>
          <w:sz w:val="22"/>
          <w:szCs w:val="22"/>
          <w:lang w:eastAsia="en-US"/>
        </w:rPr>
        <w:t>V súčasnosti NKÚ SR vykonáva kontrolu „Plnenie cieľov a merateľných ukazovateľov vybraných podprogramov v rámci programu Rozvoj obrany kapitoly Ministerstva obrany SR“, v rámci ktorej je predmetom kontroly analýza výdavkov určených na program „Rozvoj obrany“, zhodnotenie zmien v programovej štruktúre, plnenie cieľov vybraných podprogramov a vyhodnotenie  merateľných ukazovateľov, plnenie opatrení prijatých na odstránenie nedostatkov zistených NKÚ SR kontrolou dodržiavania zásad programového rozpočtovania v roku 2009</w:t>
      </w:r>
      <w:r w:rsidR="00F26833" w:rsidRPr="00C65CAA">
        <w:rPr>
          <w:rFonts w:ascii="Arial Narrow" w:eastAsia="Calibri" w:hAnsi="Arial Narrow"/>
          <w:sz w:val="22"/>
          <w:szCs w:val="22"/>
          <w:lang w:eastAsia="en-US"/>
        </w:rPr>
        <w:t>,</w:t>
      </w:r>
      <w:r w:rsidRPr="00C65CAA">
        <w:rPr>
          <w:rFonts w:ascii="Arial Narrow" w:eastAsia="Calibri" w:hAnsi="Arial Narrow"/>
          <w:sz w:val="22"/>
          <w:szCs w:val="22"/>
          <w:lang w:eastAsia="en-US"/>
        </w:rPr>
        <w:t xml:space="preserve"> ako aj zhodnotenie vnútorného kontrolného systému.</w:t>
      </w:r>
    </w:p>
    <w:p w:rsidR="00011F12" w:rsidRPr="00C65CAA" w:rsidRDefault="00011F12" w:rsidP="00011F12">
      <w:pPr>
        <w:spacing w:before="120" w:after="120"/>
        <w:ind w:firstLine="709"/>
        <w:jc w:val="both"/>
        <w:rPr>
          <w:rFonts w:ascii="Arial Narrow" w:eastAsia="Calibri" w:hAnsi="Arial Narrow"/>
          <w:b/>
          <w:sz w:val="22"/>
          <w:szCs w:val="22"/>
          <w:lang w:eastAsia="en-US"/>
        </w:rPr>
      </w:pPr>
      <w:r w:rsidRPr="00C65CAA">
        <w:rPr>
          <w:rFonts w:ascii="Arial Narrow" w:eastAsia="Calibri" w:hAnsi="Arial Narrow"/>
          <w:b/>
          <w:sz w:val="22"/>
          <w:szCs w:val="22"/>
          <w:lang w:eastAsia="en-US"/>
        </w:rPr>
        <w:t>V tejto súvislosti NKÚ SR upozorňuje na dôležitosť prípravy rezortu pre zvládnutie všetkých úloh vyplývajúcich z takéhoto výrazného zvýšenia rozpočtu.</w:t>
      </w:r>
    </w:p>
    <w:p w:rsidR="00D23611" w:rsidRPr="00C65CAA" w:rsidRDefault="00D23611" w:rsidP="00256AF8">
      <w:pPr>
        <w:pStyle w:val="Nadpis3"/>
        <w:spacing w:before="100" w:after="100"/>
        <w:rPr>
          <w:szCs w:val="22"/>
        </w:rPr>
      </w:pPr>
      <w:bookmarkStart w:id="30" w:name="_Toc529507598"/>
      <w:r w:rsidRPr="00C65CAA">
        <w:rPr>
          <w:szCs w:val="22"/>
        </w:rPr>
        <w:t>Ministerstvo vnútra SR</w:t>
      </w:r>
      <w:bookmarkEnd w:id="30"/>
    </w:p>
    <w:p w:rsidR="00DC61B9" w:rsidRPr="00C65CAA" w:rsidRDefault="00DC61B9" w:rsidP="00256AF8">
      <w:pPr>
        <w:spacing w:before="100" w:after="100"/>
        <w:ind w:firstLine="708"/>
        <w:jc w:val="both"/>
        <w:rPr>
          <w:rFonts w:ascii="Arial Narrow" w:hAnsi="Arial Narrow"/>
          <w:sz w:val="22"/>
          <w:szCs w:val="22"/>
        </w:rPr>
      </w:pPr>
      <w:r w:rsidRPr="00C65CAA">
        <w:rPr>
          <w:rFonts w:ascii="Arial Narrow" w:hAnsi="Arial Narrow"/>
          <w:sz w:val="22"/>
          <w:szCs w:val="22"/>
        </w:rPr>
        <w:t>Výdavky kapitoly sú smerované do nasledovných oblastí: efektívna a spoľahlivá štátna správa, výchova a vzdelávanie mládeže, informačné technológie, medzirezortné programy</w:t>
      </w:r>
      <w:r w:rsidR="0045036F" w:rsidRPr="00C65CAA">
        <w:rPr>
          <w:rFonts w:ascii="Arial Narrow" w:hAnsi="Arial Narrow"/>
          <w:sz w:val="22"/>
          <w:szCs w:val="22"/>
        </w:rPr>
        <w:t xml:space="preserve"> a</w:t>
      </w:r>
      <w:r w:rsidRPr="00C65CAA">
        <w:rPr>
          <w:rFonts w:ascii="Arial Narrow" w:hAnsi="Arial Narrow"/>
          <w:sz w:val="22"/>
          <w:szCs w:val="22"/>
        </w:rPr>
        <w:t> 3. programové obdobie.</w:t>
      </w:r>
    </w:p>
    <w:tbl>
      <w:tblPr>
        <w:tblStyle w:val="Mriekatabuky"/>
        <w:tblW w:w="92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DC61B9" w:rsidRPr="00C65CAA" w:rsidTr="00996FB7">
        <w:tc>
          <w:tcPr>
            <w:tcW w:w="9246" w:type="dxa"/>
            <w:tcBorders>
              <w:top w:val="single" w:sz="4" w:space="0" w:color="auto"/>
              <w:bottom w:val="single" w:sz="4" w:space="0" w:color="auto"/>
            </w:tcBorders>
            <w:shd w:val="clear" w:color="auto" w:fill="0070C0"/>
          </w:tcPr>
          <w:p w:rsidR="00DC61B9" w:rsidRPr="00C65CAA" w:rsidRDefault="00DC61B9" w:rsidP="00C8633E">
            <w:pPr>
              <w:jc w:val="both"/>
              <w:rPr>
                <w:rFonts w:ascii="Arial Narrow" w:hAnsi="Arial Narrow"/>
                <w:color w:val="FFFFFF" w:themeColor="background1"/>
              </w:rPr>
            </w:pPr>
            <w:r w:rsidRPr="00C65CAA">
              <w:rPr>
                <w:rFonts w:ascii="Arial Narrow" w:hAnsi="Arial Narrow"/>
                <w:color w:val="FFFFFF" w:themeColor="background1"/>
              </w:rPr>
              <w:t>Oblasti alokovaných výdavkov (v tis. eur)</w:t>
            </w:r>
          </w:p>
        </w:tc>
      </w:tr>
      <w:tr w:rsidR="00DC61B9" w:rsidRPr="00C65CAA" w:rsidTr="00996FB7">
        <w:tc>
          <w:tcPr>
            <w:tcW w:w="9246" w:type="dxa"/>
            <w:tcBorders>
              <w:top w:val="single" w:sz="4" w:space="0" w:color="auto"/>
              <w:bottom w:val="single" w:sz="4" w:space="0" w:color="auto"/>
            </w:tcBorders>
          </w:tcPr>
          <w:p w:rsidR="00DC61B9" w:rsidRPr="00C65CAA" w:rsidRDefault="00DC61B9" w:rsidP="00C8633E">
            <w:pPr>
              <w:jc w:val="both"/>
              <w:rPr>
                <w:rFonts w:ascii="Arial Narrow" w:hAnsi="Arial Narrow"/>
              </w:rPr>
            </w:pPr>
            <w:r w:rsidRPr="00C65CAA">
              <w:rPr>
                <w:rFonts w:ascii="Arial Narrow" w:hAnsi="Arial Narrow"/>
                <w:noProof/>
              </w:rPr>
              <w:drawing>
                <wp:inline distT="0" distB="0" distL="0" distR="0" wp14:anchorId="3CC39AC9" wp14:editId="3715E564">
                  <wp:extent cx="5727065" cy="1162050"/>
                  <wp:effectExtent l="0" t="0" r="6985" b="0"/>
                  <wp:docPr id="23" name="Graf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rsidR="00DC61B9" w:rsidRPr="00C65CAA" w:rsidRDefault="00DC61B9" w:rsidP="00C8633E">
      <w:pPr>
        <w:spacing w:after="100"/>
        <w:jc w:val="both"/>
        <w:rPr>
          <w:rFonts w:ascii="Arial Narrow" w:hAnsi="Arial Narrow"/>
          <w:sz w:val="20"/>
          <w:szCs w:val="20"/>
        </w:rPr>
      </w:pPr>
      <w:r w:rsidRPr="00C65CAA">
        <w:rPr>
          <w:rFonts w:ascii="Arial Narrow" w:hAnsi="Arial Narrow"/>
          <w:sz w:val="20"/>
          <w:szCs w:val="20"/>
        </w:rPr>
        <w:t>Zdroj: Návrh RVS na roky 2019 až 2021</w:t>
      </w:r>
    </w:p>
    <w:p w:rsidR="00350EAD" w:rsidRPr="00C65CAA" w:rsidRDefault="00350EAD" w:rsidP="00256AF8">
      <w:pPr>
        <w:autoSpaceDE w:val="0"/>
        <w:autoSpaceDN w:val="0"/>
        <w:adjustRightInd w:val="0"/>
        <w:spacing w:before="100" w:after="100"/>
        <w:ind w:firstLine="708"/>
        <w:jc w:val="both"/>
        <w:rPr>
          <w:rFonts w:ascii="Arial Narrow" w:eastAsia="Calibri" w:hAnsi="Arial Narrow"/>
          <w:color w:val="000000"/>
          <w:sz w:val="22"/>
          <w:szCs w:val="22"/>
          <w:lang w:eastAsia="en-US"/>
        </w:rPr>
      </w:pPr>
      <w:r w:rsidRPr="00C65CAA">
        <w:rPr>
          <w:rFonts w:ascii="Arial Narrow" w:eastAsia="Calibri" w:hAnsi="Arial Narrow"/>
          <w:color w:val="000000"/>
          <w:sz w:val="22"/>
          <w:szCs w:val="22"/>
          <w:lang w:eastAsia="en-US"/>
        </w:rPr>
        <w:t xml:space="preserve">Návrh rozpočtu ráta s celkovými výdavkami rezortu v objeme 2 464 409 tis. eur. Oproti predchádzajúcemu roku došlo k posilneniu rozpočtu o 2,64 %, t. j. o 63 508 tis. eur. Vlastné zdroje predstavujú 2 437 326 tis. eur, prostriedky EÚ vrátane spolufinancovania zo ŠR sú naplánované v objeme 25 063 tis. eur. Jediný pokles zaznamenala kategória tovary a služby o 516 tis. eur, rozpočet kapitálových výdavkov </w:t>
      </w:r>
      <w:r w:rsidR="00AA0A1F" w:rsidRPr="00C65CAA">
        <w:rPr>
          <w:rFonts w:ascii="Arial Narrow" w:eastAsia="Calibri" w:hAnsi="Arial Narrow"/>
          <w:color w:val="000000"/>
          <w:sz w:val="22"/>
          <w:szCs w:val="22"/>
          <w:lang w:eastAsia="en-US"/>
        </w:rPr>
        <w:t>zostáva nezmenený na </w:t>
      </w:r>
      <w:r w:rsidRPr="00C65CAA">
        <w:rPr>
          <w:rFonts w:ascii="Arial Narrow" w:eastAsia="Calibri" w:hAnsi="Arial Narrow"/>
          <w:color w:val="000000"/>
          <w:sz w:val="22"/>
          <w:szCs w:val="22"/>
          <w:lang w:eastAsia="en-US"/>
        </w:rPr>
        <w:t xml:space="preserve">úrovni 28 000 tis. eur. </w:t>
      </w:r>
      <w:r w:rsidR="0045036F" w:rsidRPr="00C65CAA">
        <w:rPr>
          <w:rFonts w:ascii="Arial Narrow" w:eastAsia="Calibri" w:hAnsi="Arial Narrow"/>
          <w:color w:val="000000"/>
          <w:sz w:val="22"/>
          <w:szCs w:val="22"/>
          <w:lang w:eastAsia="en-US"/>
        </w:rPr>
        <w:t>R</w:t>
      </w:r>
      <w:r w:rsidRPr="00C65CAA">
        <w:rPr>
          <w:rFonts w:ascii="Arial Narrow" w:eastAsia="Calibri" w:hAnsi="Arial Narrow"/>
          <w:color w:val="000000"/>
          <w:sz w:val="22"/>
          <w:szCs w:val="22"/>
          <w:lang w:eastAsia="en-US"/>
        </w:rPr>
        <w:t>ast</w:t>
      </w:r>
      <w:r w:rsidR="00BC2273" w:rsidRPr="00C65CAA">
        <w:rPr>
          <w:rFonts w:ascii="Arial Narrow" w:eastAsia="Calibri" w:hAnsi="Arial Narrow"/>
          <w:color w:val="000000"/>
          <w:sz w:val="22"/>
          <w:szCs w:val="22"/>
          <w:lang w:eastAsia="en-US"/>
        </w:rPr>
        <w:t xml:space="preserve"> zaznamenali </w:t>
      </w:r>
      <w:r w:rsidRPr="00C65CAA">
        <w:rPr>
          <w:rFonts w:ascii="Arial Narrow" w:eastAsia="Calibri" w:hAnsi="Arial Narrow"/>
          <w:color w:val="000000"/>
          <w:sz w:val="22"/>
          <w:szCs w:val="22"/>
          <w:lang w:eastAsia="en-US"/>
        </w:rPr>
        <w:t>o</w:t>
      </w:r>
      <w:r w:rsidR="00AA0A1F" w:rsidRPr="00C65CAA">
        <w:rPr>
          <w:rFonts w:ascii="Arial Narrow" w:eastAsia="Calibri" w:hAnsi="Arial Narrow"/>
          <w:color w:val="000000"/>
          <w:sz w:val="22"/>
          <w:szCs w:val="22"/>
          <w:lang w:eastAsia="en-US"/>
        </w:rPr>
        <w:t>sobné výdavky a bežné transfery</w:t>
      </w:r>
    </w:p>
    <w:p w:rsidR="00350EAD" w:rsidRPr="00C65CAA" w:rsidRDefault="00350EAD" w:rsidP="00256AF8">
      <w:pPr>
        <w:spacing w:before="100" w:after="100"/>
        <w:ind w:firstLine="708"/>
        <w:jc w:val="both"/>
        <w:rPr>
          <w:rFonts w:ascii="Arial Narrow" w:eastAsia="Calibri" w:hAnsi="Arial Narrow"/>
          <w:sz w:val="22"/>
          <w:szCs w:val="22"/>
        </w:rPr>
      </w:pPr>
      <w:r w:rsidRPr="00C65CAA">
        <w:rPr>
          <w:rFonts w:ascii="Arial Narrow" w:eastAsia="Calibri" w:hAnsi="Arial Narrow"/>
          <w:b/>
          <w:sz w:val="22"/>
          <w:szCs w:val="22"/>
          <w:lang w:eastAsia="en-US"/>
        </w:rPr>
        <w:t>Riziko naplnenia príjmovej stránky rozpočtu ministerstva trvá</w:t>
      </w:r>
      <w:r w:rsidRPr="00C65CAA">
        <w:rPr>
          <w:rFonts w:ascii="Arial Narrow" w:eastAsia="Calibri" w:hAnsi="Arial Narrow"/>
          <w:sz w:val="22"/>
          <w:szCs w:val="22"/>
          <w:lang w:eastAsia="en-US"/>
        </w:rPr>
        <w:t>. Celko</w:t>
      </w:r>
      <w:r w:rsidR="00AA0A1F" w:rsidRPr="00C65CAA">
        <w:rPr>
          <w:rFonts w:ascii="Arial Narrow" w:eastAsia="Calibri" w:hAnsi="Arial Narrow"/>
          <w:sz w:val="22"/>
          <w:szCs w:val="22"/>
          <w:lang w:eastAsia="en-US"/>
        </w:rPr>
        <w:t>vé príjmy kapitoly MV SR na rok </w:t>
      </w:r>
      <w:r w:rsidRPr="00C65CAA">
        <w:rPr>
          <w:rFonts w:ascii="Arial Narrow" w:eastAsia="Calibri" w:hAnsi="Arial Narrow"/>
          <w:sz w:val="22"/>
          <w:szCs w:val="22"/>
          <w:lang w:eastAsia="en-US"/>
        </w:rPr>
        <w:t xml:space="preserve">2019 sú </w:t>
      </w:r>
      <w:r w:rsidR="00BC2273" w:rsidRPr="00C65CAA">
        <w:rPr>
          <w:rFonts w:ascii="Arial Narrow" w:eastAsia="Calibri" w:hAnsi="Arial Narrow"/>
          <w:sz w:val="22"/>
          <w:szCs w:val="22"/>
          <w:lang w:eastAsia="en-US"/>
        </w:rPr>
        <w:t xml:space="preserve">rozpočtované </w:t>
      </w:r>
      <w:r w:rsidRPr="00C65CAA">
        <w:rPr>
          <w:rFonts w:ascii="Arial Narrow" w:eastAsia="Calibri" w:hAnsi="Arial Narrow"/>
          <w:sz w:val="22"/>
          <w:szCs w:val="22"/>
          <w:lang w:eastAsia="en-US"/>
        </w:rPr>
        <w:t xml:space="preserve">v objeme 120 821 tis. eur, z toho záväzný ukazovateľ v sume 101 622 tis eur. Základnými príjmami sú administratívne poplatky a výber pokút </w:t>
      </w:r>
      <w:r w:rsidRPr="00C65CAA">
        <w:rPr>
          <w:rFonts w:ascii="Arial Narrow" w:eastAsia="Calibri" w:hAnsi="Arial Narrow"/>
          <w:sz w:val="22"/>
          <w:szCs w:val="22"/>
        </w:rPr>
        <w:t>za porušenie pre</w:t>
      </w:r>
      <w:r w:rsidR="00BC2273" w:rsidRPr="00C65CAA">
        <w:rPr>
          <w:rFonts w:ascii="Arial Narrow" w:eastAsia="Calibri" w:hAnsi="Arial Narrow"/>
          <w:sz w:val="22"/>
          <w:szCs w:val="22"/>
        </w:rPr>
        <w:t>dpisov v objeme 57 987 tis. eur</w:t>
      </w:r>
      <w:r w:rsidRPr="00C65CAA">
        <w:rPr>
          <w:rFonts w:ascii="Arial Narrow" w:eastAsia="Calibri" w:hAnsi="Arial Narrow"/>
          <w:sz w:val="22"/>
          <w:szCs w:val="22"/>
        </w:rPr>
        <w:t xml:space="preserve">, z toho za porušenie predpisov je </w:t>
      </w:r>
      <w:r w:rsidR="00BC2273" w:rsidRPr="00C65CAA">
        <w:rPr>
          <w:rFonts w:ascii="Arial Narrow" w:eastAsia="Calibri" w:hAnsi="Arial Narrow"/>
          <w:sz w:val="22"/>
          <w:szCs w:val="22"/>
        </w:rPr>
        <w:t>plánovaných 50 981 tis. eur (</w:t>
      </w:r>
      <w:r w:rsidRPr="00C65CAA">
        <w:rPr>
          <w:rFonts w:ascii="Arial Narrow" w:eastAsia="Calibri" w:hAnsi="Arial Narrow"/>
          <w:sz w:val="22"/>
          <w:szCs w:val="22"/>
        </w:rPr>
        <w:t>50,1 % zo záväzného ukazovateľa). Na základe vývoja príjmov v roku 2018</w:t>
      </w:r>
      <w:r w:rsidR="00AA0A1F" w:rsidRPr="00C65CAA">
        <w:rPr>
          <w:rFonts w:ascii="Arial Narrow" w:eastAsia="Calibri" w:hAnsi="Arial Narrow"/>
          <w:sz w:val="22"/>
          <w:szCs w:val="22"/>
        </w:rPr>
        <w:t>,</w:t>
      </w:r>
      <w:r w:rsidRPr="00C65CAA">
        <w:rPr>
          <w:rFonts w:ascii="Arial Narrow" w:eastAsia="Calibri" w:hAnsi="Arial Narrow"/>
          <w:sz w:val="22"/>
          <w:szCs w:val="22"/>
        </w:rPr>
        <w:t xml:space="preserve"> kde </w:t>
      </w:r>
      <w:r w:rsidR="00AA0A1F" w:rsidRPr="00C65CAA">
        <w:rPr>
          <w:rFonts w:ascii="Arial Narrow" w:eastAsia="Calibri" w:hAnsi="Arial Narrow"/>
          <w:sz w:val="22"/>
          <w:szCs w:val="22"/>
        </w:rPr>
        <w:t xml:space="preserve">plnenie k 18. októbru </w:t>
      </w:r>
      <w:r w:rsidR="00BC2273" w:rsidRPr="00C65CAA">
        <w:rPr>
          <w:rFonts w:ascii="Arial Narrow" w:eastAsia="Calibri" w:hAnsi="Arial Narrow"/>
          <w:sz w:val="22"/>
          <w:szCs w:val="22"/>
        </w:rPr>
        <w:t>2018 predstavovalo</w:t>
      </w:r>
      <w:r w:rsidRPr="00C65CAA">
        <w:rPr>
          <w:rFonts w:ascii="Arial Narrow" w:eastAsia="Calibri" w:hAnsi="Arial Narrow"/>
          <w:sz w:val="22"/>
          <w:szCs w:val="22"/>
        </w:rPr>
        <w:t xml:space="preserve"> 25 931 tis. eur, z</w:t>
      </w:r>
      <w:r w:rsidR="00BC2273" w:rsidRPr="00C65CAA">
        <w:rPr>
          <w:rFonts w:ascii="Arial Narrow" w:eastAsia="Calibri" w:hAnsi="Arial Narrow"/>
          <w:sz w:val="22"/>
          <w:szCs w:val="22"/>
        </w:rPr>
        <w:t xml:space="preserve"> upraveného rozpočtu </w:t>
      </w:r>
      <w:r w:rsidRPr="00C65CAA">
        <w:rPr>
          <w:rFonts w:ascii="Arial Narrow" w:eastAsia="Calibri" w:hAnsi="Arial Narrow"/>
          <w:sz w:val="22"/>
          <w:szCs w:val="22"/>
        </w:rPr>
        <w:t>49</w:t>
      </w:r>
      <w:r w:rsidR="00AA0A1F" w:rsidRPr="00C65CAA">
        <w:rPr>
          <w:rFonts w:ascii="Arial Narrow" w:eastAsia="Calibri" w:hAnsi="Arial Narrow"/>
          <w:sz w:val="22"/>
          <w:szCs w:val="22"/>
        </w:rPr>
        <w:t> 457 </w:t>
      </w:r>
      <w:r w:rsidR="0045036F" w:rsidRPr="00C65CAA">
        <w:rPr>
          <w:rFonts w:ascii="Arial Narrow" w:eastAsia="Calibri" w:hAnsi="Arial Narrow"/>
          <w:sz w:val="22"/>
          <w:szCs w:val="22"/>
        </w:rPr>
        <w:t xml:space="preserve">tis. eur, </w:t>
      </w:r>
      <w:r w:rsidR="00BC2273" w:rsidRPr="00C65CAA">
        <w:rPr>
          <w:rFonts w:ascii="Arial Narrow" w:eastAsia="Calibri" w:hAnsi="Arial Narrow"/>
          <w:sz w:val="22"/>
          <w:szCs w:val="22"/>
        </w:rPr>
        <w:t xml:space="preserve">t. j. </w:t>
      </w:r>
      <w:r w:rsidRPr="00C65CAA">
        <w:rPr>
          <w:rFonts w:ascii="Arial Narrow" w:eastAsia="Calibri" w:hAnsi="Arial Narrow"/>
          <w:sz w:val="22"/>
          <w:szCs w:val="22"/>
        </w:rPr>
        <w:t>52,4</w:t>
      </w:r>
      <w:r w:rsidR="00BC2273" w:rsidRPr="00C65CAA">
        <w:rPr>
          <w:rFonts w:ascii="Arial Narrow" w:eastAsia="Calibri" w:hAnsi="Arial Narrow"/>
          <w:sz w:val="22"/>
          <w:szCs w:val="22"/>
        </w:rPr>
        <w:t xml:space="preserve"> %</w:t>
      </w:r>
      <w:r w:rsidRPr="00C65CAA">
        <w:rPr>
          <w:rFonts w:ascii="Arial Narrow" w:eastAsia="Calibri" w:hAnsi="Arial Narrow"/>
          <w:sz w:val="22"/>
          <w:szCs w:val="22"/>
        </w:rPr>
        <w:t xml:space="preserve">, je </w:t>
      </w:r>
      <w:r w:rsidR="00BC2273" w:rsidRPr="00C65CAA">
        <w:rPr>
          <w:rFonts w:ascii="Arial Narrow" w:eastAsia="Calibri" w:hAnsi="Arial Narrow"/>
          <w:sz w:val="22"/>
          <w:szCs w:val="22"/>
        </w:rPr>
        <w:t>rozpočtovaná</w:t>
      </w:r>
      <w:r w:rsidRPr="00C65CAA">
        <w:rPr>
          <w:rFonts w:ascii="Arial Narrow" w:eastAsia="Calibri" w:hAnsi="Arial Narrow"/>
          <w:sz w:val="22"/>
          <w:szCs w:val="22"/>
        </w:rPr>
        <w:t xml:space="preserve"> suma na rok 2019 viac ako optimistická. </w:t>
      </w:r>
    </w:p>
    <w:p w:rsidR="00350EAD" w:rsidRPr="00C65CAA" w:rsidRDefault="00350EAD" w:rsidP="00256AF8">
      <w:pPr>
        <w:spacing w:before="100" w:after="100"/>
        <w:ind w:firstLine="708"/>
        <w:jc w:val="both"/>
        <w:rPr>
          <w:rFonts w:ascii="Arial Narrow" w:eastAsia="Calibri" w:hAnsi="Arial Narrow"/>
          <w:sz w:val="22"/>
          <w:szCs w:val="22"/>
          <w:lang w:eastAsia="en-US"/>
        </w:rPr>
      </w:pPr>
      <w:r w:rsidRPr="00C65CAA">
        <w:rPr>
          <w:rFonts w:ascii="Arial Narrow" w:eastAsia="Calibri" w:hAnsi="Arial Narrow"/>
          <w:b/>
          <w:sz w:val="22"/>
          <w:szCs w:val="22"/>
          <w:lang w:eastAsia="en-US"/>
        </w:rPr>
        <w:t>Kapitálové príjmy</w:t>
      </w:r>
      <w:r w:rsidRPr="00C65CAA">
        <w:rPr>
          <w:rFonts w:ascii="Arial Narrow" w:eastAsia="Calibri" w:hAnsi="Arial Narrow"/>
          <w:sz w:val="22"/>
          <w:szCs w:val="22"/>
          <w:lang w:eastAsia="en-US"/>
        </w:rPr>
        <w:t xml:space="preserve"> z predaja pozemkov a predaja kapitálových aktív MV SR sú rozpočtované v objeme 36 494 tis. eur. Vzhľadom na každoročné nenaplnenie plánovaných príjmov m</w:t>
      </w:r>
      <w:r w:rsidR="00AA0A1F" w:rsidRPr="00C65CAA">
        <w:rPr>
          <w:rFonts w:ascii="Arial Narrow" w:eastAsia="Calibri" w:hAnsi="Arial Narrow"/>
          <w:sz w:val="22"/>
          <w:szCs w:val="22"/>
          <w:lang w:eastAsia="en-US"/>
        </w:rPr>
        <w:t>ožno označiť postup rezortu pri </w:t>
      </w:r>
      <w:r w:rsidRPr="00C65CAA">
        <w:rPr>
          <w:rFonts w:ascii="Arial Narrow" w:eastAsia="Calibri" w:hAnsi="Arial Narrow"/>
          <w:sz w:val="22"/>
          <w:szCs w:val="22"/>
          <w:lang w:eastAsia="en-US"/>
        </w:rPr>
        <w:t xml:space="preserve">predaji </w:t>
      </w:r>
      <w:r w:rsidR="0045036F" w:rsidRPr="00C65CAA">
        <w:rPr>
          <w:rFonts w:ascii="Arial Narrow" w:eastAsia="Calibri" w:hAnsi="Arial Narrow"/>
          <w:sz w:val="22"/>
          <w:szCs w:val="22"/>
          <w:lang w:eastAsia="en-US"/>
        </w:rPr>
        <w:t xml:space="preserve">za problematický a neprehľadný </w:t>
      </w:r>
      <w:r w:rsidRPr="00C65CAA">
        <w:rPr>
          <w:rFonts w:ascii="Arial Narrow" w:eastAsia="Calibri" w:hAnsi="Arial Narrow"/>
          <w:sz w:val="22"/>
          <w:szCs w:val="22"/>
          <w:lang w:eastAsia="en-US"/>
        </w:rPr>
        <w:t>a naplnenie príjmo</w:t>
      </w:r>
      <w:r w:rsidR="00A724D0" w:rsidRPr="00C65CAA">
        <w:rPr>
          <w:rFonts w:ascii="Arial Narrow" w:eastAsia="Calibri" w:hAnsi="Arial Narrow"/>
          <w:sz w:val="22"/>
          <w:szCs w:val="22"/>
          <w:lang w:eastAsia="en-US"/>
        </w:rPr>
        <w:t>v rozpočtu za nereálne. K 20.</w:t>
      </w:r>
      <w:r w:rsidR="00F26833" w:rsidRPr="00C65CAA">
        <w:rPr>
          <w:rFonts w:ascii="Arial Narrow" w:eastAsia="Calibri" w:hAnsi="Arial Narrow"/>
          <w:sz w:val="22"/>
          <w:szCs w:val="22"/>
          <w:lang w:eastAsia="en-US"/>
        </w:rPr>
        <w:t xml:space="preserve"> </w:t>
      </w:r>
      <w:r w:rsidR="00A724D0" w:rsidRPr="00C65CAA">
        <w:rPr>
          <w:rFonts w:ascii="Arial Narrow" w:eastAsia="Calibri" w:hAnsi="Arial Narrow"/>
          <w:sz w:val="22"/>
          <w:szCs w:val="22"/>
          <w:lang w:eastAsia="en-US"/>
        </w:rPr>
        <w:t xml:space="preserve">októbru </w:t>
      </w:r>
      <w:r w:rsidRPr="00C65CAA">
        <w:rPr>
          <w:rFonts w:ascii="Arial Narrow" w:eastAsia="Calibri" w:hAnsi="Arial Narrow"/>
          <w:sz w:val="22"/>
          <w:szCs w:val="22"/>
          <w:lang w:eastAsia="en-US"/>
        </w:rPr>
        <w:t xml:space="preserve">2018 </w:t>
      </w:r>
      <w:r w:rsidR="00BC2273" w:rsidRPr="00C65CAA">
        <w:rPr>
          <w:rFonts w:ascii="Arial Narrow" w:eastAsia="Calibri" w:hAnsi="Arial Narrow"/>
          <w:sz w:val="22"/>
          <w:szCs w:val="22"/>
          <w:lang w:eastAsia="en-US"/>
        </w:rPr>
        <w:t xml:space="preserve">dosiahli skutočné príjmy len 2 560 tis. eur </w:t>
      </w:r>
      <w:r w:rsidRPr="00C65CAA">
        <w:rPr>
          <w:rFonts w:ascii="Arial Narrow" w:eastAsia="Calibri" w:hAnsi="Arial Narrow"/>
          <w:sz w:val="22"/>
          <w:szCs w:val="22"/>
          <w:lang w:eastAsia="en-US"/>
        </w:rPr>
        <w:t xml:space="preserve">z upraveného </w:t>
      </w:r>
      <w:r w:rsidR="0045036F" w:rsidRPr="00C65CAA">
        <w:rPr>
          <w:rFonts w:ascii="Arial Narrow" w:eastAsia="Calibri" w:hAnsi="Arial Narrow"/>
          <w:sz w:val="22"/>
          <w:szCs w:val="22"/>
          <w:lang w:eastAsia="en-US"/>
        </w:rPr>
        <w:t xml:space="preserve">rozpočtu vo výške </w:t>
      </w:r>
      <w:r w:rsidRPr="00C65CAA">
        <w:rPr>
          <w:rFonts w:ascii="Arial Narrow" w:eastAsia="Calibri" w:hAnsi="Arial Narrow"/>
          <w:sz w:val="22"/>
          <w:szCs w:val="22"/>
          <w:lang w:eastAsia="en-US"/>
        </w:rPr>
        <w:t xml:space="preserve">37 018 </w:t>
      </w:r>
      <w:r w:rsidR="0045036F" w:rsidRPr="00C65CAA">
        <w:rPr>
          <w:rFonts w:ascii="Arial Narrow" w:eastAsia="Calibri" w:hAnsi="Arial Narrow"/>
          <w:sz w:val="22"/>
          <w:szCs w:val="22"/>
          <w:lang w:eastAsia="en-US"/>
        </w:rPr>
        <w:t>tis. eur</w:t>
      </w:r>
      <w:r w:rsidR="00BC2273" w:rsidRPr="00C65CAA">
        <w:rPr>
          <w:rFonts w:ascii="Arial Narrow" w:eastAsia="Calibri" w:hAnsi="Arial Narrow"/>
          <w:sz w:val="22"/>
          <w:szCs w:val="22"/>
          <w:lang w:eastAsia="en-US"/>
        </w:rPr>
        <w:t>.</w:t>
      </w:r>
    </w:p>
    <w:p w:rsidR="00350EAD" w:rsidRPr="00C65CAA" w:rsidRDefault="00350EAD" w:rsidP="00256AF8">
      <w:pPr>
        <w:spacing w:before="100" w:after="100"/>
        <w:ind w:firstLine="708"/>
        <w:jc w:val="both"/>
        <w:rPr>
          <w:rFonts w:ascii="Arial Narrow" w:eastAsia="Calibri" w:hAnsi="Arial Narrow"/>
          <w:sz w:val="22"/>
          <w:szCs w:val="22"/>
          <w:lang w:eastAsia="en-US"/>
        </w:rPr>
      </w:pPr>
      <w:r w:rsidRPr="00C65CAA">
        <w:rPr>
          <w:rFonts w:ascii="Arial Narrow" w:eastAsia="Calibri" w:hAnsi="Arial Narrow"/>
          <w:b/>
          <w:sz w:val="22"/>
          <w:szCs w:val="22"/>
          <w:lang w:eastAsia="en-US"/>
        </w:rPr>
        <w:t xml:space="preserve">V rámci kategórie 630 Tovary a služby </w:t>
      </w:r>
      <w:r w:rsidRPr="00C65CAA">
        <w:rPr>
          <w:rFonts w:ascii="Arial Narrow" w:eastAsia="Calibri" w:hAnsi="Arial Narrow"/>
          <w:sz w:val="22"/>
          <w:szCs w:val="22"/>
          <w:lang w:eastAsia="en-US"/>
        </w:rPr>
        <w:t>došlo k medziročnému poklesu o</w:t>
      </w:r>
      <w:r w:rsidR="00BC2273" w:rsidRPr="00C65CAA">
        <w:rPr>
          <w:rFonts w:ascii="Arial Narrow" w:eastAsia="Calibri" w:hAnsi="Arial Narrow"/>
          <w:sz w:val="22"/>
          <w:szCs w:val="22"/>
          <w:lang w:eastAsia="en-US"/>
        </w:rPr>
        <w:t> 506 tis. eur na úroveň 282 325 </w:t>
      </w:r>
      <w:r w:rsidRPr="00C65CAA">
        <w:rPr>
          <w:rFonts w:ascii="Arial Narrow" w:eastAsia="Calibri" w:hAnsi="Arial Narrow"/>
          <w:sz w:val="22"/>
          <w:szCs w:val="22"/>
          <w:lang w:eastAsia="en-US"/>
        </w:rPr>
        <w:t>tis. eur. Pre porovnanie očakávané čerpanie za rok 2018 je v objeme 307 822 tis. eur a</w:t>
      </w:r>
      <w:r w:rsidR="00AA0A1F" w:rsidRPr="00C65CAA">
        <w:rPr>
          <w:rFonts w:ascii="Arial Narrow" w:eastAsia="Calibri" w:hAnsi="Arial Narrow"/>
          <w:sz w:val="22"/>
          <w:szCs w:val="22"/>
          <w:lang w:eastAsia="en-US"/>
        </w:rPr>
        <w:t> </w:t>
      </w:r>
      <w:r w:rsidRPr="00C65CAA">
        <w:rPr>
          <w:rFonts w:ascii="Arial Narrow" w:eastAsia="Calibri" w:hAnsi="Arial Narrow"/>
          <w:sz w:val="22"/>
          <w:szCs w:val="22"/>
          <w:lang w:eastAsia="en-US"/>
        </w:rPr>
        <w:t>ukazuje</w:t>
      </w:r>
      <w:r w:rsidR="00AA0A1F" w:rsidRPr="00C65CAA">
        <w:rPr>
          <w:rFonts w:ascii="Arial Narrow" w:eastAsia="Calibri" w:hAnsi="Arial Narrow"/>
          <w:sz w:val="22"/>
          <w:szCs w:val="22"/>
          <w:lang w:eastAsia="en-US"/>
        </w:rPr>
        <w:t>, že roz</w:t>
      </w:r>
      <w:r w:rsidR="00876878" w:rsidRPr="00C65CAA">
        <w:rPr>
          <w:rFonts w:ascii="Arial Narrow" w:eastAsia="Calibri" w:hAnsi="Arial Narrow"/>
          <w:sz w:val="22"/>
          <w:szCs w:val="22"/>
          <w:lang w:eastAsia="en-US"/>
        </w:rPr>
        <w:t>počtovanie</w:t>
      </w:r>
      <w:r w:rsidRPr="00C65CAA">
        <w:rPr>
          <w:rFonts w:ascii="Arial Narrow" w:eastAsia="Calibri" w:hAnsi="Arial Narrow"/>
          <w:sz w:val="22"/>
          <w:szCs w:val="22"/>
          <w:lang w:eastAsia="en-US"/>
        </w:rPr>
        <w:t xml:space="preserve"> výdavkov je v tejto oblasti nedostatočné. Navrhovaný rozpočet výdavkov </w:t>
      </w:r>
      <w:r w:rsidR="00BC2273" w:rsidRPr="00C65CAA">
        <w:rPr>
          <w:rFonts w:ascii="Arial Narrow" w:eastAsia="Calibri" w:hAnsi="Arial Narrow"/>
          <w:sz w:val="22"/>
          <w:szCs w:val="22"/>
          <w:lang w:eastAsia="en-US"/>
        </w:rPr>
        <w:t>kategórie energia, voda</w:t>
      </w:r>
      <w:r w:rsidRPr="00C65CAA">
        <w:rPr>
          <w:rFonts w:ascii="Arial Narrow" w:eastAsia="Calibri" w:hAnsi="Arial Narrow"/>
          <w:sz w:val="22"/>
          <w:szCs w:val="22"/>
          <w:lang w:eastAsia="en-US"/>
        </w:rPr>
        <w:t xml:space="preserve"> a komun</w:t>
      </w:r>
      <w:r w:rsidR="00AA0A1F" w:rsidRPr="00C65CAA">
        <w:rPr>
          <w:rFonts w:ascii="Arial Narrow" w:eastAsia="Calibri" w:hAnsi="Arial Narrow"/>
          <w:sz w:val="22"/>
          <w:szCs w:val="22"/>
          <w:lang w:eastAsia="en-US"/>
        </w:rPr>
        <w:t>ikácia v objeme 48 548 tis. eur</w:t>
      </w:r>
      <w:r w:rsidRPr="00C65CAA">
        <w:rPr>
          <w:rFonts w:ascii="Arial Narrow" w:eastAsia="Calibri" w:hAnsi="Arial Narrow"/>
          <w:sz w:val="22"/>
          <w:szCs w:val="22"/>
          <w:lang w:eastAsia="en-US"/>
        </w:rPr>
        <w:t xml:space="preserve"> nekorešponduje s plánovaným zvýšením cien</w:t>
      </w:r>
      <w:r w:rsidR="00AA0A1F" w:rsidRPr="00C65CAA">
        <w:rPr>
          <w:rFonts w:ascii="Arial Narrow" w:eastAsia="Calibri" w:hAnsi="Arial Narrow"/>
          <w:sz w:val="22"/>
          <w:szCs w:val="22"/>
          <w:lang w:eastAsia="en-US"/>
        </w:rPr>
        <w:t xml:space="preserve"> energií v budúcom roku. Ku dňu  22. októbra </w:t>
      </w:r>
      <w:r w:rsidRPr="00C65CAA">
        <w:rPr>
          <w:rFonts w:ascii="Arial Narrow" w:eastAsia="Calibri" w:hAnsi="Arial Narrow"/>
          <w:sz w:val="22"/>
          <w:szCs w:val="22"/>
          <w:lang w:eastAsia="en-US"/>
        </w:rPr>
        <w:t xml:space="preserve">2018 predstavovali výdavky rezortu v tejto oblasti úroveň 43 850 tis. eur. </w:t>
      </w:r>
    </w:p>
    <w:p w:rsidR="00350EAD" w:rsidRPr="00C65CAA" w:rsidRDefault="00350EAD" w:rsidP="00256AF8">
      <w:pPr>
        <w:spacing w:before="100" w:after="100"/>
        <w:ind w:firstLine="708"/>
        <w:jc w:val="both"/>
        <w:rPr>
          <w:rFonts w:ascii="Arial Narrow" w:hAnsi="Arial Narrow"/>
          <w:sz w:val="22"/>
          <w:szCs w:val="22"/>
        </w:rPr>
      </w:pPr>
      <w:r w:rsidRPr="00C65CAA">
        <w:rPr>
          <w:rFonts w:ascii="Arial Narrow" w:hAnsi="Arial Narrow"/>
          <w:b/>
          <w:sz w:val="22"/>
          <w:szCs w:val="22"/>
        </w:rPr>
        <w:t>V programe Efektívna a spoľahlivá štátna</w:t>
      </w:r>
      <w:r w:rsidRPr="00C65CAA">
        <w:rPr>
          <w:rFonts w:ascii="Arial Narrow" w:hAnsi="Arial Narrow"/>
          <w:sz w:val="22"/>
          <w:szCs w:val="22"/>
        </w:rPr>
        <w:t xml:space="preserve"> správa došlo v medziročnom porovnaní k rastu výdavkov o 53 966 tis. eur oproti RVS 2018. Najväčší nárast zaznamenala Ochrana verejného poriadku o 30 547 tis. eur, a záchranné zložky o 5 388 tis. eur. Mierny nárast výdavkov zaznamenala aj správa okresných úradov</w:t>
      </w:r>
      <w:r w:rsidR="005A6644" w:rsidRPr="00C65CAA">
        <w:rPr>
          <w:rFonts w:ascii="Arial Narrow" w:hAnsi="Arial Narrow"/>
          <w:sz w:val="22"/>
          <w:szCs w:val="22"/>
        </w:rPr>
        <w:t>,</w:t>
      </w:r>
      <w:r w:rsidRPr="00C65CAA">
        <w:rPr>
          <w:rFonts w:ascii="Arial Narrow" w:hAnsi="Arial Narrow"/>
          <w:sz w:val="22"/>
          <w:szCs w:val="22"/>
        </w:rPr>
        <w:t xml:space="preserve"> medziročne ide o 4 829 tis. eur oproti RVS 2018. Determinujúcim faktorom je rast mzdových a odvodových výdavkov. </w:t>
      </w:r>
      <w:r w:rsidR="00A724D0" w:rsidRPr="00C65CAA">
        <w:rPr>
          <w:rFonts w:ascii="Arial Narrow" w:hAnsi="Arial Narrow"/>
          <w:sz w:val="22"/>
          <w:szCs w:val="22"/>
        </w:rPr>
        <w:t>M</w:t>
      </w:r>
      <w:r w:rsidRPr="00C65CAA">
        <w:rPr>
          <w:rFonts w:ascii="Arial Narrow" w:hAnsi="Arial Narrow"/>
          <w:sz w:val="22"/>
          <w:szCs w:val="22"/>
        </w:rPr>
        <w:t>edziročne najrýchlejšie rastú</w:t>
      </w:r>
      <w:r w:rsidR="001A1E46">
        <w:rPr>
          <w:rFonts w:ascii="Arial Narrow" w:hAnsi="Arial Narrow"/>
          <w:sz w:val="22"/>
          <w:szCs w:val="22"/>
        </w:rPr>
        <w:t xml:space="preserve"> mzdové prostriedky</w:t>
      </w:r>
      <w:r w:rsidRPr="00C65CAA">
        <w:rPr>
          <w:rFonts w:ascii="Arial Narrow" w:hAnsi="Arial Narrow"/>
          <w:sz w:val="22"/>
          <w:szCs w:val="22"/>
        </w:rPr>
        <w:t xml:space="preserve"> pracovníkom okresných úradov o 5,0 %, až potom nasledujú</w:t>
      </w:r>
      <w:r w:rsidR="00090281" w:rsidRPr="00C65CAA">
        <w:rPr>
          <w:rFonts w:ascii="Arial Narrow" w:hAnsi="Arial Narrow"/>
          <w:sz w:val="22"/>
          <w:szCs w:val="22"/>
        </w:rPr>
        <w:t xml:space="preserve"> </w:t>
      </w:r>
      <w:r w:rsidR="00090281" w:rsidRPr="00C65CAA">
        <w:rPr>
          <w:rFonts w:ascii="Arial Narrow" w:hAnsi="Arial Narrow"/>
          <w:sz w:val="22"/>
          <w:szCs w:val="22"/>
        </w:rPr>
        <w:lastRenderedPageBreak/>
        <w:t>policajti a hasiči s rastom 4,8</w:t>
      </w:r>
      <w:r w:rsidRPr="00C65CAA">
        <w:rPr>
          <w:rFonts w:ascii="Arial Narrow" w:hAnsi="Arial Narrow"/>
          <w:sz w:val="22"/>
          <w:szCs w:val="22"/>
        </w:rPr>
        <w:t xml:space="preserve"> %. V rozpočte nie je premietnuté avizované zvýšenie miezd v priemere o</w:t>
      </w:r>
      <w:r w:rsidR="005A6644" w:rsidRPr="00C65CAA">
        <w:rPr>
          <w:rFonts w:ascii="Arial Narrow" w:hAnsi="Arial Narrow"/>
          <w:sz w:val="22"/>
          <w:szCs w:val="22"/>
        </w:rPr>
        <w:t> </w:t>
      </w:r>
      <w:r w:rsidRPr="00C65CAA">
        <w:rPr>
          <w:rFonts w:ascii="Arial Narrow" w:hAnsi="Arial Narrow"/>
          <w:sz w:val="22"/>
          <w:szCs w:val="22"/>
        </w:rPr>
        <w:t>10</w:t>
      </w:r>
      <w:r w:rsidR="005A6644" w:rsidRPr="00C65CAA">
        <w:rPr>
          <w:rFonts w:ascii="Arial Narrow" w:hAnsi="Arial Narrow"/>
          <w:sz w:val="22"/>
          <w:szCs w:val="22"/>
        </w:rPr>
        <w:t xml:space="preserve"> </w:t>
      </w:r>
      <w:r w:rsidRPr="00C65CAA">
        <w:rPr>
          <w:rFonts w:ascii="Arial Narrow" w:hAnsi="Arial Narrow"/>
          <w:sz w:val="22"/>
          <w:szCs w:val="22"/>
        </w:rPr>
        <w:t>% vo verejnej a štátnej správe. Prostriedky na krytie týchto výdavkov sú alok</w:t>
      </w:r>
      <w:r w:rsidR="00BC2273" w:rsidRPr="00C65CAA">
        <w:rPr>
          <w:rFonts w:ascii="Arial Narrow" w:hAnsi="Arial Narrow"/>
          <w:sz w:val="22"/>
          <w:szCs w:val="22"/>
        </w:rPr>
        <w:t xml:space="preserve">ované ako rezerva vo VPS. </w:t>
      </w:r>
    </w:p>
    <w:p w:rsidR="005A6644" w:rsidRPr="00C65CAA" w:rsidRDefault="00EC79A1" w:rsidP="00256AF8">
      <w:pPr>
        <w:spacing w:before="100" w:after="100"/>
        <w:ind w:firstLine="709"/>
        <w:jc w:val="both"/>
        <w:rPr>
          <w:rFonts w:ascii="Arial Narrow" w:hAnsi="Arial Narrow"/>
          <w:sz w:val="22"/>
          <w:szCs w:val="22"/>
        </w:rPr>
      </w:pPr>
      <w:r w:rsidRPr="00C65CAA">
        <w:rPr>
          <w:rFonts w:ascii="Arial Narrow" w:hAnsi="Arial Narrow"/>
          <w:b/>
          <w:sz w:val="22"/>
          <w:szCs w:val="22"/>
        </w:rPr>
        <w:t>Pokles príslušníkov Policajného zboru SR sa nedarí zastaviť,</w:t>
      </w:r>
      <w:r w:rsidRPr="00C65CAA">
        <w:rPr>
          <w:rFonts w:ascii="Arial Narrow" w:hAnsi="Arial Narrow"/>
          <w:sz w:val="22"/>
          <w:szCs w:val="22"/>
        </w:rPr>
        <w:t xml:space="preserve"> kým v roku 2016 pracovalo v rezorte celkovo 49 052 zamestnancov, v ro</w:t>
      </w:r>
      <w:r w:rsidR="005A6644" w:rsidRPr="00C65CAA">
        <w:rPr>
          <w:rFonts w:ascii="Arial Narrow" w:hAnsi="Arial Narrow"/>
          <w:sz w:val="22"/>
          <w:szCs w:val="22"/>
        </w:rPr>
        <w:t xml:space="preserve">ku 2017 to bolo 48 780 a za 3. štvrťrok </w:t>
      </w:r>
      <w:r w:rsidRPr="00C65CAA">
        <w:rPr>
          <w:rFonts w:ascii="Arial Narrow" w:hAnsi="Arial Narrow"/>
          <w:sz w:val="22"/>
          <w:szCs w:val="22"/>
        </w:rPr>
        <w:t xml:space="preserve">2018 vykázalo ministerstvo mierny pokles na </w:t>
      </w:r>
      <w:r w:rsidRPr="00C65CAA">
        <w:rPr>
          <w:rFonts w:ascii="Arial Narrow" w:hAnsi="Arial Narrow"/>
          <w:color w:val="000000"/>
          <w:sz w:val="22"/>
          <w:szCs w:val="22"/>
        </w:rPr>
        <w:t xml:space="preserve">48 726 </w:t>
      </w:r>
      <w:r w:rsidR="005A6644" w:rsidRPr="00C65CAA">
        <w:rPr>
          <w:rFonts w:ascii="Arial Narrow" w:hAnsi="Arial Narrow"/>
          <w:color w:val="000000"/>
          <w:sz w:val="22"/>
          <w:szCs w:val="22"/>
        </w:rPr>
        <w:t>zamestnancov</w:t>
      </w:r>
      <w:r w:rsidRPr="00C65CAA">
        <w:rPr>
          <w:rFonts w:ascii="Arial Narrow" w:hAnsi="Arial Narrow"/>
          <w:color w:val="000000"/>
          <w:sz w:val="22"/>
          <w:szCs w:val="22"/>
        </w:rPr>
        <w:t xml:space="preserve">. Záväzný limit na rok 2019 je 52 212 </w:t>
      </w:r>
      <w:r w:rsidR="005A6644" w:rsidRPr="00C65CAA">
        <w:rPr>
          <w:rFonts w:ascii="Arial Narrow" w:hAnsi="Arial Narrow"/>
          <w:color w:val="000000"/>
          <w:sz w:val="22"/>
          <w:szCs w:val="22"/>
        </w:rPr>
        <w:t>zamestnancov</w:t>
      </w:r>
      <w:r w:rsidRPr="00C65CAA">
        <w:rPr>
          <w:rFonts w:ascii="Arial Narrow" w:hAnsi="Arial Narrow"/>
          <w:color w:val="000000"/>
          <w:sz w:val="22"/>
          <w:szCs w:val="22"/>
        </w:rPr>
        <w:t>. Pokračuj</w:t>
      </w:r>
      <w:r w:rsidR="00A724D0" w:rsidRPr="00C65CAA">
        <w:rPr>
          <w:rFonts w:ascii="Arial Narrow" w:hAnsi="Arial Narrow"/>
          <w:color w:val="000000"/>
          <w:sz w:val="22"/>
          <w:szCs w:val="22"/>
        </w:rPr>
        <w:t>e trend poklesu policajtov v PZ.</w:t>
      </w:r>
      <w:r w:rsidRPr="00C65CAA">
        <w:rPr>
          <w:rFonts w:ascii="Arial Narrow" w:hAnsi="Arial Narrow"/>
          <w:color w:val="000000"/>
          <w:sz w:val="22"/>
          <w:szCs w:val="22"/>
        </w:rPr>
        <w:t xml:space="preserve"> </w:t>
      </w:r>
      <w:r w:rsidR="00A724D0" w:rsidRPr="00C65CAA">
        <w:rPr>
          <w:rFonts w:ascii="Arial Narrow" w:hAnsi="Arial Narrow"/>
          <w:color w:val="000000"/>
          <w:sz w:val="22"/>
          <w:szCs w:val="22"/>
        </w:rPr>
        <w:t>N</w:t>
      </w:r>
      <w:r w:rsidRPr="00C65CAA">
        <w:rPr>
          <w:rFonts w:ascii="Arial Narrow" w:hAnsi="Arial Narrow"/>
          <w:color w:val="000000"/>
          <w:sz w:val="22"/>
          <w:szCs w:val="22"/>
        </w:rPr>
        <w:t>apriek navýšeniu mzdových prostriedkov kapitoly, sa v</w:t>
      </w:r>
      <w:r w:rsidR="005A6644" w:rsidRPr="00C65CAA">
        <w:rPr>
          <w:rFonts w:ascii="Arial Narrow" w:hAnsi="Arial Narrow"/>
          <w:color w:val="000000"/>
          <w:sz w:val="22"/>
          <w:szCs w:val="22"/>
        </w:rPr>
        <w:t xml:space="preserve"> </w:t>
      </w:r>
      <w:r w:rsidR="005A6644" w:rsidRPr="00C65CAA">
        <w:rPr>
          <w:rFonts w:ascii="Arial Narrow" w:hAnsi="Arial Narrow"/>
          <w:sz w:val="22"/>
          <w:szCs w:val="22"/>
        </w:rPr>
        <w:t xml:space="preserve">3. štvrťroku </w:t>
      </w:r>
      <w:r w:rsidRPr="00C65CAA">
        <w:rPr>
          <w:rFonts w:ascii="Arial Narrow" w:hAnsi="Arial Narrow"/>
          <w:color w:val="000000"/>
          <w:sz w:val="22"/>
          <w:szCs w:val="22"/>
        </w:rPr>
        <w:t xml:space="preserve">2018 znížil počet policajtov o 261 v porovnaní so stavom v roku 2016. Tento trend je v rozpore s </w:t>
      </w:r>
      <w:r w:rsidR="00171A05" w:rsidRPr="00C65CAA">
        <w:rPr>
          <w:rFonts w:ascii="Arial Narrow" w:hAnsi="Arial Narrow"/>
          <w:sz w:val="22"/>
          <w:szCs w:val="22"/>
        </w:rPr>
        <w:t>u</w:t>
      </w:r>
      <w:r w:rsidRPr="00C65CAA">
        <w:rPr>
          <w:rFonts w:ascii="Arial Narrow" w:hAnsi="Arial Narrow"/>
          <w:sz w:val="22"/>
          <w:szCs w:val="22"/>
        </w:rPr>
        <w:t xml:space="preserve">znesením vlády SR č. 600/2015 k návrhu </w:t>
      </w:r>
      <w:r w:rsidR="00A724D0" w:rsidRPr="00C65CAA">
        <w:rPr>
          <w:rFonts w:ascii="Arial Narrow" w:hAnsi="Arial Narrow"/>
          <w:sz w:val="22"/>
          <w:szCs w:val="22"/>
        </w:rPr>
        <w:t>na zvýšenie počtu príslušníkov PZ a miest</w:t>
      </w:r>
      <w:r w:rsidRPr="00C65CAA">
        <w:rPr>
          <w:rFonts w:ascii="Arial Narrow" w:hAnsi="Arial Narrow"/>
          <w:sz w:val="22"/>
          <w:szCs w:val="22"/>
        </w:rPr>
        <w:t xml:space="preserve"> </w:t>
      </w:r>
      <w:r w:rsidR="005A6644" w:rsidRPr="00C65CAA">
        <w:rPr>
          <w:rFonts w:ascii="Arial Narrow" w:hAnsi="Arial Narrow"/>
          <w:sz w:val="22"/>
          <w:szCs w:val="22"/>
        </w:rPr>
        <w:t>zame</w:t>
      </w:r>
      <w:r w:rsidRPr="00C65CAA">
        <w:rPr>
          <w:rFonts w:ascii="Arial Narrow" w:hAnsi="Arial Narrow"/>
          <w:sz w:val="22"/>
          <w:szCs w:val="22"/>
        </w:rPr>
        <w:t>stnancov MV SR</w:t>
      </w:r>
      <w:r w:rsidR="00A724D0" w:rsidRPr="00C65CAA">
        <w:rPr>
          <w:rFonts w:ascii="Arial Narrow" w:hAnsi="Arial Narrow"/>
          <w:sz w:val="22"/>
          <w:szCs w:val="22"/>
        </w:rPr>
        <w:t xml:space="preserve">. </w:t>
      </w:r>
      <w:r w:rsidRPr="00C65CAA">
        <w:rPr>
          <w:rFonts w:ascii="Arial Narrow" w:hAnsi="Arial Narrow"/>
          <w:sz w:val="22"/>
          <w:szCs w:val="22"/>
        </w:rPr>
        <w:t xml:space="preserve">Na základe toho ministerstvo každoročne žiada o navýšenie mzdových prostriedkov, pričom počet policajtov v skutočnosti klesá. Počet </w:t>
      </w:r>
      <w:r w:rsidR="005A6644" w:rsidRPr="00C65CAA">
        <w:rPr>
          <w:rFonts w:ascii="Arial Narrow" w:hAnsi="Arial Narrow"/>
          <w:sz w:val="22"/>
          <w:szCs w:val="22"/>
        </w:rPr>
        <w:t>zamestnancov</w:t>
      </w:r>
      <w:r w:rsidRPr="00C65CAA">
        <w:rPr>
          <w:rFonts w:ascii="Arial Narrow" w:hAnsi="Arial Narrow"/>
          <w:sz w:val="22"/>
          <w:szCs w:val="22"/>
        </w:rPr>
        <w:t xml:space="preserve"> rastie iba v</w:t>
      </w:r>
      <w:r w:rsidR="005A6644" w:rsidRPr="00C65CAA">
        <w:rPr>
          <w:rFonts w:ascii="Arial Narrow" w:hAnsi="Arial Narrow"/>
          <w:sz w:val="22"/>
          <w:szCs w:val="22"/>
        </w:rPr>
        <w:t> </w:t>
      </w:r>
      <w:r w:rsidRPr="00C65CAA">
        <w:rPr>
          <w:rFonts w:ascii="Arial Narrow" w:hAnsi="Arial Narrow"/>
          <w:sz w:val="22"/>
          <w:szCs w:val="22"/>
        </w:rPr>
        <w:t>H</w:t>
      </w:r>
      <w:r w:rsidR="005A6644" w:rsidRPr="00C65CAA">
        <w:rPr>
          <w:rFonts w:ascii="Arial Narrow" w:hAnsi="Arial Narrow"/>
          <w:sz w:val="22"/>
          <w:szCs w:val="22"/>
        </w:rPr>
        <w:t xml:space="preserve">asičskom a záchrannom zbore. </w:t>
      </w:r>
    </w:p>
    <w:tbl>
      <w:tblPr>
        <w:tblStyle w:val="Mriekatabuky"/>
        <w:tblW w:w="50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0"/>
      </w:tblGrid>
      <w:tr w:rsidR="00350EAD" w:rsidRPr="00C65CAA" w:rsidTr="00FF178A">
        <w:trPr>
          <w:trHeight w:val="207"/>
        </w:trPr>
        <w:tc>
          <w:tcPr>
            <w:tcW w:w="5000" w:type="pct"/>
            <w:tcBorders>
              <w:top w:val="single" w:sz="4" w:space="0" w:color="auto"/>
              <w:bottom w:val="single" w:sz="4" w:space="0" w:color="auto"/>
            </w:tcBorders>
            <w:shd w:val="clear" w:color="auto" w:fill="0070C0"/>
          </w:tcPr>
          <w:p w:rsidR="00350EAD" w:rsidRPr="00C65CAA" w:rsidRDefault="00350EAD" w:rsidP="00C8633E">
            <w:pPr>
              <w:pStyle w:val="Bezriadkovania"/>
              <w:contextualSpacing/>
              <w:rPr>
                <w:rFonts w:ascii="Arial Narrow" w:hAnsi="Arial Narrow"/>
                <w:b/>
                <w:sz w:val="20"/>
                <w:szCs w:val="20"/>
              </w:rPr>
            </w:pPr>
            <w:r w:rsidRPr="00C65CAA">
              <w:rPr>
                <w:rFonts w:ascii="Arial Narrow" w:hAnsi="Arial Narrow"/>
                <w:b/>
                <w:color w:val="FFFFFF" w:themeColor="background1"/>
                <w:sz w:val="20"/>
                <w:szCs w:val="20"/>
              </w:rPr>
              <w:t xml:space="preserve">Vývoj počtu zamestnancov </w:t>
            </w:r>
            <w:r w:rsidR="001D2AD7" w:rsidRPr="00C65CAA">
              <w:rPr>
                <w:rFonts w:ascii="Arial Narrow" w:hAnsi="Arial Narrow"/>
                <w:b/>
                <w:color w:val="FFFFFF" w:themeColor="background1"/>
                <w:sz w:val="20"/>
                <w:szCs w:val="20"/>
              </w:rPr>
              <w:t xml:space="preserve">(v rokoch </w:t>
            </w:r>
            <w:r w:rsidRPr="00C65CAA">
              <w:rPr>
                <w:rFonts w:ascii="Arial Narrow" w:hAnsi="Arial Narrow"/>
                <w:b/>
                <w:color w:val="FFFFFF" w:themeColor="background1"/>
                <w:sz w:val="20"/>
                <w:szCs w:val="20"/>
              </w:rPr>
              <w:t xml:space="preserve">2016 </w:t>
            </w:r>
            <w:r w:rsidR="001D2AD7" w:rsidRPr="00C65CAA">
              <w:rPr>
                <w:rFonts w:ascii="Arial Narrow" w:hAnsi="Arial Narrow"/>
                <w:b/>
                <w:color w:val="FFFFFF" w:themeColor="background1"/>
                <w:sz w:val="20"/>
                <w:szCs w:val="20"/>
              </w:rPr>
              <w:t>, 2017 a</w:t>
            </w:r>
            <w:r w:rsidRPr="00C65CAA">
              <w:rPr>
                <w:rFonts w:ascii="Arial Narrow" w:hAnsi="Arial Narrow"/>
                <w:b/>
                <w:color w:val="FFFFFF" w:themeColor="background1"/>
                <w:sz w:val="20"/>
                <w:szCs w:val="20"/>
              </w:rPr>
              <w:t xml:space="preserve"> </w:t>
            </w:r>
            <w:r w:rsidR="001D2AD7" w:rsidRPr="00C65CAA">
              <w:rPr>
                <w:rFonts w:ascii="Arial Narrow" w:hAnsi="Arial Narrow"/>
                <w:b/>
                <w:color w:val="FFFFFF" w:themeColor="background1"/>
                <w:sz w:val="20"/>
                <w:szCs w:val="20"/>
              </w:rPr>
              <w:t>3</w:t>
            </w:r>
            <w:r w:rsidRPr="00C65CAA">
              <w:rPr>
                <w:rFonts w:ascii="Arial Narrow" w:hAnsi="Arial Narrow"/>
                <w:b/>
                <w:color w:val="FFFFFF" w:themeColor="background1"/>
                <w:sz w:val="20"/>
                <w:szCs w:val="20"/>
              </w:rPr>
              <w:t xml:space="preserve">. </w:t>
            </w:r>
            <w:r w:rsidR="001D2AD7" w:rsidRPr="00C65CAA">
              <w:rPr>
                <w:rFonts w:ascii="Arial Narrow" w:hAnsi="Arial Narrow"/>
                <w:b/>
                <w:color w:val="FFFFFF" w:themeColor="background1"/>
                <w:sz w:val="20"/>
                <w:szCs w:val="20"/>
              </w:rPr>
              <w:t xml:space="preserve">štvrťroku  </w:t>
            </w:r>
            <w:r w:rsidRPr="00C65CAA">
              <w:rPr>
                <w:rFonts w:ascii="Arial Narrow" w:hAnsi="Arial Narrow"/>
                <w:b/>
                <w:color w:val="FFFFFF" w:themeColor="background1"/>
                <w:sz w:val="20"/>
                <w:szCs w:val="20"/>
              </w:rPr>
              <w:t>2018</w:t>
            </w:r>
            <w:r w:rsidR="001D2AD7" w:rsidRPr="00C65CAA">
              <w:rPr>
                <w:rFonts w:ascii="Arial Narrow" w:hAnsi="Arial Narrow"/>
                <w:b/>
                <w:color w:val="FFFFFF" w:themeColor="background1"/>
                <w:sz w:val="20"/>
                <w:szCs w:val="20"/>
              </w:rPr>
              <w:t>)</w:t>
            </w:r>
          </w:p>
        </w:tc>
      </w:tr>
      <w:tr w:rsidR="00350EAD" w:rsidRPr="00C65CAA" w:rsidTr="00FF178A">
        <w:tblPrEx>
          <w:tblCellMar>
            <w:left w:w="70" w:type="dxa"/>
            <w:right w:w="70" w:type="dxa"/>
          </w:tblCellMar>
        </w:tblPrEx>
        <w:trPr>
          <w:trHeight w:val="2722"/>
        </w:trPr>
        <w:tc>
          <w:tcPr>
            <w:tcW w:w="5000" w:type="pct"/>
            <w:tcBorders>
              <w:top w:val="single" w:sz="4" w:space="0" w:color="auto"/>
              <w:bottom w:val="single" w:sz="4" w:space="0" w:color="auto"/>
            </w:tcBorders>
          </w:tcPr>
          <w:p w:rsidR="00350EAD" w:rsidRPr="00C65CAA" w:rsidRDefault="00350EAD" w:rsidP="00C8633E">
            <w:pPr>
              <w:pStyle w:val="Bezriadkovania"/>
              <w:contextualSpacing/>
              <w:rPr>
                <w:rFonts w:ascii="Arial Narrow" w:hAnsi="Arial Narrow"/>
              </w:rPr>
            </w:pPr>
            <w:r w:rsidRPr="00C65CAA">
              <w:rPr>
                <w:rFonts w:ascii="Arial Narrow" w:hAnsi="Arial Narrow"/>
                <w:noProof/>
                <w:lang w:eastAsia="sk-SK"/>
              </w:rPr>
              <w:drawing>
                <wp:inline distT="0" distB="0" distL="0" distR="0" wp14:anchorId="5E0DF508" wp14:editId="587E2D97">
                  <wp:extent cx="5580184" cy="1817077"/>
                  <wp:effectExtent l="0" t="0" r="1905" b="12065"/>
                  <wp:docPr id="9" name="Graf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rsidR="00350EAD" w:rsidRPr="00C65CAA" w:rsidRDefault="00350EAD" w:rsidP="00C8633E">
      <w:pPr>
        <w:spacing w:after="100"/>
        <w:jc w:val="both"/>
        <w:rPr>
          <w:rFonts w:ascii="Arial Narrow" w:hAnsi="Arial Narrow"/>
          <w:sz w:val="18"/>
          <w:szCs w:val="18"/>
        </w:rPr>
      </w:pPr>
      <w:r w:rsidRPr="00C65CAA">
        <w:rPr>
          <w:rFonts w:ascii="Arial Narrow" w:hAnsi="Arial Narrow"/>
          <w:sz w:val="18"/>
          <w:szCs w:val="18"/>
        </w:rPr>
        <w:t>Zdroj: MF SR, RIS,  Priemerný evidenčný počet zamestnancov (prepočítaný)  (r. 1 zo štatistického výkazu Práca 2-04)</w:t>
      </w:r>
    </w:p>
    <w:p w:rsidR="00350EAD" w:rsidRPr="00C65CAA" w:rsidRDefault="00350EAD" w:rsidP="00256AF8">
      <w:pPr>
        <w:spacing w:before="100" w:after="100"/>
        <w:ind w:firstLine="709"/>
        <w:jc w:val="both"/>
        <w:rPr>
          <w:rFonts w:ascii="Arial Narrow" w:eastAsia="Calibri" w:hAnsi="Arial Narrow"/>
          <w:sz w:val="22"/>
          <w:szCs w:val="22"/>
          <w:lang w:eastAsia="en-US"/>
        </w:rPr>
      </w:pPr>
      <w:r w:rsidRPr="00C65CAA">
        <w:rPr>
          <w:rFonts w:ascii="Arial Narrow" w:eastAsia="Calibri" w:hAnsi="Arial Narrow"/>
          <w:sz w:val="22"/>
          <w:szCs w:val="22"/>
          <w:lang w:eastAsia="en-US"/>
        </w:rPr>
        <w:t xml:space="preserve">V roku 2019 rozpočet výdavkov na mzdy je navrhovaný v objeme 790 824 </w:t>
      </w:r>
      <w:r w:rsidR="00A724D0" w:rsidRPr="00C65CAA">
        <w:rPr>
          <w:rFonts w:ascii="Arial Narrow" w:eastAsia="Calibri" w:hAnsi="Arial Narrow"/>
          <w:sz w:val="22"/>
          <w:szCs w:val="22"/>
          <w:lang w:eastAsia="en-US"/>
        </w:rPr>
        <w:t>tis. eur.</w:t>
      </w:r>
      <w:r w:rsidRPr="00C65CAA">
        <w:rPr>
          <w:rFonts w:ascii="Arial Narrow" w:eastAsia="Calibri" w:hAnsi="Arial Narrow"/>
          <w:sz w:val="22"/>
          <w:szCs w:val="22"/>
          <w:lang w:eastAsia="en-US"/>
        </w:rPr>
        <w:t xml:space="preserve"> </w:t>
      </w:r>
      <w:r w:rsidR="00A724D0" w:rsidRPr="00C65CAA">
        <w:rPr>
          <w:rFonts w:ascii="Arial Narrow" w:eastAsia="Calibri" w:hAnsi="Arial Narrow"/>
          <w:sz w:val="22"/>
          <w:szCs w:val="22"/>
          <w:lang w:eastAsia="en-US"/>
        </w:rPr>
        <w:t>J</w:t>
      </w:r>
      <w:r w:rsidRPr="00C65CAA">
        <w:rPr>
          <w:rFonts w:ascii="Arial Narrow" w:eastAsia="Calibri" w:hAnsi="Arial Narrow"/>
          <w:sz w:val="22"/>
          <w:szCs w:val="22"/>
          <w:lang w:eastAsia="en-US"/>
        </w:rPr>
        <w:t>e rozvrhnutý pr</w:t>
      </w:r>
      <w:r w:rsidR="005A6644" w:rsidRPr="00C65CAA">
        <w:rPr>
          <w:rFonts w:ascii="Arial Narrow" w:eastAsia="Calibri" w:hAnsi="Arial Narrow"/>
          <w:sz w:val="22"/>
          <w:szCs w:val="22"/>
          <w:lang w:eastAsia="en-US"/>
        </w:rPr>
        <w:t>e </w:t>
      </w:r>
      <w:r w:rsidR="006E7CA2" w:rsidRPr="00C65CAA">
        <w:rPr>
          <w:rFonts w:ascii="Arial Narrow" w:eastAsia="Calibri" w:hAnsi="Arial Narrow"/>
          <w:sz w:val="22"/>
          <w:szCs w:val="22"/>
          <w:lang w:eastAsia="en-US"/>
        </w:rPr>
        <w:t>52 212</w:t>
      </w:r>
      <w:r w:rsidR="00F26833" w:rsidRPr="00C65CAA">
        <w:rPr>
          <w:rFonts w:ascii="Arial Narrow" w:eastAsia="Calibri" w:hAnsi="Arial Narrow"/>
          <w:sz w:val="22"/>
          <w:szCs w:val="22"/>
          <w:lang w:eastAsia="en-US"/>
        </w:rPr>
        <w:t> plánovaných</w:t>
      </w:r>
      <w:r w:rsidR="00122345" w:rsidRPr="00C65CAA">
        <w:rPr>
          <w:rFonts w:ascii="Arial Narrow" w:eastAsia="Calibri" w:hAnsi="Arial Narrow"/>
          <w:sz w:val="22"/>
          <w:szCs w:val="22"/>
          <w:lang w:eastAsia="en-US"/>
        </w:rPr>
        <w:t> </w:t>
      </w:r>
      <w:r w:rsidRPr="00C65CAA">
        <w:rPr>
          <w:rFonts w:ascii="Arial Narrow" w:eastAsia="Calibri" w:hAnsi="Arial Narrow"/>
          <w:sz w:val="22"/>
          <w:szCs w:val="22"/>
          <w:lang w:eastAsia="en-US"/>
        </w:rPr>
        <w:t>zamestnancov rezortu, z toho 24 167 príslušníkov PZ. V skutočnosti je počet príslušníkov oveľa menší</w:t>
      </w:r>
      <w:r w:rsidR="005A6644" w:rsidRPr="00C65CAA">
        <w:rPr>
          <w:rFonts w:ascii="Arial Narrow" w:eastAsia="Calibri" w:hAnsi="Arial Narrow"/>
          <w:sz w:val="22"/>
          <w:szCs w:val="22"/>
          <w:lang w:eastAsia="en-US"/>
        </w:rPr>
        <w:t>,</w:t>
      </w:r>
      <w:r w:rsidR="00F26833" w:rsidRPr="00C65CAA">
        <w:rPr>
          <w:rFonts w:ascii="Arial Narrow" w:eastAsia="Calibri" w:hAnsi="Arial Narrow"/>
          <w:sz w:val="22"/>
          <w:szCs w:val="22"/>
          <w:lang w:eastAsia="en-US"/>
        </w:rPr>
        <w:t xml:space="preserve"> k 30. </w:t>
      </w:r>
      <w:r w:rsidRPr="00C65CAA">
        <w:rPr>
          <w:rFonts w:ascii="Arial Narrow" w:eastAsia="Calibri" w:hAnsi="Arial Narrow"/>
          <w:sz w:val="22"/>
          <w:szCs w:val="22"/>
          <w:lang w:eastAsia="en-US"/>
        </w:rPr>
        <w:t>9.</w:t>
      </w:r>
      <w:r w:rsidR="00F26833" w:rsidRPr="00C65CAA">
        <w:rPr>
          <w:rFonts w:ascii="Arial Narrow" w:eastAsia="Calibri" w:hAnsi="Arial Narrow"/>
          <w:sz w:val="22"/>
          <w:szCs w:val="22"/>
          <w:lang w:eastAsia="en-US"/>
        </w:rPr>
        <w:t xml:space="preserve"> </w:t>
      </w:r>
      <w:r w:rsidRPr="00C65CAA">
        <w:rPr>
          <w:rFonts w:ascii="Arial Narrow" w:eastAsia="Calibri" w:hAnsi="Arial Narrow"/>
          <w:sz w:val="22"/>
          <w:szCs w:val="22"/>
          <w:lang w:eastAsia="en-US"/>
        </w:rPr>
        <w:t>2018 ich bolo 21 683, to znamená o 2 484 menej. Od roku 2016 ich počet ne</w:t>
      </w:r>
      <w:r w:rsidR="00876878" w:rsidRPr="00C65CAA">
        <w:rPr>
          <w:rFonts w:ascii="Arial Narrow" w:eastAsia="Calibri" w:hAnsi="Arial Narrow"/>
          <w:sz w:val="22"/>
          <w:szCs w:val="22"/>
          <w:lang w:eastAsia="en-US"/>
        </w:rPr>
        <w:t xml:space="preserve">ustále klesá. Rezort nedokáže </w:t>
      </w:r>
      <w:r w:rsidRPr="00C65CAA">
        <w:rPr>
          <w:rFonts w:ascii="Arial Narrow" w:eastAsia="Calibri" w:hAnsi="Arial Narrow"/>
          <w:sz w:val="22"/>
          <w:szCs w:val="22"/>
          <w:lang w:eastAsia="en-US"/>
        </w:rPr>
        <w:t>stabilizovať situáciu v PZ aj napriek tomu, že disponuje rozpočtovanou</w:t>
      </w:r>
      <w:r w:rsidR="00122345" w:rsidRPr="00C65CAA">
        <w:rPr>
          <w:rFonts w:ascii="Arial Narrow" w:eastAsia="Calibri" w:hAnsi="Arial Narrow"/>
          <w:sz w:val="22"/>
          <w:szCs w:val="22"/>
          <w:lang w:eastAsia="en-US"/>
        </w:rPr>
        <w:t xml:space="preserve"> sumou pre neexistujúcich 2 485 </w:t>
      </w:r>
      <w:r w:rsidRPr="00C65CAA">
        <w:rPr>
          <w:rFonts w:ascii="Arial Narrow" w:eastAsia="Calibri" w:hAnsi="Arial Narrow"/>
          <w:sz w:val="22"/>
          <w:szCs w:val="22"/>
          <w:lang w:eastAsia="en-US"/>
        </w:rPr>
        <w:t xml:space="preserve">policajtov. </w:t>
      </w:r>
      <w:r w:rsidR="005A6644" w:rsidRPr="00C65CAA">
        <w:rPr>
          <w:rFonts w:ascii="Arial Narrow" w:eastAsia="Calibri" w:hAnsi="Arial Narrow"/>
          <w:sz w:val="22"/>
          <w:szCs w:val="22"/>
          <w:lang w:eastAsia="en-US"/>
        </w:rPr>
        <w:t>NKÚ</w:t>
      </w:r>
      <w:r w:rsidR="00122345" w:rsidRPr="00C65CAA">
        <w:rPr>
          <w:rFonts w:ascii="Arial Narrow" w:eastAsia="Calibri" w:hAnsi="Arial Narrow"/>
          <w:sz w:val="22"/>
          <w:szCs w:val="22"/>
          <w:lang w:eastAsia="en-US"/>
        </w:rPr>
        <w:t xml:space="preserve"> SR konštatuje</w:t>
      </w:r>
      <w:r w:rsidR="00F26833" w:rsidRPr="00C65CAA">
        <w:rPr>
          <w:rFonts w:ascii="Arial Narrow" w:eastAsia="Calibri" w:hAnsi="Arial Narrow"/>
          <w:sz w:val="22"/>
          <w:szCs w:val="22"/>
          <w:lang w:eastAsia="en-US"/>
        </w:rPr>
        <w:t>.</w:t>
      </w:r>
      <w:r w:rsidR="00122345" w:rsidRPr="00C65CAA">
        <w:rPr>
          <w:rFonts w:ascii="Arial Narrow" w:eastAsia="Calibri" w:hAnsi="Arial Narrow"/>
          <w:sz w:val="22"/>
          <w:szCs w:val="22"/>
          <w:lang w:eastAsia="en-US"/>
        </w:rPr>
        <w:t xml:space="preserve"> že </w:t>
      </w:r>
      <w:r w:rsidRPr="00C65CAA">
        <w:rPr>
          <w:rFonts w:ascii="Arial Narrow" w:eastAsia="Calibri" w:hAnsi="Arial Narrow"/>
          <w:sz w:val="22"/>
          <w:szCs w:val="22"/>
          <w:lang w:eastAsia="en-US"/>
        </w:rPr>
        <w:t>MV SR nemá dostatočne vypracovaný plán ako</w:t>
      </w:r>
      <w:r w:rsidR="00122345" w:rsidRPr="00C65CAA">
        <w:rPr>
          <w:rFonts w:ascii="Arial Narrow" w:eastAsia="Calibri" w:hAnsi="Arial Narrow"/>
          <w:sz w:val="22"/>
          <w:szCs w:val="22"/>
          <w:lang w:eastAsia="en-US"/>
        </w:rPr>
        <w:t xml:space="preserve"> stabilizovať </w:t>
      </w:r>
      <w:r w:rsidRPr="00C65CAA">
        <w:rPr>
          <w:rFonts w:ascii="Arial Narrow" w:eastAsia="Calibri" w:hAnsi="Arial Narrow"/>
          <w:sz w:val="22"/>
          <w:szCs w:val="22"/>
          <w:lang w:eastAsia="en-US"/>
        </w:rPr>
        <w:t xml:space="preserve">situáciu v PZ. </w:t>
      </w:r>
    </w:p>
    <w:p w:rsidR="00D23611" w:rsidRPr="00C65CAA" w:rsidRDefault="00D23611" w:rsidP="00256AF8">
      <w:pPr>
        <w:pStyle w:val="Nadpis3"/>
        <w:spacing w:before="100" w:after="100"/>
        <w:rPr>
          <w:szCs w:val="22"/>
        </w:rPr>
      </w:pPr>
      <w:bookmarkStart w:id="31" w:name="_Toc529507599"/>
      <w:r w:rsidRPr="00C65CAA">
        <w:rPr>
          <w:szCs w:val="22"/>
        </w:rPr>
        <w:t>Ministerstvo spravodlivosti SR</w:t>
      </w:r>
      <w:bookmarkEnd w:id="31"/>
    </w:p>
    <w:p w:rsidR="00DC61B9" w:rsidRPr="00C65CAA" w:rsidRDefault="00DC61B9" w:rsidP="00256AF8">
      <w:pPr>
        <w:spacing w:before="100" w:after="100"/>
        <w:ind w:firstLine="709"/>
        <w:jc w:val="both"/>
        <w:rPr>
          <w:rFonts w:ascii="Arial Narrow" w:hAnsi="Arial Narrow"/>
          <w:color w:val="000000"/>
          <w:sz w:val="22"/>
          <w:szCs w:val="22"/>
        </w:rPr>
      </w:pPr>
      <w:r w:rsidRPr="00C65CAA">
        <w:rPr>
          <w:rFonts w:ascii="Arial Narrow" w:hAnsi="Arial Narrow"/>
          <w:sz w:val="22"/>
          <w:szCs w:val="22"/>
        </w:rPr>
        <w:t xml:space="preserve">Rozpočet ministerstva sa skladá z oblastí: </w:t>
      </w:r>
      <w:r w:rsidRPr="00C65CAA">
        <w:rPr>
          <w:rFonts w:ascii="Arial Narrow" w:hAnsi="Arial Narrow"/>
          <w:color w:val="000000"/>
          <w:sz w:val="22"/>
          <w:szCs w:val="22"/>
        </w:rPr>
        <w:t>väzenstvo, súdnictvo, riadenie, kontrola a</w:t>
      </w:r>
      <w:r w:rsidR="00836773" w:rsidRPr="00C65CAA">
        <w:rPr>
          <w:rFonts w:ascii="Arial Narrow" w:hAnsi="Arial Narrow"/>
          <w:color w:val="000000"/>
          <w:sz w:val="22"/>
          <w:szCs w:val="22"/>
        </w:rPr>
        <w:t> </w:t>
      </w:r>
      <w:r w:rsidRPr="00C65CAA">
        <w:rPr>
          <w:rFonts w:ascii="Arial Narrow" w:hAnsi="Arial Narrow"/>
          <w:color w:val="000000"/>
          <w:sz w:val="22"/>
          <w:szCs w:val="22"/>
        </w:rPr>
        <w:t>podpora</w:t>
      </w:r>
      <w:r w:rsidR="00836773" w:rsidRPr="00C65CAA">
        <w:rPr>
          <w:rFonts w:ascii="Arial Narrow" w:hAnsi="Arial Narrow"/>
          <w:color w:val="000000"/>
          <w:sz w:val="22"/>
          <w:szCs w:val="22"/>
        </w:rPr>
        <w:t>,</w:t>
      </w:r>
      <w:r w:rsidRPr="00C65CAA">
        <w:rPr>
          <w:rFonts w:ascii="Arial Narrow" w:hAnsi="Arial Narrow"/>
          <w:color w:val="000000"/>
          <w:sz w:val="22"/>
          <w:szCs w:val="22"/>
        </w:rPr>
        <w:t xml:space="preserve"> a medzirezortné programy.</w:t>
      </w:r>
    </w:p>
    <w:tbl>
      <w:tblPr>
        <w:tblStyle w:val="Mriekatabuky"/>
        <w:tblW w:w="931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11"/>
      </w:tblGrid>
      <w:tr w:rsidR="00DC61B9" w:rsidRPr="00C65CAA" w:rsidTr="00DC61B9">
        <w:tc>
          <w:tcPr>
            <w:tcW w:w="9311" w:type="dxa"/>
            <w:shd w:val="clear" w:color="auto" w:fill="0070C0"/>
          </w:tcPr>
          <w:p w:rsidR="00DC61B9" w:rsidRPr="00C65CAA" w:rsidRDefault="00DC61B9" w:rsidP="00C8633E">
            <w:pPr>
              <w:jc w:val="both"/>
              <w:rPr>
                <w:rFonts w:ascii="Arial Narrow" w:hAnsi="Arial Narrow"/>
                <w:color w:val="FFFFFF" w:themeColor="background1"/>
              </w:rPr>
            </w:pPr>
            <w:r w:rsidRPr="00C65CAA">
              <w:rPr>
                <w:rFonts w:ascii="Arial Narrow" w:hAnsi="Arial Narrow"/>
                <w:color w:val="FFFFFF" w:themeColor="background1"/>
              </w:rPr>
              <w:t>Oblasti alokovaných výdavkov (v tis. eur)</w:t>
            </w:r>
          </w:p>
        </w:tc>
      </w:tr>
      <w:tr w:rsidR="00DC61B9" w:rsidRPr="00C65CAA" w:rsidTr="00DC61B9">
        <w:tc>
          <w:tcPr>
            <w:tcW w:w="9311" w:type="dxa"/>
          </w:tcPr>
          <w:p w:rsidR="00DC61B9" w:rsidRPr="00C65CAA" w:rsidRDefault="00DC61B9" w:rsidP="00C8633E">
            <w:pPr>
              <w:rPr>
                <w:rFonts w:ascii="Arial Narrow" w:hAnsi="Arial Narrow"/>
              </w:rPr>
            </w:pPr>
            <w:r w:rsidRPr="00C65CAA">
              <w:rPr>
                <w:rFonts w:ascii="Arial Narrow" w:hAnsi="Arial Narrow"/>
                <w:noProof/>
              </w:rPr>
              <w:drawing>
                <wp:inline distT="0" distB="0" distL="0" distR="0" wp14:anchorId="7BA7D317" wp14:editId="705A265E">
                  <wp:extent cx="5760000" cy="1080000"/>
                  <wp:effectExtent l="0" t="0" r="0" b="6350"/>
                  <wp:docPr id="24" name="Graf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rsidR="00DC61B9" w:rsidRPr="00C65CAA" w:rsidRDefault="00DC61B9" w:rsidP="00C8633E">
      <w:pPr>
        <w:spacing w:after="100"/>
        <w:jc w:val="both"/>
        <w:rPr>
          <w:rFonts w:ascii="Arial Narrow" w:hAnsi="Arial Narrow"/>
          <w:sz w:val="20"/>
          <w:szCs w:val="20"/>
        </w:rPr>
      </w:pPr>
      <w:r w:rsidRPr="00C65CAA">
        <w:rPr>
          <w:rFonts w:ascii="Arial Narrow" w:hAnsi="Arial Narrow"/>
          <w:sz w:val="20"/>
          <w:szCs w:val="20"/>
        </w:rPr>
        <w:t>Zdroj: Návrh RVS na roky 2019 až 2021</w:t>
      </w:r>
    </w:p>
    <w:p w:rsidR="00350EAD" w:rsidRPr="00C65CAA" w:rsidRDefault="00350EAD" w:rsidP="00256AF8">
      <w:pPr>
        <w:autoSpaceDE w:val="0"/>
        <w:autoSpaceDN w:val="0"/>
        <w:adjustRightInd w:val="0"/>
        <w:spacing w:before="100" w:after="100"/>
        <w:ind w:firstLine="708"/>
        <w:jc w:val="both"/>
        <w:rPr>
          <w:rFonts w:ascii="Arial Narrow" w:eastAsia="Calibri" w:hAnsi="Arial Narrow"/>
          <w:color w:val="000000"/>
          <w:sz w:val="22"/>
          <w:szCs w:val="22"/>
          <w:lang w:eastAsia="en-US"/>
        </w:rPr>
      </w:pPr>
      <w:r w:rsidRPr="00C65CAA">
        <w:rPr>
          <w:rFonts w:ascii="Arial Narrow" w:eastAsia="Calibri" w:hAnsi="Arial Narrow"/>
          <w:color w:val="000000"/>
          <w:sz w:val="22"/>
          <w:szCs w:val="22"/>
          <w:lang w:eastAsia="en-US"/>
        </w:rPr>
        <w:t>Návrh rozpočtu ráta s celkovými výdavkami rezortu v objeme 439 506 tis. eur. Oproti predchádzajúcemu roku došlo k posilneniu rozpočtu o 9,87 %, t. j. o 39 500 tis. eur. Jediný pokles zaznamenala kategória bežné transfery</w:t>
      </w:r>
      <w:r w:rsidR="00122345" w:rsidRPr="00C65CAA">
        <w:rPr>
          <w:rFonts w:ascii="Arial Narrow" w:eastAsia="Calibri" w:hAnsi="Arial Narrow"/>
          <w:color w:val="000000"/>
          <w:sz w:val="22"/>
          <w:szCs w:val="22"/>
          <w:lang w:eastAsia="en-US"/>
        </w:rPr>
        <w:t xml:space="preserve"> o 4 958 tis. eur, pokles je</w:t>
      </w:r>
      <w:r w:rsidRPr="00C65CAA">
        <w:rPr>
          <w:rFonts w:ascii="Arial Narrow" w:eastAsia="Calibri" w:hAnsi="Arial Narrow"/>
          <w:color w:val="000000"/>
          <w:sz w:val="22"/>
          <w:szCs w:val="22"/>
          <w:lang w:eastAsia="en-US"/>
        </w:rPr>
        <w:t xml:space="preserve"> spôsobený zmenou účtovania výdavkov na Centrum právnej pomoci. Všetky ostatné kategórie rastú</w:t>
      </w:r>
      <w:r w:rsidR="00122345" w:rsidRPr="00C65CAA">
        <w:rPr>
          <w:rFonts w:ascii="Arial Narrow" w:eastAsia="Calibri" w:hAnsi="Arial Narrow"/>
          <w:color w:val="000000"/>
          <w:sz w:val="22"/>
          <w:szCs w:val="22"/>
          <w:lang w:eastAsia="en-US"/>
        </w:rPr>
        <w:t xml:space="preserve">, </w:t>
      </w:r>
      <w:r w:rsidRPr="00C65CAA">
        <w:rPr>
          <w:rFonts w:ascii="Arial Narrow" w:eastAsia="Calibri" w:hAnsi="Arial Narrow"/>
          <w:color w:val="000000"/>
          <w:sz w:val="22"/>
          <w:szCs w:val="22"/>
          <w:lang w:eastAsia="en-US"/>
        </w:rPr>
        <w:t>pričom najrýchlejšie</w:t>
      </w:r>
      <w:r w:rsidR="00122345" w:rsidRPr="00C65CAA">
        <w:rPr>
          <w:rFonts w:ascii="Arial Narrow" w:eastAsia="Calibri" w:hAnsi="Arial Narrow"/>
          <w:color w:val="000000"/>
          <w:sz w:val="22"/>
          <w:szCs w:val="22"/>
          <w:lang w:eastAsia="en-US"/>
        </w:rPr>
        <w:t xml:space="preserve"> rastú </w:t>
      </w:r>
      <w:r w:rsidRPr="00C65CAA">
        <w:rPr>
          <w:rFonts w:ascii="Arial Narrow" w:eastAsia="Calibri" w:hAnsi="Arial Narrow"/>
          <w:color w:val="000000"/>
          <w:sz w:val="22"/>
          <w:szCs w:val="22"/>
          <w:lang w:eastAsia="en-US"/>
        </w:rPr>
        <w:t>osobné výdavky</w:t>
      </w:r>
      <w:r w:rsidR="00122345" w:rsidRPr="00C65CAA">
        <w:rPr>
          <w:rFonts w:ascii="Arial Narrow" w:eastAsia="Calibri" w:hAnsi="Arial Narrow"/>
          <w:color w:val="000000"/>
          <w:sz w:val="22"/>
          <w:szCs w:val="22"/>
          <w:lang w:eastAsia="en-US"/>
        </w:rPr>
        <w:t xml:space="preserve"> o 10,3 %.</w:t>
      </w:r>
    </w:p>
    <w:p w:rsidR="00350EAD" w:rsidRPr="00C65CAA" w:rsidRDefault="00350EAD" w:rsidP="00256AF8">
      <w:pPr>
        <w:spacing w:before="100" w:after="100"/>
        <w:ind w:firstLine="708"/>
        <w:jc w:val="both"/>
        <w:rPr>
          <w:rFonts w:ascii="Arial Narrow" w:eastAsia="Calibri" w:hAnsi="Arial Narrow"/>
          <w:sz w:val="22"/>
          <w:szCs w:val="22"/>
          <w:lang w:eastAsia="en-US"/>
        </w:rPr>
      </w:pPr>
      <w:r w:rsidRPr="00C65CAA">
        <w:rPr>
          <w:rFonts w:ascii="Arial Narrow" w:eastAsia="Calibri" w:hAnsi="Arial Narrow"/>
          <w:b/>
          <w:sz w:val="22"/>
          <w:szCs w:val="22"/>
          <w:lang w:eastAsia="en-US"/>
        </w:rPr>
        <w:t xml:space="preserve">V rámci kategórie 630 Tovary a služby </w:t>
      </w:r>
      <w:r w:rsidRPr="00C65CAA">
        <w:rPr>
          <w:rFonts w:ascii="Arial Narrow" w:eastAsia="Calibri" w:hAnsi="Arial Narrow"/>
          <w:sz w:val="22"/>
          <w:szCs w:val="22"/>
          <w:lang w:eastAsia="en-US"/>
        </w:rPr>
        <w:t>doš</w:t>
      </w:r>
      <w:r w:rsidR="002219D1" w:rsidRPr="00C65CAA">
        <w:rPr>
          <w:rFonts w:ascii="Arial Narrow" w:eastAsia="Calibri" w:hAnsi="Arial Narrow"/>
          <w:sz w:val="22"/>
          <w:szCs w:val="22"/>
          <w:lang w:eastAsia="en-US"/>
        </w:rPr>
        <w:t>lo k medziročnému nárastu o 8 27</w:t>
      </w:r>
      <w:r w:rsidRPr="00C65CAA">
        <w:rPr>
          <w:rFonts w:ascii="Arial Narrow" w:eastAsia="Calibri" w:hAnsi="Arial Narrow"/>
          <w:sz w:val="22"/>
          <w:szCs w:val="22"/>
          <w:lang w:eastAsia="en-US"/>
        </w:rPr>
        <w:t>9 tis. eur na úroveň 103 340 tis. eur. Pre porovnanie</w:t>
      </w:r>
      <w:r w:rsidR="00836773" w:rsidRPr="00C65CAA">
        <w:rPr>
          <w:rFonts w:ascii="Arial Narrow" w:eastAsia="Calibri" w:hAnsi="Arial Narrow"/>
          <w:sz w:val="22"/>
          <w:szCs w:val="22"/>
          <w:lang w:eastAsia="en-US"/>
        </w:rPr>
        <w:t>,</w:t>
      </w:r>
      <w:r w:rsidRPr="00C65CAA">
        <w:rPr>
          <w:rFonts w:ascii="Arial Narrow" w:eastAsia="Calibri" w:hAnsi="Arial Narrow"/>
          <w:sz w:val="22"/>
          <w:szCs w:val="22"/>
          <w:lang w:eastAsia="en-US"/>
        </w:rPr>
        <w:t xml:space="preserve"> očakávané čerpanie za rok 2018 je v objeme 106 291 tis. eur a k 23.10.</w:t>
      </w:r>
      <w:r w:rsidR="00836773" w:rsidRPr="00C65CAA">
        <w:rPr>
          <w:rFonts w:ascii="Arial Narrow" w:eastAsia="Calibri" w:hAnsi="Arial Narrow"/>
          <w:sz w:val="22"/>
          <w:szCs w:val="22"/>
          <w:lang w:eastAsia="en-US"/>
        </w:rPr>
        <w:t xml:space="preserve"> </w:t>
      </w:r>
      <w:r w:rsidRPr="00C65CAA">
        <w:rPr>
          <w:rFonts w:ascii="Arial Narrow" w:eastAsia="Calibri" w:hAnsi="Arial Narrow"/>
          <w:sz w:val="22"/>
          <w:szCs w:val="22"/>
          <w:lang w:eastAsia="en-US"/>
        </w:rPr>
        <w:t>201</w:t>
      </w:r>
      <w:r w:rsidR="002219D1" w:rsidRPr="00C65CAA">
        <w:rPr>
          <w:rFonts w:ascii="Arial Narrow" w:eastAsia="Calibri" w:hAnsi="Arial Narrow"/>
          <w:sz w:val="22"/>
          <w:szCs w:val="22"/>
          <w:lang w:eastAsia="en-US"/>
        </w:rPr>
        <w:t>8 rezort na tento účel vyčerpal</w:t>
      </w:r>
      <w:r w:rsidRPr="00C65CAA">
        <w:rPr>
          <w:rFonts w:ascii="Arial Narrow" w:hAnsi="Arial Narrow"/>
        </w:rPr>
        <w:t xml:space="preserve"> </w:t>
      </w:r>
      <w:r w:rsidRPr="00C65CAA">
        <w:rPr>
          <w:rFonts w:ascii="Arial Narrow" w:eastAsia="Calibri" w:hAnsi="Arial Narrow"/>
          <w:sz w:val="22"/>
          <w:szCs w:val="22"/>
          <w:lang w:eastAsia="en-US"/>
        </w:rPr>
        <w:t>85 978 tis. eur, ukazuje sa</w:t>
      </w:r>
      <w:r w:rsidR="00836773" w:rsidRPr="00C65CAA">
        <w:rPr>
          <w:rFonts w:ascii="Arial Narrow" w:eastAsia="Calibri" w:hAnsi="Arial Narrow"/>
          <w:sz w:val="22"/>
          <w:szCs w:val="22"/>
          <w:lang w:eastAsia="en-US"/>
        </w:rPr>
        <w:t xml:space="preserve"> to,</w:t>
      </w:r>
      <w:r w:rsidRPr="00C65CAA">
        <w:rPr>
          <w:rFonts w:ascii="Arial Narrow" w:eastAsia="Calibri" w:hAnsi="Arial Narrow"/>
          <w:sz w:val="22"/>
          <w:szCs w:val="22"/>
          <w:lang w:eastAsia="en-US"/>
        </w:rPr>
        <w:t xml:space="preserve"> že </w:t>
      </w:r>
      <w:r w:rsidR="00E94E13" w:rsidRPr="00C65CAA">
        <w:rPr>
          <w:rFonts w:ascii="Arial Narrow" w:eastAsia="Calibri" w:hAnsi="Arial Narrow"/>
          <w:sz w:val="22"/>
          <w:szCs w:val="22"/>
          <w:lang w:eastAsia="en-US"/>
        </w:rPr>
        <w:t>rozpočtovanie</w:t>
      </w:r>
      <w:r w:rsidRPr="00C65CAA">
        <w:rPr>
          <w:rFonts w:ascii="Arial Narrow" w:eastAsia="Calibri" w:hAnsi="Arial Narrow"/>
          <w:sz w:val="22"/>
          <w:szCs w:val="22"/>
          <w:lang w:eastAsia="en-US"/>
        </w:rPr>
        <w:t xml:space="preserve"> výdavkov je v tejto oblasti nedostatočné. Príkladom je navrhovaný rozpočet výdavko</w:t>
      </w:r>
      <w:r w:rsidR="00122345" w:rsidRPr="00C65CAA">
        <w:rPr>
          <w:rFonts w:ascii="Arial Narrow" w:eastAsia="Calibri" w:hAnsi="Arial Narrow"/>
          <w:sz w:val="22"/>
          <w:szCs w:val="22"/>
          <w:lang w:eastAsia="en-US"/>
        </w:rPr>
        <w:t>v na energiu, vodu a komunikáciu</w:t>
      </w:r>
      <w:r w:rsidRPr="00C65CAA">
        <w:rPr>
          <w:rFonts w:ascii="Arial Narrow" w:eastAsia="Calibri" w:hAnsi="Arial Narrow"/>
          <w:sz w:val="22"/>
          <w:szCs w:val="22"/>
          <w:lang w:eastAsia="en-US"/>
        </w:rPr>
        <w:t xml:space="preserve"> v objeme 19 865 tis. eur, ktorý je znížený o 4 691 tis. eur, t</w:t>
      </w:r>
      <w:r w:rsidR="00E94E13" w:rsidRPr="00C65CAA">
        <w:rPr>
          <w:rFonts w:ascii="Arial Narrow" w:eastAsia="Calibri" w:hAnsi="Arial Narrow"/>
          <w:sz w:val="22"/>
          <w:szCs w:val="22"/>
          <w:lang w:eastAsia="en-US"/>
        </w:rPr>
        <w:t xml:space="preserve">. j. </w:t>
      </w:r>
      <w:r w:rsidRPr="00C65CAA">
        <w:rPr>
          <w:rFonts w:ascii="Arial Narrow" w:eastAsia="Calibri" w:hAnsi="Arial Narrow"/>
          <w:sz w:val="22"/>
          <w:szCs w:val="22"/>
          <w:lang w:eastAsia="en-US"/>
        </w:rPr>
        <w:t xml:space="preserve">o 19,1 % oproti </w:t>
      </w:r>
      <w:r w:rsidR="00122345" w:rsidRPr="00C65CAA">
        <w:rPr>
          <w:rFonts w:ascii="Arial Narrow" w:eastAsia="Calibri" w:hAnsi="Arial Narrow"/>
          <w:sz w:val="22"/>
          <w:szCs w:val="22"/>
          <w:lang w:eastAsia="en-US"/>
        </w:rPr>
        <w:t>rozpočtu na rok 2</w:t>
      </w:r>
      <w:r w:rsidRPr="00C65CAA">
        <w:rPr>
          <w:rFonts w:ascii="Arial Narrow" w:eastAsia="Calibri" w:hAnsi="Arial Narrow"/>
          <w:sz w:val="22"/>
          <w:szCs w:val="22"/>
          <w:lang w:eastAsia="en-US"/>
        </w:rPr>
        <w:t xml:space="preserve">018, čo  nekorešponduje s plánovaným zvýšením cien energií v budúcom roku. V tejto kategórii </w:t>
      </w:r>
      <w:r w:rsidR="00E94E13" w:rsidRPr="00C65CAA">
        <w:rPr>
          <w:rFonts w:ascii="Arial Narrow" w:eastAsia="Calibri" w:hAnsi="Arial Narrow"/>
          <w:sz w:val="22"/>
          <w:szCs w:val="22"/>
          <w:lang w:eastAsia="en-US"/>
        </w:rPr>
        <w:t>sú</w:t>
      </w:r>
      <w:r w:rsidRPr="00C65CAA">
        <w:rPr>
          <w:rFonts w:ascii="Arial Narrow" w:eastAsia="Calibri" w:hAnsi="Arial Narrow"/>
          <w:sz w:val="22"/>
          <w:szCs w:val="22"/>
          <w:lang w:eastAsia="en-US"/>
        </w:rPr>
        <w:t xml:space="preserve"> </w:t>
      </w:r>
      <w:r w:rsidR="00E94E13" w:rsidRPr="00C65CAA">
        <w:rPr>
          <w:rFonts w:ascii="Arial Narrow" w:eastAsia="Calibri" w:hAnsi="Arial Narrow"/>
          <w:sz w:val="22"/>
          <w:szCs w:val="22"/>
          <w:lang w:eastAsia="en-US"/>
        </w:rPr>
        <w:t>plánované</w:t>
      </w:r>
      <w:r w:rsidRPr="00C65CAA">
        <w:rPr>
          <w:rFonts w:ascii="Arial Narrow" w:eastAsia="Calibri" w:hAnsi="Arial Narrow"/>
          <w:sz w:val="22"/>
          <w:szCs w:val="22"/>
          <w:lang w:eastAsia="en-US"/>
        </w:rPr>
        <w:t xml:space="preserve"> </w:t>
      </w:r>
      <w:r w:rsidR="00E94E13" w:rsidRPr="00C65CAA">
        <w:rPr>
          <w:rFonts w:ascii="Arial Narrow" w:eastAsia="Calibri" w:hAnsi="Arial Narrow"/>
          <w:sz w:val="22"/>
          <w:szCs w:val="22"/>
          <w:lang w:eastAsia="en-US"/>
        </w:rPr>
        <w:t>aj výdavky</w:t>
      </w:r>
      <w:r w:rsidRPr="00C65CAA">
        <w:rPr>
          <w:rFonts w:ascii="Arial Narrow" w:eastAsia="Calibri" w:hAnsi="Arial Narrow"/>
          <w:sz w:val="22"/>
          <w:szCs w:val="22"/>
          <w:lang w:eastAsia="en-US"/>
        </w:rPr>
        <w:t xml:space="preserve"> na nájom nového sídla rezortu </w:t>
      </w:r>
      <w:r w:rsidR="00A724D0" w:rsidRPr="00C65CAA">
        <w:rPr>
          <w:rFonts w:ascii="Arial Narrow" w:eastAsia="Calibri" w:hAnsi="Arial Narrow"/>
          <w:sz w:val="22"/>
          <w:szCs w:val="22"/>
          <w:lang w:eastAsia="en-US"/>
        </w:rPr>
        <w:t>v</w:t>
      </w:r>
      <w:r w:rsidRPr="00C65CAA">
        <w:rPr>
          <w:rFonts w:ascii="Arial Narrow" w:eastAsia="Calibri" w:hAnsi="Arial Narrow"/>
          <w:sz w:val="22"/>
          <w:szCs w:val="22"/>
          <w:lang w:eastAsia="en-US"/>
        </w:rPr>
        <w:t xml:space="preserve"> objeme 1 500 tis. </w:t>
      </w:r>
      <w:r w:rsidR="005A6644" w:rsidRPr="00C65CAA">
        <w:rPr>
          <w:rFonts w:ascii="Arial Narrow" w:eastAsia="Calibri" w:hAnsi="Arial Narrow"/>
          <w:sz w:val="22"/>
          <w:szCs w:val="22"/>
          <w:lang w:eastAsia="en-US"/>
        </w:rPr>
        <w:t xml:space="preserve">eur </w:t>
      </w:r>
      <w:r w:rsidR="00E94E13" w:rsidRPr="00C65CAA">
        <w:rPr>
          <w:rFonts w:ascii="Arial Narrow" w:eastAsia="Calibri" w:hAnsi="Arial Narrow"/>
          <w:sz w:val="22"/>
          <w:szCs w:val="22"/>
          <w:lang w:eastAsia="en-US"/>
        </w:rPr>
        <w:t xml:space="preserve">ročne a </w:t>
      </w:r>
      <w:r w:rsidRPr="00C65CAA">
        <w:rPr>
          <w:rFonts w:ascii="Arial Narrow" w:eastAsia="Calibri" w:hAnsi="Arial Narrow"/>
          <w:sz w:val="22"/>
          <w:szCs w:val="22"/>
          <w:lang w:eastAsia="en-US"/>
        </w:rPr>
        <w:t xml:space="preserve">výdavky na poradcu pre obstarávanie PPP </w:t>
      </w:r>
      <w:r w:rsidRPr="00C65CAA">
        <w:rPr>
          <w:rFonts w:ascii="Arial Narrow" w:hAnsi="Arial Narrow"/>
          <w:sz w:val="22"/>
          <w:szCs w:val="22"/>
        </w:rPr>
        <w:t>projektu väzenského ústavu Rimavská Sobota</w:t>
      </w:r>
      <w:r w:rsidR="00836773" w:rsidRPr="00C65CAA">
        <w:rPr>
          <w:rFonts w:ascii="Arial Narrow" w:hAnsi="Arial Narrow"/>
          <w:sz w:val="22"/>
          <w:szCs w:val="22"/>
        </w:rPr>
        <w:t xml:space="preserve"> </w:t>
      </w:r>
      <w:r w:rsidRPr="00C65CAA">
        <w:rPr>
          <w:rFonts w:ascii="Arial Narrow" w:hAnsi="Arial Narrow"/>
          <w:sz w:val="22"/>
          <w:szCs w:val="22"/>
        </w:rPr>
        <w:t>-</w:t>
      </w:r>
      <w:r w:rsidR="00836773" w:rsidRPr="00C65CAA">
        <w:rPr>
          <w:rFonts w:ascii="Arial Narrow" w:hAnsi="Arial Narrow"/>
          <w:sz w:val="22"/>
          <w:szCs w:val="22"/>
        </w:rPr>
        <w:t xml:space="preserve"> </w:t>
      </w:r>
      <w:r w:rsidRPr="00C65CAA">
        <w:rPr>
          <w:rFonts w:ascii="Arial Narrow" w:hAnsi="Arial Narrow"/>
          <w:sz w:val="22"/>
          <w:szCs w:val="22"/>
        </w:rPr>
        <w:t>Sabová v objeme 800 tis. eur.</w:t>
      </w:r>
      <w:r w:rsidRPr="00C65CAA">
        <w:rPr>
          <w:rFonts w:ascii="Arial Narrow" w:eastAsia="Calibri" w:hAnsi="Arial Narrow"/>
          <w:sz w:val="22"/>
          <w:szCs w:val="22"/>
          <w:lang w:eastAsia="en-US"/>
        </w:rPr>
        <w:t xml:space="preserve"> </w:t>
      </w:r>
    </w:p>
    <w:p w:rsidR="005A6644" w:rsidRPr="00C65CAA" w:rsidRDefault="00350EAD" w:rsidP="00256AF8">
      <w:pPr>
        <w:spacing w:before="100" w:after="100"/>
        <w:ind w:firstLine="708"/>
        <w:jc w:val="both"/>
        <w:rPr>
          <w:rFonts w:ascii="Arial Narrow" w:hAnsi="Arial Narrow"/>
          <w:sz w:val="22"/>
          <w:szCs w:val="22"/>
        </w:rPr>
      </w:pPr>
      <w:r w:rsidRPr="00C65CAA">
        <w:rPr>
          <w:rFonts w:ascii="Arial Narrow" w:hAnsi="Arial Narrow"/>
          <w:b/>
          <w:sz w:val="22"/>
          <w:szCs w:val="22"/>
        </w:rPr>
        <w:lastRenderedPageBreak/>
        <w:t>V programe Súdnictvo</w:t>
      </w:r>
      <w:r w:rsidRPr="00C65CAA">
        <w:rPr>
          <w:rFonts w:ascii="Arial Narrow" w:hAnsi="Arial Narrow"/>
          <w:sz w:val="22"/>
          <w:szCs w:val="22"/>
        </w:rPr>
        <w:t xml:space="preserve"> došlo v medziročnom porovnaní k rastu výdavkov o 19 066 tis. eur, </w:t>
      </w:r>
      <w:r w:rsidR="00122345" w:rsidRPr="00C65CAA">
        <w:rPr>
          <w:rFonts w:ascii="Arial Narrow" w:hAnsi="Arial Narrow"/>
          <w:sz w:val="22"/>
          <w:szCs w:val="22"/>
        </w:rPr>
        <w:t xml:space="preserve">t. j. </w:t>
      </w:r>
      <w:r w:rsidRPr="00C65CAA">
        <w:rPr>
          <w:rFonts w:ascii="Arial Narrow" w:hAnsi="Arial Narrow"/>
          <w:sz w:val="22"/>
          <w:szCs w:val="22"/>
        </w:rPr>
        <w:t xml:space="preserve"> o 10,0</w:t>
      </w:r>
      <w:r w:rsidR="00122345" w:rsidRPr="00C65CAA">
        <w:rPr>
          <w:rFonts w:ascii="Arial Narrow" w:hAnsi="Arial Narrow"/>
          <w:sz w:val="22"/>
          <w:szCs w:val="22"/>
        </w:rPr>
        <w:t> </w:t>
      </w:r>
      <w:r w:rsidRPr="00C65CAA">
        <w:rPr>
          <w:rFonts w:ascii="Arial Narrow" w:hAnsi="Arial Narrow"/>
          <w:sz w:val="22"/>
          <w:szCs w:val="22"/>
        </w:rPr>
        <w:t xml:space="preserve">% oproti </w:t>
      </w:r>
      <w:r w:rsidR="00122345" w:rsidRPr="00C65CAA">
        <w:rPr>
          <w:rFonts w:ascii="Arial Narrow" w:hAnsi="Arial Narrow"/>
          <w:sz w:val="22"/>
          <w:szCs w:val="22"/>
        </w:rPr>
        <w:t xml:space="preserve">rozpočtu na rok </w:t>
      </w:r>
      <w:r w:rsidRPr="00C65CAA">
        <w:rPr>
          <w:rFonts w:ascii="Arial Narrow" w:hAnsi="Arial Narrow"/>
          <w:sz w:val="22"/>
          <w:szCs w:val="22"/>
        </w:rPr>
        <w:t xml:space="preserve">2018. </w:t>
      </w:r>
      <w:r w:rsidR="00AD079A" w:rsidRPr="00C65CAA">
        <w:rPr>
          <w:rFonts w:ascii="Arial Narrow" w:hAnsi="Arial Narrow"/>
          <w:sz w:val="22"/>
          <w:szCs w:val="22"/>
        </w:rPr>
        <w:t xml:space="preserve">Ide o dofinancovanie platov zamestnancov súdnictva a dopočet zákonných náležitostí sudcov v nadväznosti na rast priemernej nominálnej mesačnej mzdy v národnom hospodárstve SR za rok 2017. </w:t>
      </w:r>
    </w:p>
    <w:p w:rsidR="00350EAD" w:rsidRPr="00C65CAA" w:rsidRDefault="00350EAD" w:rsidP="00256AF8">
      <w:pPr>
        <w:spacing w:before="100" w:after="100"/>
        <w:ind w:firstLine="708"/>
        <w:jc w:val="both"/>
        <w:rPr>
          <w:rFonts w:ascii="Arial Narrow" w:hAnsi="Arial Narrow"/>
          <w:b/>
          <w:sz w:val="22"/>
          <w:szCs w:val="22"/>
        </w:rPr>
      </w:pPr>
      <w:r w:rsidRPr="00C65CAA">
        <w:rPr>
          <w:rFonts w:ascii="Arial Narrow" w:hAnsi="Arial Narrow"/>
          <w:b/>
          <w:sz w:val="22"/>
          <w:szCs w:val="22"/>
        </w:rPr>
        <w:t xml:space="preserve">V programe Väzenstvo </w:t>
      </w:r>
      <w:r w:rsidRPr="00C65CAA">
        <w:rPr>
          <w:rFonts w:ascii="Arial Narrow" w:hAnsi="Arial Narrow"/>
          <w:sz w:val="22"/>
          <w:szCs w:val="22"/>
        </w:rPr>
        <w:t>došlo v medziročnom poro</w:t>
      </w:r>
      <w:r w:rsidR="00122345" w:rsidRPr="00C65CAA">
        <w:rPr>
          <w:rFonts w:ascii="Arial Narrow" w:hAnsi="Arial Narrow"/>
          <w:sz w:val="22"/>
          <w:szCs w:val="22"/>
        </w:rPr>
        <w:t>vnaní k rastu výdavkov o 14 794 tis. eur, t. j.</w:t>
      </w:r>
      <w:r w:rsidR="00AD079A" w:rsidRPr="00C65CAA">
        <w:rPr>
          <w:rFonts w:ascii="Arial Narrow" w:hAnsi="Arial Narrow"/>
          <w:sz w:val="22"/>
          <w:szCs w:val="22"/>
        </w:rPr>
        <w:t xml:space="preserve"> o 8,6</w:t>
      </w:r>
      <w:r w:rsidR="005A6644" w:rsidRPr="00C65CAA">
        <w:rPr>
          <w:rFonts w:ascii="Arial Narrow" w:hAnsi="Arial Narrow"/>
          <w:sz w:val="22"/>
          <w:szCs w:val="22"/>
        </w:rPr>
        <w:t xml:space="preserve"> </w:t>
      </w:r>
      <w:r w:rsidR="00AD079A" w:rsidRPr="00C65CAA">
        <w:rPr>
          <w:rFonts w:ascii="Arial Narrow" w:hAnsi="Arial Narrow"/>
          <w:sz w:val="22"/>
          <w:szCs w:val="22"/>
        </w:rPr>
        <w:t xml:space="preserve">% </w:t>
      </w:r>
      <w:r w:rsidRPr="00C65CAA">
        <w:rPr>
          <w:rFonts w:ascii="Arial Narrow" w:hAnsi="Arial Narrow"/>
          <w:sz w:val="22"/>
          <w:szCs w:val="22"/>
        </w:rPr>
        <w:t xml:space="preserve">oproti </w:t>
      </w:r>
      <w:r w:rsidR="00AD079A" w:rsidRPr="00C65CAA">
        <w:rPr>
          <w:rFonts w:ascii="Arial Narrow" w:hAnsi="Arial Narrow"/>
          <w:sz w:val="22"/>
          <w:szCs w:val="22"/>
        </w:rPr>
        <w:t xml:space="preserve">rozpočtu na rok </w:t>
      </w:r>
      <w:r w:rsidRPr="00C65CAA">
        <w:rPr>
          <w:rFonts w:ascii="Arial Narrow" w:hAnsi="Arial Narrow"/>
          <w:sz w:val="22"/>
          <w:szCs w:val="22"/>
        </w:rPr>
        <w:t>2018. Determinujúcim faktorom je rast mzdových a odvodových výdavkov v priemere o 10,3</w:t>
      </w:r>
      <w:r w:rsidR="005A6644" w:rsidRPr="00C65CAA">
        <w:rPr>
          <w:rFonts w:ascii="Arial Narrow" w:hAnsi="Arial Narrow"/>
          <w:sz w:val="22"/>
          <w:szCs w:val="22"/>
        </w:rPr>
        <w:t> </w:t>
      </w:r>
      <w:r w:rsidR="00AD079A" w:rsidRPr="00C65CAA">
        <w:rPr>
          <w:rFonts w:ascii="Arial Narrow" w:hAnsi="Arial Narrow"/>
          <w:sz w:val="22"/>
          <w:szCs w:val="22"/>
        </w:rPr>
        <w:t xml:space="preserve">%, čo predstavuje najvyšší nárast v kapitolách ŠR. </w:t>
      </w:r>
      <w:r w:rsidR="006E7CA2" w:rsidRPr="00C65CAA">
        <w:rPr>
          <w:rFonts w:ascii="Arial Narrow" w:hAnsi="Arial Narrow"/>
          <w:sz w:val="22"/>
          <w:szCs w:val="22"/>
          <w:lang w:eastAsia="en-US"/>
        </w:rPr>
        <w:t>K vyššiemu nárastu mzdových a odvodových výdavkov dochádza v súvislosti so zvýšením počtu 134 príslušníkov v súvislosti s dostavbou Detenčného ústavu v Hronovciach a ústavu Sabová v Rimavskej Sobote.</w:t>
      </w:r>
    </w:p>
    <w:p w:rsidR="00350EAD" w:rsidRPr="00C65CAA" w:rsidRDefault="00350EAD" w:rsidP="00256AF8">
      <w:pPr>
        <w:spacing w:before="100" w:after="100"/>
        <w:ind w:firstLine="708"/>
        <w:jc w:val="both"/>
        <w:rPr>
          <w:rFonts w:ascii="Arial Narrow" w:hAnsi="Arial Narrow"/>
          <w:sz w:val="22"/>
          <w:szCs w:val="22"/>
        </w:rPr>
      </w:pPr>
      <w:r w:rsidRPr="00C65CAA">
        <w:rPr>
          <w:rFonts w:ascii="Arial Narrow" w:hAnsi="Arial Narrow"/>
          <w:sz w:val="22"/>
          <w:szCs w:val="22"/>
        </w:rPr>
        <w:t xml:space="preserve">Plán zvýšiť počet sudcov prostredníctvom hromadných výberových konaní (ďalej HVK) nenapreduje podľa predpokladov. Rezort sa už dva roky pokúša zvýšiť počet sudcov na Slovensku. Výsledkom 8 HVK na 95 pozícií neobsadených v roku 2018 je 34 úspešných uchádzačov, v roku 2017 zo 125 </w:t>
      </w:r>
      <w:r w:rsidR="00AD079A" w:rsidRPr="00C65CAA">
        <w:rPr>
          <w:rFonts w:ascii="Arial Narrow" w:hAnsi="Arial Narrow"/>
          <w:sz w:val="22"/>
          <w:szCs w:val="22"/>
        </w:rPr>
        <w:t>neobsadených pozícii vybrali 36 </w:t>
      </w:r>
      <w:r w:rsidRPr="00C65CAA">
        <w:rPr>
          <w:rFonts w:ascii="Arial Narrow" w:hAnsi="Arial Narrow"/>
          <w:sz w:val="22"/>
          <w:szCs w:val="22"/>
        </w:rPr>
        <w:t xml:space="preserve">úspešných uchádzačov . </w:t>
      </w:r>
    </w:p>
    <w:p w:rsidR="00350EAD" w:rsidRPr="00C65CAA" w:rsidRDefault="00350EAD" w:rsidP="00256AF8">
      <w:pPr>
        <w:spacing w:before="100" w:after="100"/>
        <w:ind w:firstLine="708"/>
        <w:jc w:val="both"/>
        <w:rPr>
          <w:rFonts w:ascii="Arial Narrow" w:hAnsi="Arial Narrow"/>
          <w:sz w:val="22"/>
          <w:szCs w:val="22"/>
        </w:rPr>
      </w:pPr>
      <w:r w:rsidRPr="00C65CAA">
        <w:rPr>
          <w:rFonts w:ascii="Arial Narrow" w:hAnsi="Arial Narrow"/>
          <w:sz w:val="22"/>
          <w:szCs w:val="22"/>
        </w:rPr>
        <w:t>Vývoj počtu sudcov na Slovensku</w:t>
      </w:r>
      <w:r w:rsidR="001D2AD7" w:rsidRPr="00C65CAA">
        <w:rPr>
          <w:rFonts w:ascii="Arial Narrow" w:hAnsi="Arial Narrow"/>
          <w:sz w:val="22"/>
          <w:szCs w:val="22"/>
        </w:rPr>
        <w:t>:</w:t>
      </w:r>
    </w:p>
    <w:tbl>
      <w:tblPr>
        <w:tblStyle w:val="Mriekatabuky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350EAD" w:rsidRPr="00C65CAA" w:rsidTr="00FF178A">
        <w:trPr>
          <w:trHeight w:val="181"/>
        </w:trPr>
        <w:tc>
          <w:tcPr>
            <w:tcW w:w="5000" w:type="pct"/>
            <w:tcBorders>
              <w:top w:val="single" w:sz="4" w:space="0" w:color="auto"/>
              <w:bottom w:val="single" w:sz="4" w:space="0" w:color="auto"/>
            </w:tcBorders>
            <w:shd w:val="clear" w:color="auto" w:fill="0070C0"/>
          </w:tcPr>
          <w:p w:rsidR="00350EAD" w:rsidRPr="00C65CAA" w:rsidRDefault="00350EAD" w:rsidP="00C8633E">
            <w:pPr>
              <w:jc w:val="both"/>
              <w:rPr>
                <w:rFonts w:ascii="Arial Narrow" w:hAnsi="Arial Narrow"/>
                <w:b/>
                <w:color w:val="FFFFFF" w:themeColor="background1"/>
              </w:rPr>
            </w:pPr>
            <w:r w:rsidRPr="00C65CAA">
              <w:rPr>
                <w:rFonts w:ascii="Arial Narrow" w:hAnsi="Arial Narrow"/>
                <w:b/>
                <w:color w:val="FFFFFF" w:themeColor="background1"/>
              </w:rPr>
              <w:t>Počet sudcov a zamestnancov súdov v SR v rokoch 2012 – 2019</w:t>
            </w:r>
          </w:p>
        </w:tc>
      </w:tr>
      <w:tr w:rsidR="00350EAD" w:rsidRPr="00C65CAA" w:rsidTr="00C8633E">
        <w:tblPrEx>
          <w:tblCellMar>
            <w:left w:w="70" w:type="dxa"/>
            <w:right w:w="70" w:type="dxa"/>
          </w:tblCellMar>
        </w:tblPrEx>
        <w:trPr>
          <w:trHeight w:val="2551"/>
        </w:trPr>
        <w:tc>
          <w:tcPr>
            <w:tcW w:w="5000" w:type="pct"/>
            <w:tcBorders>
              <w:top w:val="single" w:sz="4" w:space="0" w:color="auto"/>
              <w:bottom w:val="single" w:sz="4" w:space="0" w:color="auto"/>
            </w:tcBorders>
            <w:shd w:val="clear" w:color="auto" w:fill="FFFFFF" w:themeFill="background1"/>
          </w:tcPr>
          <w:p w:rsidR="00350EAD" w:rsidRPr="00C65CAA" w:rsidRDefault="00350EAD" w:rsidP="00C8633E">
            <w:pPr>
              <w:contextualSpacing/>
              <w:jc w:val="both"/>
              <w:rPr>
                <w:rFonts w:ascii="Arial Narrow" w:hAnsi="Arial Narrow"/>
              </w:rPr>
            </w:pPr>
            <w:r w:rsidRPr="00C65CAA">
              <w:rPr>
                <w:rFonts w:ascii="Arial Narrow" w:hAnsi="Arial Narrow"/>
                <w:noProof/>
              </w:rPr>
              <w:drawing>
                <wp:inline distT="0" distB="0" distL="0" distR="0" wp14:anchorId="4D7EDEA8" wp14:editId="1730AC46">
                  <wp:extent cx="5673725" cy="1631950"/>
                  <wp:effectExtent l="0" t="0" r="3175" b="6350"/>
                  <wp:docPr id="8"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rsidR="00350EAD" w:rsidRPr="00C65CAA" w:rsidRDefault="00350EAD" w:rsidP="00C8633E">
      <w:pPr>
        <w:spacing w:after="100"/>
        <w:jc w:val="both"/>
        <w:rPr>
          <w:rFonts w:ascii="Arial Narrow" w:hAnsi="Arial Narrow"/>
          <w:sz w:val="18"/>
          <w:szCs w:val="18"/>
        </w:rPr>
      </w:pPr>
      <w:r w:rsidRPr="00C65CAA">
        <w:rPr>
          <w:rFonts w:ascii="Arial Narrow" w:hAnsi="Arial Narrow"/>
          <w:sz w:val="18"/>
          <w:szCs w:val="18"/>
        </w:rPr>
        <w:t>Zdroj: MS SR, RIS výkaz Práca 2-04, * 201</w:t>
      </w:r>
      <w:r w:rsidR="00CD4C07">
        <w:rPr>
          <w:rFonts w:ascii="Arial Narrow" w:hAnsi="Arial Narrow"/>
          <w:sz w:val="18"/>
          <w:szCs w:val="18"/>
        </w:rPr>
        <w:t>9</w:t>
      </w:r>
      <w:r w:rsidRPr="00C65CAA">
        <w:rPr>
          <w:rFonts w:ascii="Arial Narrow" w:hAnsi="Arial Narrow"/>
          <w:sz w:val="18"/>
          <w:szCs w:val="18"/>
        </w:rPr>
        <w:t xml:space="preserve"> schválený limit počtu zamestnancov </w:t>
      </w:r>
    </w:p>
    <w:p w:rsidR="00350EAD" w:rsidRPr="00C65CAA" w:rsidRDefault="00350EAD" w:rsidP="00256AF8">
      <w:pPr>
        <w:spacing w:before="100" w:after="100"/>
        <w:ind w:firstLine="708"/>
        <w:jc w:val="both"/>
        <w:rPr>
          <w:rFonts w:ascii="Arial Narrow" w:hAnsi="Arial Narrow"/>
          <w:sz w:val="22"/>
          <w:szCs w:val="22"/>
        </w:rPr>
      </w:pPr>
      <w:r w:rsidRPr="00C65CAA">
        <w:rPr>
          <w:rFonts w:ascii="Arial Narrow" w:hAnsi="Arial Narrow"/>
          <w:sz w:val="22"/>
          <w:szCs w:val="22"/>
        </w:rPr>
        <w:t>Za posledné dva roky vzrástol počet sudcov o</w:t>
      </w:r>
      <w:r w:rsidR="005A6644" w:rsidRPr="00C65CAA">
        <w:rPr>
          <w:rFonts w:ascii="Arial Narrow" w:hAnsi="Arial Narrow"/>
          <w:sz w:val="22"/>
          <w:szCs w:val="22"/>
        </w:rPr>
        <w:t> </w:t>
      </w:r>
      <w:r w:rsidRPr="00C65CAA">
        <w:rPr>
          <w:rFonts w:ascii="Arial Narrow" w:hAnsi="Arial Narrow"/>
          <w:sz w:val="22"/>
          <w:szCs w:val="22"/>
        </w:rPr>
        <w:t>64</w:t>
      </w:r>
      <w:r w:rsidR="005A6644" w:rsidRPr="00C65CAA">
        <w:rPr>
          <w:rFonts w:ascii="Arial Narrow" w:hAnsi="Arial Narrow"/>
          <w:sz w:val="22"/>
          <w:szCs w:val="22"/>
        </w:rPr>
        <w:t>,</w:t>
      </w:r>
      <w:r w:rsidRPr="00C65CAA">
        <w:rPr>
          <w:rFonts w:ascii="Arial Narrow" w:hAnsi="Arial Narrow"/>
          <w:sz w:val="22"/>
          <w:szCs w:val="22"/>
        </w:rPr>
        <w:t xml:space="preserve"> v posledných 5 r</w:t>
      </w:r>
      <w:r w:rsidR="005A6644" w:rsidRPr="00C65CAA">
        <w:rPr>
          <w:rFonts w:ascii="Arial Narrow" w:hAnsi="Arial Narrow"/>
          <w:sz w:val="22"/>
          <w:szCs w:val="22"/>
        </w:rPr>
        <w:t>okoch sa pohyboval priemerne na </w:t>
      </w:r>
      <w:r w:rsidRPr="00C65CAA">
        <w:rPr>
          <w:rFonts w:ascii="Arial Narrow" w:hAnsi="Arial Narrow"/>
          <w:sz w:val="22"/>
          <w:szCs w:val="22"/>
        </w:rPr>
        <w:t xml:space="preserve">úrovni 1 247 sudcov. Riziko odchodu sudcov do dôchodku pre vysoký vek naďalej trvá, pričom je momentálne neobsadených asi ďalších 60 pozícií. Zároveň možno konštatovať, že pravidelne narastá počet pracovníkov ústredia ministerstva a štátnych zamestnancov v rezorte. </w:t>
      </w:r>
    </w:p>
    <w:p w:rsidR="00C65CAA" w:rsidRPr="00C65CAA" w:rsidRDefault="00350EAD" w:rsidP="007809C2">
      <w:pPr>
        <w:pStyle w:val="Default"/>
        <w:spacing w:before="100" w:after="100"/>
        <w:ind w:firstLine="709"/>
        <w:jc w:val="both"/>
        <w:rPr>
          <w:rFonts w:ascii="Arial Narrow" w:hAnsi="Arial Narrow"/>
          <w:color w:val="auto"/>
          <w:sz w:val="22"/>
          <w:szCs w:val="22"/>
        </w:rPr>
      </w:pPr>
      <w:r w:rsidRPr="00C65CAA">
        <w:rPr>
          <w:rFonts w:ascii="Arial Narrow" w:hAnsi="Arial Narrow"/>
          <w:color w:val="auto"/>
          <w:sz w:val="22"/>
          <w:szCs w:val="22"/>
        </w:rPr>
        <w:t>V rámci kapitoly dochádza k obnove a modernizácii súdov len pomaly. V zmysle vyčlenených rozpočtovaných kapitálových výdavkov na rok 2018 v objeme 5 282,1 tis. eur, po úprave rozpočtu 9 022 tis. eur</w:t>
      </w:r>
      <w:r w:rsidR="00836773" w:rsidRPr="00C65CAA">
        <w:rPr>
          <w:rFonts w:ascii="Arial Narrow" w:hAnsi="Arial Narrow"/>
          <w:color w:val="auto"/>
          <w:sz w:val="22"/>
          <w:szCs w:val="22"/>
        </w:rPr>
        <w:t>,</w:t>
      </w:r>
      <w:r w:rsidRPr="00C65CAA">
        <w:rPr>
          <w:rFonts w:ascii="Arial Narrow" w:hAnsi="Arial Narrow"/>
          <w:color w:val="auto"/>
          <w:sz w:val="22"/>
          <w:szCs w:val="22"/>
        </w:rPr>
        <w:t xml:space="preserve"> bolo k 24.</w:t>
      </w:r>
      <w:r w:rsidR="00836773" w:rsidRPr="00C65CAA">
        <w:rPr>
          <w:rFonts w:ascii="Arial Narrow" w:hAnsi="Arial Narrow"/>
          <w:color w:val="auto"/>
          <w:sz w:val="22"/>
          <w:szCs w:val="22"/>
        </w:rPr>
        <w:t xml:space="preserve"> </w:t>
      </w:r>
      <w:r w:rsidRPr="00C65CAA">
        <w:rPr>
          <w:rFonts w:ascii="Arial Narrow" w:hAnsi="Arial Narrow"/>
          <w:color w:val="auto"/>
          <w:sz w:val="22"/>
          <w:szCs w:val="22"/>
        </w:rPr>
        <w:t>10.</w:t>
      </w:r>
      <w:r w:rsidR="00836773" w:rsidRPr="00C65CAA">
        <w:rPr>
          <w:rFonts w:ascii="Arial Narrow" w:hAnsi="Arial Narrow"/>
          <w:color w:val="auto"/>
          <w:sz w:val="22"/>
          <w:szCs w:val="22"/>
        </w:rPr>
        <w:t xml:space="preserve"> </w:t>
      </w:r>
      <w:r w:rsidRPr="00C65CAA">
        <w:rPr>
          <w:rFonts w:ascii="Arial Narrow" w:hAnsi="Arial Narrow"/>
          <w:color w:val="auto"/>
          <w:sz w:val="22"/>
          <w:szCs w:val="22"/>
        </w:rPr>
        <w:t>2018 vyčerpaných len 3 228,1 tis. eur, čo predstavuje 35,7 % z upraveného rozpočtu. Návrh RVS predpokladá kapitálové výdavky pre oblasť súdnictva v objeme 11 575 tis. eur. Nedostatočne pripravené projekty modernizácie, nejasná koncepcia riešenia súdov v hlavnom meste a problémy pri verejnom obstarávaní dávajú predpoklad, že rezort celú sumu nevyužij</w:t>
      </w:r>
      <w:r w:rsidR="005A6644" w:rsidRPr="00C65CAA">
        <w:rPr>
          <w:rFonts w:ascii="Arial Narrow" w:hAnsi="Arial Narrow"/>
          <w:color w:val="auto"/>
          <w:sz w:val="22"/>
          <w:szCs w:val="22"/>
        </w:rPr>
        <w:t>e. Pritom riešenie situácie na b</w:t>
      </w:r>
      <w:r w:rsidRPr="00C65CAA">
        <w:rPr>
          <w:rFonts w:ascii="Arial Narrow" w:hAnsi="Arial Narrow"/>
          <w:color w:val="auto"/>
          <w:sz w:val="22"/>
          <w:szCs w:val="22"/>
        </w:rPr>
        <w:t>ratislavských súdoch sa neustále odď</w:t>
      </w:r>
      <w:r w:rsidR="005A6644" w:rsidRPr="00C65CAA">
        <w:rPr>
          <w:rFonts w:ascii="Arial Narrow" w:hAnsi="Arial Narrow"/>
          <w:color w:val="auto"/>
          <w:sz w:val="22"/>
          <w:szCs w:val="22"/>
        </w:rPr>
        <w:t>aľuje. Situácia je alarmujúca, O</w:t>
      </w:r>
      <w:r w:rsidRPr="00C65CAA">
        <w:rPr>
          <w:rFonts w:ascii="Arial Narrow" w:hAnsi="Arial Narrow"/>
          <w:color w:val="auto"/>
          <w:sz w:val="22"/>
          <w:szCs w:val="22"/>
        </w:rPr>
        <w:t>kresný súd Bratislava 1 pracuje v podmienkach, ktoré vytvárajú riziko straty súdnych spisov. K opačnej situácii dochádza v správe väzníc. Pri rozpočtovaných kapitálových výdavkoch v objeme 1 778,6 tis. eur, po úprave 16 441,7 tis. eur, bolo k 24.</w:t>
      </w:r>
      <w:r w:rsidR="00836773" w:rsidRPr="00C65CAA">
        <w:rPr>
          <w:rFonts w:ascii="Arial Narrow" w:hAnsi="Arial Narrow"/>
          <w:color w:val="auto"/>
          <w:sz w:val="22"/>
          <w:szCs w:val="22"/>
        </w:rPr>
        <w:t xml:space="preserve"> </w:t>
      </w:r>
      <w:r w:rsidRPr="00C65CAA">
        <w:rPr>
          <w:rFonts w:ascii="Arial Narrow" w:hAnsi="Arial Narrow"/>
          <w:color w:val="auto"/>
          <w:sz w:val="22"/>
          <w:szCs w:val="22"/>
        </w:rPr>
        <w:t>10.</w:t>
      </w:r>
      <w:r w:rsidR="00836773" w:rsidRPr="00C65CAA">
        <w:rPr>
          <w:rFonts w:ascii="Arial Narrow" w:hAnsi="Arial Narrow"/>
          <w:color w:val="auto"/>
          <w:sz w:val="22"/>
          <w:szCs w:val="22"/>
        </w:rPr>
        <w:t xml:space="preserve"> </w:t>
      </w:r>
      <w:r w:rsidRPr="00C65CAA">
        <w:rPr>
          <w:rFonts w:ascii="Arial Narrow" w:hAnsi="Arial Narrow"/>
          <w:color w:val="auto"/>
          <w:sz w:val="22"/>
          <w:szCs w:val="22"/>
        </w:rPr>
        <w:t xml:space="preserve">2018 čerpaných 9 624,8 tis. eur, t. j. na 58,53 %. Návrh RVS predpokladá kapitálové výdavky pre oblasť väzenstva v objeme 1 753 tis. eur. Pri požiadavkách rezortu a modernizačnom dlhu väzníc sa ukazuje naplánovaný objem ako nedostatočný. </w:t>
      </w:r>
    </w:p>
    <w:p w:rsidR="00D23611" w:rsidRPr="00C65CAA" w:rsidRDefault="00D23611" w:rsidP="00256AF8">
      <w:pPr>
        <w:pStyle w:val="Nadpis3"/>
        <w:spacing w:before="100" w:after="100"/>
        <w:rPr>
          <w:szCs w:val="22"/>
        </w:rPr>
      </w:pPr>
      <w:bookmarkStart w:id="32" w:name="_Toc529507600"/>
      <w:r w:rsidRPr="00C65CAA">
        <w:rPr>
          <w:szCs w:val="22"/>
        </w:rPr>
        <w:t>Ministerstvo financií SR</w:t>
      </w:r>
      <w:bookmarkEnd w:id="32"/>
    </w:p>
    <w:p w:rsidR="00C65CAA" w:rsidRDefault="00D23611" w:rsidP="00C65CAA">
      <w:pPr>
        <w:spacing w:before="100" w:after="100"/>
        <w:ind w:firstLine="708"/>
        <w:jc w:val="both"/>
        <w:rPr>
          <w:rFonts w:ascii="Arial Narrow" w:hAnsi="Arial Narrow"/>
          <w:sz w:val="22"/>
          <w:szCs w:val="22"/>
        </w:rPr>
      </w:pPr>
      <w:r w:rsidRPr="00C65CAA">
        <w:rPr>
          <w:rFonts w:ascii="Arial Narrow" w:hAnsi="Arial Narrow"/>
          <w:sz w:val="22"/>
          <w:szCs w:val="22"/>
        </w:rPr>
        <w:t>Z rozpočtu kapitoly MF SR sa zabezpečujú najmä výber daní a cla, informačné technológie financované zo štátneho rozpočtu a informačná spoločnosť. Značná časť rozpočtu je určená na inštitucionálnu podporu a kontrolu.</w:t>
      </w:r>
    </w:p>
    <w:p w:rsidR="007809C2" w:rsidRPr="00C65CAA" w:rsidRDefault="007809C2" w:rsidP="00C65CAA">
      <w:pPr>
        <w:spacing w:before="100" w:after="100"/>
        <w:ind w:firstLine="708"/>
        <w:jc w:val="both"/>
        <w:rPr>
          <w:rFonts w:ascii="Arial Narrow" w:hAnsi="Arial Narrow"/>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F027E9" w:rsidRPr="00C65CAA" w:rsidTr="00996FB7">
        <w:tc>
          <w:tcPr>
            <w:tcW w:w="9073" w:type="dxa"/>
            <w:tcBorders>
              <w:top w:val="single" w:sz="4" w:space="0" w:color="auto"/>
              <w:bottom w:val="single" w:sz="4" w:space="0" w:color="auto"/>
            </w:tcBorders>
            <w:shd w:val="clear" w:color="auto" w:fill="0070C0"/>
          </w:tcPr>
          <w:p w:rsidR="00FF178A" w:rsidRPr="00C65CAA" w:rsidRDefault="00F027E9" w:rsidP="00C65CAA">
            <w:pPr>
              <w:keepNext/>
              <w:keepLines/>
              <w:jc w:val="both"/>
              <w:rPr>
                <w:rFonts w:ascii="Arial Narrow" w:hAnsi="Arial Narrow"/>
                <w:color w:val="FFFFFF" w:themeColor="background1"/>
              </w:rPr>
            </w:pPr>
            <w:r w:rsidRPr="00C65CAA">
              <w:rPr>
                <w:rFonts w:ascii="Arial Narrow" w:hAnsi="Arial Narrow"/>
                <w:color w:val="FFFFFF" w:themeColor="background1"/>
              </w:rPr>
              <w:lastRenderedPageBreak/>
              <w:t>Oblasti alokovaných výdavkov (v tis. eur)</w:t>
            </w:r>
          </w:p>
        </w:tc>
      </w:tr>
      <w:tr w:rsidR="00FF178A" w:rsidRPr="00C65CAA" w:rsidTr="00996FB7">
        <w:tc>
          <w:tcPr>
            <w:tcW w:w="9073" w:type="dxa"/>
            <w:tcBorders>
              <w:top w:val="single" w:sz="4" w:space="0" w:color="auto"/>
              <w:bottom w:val="single" w:sz="4" w:space="0" w:color="auto"/>
            </w:tcBorders>
          </w:tcPr>
          <w:p w:rsidR="00FF178A" w:rsidRPr="00C65CAA" w:rsidRDefault="00F027E9" w:rsidP="00C65CAA">
            <w:pPr>
              <w:keepNext/>
              <w:keepLines/>
              <w:jc w:val="both"/>
              <w:rPr>
                <w:rFonts w:ascii="Arial Narrow" w:hAnsi="Arial Narrow"/>
              </w:rPr>
            </w:pPr>
            <w:r w:rsidRPr="00C65CAA">
              <w:rPr>
                <w:rFonts w:ascii="Arial Narrow" w:hAnsi="Arial Narrow"/>
                <w:noProof/>
              </w:rPr>
              <w:drawing>
                <wp:inline distT="0" distB="0" distL="0" distR="0" wp14:anchorId="414DB9B8" wp14:editId="5DDA9BD6">
                  <wp:extent cx="5697220" cy="876300"/>
                  <wp:effectExtent l="0" t="0" r="0" b="0"/>
                  <wp:docPr id="11" name="Graf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rsidR="00FF178A" w:rsidRPr="00C65CAA" w:rsidRDefault="00F027E9" w:rsidP="00C8633E">
      <w:pPr>
        <w:spacing w:after="100"/>
        <w:jc w:val="both"/>
        <w:rPr>
          <w:rFonts w:ascii="Arial Narrow" w:hAnsi="Arial Narrow"/>
          <w:sz w:val="20"/>
          <w:szCs w:val="20"/>
        </w:rPr>
      </w:pPr>
      <w:r w:rsidRPr="00C65CAA">
        <w:rPr>
          <w:rFonts w:ascii="Arial Narrow" w:hAnsi="Arial Narrow"/>
          <w:sz w:val="20"/>
          <w:szCs w:val="20"/>
        </w:rPr>
        <w:t xml:space="preserve">Zdroj: </w:t>
      </w:r>
      <w:r w:rsidR="00996FB7" w:rsidRPr="00C65CAA">
        <w:rPr>
          <w:rFonts w:ascii="Arial Narrow" w:hAnsi="Arial Narrow"/>
          <w:sz w:val="20"/>
          <w:szCs w:val="20"/>
        </w:rPr>
        <w:t xml:space="preserve">Návrh </w:t>
      </w:r>
      <w:r w:rsidRPr="00C65CAA">
        <w:rPr>
          <w:rFonts w:ascii="Arial Narrow" w:hAnsi="Arial Narrow"/>
          <w:sz w:val="20"/>
          <w:szCs w:val="20"/>
        </w:rPr>
        <w:t>RVS na roky 2019 až 2020</w:t>
      </w:r>
    </w:p>
    <w:p w:rsidR="00F027E9" w:rsidRPr="00C65CAA" w:rsidRDefault="00D23611" w:rsidP="00256AF8">
      <w:pPr>
        <w:autoSpaceDE w:val="0"/>
        <w:autoSpaceDN w:val="0"/>
        <w:adjustRightInd w:val="0"/>
        <w:spacing w:before="100" w:after="100"/>
        <w:ind w:firstLine="708"/>
        <w:jc w:val="both"/>
        <w:rPr>
          <w:rFonts w:ascii="Arial Narrow" w:hAnsi="Arial Narrow"/>
          <w:color w:val="000000"/>
          <w:sz w:val="22"/>
          <w:szCs w:val="22"/>
        </w:rPr>
      </w:pPr>
      <w:r w:rsidRPr="00C65CAA">
        <w:rPr>
          <w:rFonts w:ascii="Arial Narrow" w:hAnsi="Arial Narrow"/>
          <w:color w:val="000000"/>
          <w:sz w:val="22"/>
          <w:szCs w:val="22"/>
        </w:rPr>
        <w:t>Návrh výdavkov na rok 201</w:t>
      </w:r>
      <w:r w:rsidR="00F027E9" w:rsidRPr="00C65CAA">
        <w:rPr>
          <w:rFonts w:ascii="Arial Narrow" w:hAnsi="Arial Narrow"/>
          <w:color w:val="000000"/>
          <w:sz w:val="22"/>
          <w:szCs w:val="22"/>
        </w:rPr>
        <w:t>9</w:t>
      </w:r>
      <w:r w:rsidRPr="00C65CAA">
        <w:rPr>
          <w:rFonts w:ascii="Arial Narrow" w:hAnsi="Arial Narrow"/>
          <w:color w:val="000000"/>
          <w:sz w:val="22"/>
          <w:szCs w:val="22"/>
        </w:rPr>
        <w:t xml:space="preserve"> je v porovnaní so </w:t>
      </w:r>
      <w:r w:rsidR="00F027E9" w:rsidRPr="00C65CAA">
        <w:rPr>
          <w:rFonts w:ascii="Arial Narrow" w:hAnsi="Arial Narrow"/>
          <w:color w:val="000000"/>
          <w:sz w:val="22"/>
          <w:szCs w:val="22"/>
        </w:rPr>
        <w:t>schváleným rozpočtom na rok 2018</w:t>
      </w:r>
      <w:r w:rsidRPr="00C65CAA">
        <w:rPr>
          <w:rFonts w:ascii="Arial Narrow" w:hAnsi="Arial Narrow"/>
          <w:color w:val="000000"/>
          <w:sz w:val="22"/>
          <w:szCs w:val="22"/>
        </w:rPr>
        <w:t xml:space="preserve"> </w:t>
      </w:r>
      <w:r w:rsidR="00F027E9" w:rsidRPr="00C65CAA">
        <w:rPr>
          <w:rFonts w:ascii="Arial Narrow" w:hAnsi="Arial Narrow"/>
          <w:color w:val="000000"/>
          <w:sz w:val="22"/>
          <w:szCs w:val="22"/>
        </w:rPr>
        <w:t>vyšší o 15,3</w:t>
      </w:r>
      <w:r w:rsidRPr="00C65CAA">
        <w:rPr>
          <w:rFonts w:ascii="Arial Narrow" w:hAnsi="Arial Narrow"/>
          <w:color w:val="000000"/>
          <w:sz w:val="22"/>
          <w:szCs w:val="22"/>
        </w:rPr>
        <w:t xml:space="preserve"> %, v hodnotovom vyjadrení o</w:t>
      </w:r>
      <w:r w:rsidR="00F027E9" w:rsidRPr="00C65CAA">
        <w:rPr>
          <w:rFonts w:ascii="Arial Narrow" w:hAnsi="Arial Narrow"/>
          <w:color w:val="000000"/>
          <w:sz w:val="22"/>
          <w:szCs w:val="22"/>
        </w:rPr>
        <w:t xml:space="preserve"> 55 782 </w:t>
      </w:r>
      <w:r w:rsidRPr="00C65CAA">
        <w:rPr>
          <w:rFonts w:ascii="Arial Narrow" w:hAnsi="Arial Narrow"/>
          <w:color w:val="000000"/>
          <w:sz w:val="22"/>
          <w:szCs w:val="22"/>
        </w:rPr>
        <w:t xml:space="preserve">tis. eur. </w:t>
      </w:r>
      <w:r w:rsidR="00F027E9" w:rsidRPr="00C65CAA">
        <w:rPr>
          <w:rFonts w:ascii="Arial Narrow" w:hAnsi="Arial Narrow"/>
          <w:color w:val="000000"/>
          <w:sz w:val="22"/>
          <w:szCs w:val="22"/>
        </w:rPr>
        <w:t>Dôvodom nárastu výdavkov je rozpočtovanie prostriedkov EÚ a spolufinancovania zo štátneho rozpočtu</w:t>
      </w:r>
      <w:r w:rsidR="00836773" w:rsidRPr="00C65CAA">
        <w:rPr>
          <w:rFonts w:ascii="Arial Narrow" w:hAnsi="Arial Narrow"/>
          <w:color w:val="000000"/>
          <w:sz w:val="22"/>
          <w:szCs w:val="22"/>
        </w:rPr>
        <w:t>,</w:t>
      </w:r>
      <w:r w:rsidR="00F027E9" w:rsidRPr="00C65CAA">
        <w:rPr>
          <w:rFonts w:ascii="Arial Narrow" w:hAnsi="Arial Narrow"/>
          <w:color w:val="000000"/>
          <w:sz w:val="22"/>
          <w:szCs w:val="22"/>
        </w:rPr>
        <w:t xml:space="preserve"> a zvýšenie rozpočtových zdrojov kapitoly. </w:t>
      </w:r>
    </w:p>
    <w:p w:rsidR="007F6D4F" w:rsidRPr="00C65CAA" w:rsidRDefault="007F6D4F" w:rsidP="00256AF8">
      <w:pPr>
        <w:autoSpaceDE w:val="0"/>
        <w:autoSpaceDN w:val="0"/>
        <w:adjustRightInd w:val="0"/>
        <w:spacing w:before="100" w:after="100"/>
        <w:ind w:firstLine="708"/>
        <w:jc w:val="both"/>
        <w:rPr>
          <w:rFonts w:ascii="Arial Narrow" w:eastAsiaTheme="minorHAnsi" w:hAnsi="Arial Narrow"/>
          <w:sz w:val="22"/>
          <w:szCs w:val="22"/>
          <w:lang w:eastAsia="en-US"/>
        </w:rPr>
      </w:pPr>
      <w:r w:rsidRPr="00C65CAA">
        <w:rPr>
          <w:rFonts w:ascii="Arial Narrow" w:eastAsiaTheme="minorHAnsi" w:hAnsi="Arial Narrow"/>
          <w:sz w:val="22"/>
          <w:szCs w:val="22"/>
          <w:lang w:eastAsia="en-US"/>
        </w:rPr>
        <w:t>V roku 2019 bude MF SR zabezpečovať úlohy, ktorých finančné krytie presahuje možnosti navrhovaného rozpočtu. Ide predovšetkým o arbitráže a súdne spory, licencie – nadrezortné a UNITAS. Kapitola nemá zároveň pokryté požiadavky na osobné výdavky a rozvoj a prevádzku informačných systémov rezortného a nadrezo</w:t>
      </w:r>
      <w:r w:rsidR="00A724D0" w:rsidRPr="00C65CAA">
        <w:rPr>
          <w:rFonts w:ascii="Arial Narrow" w:eastAsiaTheme="minorHAnsi" w:hAnsi="Arial Narrow"/>
          <w:sz w:val="22"/>
          <w:szCs w:val="22"/>
          <w:lang w:eastAsia="en-US"/>
        </w:rPr>
        <w:t>rtného charakteru.</w:t>
      </w:r>
    </w:p>
    <w:p w:rsidR="007F6D4F" w:rsidRPr="00C65CAA" w:rsidRDefault="007F6D4F" w:rsidP="00256AF8">
      <w:pPr>
        <w:autoSpaceDE w:val="0"/>
        <w:autoSpaceDN w:val="0"/>
        <w:adjustRightInd w:val="0"/>
        <w:spacing w:before="100" w:after="100"/>
        <w:ind w:firstLine="708"/>
        <w:jc w:val="both"/>
        <w:rPr>
          <w:rFonts w:ascii="Arial Narrow" w:eastAsiaTheme="minorHAnsi" w:hAnsi="Arial Narrow"/>
          <w:sz w:val="22"/>
          <w:szCs w:val="22"/>
          <w:lang w:eastAsia="en-US"/>
        </w:rPr>
      </w:pPr>
      <w:r w:rsidRPr="00C65CAA">
        <w:rPr>
          <w:rFonts w:ascii="Arial Narrow" w:eastAsiaTheme="minorHAnsi" w:hAnsi="Arial Narrow"/>
          <w:sz w:val="22"/>
          <w:szCs w:val="22"/>
          <w:lang w:eastAsia="en-US"/>
        </w:rPr>
        <w:t xml:space="preserve">V rozpočte rezortu nie sú tiež premietnuté niektoré legislatívne normy, ktoré sú už schválené alebo sú v procese prípravy a schvaľovania. Ide o: </w:t>
      </w:r>
    </w:p>
    <w:p w:rsidR="007F6D4F" w:rsidRPr="00C65CAA" w:rsidRDefault="007F6D4F" w:rsidP="00256AF8">
      <w:pPr>
        <w:pStyle w:val="Odsekzoznamu"/>
        <w:numPr>
          <w:ilvl w:val="0"/>
          <w:numId w:val="98"/>
        </w:numPr>
        <w:autoSpaceDE w:val="0"/>
        <w:autoSpaceDN w:val="0"/>
        <w:adjustRightInd w:val="0"/>
        <w:spacing w:before="100" w:after="100"/>
        <w:jc w:val="both"/>
        <w:rPr>
          <w:rFonts w:ascii="Arial Narrow" w:eastAsiaTheme="minorHAnsi" w:hAnsi="Arial Narrow"/>
          <w:sz w:val="22"/>
          <w:szCs w:val="22"/>
          <w:lang w:eastAsia="en-US"/>
        </w:rPr>
      </w:pPr>
      <w:r w:rsidRPr="00C65CAA">
        <w:rPr>
          <w:rFonts w:ascii="Arial Narrow" w:eastAsiaTheme="minorHAnsi" w:hAnsi="Arial Narrow"/>
          <w:sz w:val="22"/>
          <w:szCs w:val="22"/>
          <w:lang w:eastAsia="en-US"/>
        </w:rPr>
        <w:t xml:space="preserve">zriadenie novej rozpočtovej organizácie Úrad pre reguláciu hazardných hier </w:t>
      </w:r>
      <w:r w:rsidR="00836773" w:rsidRPr="00C65CAA">
        <w:rPr>
          <w:rFonts w:ascii="Arial Narrow" w:hAnsi="Arial Narrow"/>
          <w:sz w:val="22"/>
          <w:szCs w:val="22"/>
        </w:rPr>
        <w:t xml:space="preserve">– </w:t>
      </w:r>
      <w:r w:rsidRPr="00C65CAA">
        <w:rPr>
          <w:rFonts w:ascii="Arial Narrow" w:eastAsiaTheme="minorHAnsi" w:hAnsi="Arial Narrow"/>
          <w:sz w:val="22"/>
          <w:szCs w:val="22"/>
          <w:lang w:eastAsia="en-US"/>
        </w:rPr>
        <w:t>od 1.</w:t>
      </w:r>
      <w:r w:rsidR="00836773" w:rsidRPr="00C65CAA">
        <w:rPr>
          <w:rFonts w:ascii="Arial Narrow" w:eastAsiaTheme="minorHAnsi" w:hAnsi="Arial Narrow"/>
          <w:sz w:val="22"/>
          <w:szCs w:val="22"/>
          <w:lang w:eastAsia="en-US"/>
        </w:rPr>
        <w:t xml:space="preserve"> </w:t>
      </w:r>
      <w:r w:rsidRPr="00C65CAA">
        <w:rPr>
          <w:rFonts w:ascii="Arial Narrow" w:eastAsiaTheme="minorHAnsi" w:hAnsi="Arial Narrow"/>
          <w:sz w:val="22"/>
          <w:szCs w:val="22"/>
          <w:lang w:eastAsia="en-US"/>
        </w:rPr>
        <w:t>mája 2019</w:t>
      </w:r>
      <w:r w:rsidR="00836773" w:rsidRPr="00C65CAA">
        <w:rPr>
          <w:rFonts w:ascii="Arial Narrow" w:eastAsiaTheme="minorHAnsi" w:hAnsi="Arial Narrow"/>
          <w:sz w:val="22"/>
          <w:szCs w:val="22"/>
          <w:lang w:eastAsia="en-US"/>
        </w:rPr>
        <w:t>,</w:t>
      </w:r>
      <w:r w:rsidRPr="00C65CAA">
        <w:rPr>
          <w:rFonts w:ascii="Arial Narrow" w:eastAsiaTheme="minorHAnsi" w:hAnsi="Arial Narrow"/>
          <w:sz w:val="22"/>
          <w:szCs w:val="22"/>
          <w:lang w:eastAsia="en-US"/>
        </w:rPr>
        <w:t xml:space="preserve"> v súlade s n</w:t>
      </w:r>
      <w:r w:rsidR="00836773" w:rsidRPr="00C65CAA">
        <w:rPr>
          <w:rFonts w:ascii="Arial Narrow" w:eastAsiaTheme="minorHAnsi" w:hAnsi="Arial Narrow"/>
          <w:sz w:val="22"/>
          <w:szCs w:val="22"/>
          <w:lang w:eastAsia="en-US"/>
        </w:rPr>
        <w:t>ovým zákonom o hazardných hrách</w:t>
      </w:r>
    </w:p>
    <w:p w:rsidR="00996FB7" w:rsidRPr="00C65CAA" w:rsidRDefault="00DB10CE" w:rsidP="00256AF8">
      <w:pPr>
        <w:pStyle w:val="Odsekzoznamu"/>
        <w:numPr>
          <w:ilvl w:val="0"/>
          <w:numId w:val="98"/>
        </w:numPr>
        <w:autoSpaceDE w:val="0"/>
        <w:autoSpaceDN w:val="0"/>
        <w:adjustRightInd w:val="0"/>
        <w:spacing w:before="100" w:after="100"/>
        <w:jc w:val="both"/>
        <w:rPr>
          <w:rFonts w:ascii="Arial Narrow" w:eastAsiaTheme="minorHAnsi" w:hAnsi="Arial Narrow"/>
          <w:sz w:val="22"/>
          <w:szCs w:val="22"/>
          <w:lang w:eastAsia="en-US"/>
        </w:rPr>
      </w:pPr>
      <w:r w:rsidRPr="00C65CAA">
        <w:rPr>
          <w:rFonts w:ascii="Arial Narrow" w:eastAsiaTheme="minorHAnsi" w:hAnsi="Arial Narrow"/>
          <w:sz w:val="22"/>
          <w:szCs w:val="22"/>
          <w:lang w:eastAsia="en-US"/>
        </w:rPr>
        <w:t>realizáciu</w:t>
      </w:r>
      <w:r w:rsidR="007F6D4F" w:rsidRPr="00C65CAA">
        <w:rPr>
          <w:rFonts w:ascii="Arial Narrow" w:eastAsiaTheme="minorHAnsi" w:hAnsi="Arial Narrow"/>
          <w:sz w:val="22"/>
          <w:szCs w:val="22"/>
          <w:lang w:eastAsia="en-US"/>
        </w:rPr>
        <w:t xml:space="preserve"> a financovanie systému e-kasa v zmysle novely zákona č. 289/2008 Z. z. o používaní elektronickej registračnej pokladnice a o zmene a doplnení zákona Slovenskej národnej rady č. 511/1992 Zb. o správe daní a poplatkov a o zmenách v súst</w:t>
      </w:r>
      <w:r w:rsidRPr="00C65CAA">
        <w:rPr>
          <w:rFonts w:ascii="Arial Narrow" w:eastAsiaTheme="minorHAnsi" w:hAnsi="Arial Narrow"/>
          <w:sz w:val="22"/>
          <w:szCs w:val="22"/>
          <w:lang w:eastAsia="en-US"/>
        </w:rPr>
        <w:t>ave územných finančných orgánov.</w:t>
      </w:r>
    </w:p>
    <w:p w:rsidR="00D23611" w:rsidRPr="00C65CAA" w:rsidRDefault="00D23611" w:rsidP="00256AF8">
      <w:pPr>
        <w:autoSpaceDE w:val="0"/>
        <w:autoSpaceDN w:val="0"/>
        <w:adjustRightInd w:val="0"/>
        <w:spacing w:before="100" w:after="100"/>
        <w:ind w:firstLine="708"/>
        <w:jc w:val="both"/>
        <w:rPr>
          <w:rFonts w:ascii="Arial Narrow" w:hAnsi="Arial Narrow"/>
          <w:sz w:val="22"/>
          <w:szCs w:val="22"/>
        </w:rPr>
      </w:pPr>
      <w:r w:rsidRPr="00C65CAA">
        <w:rPr>
          <w:rFonts w:ascii="Arial Narrow" w:hAnsi="Arial Narrow"/>
          <w:sz w:val="22"/>
          <w:szCs w:val="22"/>
        </w:rPr>
        <w:t xml:space="preserve">NKÚ SR konštatuje, že v navrhovanom rozpočte nie sú plne zabezpečené niektoré aktivity, napr. pokračovanie reformy UNITAS </w:t>
      </w:r>
      <w:r w:rsidR="00836773" w:rsidRPr="00C65CAA">
        <w:rPr>
          <w:rFonts w:ascii="Arial Narrow" w:hAnsi="Arial Narrow"/>
          <w:sz w:val="22"/>
          <w:szCs w:val="22"/>
        </w:rPr>
        <w:t>–</w:t>
      </w:r>
      <w:r w:rsidRPr="00C65CAA">
        <w:rPr>
          <w:rFonts w:ascii="Arial Narrow" w:hAnsi="Arial Narrow"/>
          <w:sz w:val="22"/>
          <w:szCs w:val="22"/>
        </w:rPr>
        <w:t xml:space="preserve"> Implementácia zjednotenia výberu daní, cla a poistných odvodov, financovanie nadrezortných licencií, prebieh</w:t>
      </w:r>
      <w:r w:rsidR="00F83611" w:rsidRPr="00C65CAA">
        <w:rPr>
          <w:rFonts w:ascii="Arial Narrow" w:hAnsi="Arial Narrow"/>
          <w:sz w:val="22"/>
          <w:szCs w:val="22"/>
        </w:rPr>
        <w:t xml:space="preserve">ajúcich a hroziacich arbitráží, </w:t>
      </w:r>
      <w:r w:rsidR="00F83611" w:rsidRPr="00C65CAA">
        <w:rPr>
          <w:rFonts w:ascii="Arial Narrow" w:eastAsiaTheme="minorHAnsi" w:hAnsi="Arial Narrow"/>
          <w:sz w:val="22"/>
          <w:szCs w:val="22"/>
          <w:lang w:eastAsia="en-US"/>
        </w:rPr>
        <w:t>požiadavky na osobné výdavky a rozvoj a prevádzku informačných systémov a niektoré legislatívne normy.</w:t>
      </w:r>
    </w:p>
    <w:p w:rsidR="00D23611" w:rsidRPr="00C65CAA" w:rsidRDefault="00D23611" w:rsidP="00256AF8">
      <w:pPr>
        <w:pStyle w:val="Nadpis3"/>
        <w:spacing w:before="100" w:after="100"/>
        <w:rPr>
          <w:szCs w:val="22"/>
        </w:rPr>
      </w:pPr>
      <w:bookmarkStart w:id="33" w:name="_Toc529507601"/>
      <w:r w:rsidRPr="00C65CAA">
        <w:rPr>
          <w:szCs w:val="22"/>
        </w:rPr>
        <w:t>Ministerstvo životného prostredia SR</w:t>
      </w:r>
      <w:bookmarkEnd w:id="33"/>
    </w:p>
    <w:p w:rsidR="00996FB7" w:rsidRPr="00C65CAA" w:rsidRDefault="00996FB7" w:rsidP="00256AF8">
      <w:pPr>
        <w:spacing w:before="100" w:after="100"/>
        <w:ind w:firstLine="709"/>
        <w:jc w:val="both"/>
        <w:rPr>
          <w:rFonts w:ascii="Arial Narrow" w:hAnsi="Arial Narrow"/>
          <w:sz w:val="22"/>
          <w:szCs w:val="22"/>
        </w:rPr>
      </w:pPr>
      <w:r w:rsidRPr="00C65CAA">
        <w:rPr>
          <w:rFonts w:ascii="Arial Narrow" w:hAnsi="Arial Narrow"/>
          <w:sz w:val="22"/>
          <w:szCs w:val="22"/>
        </w:rPr>
        <w:t xml:space="preserve">Výdavky kapitoly sú smerované do </w:t>
      </w:r>
      <w:r w:rsidR="005A6644" w:rsidRPr="00C65CAA">
        <w:rPr>
          <w:rFonts w:ascii="Arial Narrow" w:hAnsi="Arial Narrow"/>
          <w:sz w:val="22"/>
          <w:szCs w:val="22"/>
        </w:rPr>
        <w:t xml:space="preserve">týchto oblastí: </w:t>
      </w:r>
    </w:p>
    <w:tbl>
      <w:tblPr>
        <w:tblStyle w:val="Mriekatabuky"/>
        <w:tblW w:w="9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6"/>
      </w:tblGrid>
      <w:tr w:rsidR="00996FB7" w:rsidRPr="00C65CAA" w:rsidTr="00996FB7">
        <w:tc>
          <w:tcPr>
            <w:tcW w:w="9306" w:type="dxa"/>
            <w:tcBorders>
              <w:top w:val="single" w:sz="4" w:space="0" w:color="auto"/>
              <w:bottom w:val="single" w:sz="4" w:space="0" w:color="auto"/>
            </w:tcBorders>
            <w:shd w:val="clear" w:color="auto" w:fill="0070C0"/>
          </w:tcPr>
          <w:p w:rsidR="00996FB7" w:rsidRPr="00C65CAA" w:rsidRDefault="00996FB7" w:rsidP="00C8633E">
            <w:pPr>
              <w:jc w:val="both"/>
              <w:rPr>
                <w:rFonts w:ascii="Arial Narrow" w:hAnsi="Arial Narrow"/>
                <w:color w:val="FFFFFF" w:themeColor="background1"/>
              </w:rPr>
            </w:pPr>
            <w:r w:rsidRPr="00C65CAA">
              <w:rPr>
                <w:rFonts w:ascii="Arial Narrow" w:hAnsi="Arial Narrow"/>
                <w:color w:val="FFFFFF" w:themeColor="background1"/>
              </w:rPr>
              <w:t>Oblasti alokovaných výdavkov (v tis. eur)</w:t>
            </w:r>
          </w:p>
        </w:tc>
      </w:tr>
      <w:tr w:rsidR="00996FB7" w:rsidRPr="00C65CAA" w:rsidTr="00996FB7">
        <w:tc>
          <w:tcPr>
            <w:tcW w:w="9306" w:type="dxa"/>
            <w:tcBorders>
              <w:top w:val="single" w:sz="4" w:space="0" w:color="auto"/>
              <w:bottom w:val="single" w:sz="4" w:space="0" w:color="auto"/>
            </w:tcBorders>
          </w:tcPr>
          <w:p w:rsidR="00996FB7" w:rsidRPr="00C65CAA" w:rsidRDefault="00996FB7" w:rsidP="00C8633E">
            <w:pPr>
              <w:jc w:val="both"/>
              <w:rPr>
                <w:rFonts w:ascii="Arial Narrow" w:hAnsi="Arial Narrow"/>
              </w:rPr>
            </w:pPr>
            <w:r w:rsidRPr="00C65CAA">
              <w:rPr>
                <w:rFonts w:ascii="Arial Narrow" w:hAnsi="Arial Narrow"/>
                <w:noProof/>
              </w:rPr>
              <w:drawing>
                <wp:inline distT="0" distB="0" distL="0" distR="0" wp14:anchorId="26995256" wp14:editId="62F86ECD">
                  <wp:extent cx="5760000" cy="1404000"/>
                  <wp:effectExtent l="0" t="0" r="12700" b="5715"/>
                  <wp:docPr id="25" name="Graf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rsidR="00996FB7" w:rsidRPr="00C65CAA" w:rsidRDefault="00996FB7" w:rsidP="00C8633E">
      <w:pPr>
        <w:spacing w:after="100"/>
        <w:jc w:val="both"/>
        <w:rPr>
          <w:rFonts w:ascii="Arial Narrow" w:hAnsi="Arial Narrow"/>
          <w:sz w:val="20"/>
          <w:szCs w:val="20"/>
        </w:rPr>
      </w:pPr>
      <w:r w:rsidRPr="00C65CAA">
        <w:rPr>
          <w:rFonts w:ascii="Arial Narrow" w:hAnsi="Arial Narrow"/>
          <w:sz w:val="20"/>
          <w:szCs w:val="20"/>
        </w:rPr>
        <w:t>Zdroj: Návrh RVS na roky 2019 až 2021</w:t>
      </w:r>
    </w:p>
    <w:p w:rsidR="00EB59B2" w:rsidRPr="00C65CAA" w:rsidRDefault="00EB59B2" w:rsidP="00256AF8">
      <w:pPr>
        <w:spacing w:before="100" w:after="100"/>
        <w:ind w:firstLine="708"/>
        <w:jc w:val="both"/>
        <w:rPr>
          <w:rFonts w:ascii="Arial Narrow" w:eastAsia="Calibri" w:hAnsi="Arial Narrow"/>
          <w:sz w:val="22"/>
          <w:lang w:eastAsia="en-US"/>
        </w:rPr>
      </w:pPr>
      <w:r w:rsidRPr="00C65CAA">
        <w:rPr>
          <w:rFonts w:ascii="Arial Narrow" w:hAnsi="Arial Narrow"/>
          <w:sz w:val="22"/>
        </w:rPr>
        <w:t xml:space="preserve">Ministerstvo má v návrhu RVS na rok 2019 rozpočtované </w:t>
      </w:r>
      <w:r w:rsidR="002C17F9" w:rsidRPr="00C65CAA">
        <w:rPr>
          <w:rFonts w:ascii="Arial Narrow" w:hAnsi="Arial Narrow"/>
          <w:sz w:val="22"/>
        </w:rPr>
        <w:t>výdavky vo výške 540 </w:t>
      </w:r>
      <w:r w:rsidRPr="00C65CAA">
        <w:rPr>
          <w:rFonts w:ascii="Arial Narrow" w:hAnsi="Arial Narrow"/>
          <w:sz w:val="22"/>
        </w:rPr>
        <w:t>617 tis. eur, ktoré sú oproti schválenému RVS na rok 2018 vyššie o 348 458 tis. eur, t. j. o 180 %. Dôvodom nárastu je vyššia alokácia prostriedkov E</w:t>
      </w:r>
      <w:r w:rsidR="00876878" w:rsidRPr="00C65CAA">
        <w:rPr>
          <w:rFonts w:ascii="Arial Narrow" w:hAnsi="Arial Narrow"/>
          <w:sz w:val="22"/>
        </w:rPr>
        <w:t xml:space="preserve">Ú </w:t>
      </w:r>
      <w:r w:rsidRPr="00C65CAA">
        <w:rPr>
          <w:rFonts w:ascii="Arial Narrow" w:hAnsi="Arial Narrow"/>
          <w:sz w:val="22"/>
        </w:rPr>
        <w:t>a spolufinancovania v rámci 3. programového obdobia v</w:t>
      </w:r>
      <w:r w:rsidR="00836773" w:rsidRPr="00C65CAA">
        <w:rPr>
          <w:rFonts w:ascii="Arial Narrow" w:hAnsi="Arial Narrow"/>
          <w:sz w:val="22"/>
        </w:rPr>
        <w:t> </w:t>
      </w:r>
      <w:r w:rsidRPr="00C65CAA">
        <w:rPr>
          <w:rFonts w:ascii="Arial Narrow" w:hAnsi="Arial Narrow"/>
          <w:sz w:val="22"/>
        </w:rPr>
        <w:t>kapitole</w:t>
      </w:r>
      <w:r w:rsidR="00836773" w:rsidRPr="00C65CAA">
        <w:rPr>
          <w:rFonts w:ascii="Arial Narrow" w:hAnsi="Arial Narrow"/>
          <w:sz w:val="22"/>
        </w:rPr>
        <w:t>,</w:t>
      </w:r>
      <w:r w:rsidRPr="00C65CAA">
        <w:rPr>
          <w:rFonts w:ascii="Arial Narrow" w:hAnsi="Arial Narrow"/>
          <w:sz w:val="22"/>
        </w:rPr>
        <w:t xml:space="preserve"> a najmä zohľadnenie výdavkov určených na priority na rok 2019.</w:t>
      </w:r>
      <w:r w:rsidR="00A724D0" w:rsidRPr="00C65CAA">
        <w:rPr>
          <w:rFonts w:ascii="Arial Narrow" w:hAnsi="Arial Narrow"/>
          <w:sz w:val="22"/>
        </w:rPr>
        <w:t xml:space="preserve"> </w:t>
      </w:r>
      <w:r w:rsidRPr="00C65CAA">
        <w:rPr>
          <w:rFonts w:ascii="Arial Narrow" w:hAnsi="Arial Narrow"/>
          <w:sz w:val="22"/>
        </w:rPr>
        <w:t xml:space="preserve">Vlastné zdroje kapitoly sú rozpočtované v objeme 85 734 tis. eur, </w:t>
      </w:r>
      <w:r w:rsidR="00836773" w:rsidRPr="00C65CAA">
        <w:rPr>
          <w:rFonts w:ascii="Arial Narrow" w:hAnsi="Arial Narrow"/>
          <w:sz w:val="22"/>
        </w:rPr>
        <w:t>vz</w:t>
      </w:r>
      <w:r w:rsidRPr="00C65CAA">
        <w:rPr>
          <w:rFonts w:ascii="Arial Narrow" w:hAnsi="Arial Narrow"/>
          <w:sz w:val="22"/>
        </w:rPr>
        <w:t xml:space="preserve">rastú o 4,32 % oproti predchádzajúcemu roku. </w:t>
      </w:r>
      <w:r w:rsidRPr="00C65CAA">
        <w:rPr>
          <w:rFonts w:ascii="Arial Narrow" w:eastAsia="Calibri" w:hAnsi="Arial Narrow"/>
          <w:sz w:val="22"/>
          <w:lang w:eastAsia="en-US"/>
        </w:rPr>
        <w:t>Všetky ka</w:t>
      </w:r>
      <w:r w:rsidR="00836773" w:rsidRPr="00C65CAA">
        <w:rPr>
          <w:rFonts w:ascii="Arial Narrow" w:eastAsia="Calibri" w:hAnsi="Arial Narrow"/>
          <w:sz w:val="22"/>
          <w:lang w:eastAsia="en-US"/>
        </w:rPr>
        <w:t>tegórie zaznamenávajú rast, len</w:t>
      </w:r>
      <w:r w:rsidRPr="00C65CAA">
        <w:rPr>
          <w:rFonts w:ascii="Arial Narrow" w:eastAsia="Calibri" w:hAnsi="Arial Narrow"/>
          <w:sz w:val="22"/>
          <w:lang w:eastAsia="en-US"/>
        </w:rPr>
        <w:t xml:space="preserve"> k</w:t>
      </w:r>
      <w:r w:rsidR="00876878" w:rsidRPr="00C65CAA">
        <w:rPr>
          <w:rFonts w:ascii="Arial Narrow" w:eastAsia="Calibri" w:hAnsi="Arial Narrow"/>
          <w:sz w:val="22"/>
          <w:lang w:eastAsia="en-US"/>
        </w:rPr>
        <w:t xml:space="preserve">ategória tovary a služby klesá </w:t>
      </w:r>
      <w:r w:rsidR="005A6644" w:rsidRPr="00C65CAA">
        <w:rPr>
          <w:rFonts w:ascii="Arial Narrow" w:eastAsia="Calibri" w:hAnsi="Arial Narrow"/>
          <w:sz w:val="22"/>
          <w:lang w:eastAsia="en-US"/>
        </w:rPr>
        <w:t>o 404 tis. </w:t>
      </w:r>
      <w:r w:rsidRPr="00C65CAA">
        <w:rPr>
          <w:rFonts w:ascii="Arial Narrow" w:eastAsia="Calibri" w:hAnsi="Arial Narrow"/>
          <w:sz w:val="22"/>
          <w:lang w:eastAsia="en-US"/>
        </w:rPr>
        <w:t xml:space="preserve">eur oproti RVS 2018.  </w:t>
      </w:r>
    </w:p>
    <w:p w:rsidR="00EB59B2" w:rsidRPr="00C65CAA" w:rsidRDefault="00EB59B2" w:rsidP="00256AF8">
      <w:pPr>
        <w:pStyle w:val="Zkladntext"/>
        <w:spacing w:before="100" w:after="100"/>
        <w:ind w:firstLine="708"/>
        <w:jc w:val="both"/>
        <w:rPr>
          <w:rFonts w:ascii="Arial Narrow" w:hAnsi="Arial Narrow"/>
          <w:sz w:val="22"/>
          <w:szCs w:val="22"/>
        </w:rPr>
      </w:pPr>
      <w:r w:rsidRPr="00C65CAA">
        <w:rPr>
          <w:rFonts w:ascii="Arial Narrow" w:hAnsi="Arial Narrow"/>
          <w:b/>
          <w:sz w:val="22"/>
          <w:szCs w:val="22"/>
        </w:rPr>
        <w:t>Výdavky na podporu vodného hospodárstva</w:t>
      </w:r>
      <w:r w:rsidRPr="00C65CAA">
        <w:rPr>
          <w:rFonts w:ascii="Arial Narrow" w:hAnsi="Arial Narrow"/>
          <w:sz w:val="22"/>
          <w:szCs w:val="22"/>
        </w:rPr>
        <w:t xml:space="preserve"> v návrhu RVS na rok 2019 sú rozpočtované v sume 305 377 tis. eur, </w:t>
      </w:r>
      <w:r w:rsidR="00A724D0" w:rsidRPr="00C65CAA">
        <w:rPr>
          <w:rFonts w:ascii="Arial Narrow" w:hAnsi="Arial Narrow"/>
          <w:sz w:val="22"/>
          <w:szCs w:val="22"/>
        </w:rPr>
        <w:t>čo</w:t>
      </w:r>
      <w:r w:rsidRPr="00C65CAA">
        <w:rPr>
          <w:rFonts w:ascii="Arial Narrow" w:hAnsi="Arial Narrow"/>
          <w:sz w:val="22"/>
          <w:szCs w:val="22"/>
        </w:rPr>
        <w:t xml:space="preserve"> oproti schválenému RVS 2018 </w:t>
      </w:r>
      <w:r w:rsidR="00A724D0" w:rsidRPr="00C65CAA">
        <w:rPr>
          <w:rFonts w:ascii="Arial Narrow" w:hAnsi="Arial Narrow"/>
          <w:sz w:val="22"/>
          <w:szCs w:val="22"/>
        </w:rPr>
        <w:t xml:space="preserve">predstavuje rast </w:t>
      </w:r>
      <w:r w:rsidRPr="00C65CAA">
        <w:rPr>
          <w:rFonts w:ascii="Arial Narrow" w:hAnsi="Arial Narrow"/>
          <w:sz w:val="22"/>
          <w:szCs w:val="22"/>
        </w:rPr>
        <w:t>o 215 116 tis. eur, t. j. o 238 %. Nárast je spôsobený výrazným navýšením výdavkov EÚ na úrovni 342 %,</w:t>
      </w:r>
      <w:r w:rsidR="002C17F9" w:rsidRPr="00C65CAA">
        <w:rPr>
          <w:rFonts w:ascii="Arial Narrow" w:hAnsi="Arial Narrow"/>
          <w:sz w:val="22"/>
          <w:szCs w:val="22"/>
        </w:rPr>
        <w:t xml:space="preserve"> </w:t>
      </w:r>
      <w:r w:rsidRPr="00C65CAA">
        <w:rPr>
          <w:rFonts w:ascii="Arial Narrow" w:hAnsi="Arial Narrow"/>
          <w:sz w:val="22"/>
          <w:szCs w:val="22"/>
        </w:rPr>
        <w:t>ktoré majú byť použité predovšetkým na preventívne protipovodňové opatrenia. Ich čerpanie k 24.</w:t>
      </w:r>
      <w:r w:rsidR="00836773" w:rsidRPr="00C65CAA">
        <w:rPr>
          <w:rFonts w:ascii="Arial Narrow" w:hAnsi="Arial Narrow"/>
          <w:sz w:val="22"/>
          <w:szCs w:val="22"/>
        </w:rPr>
        <w:t xml:space="preserve"> </w:t>
      </w:r>
      <w:r w:rsidRPr="00C65CAA">
        <w:rPr>
          <w:rFonts w:ascii="Arial Narrow" w:hAnsi="Arial Narrow"/>
          <w:sz w:val="22"/>
          <w:szCs w:val="22"/>
        </w:rPr>
        <w:t>10.</w:t>
      </w:r>
      <w:r w:rsidR="00836773" w:rsidRPr="00C65CAA">
        <w:rPr>
          <w:rFonts w:ascii="Arial Narrow" w:hAnsi="Arial Narrow"/>
          <w:sz w:val="22"/>
          <w:szCs w:val="22"/>
        </w:rPr>
        <w:t xml:space="preserve"> </w:t>
      </w:r>
      <w:r w:rsidRPr="00C65CAA">
        <w:rPr>
          <w:rFonts w:ascii="Arial Narrow" w:hAnsi="Arial Narrow"/>
          <w:sz w:val="22"/>
          <w:szCs w:val="22"/>
        </w:rPr>
        <w:t>2018, predstavuje 181 277 tis. eur</w:t>
      </w:r>
      <w:r w:rsidR="00836773" w:rsidRPr="00C65CAA">
        <w:rPr>
          <w:rFonts w:ascii="Arial Narrow" w:hAnsi="Arial Narrow"/>
          <w:sz w:val="22"/>
          <w:szCs w:val="22"/>
        </w:rPr>
        <w:t>,</w:t>
      </w:r>
      <w:r w:rsidRPr="00C65CAA">
        <w:rPr>
          <w:rFonts w:ascii="Arial Narrow" w:hAnsi="Arial Narrow"/>
          <w:sz w:val="22"/>
          <w:szCs w:val="22"/>
        </w:rPr>
        <w:t xml:space="preserve"> t.</w:t>
      </w:r>
      <w:r w:rsidR="002C17F9" w:rsidRPr="00C65CAA">
        <w:rPr>
          <w:rFonts w:ascii="Arial Narrow" w:hAnsi="Arial Narrow"/>
          <w:sz w:val="22"/>
          <w:szCs w:val="22"/>
        </w:rPr>
        <w:t xml:space="preserve"> j. 67</w:t>
      </w:r>
      <w:r w:rsidR="00836773" w:rsidRPr="00C65CAA">
        <w:rPr>
          <w:rFonts w:ascii="Arial Narrow" w:hAnsi="Arial Narrow"/>
          <w:sz w:val="22"/>
          <w:szCs w:val="22"/>
        </w:rPr>
        <w:t xml:space="preserve"> </w:t>
      </w:r>
      <w:r w:rsidR="002C17F9" w:rsidRPr="00C65CAA">
        <w:rPr>
          <w:rFonts w:ascii="Arial Narrow" w:hAnsi="Arial Narrow"/>
          <w:sz w:val="22"/>
          <w:szCs w:val="22"/>
        </w:rPr>
        <w:t>% z </w:t>
      </w:r>
      <w:r w:rsidRPr="00C65CAA">
        <w:rPr>
          <w:rFonts w:ascii="Arial Narrow" w:hAnsi="Arial Narrow"/>
          <w:sz w:val="22"/>
          <w:szCs w:val="22"/>
        </w:rPr>
        <w:t>upraveného rozpočtu. Podiel čerpani</w:t>
      </w:r>
      <w:r w:rsidR="00A724D0" w:rsidRPr="00C65CAA">
        <w:rPr>
          <w:rFonts w:ascii="Arial Narrow" w:hAnsi="Arial Narrow"/>
          <w:sz w:val="22"/>
          <w:szCs w:val="22"/>
        </w:rPr>
        <w:t>a vlastných zdrojov predstavuje</w:t>
      </w:r>
      <w:r w:rsidRPr="00C65CAA">
        <w:rPr>
          <w:rFonts w:ascii="Arial Narrow" w:hAnsi="Arial Narrow"/>
          <w:sz w:val="22"/>
          <w:szCs w:val="22"/>
        </w:rPr>
        <w:t xml:space="preserve"> 32 689 </w:t>
      </w:r>
      <w:r w:rsidR="006B0033" w:rsidRPr="00C65CAA">
        <w:rPr>
          <w:rFonts w:ascii="Arial Narrow" w:hAnsi="Arial Narrow"/>
          <w:sz w:val="22"/>
          <w:szCs w:val="22"/>
        </w:rPr>
        <w:t>tis. eur</w:t>
      </w:r>
      <w:r w:rsidR="00836773" w:rsidRPr="00C65CAA">
        <w:rPr>
          <w:rFonts w:ascii="Arial Narrow" w:hAnsi="Arial Narrow"/>
          <w:sz w:val="22"/>
          <w:szCs w:val="22"/>
        </w:rPr>
        <w:t>,</w:t>
      </w:r>
      <w:r w:rsidR="006B0033" w:rsidRPr="00C65CAA">
        <w:rPr>
          <w:rFonts w:ascii="Arial Narrow" w:hAnsi="Arial Narrow"/>
          <w:sz w:val="22"/>
          <w:szCs w:val="22"/>
        </w:rPr>
        <w:t xml:space="preserve"> </w:t>
      </w:r>
      <w:r w:rsidRPr="00C65CAA">
        <w:rPr>
          <w:rFonts w:ascii="Arial Narrow" w:hAnsi="Arial Narrow"/>
          <w:sz w:val="22"/>
          <w:szCs w:val="22"/>
        </w:rPr>
        <w:t>zvyšok sú európ</w:t>
      </w:r>
      <w:r w:rsidR="00E745F8" w:rsidRPr="00C65CAA">
        <w:rPr>
          <w:rFonts w:ascii="Arial Narrow" w:hAnsi="Arial Narrow"/>
          <w:sz w:val="22"/>
          <w:szCs w:val="22"/>
        </w:rPr>
        <w:t xml:space="preserve">ske zdroje. Z pohľadu vývoja </w:t>
      </w:r>
      <w:r w:rsidRPr="00C65CAA">
        <w:rPr>
          <w:rFonts w:ascii="Arial Narrow" w:hAnsi="Arial Narrow"/>
          <w:sz w:val="22"/>
          <w:szCs w:val="22"/>
        </w:rPr>
        <w:t>v roku 2017 možno konštatovať, že dochádza k</w:t>
      </w:r>
      <w:r w:rsidR="00876878" w:rsidRPr="00C65CAA">
        <w:rPr>
          <w:rFonts w:ascii="Arial Narrow" w:hAnsi="Arial Narrow"/>
          <w:sz w:val="22"/>
          <w:szCs w:val="22"/>
        </w:rPr>
        <w:t> postupnému zvýšeniu čerpania EÚ</w:t>
      </w:r>
      <w:r w:rsidRPr="00C65CAA">
        <w:rPr>
          <w:rFonts w:ascii="Arial Narrow" w:hAnsi="Arial Narrow"/>
          <w:sz w:val="22"/>
          <w:szCs w:val="22"/>
        </w:rPr>
        <w:t xml:space="preserve"> fondov.</w:t>
      </w:r>
    </w:p>
    <w:p w:rsidR="00996FB7" w:rsidRPr="00C65CAA" w:rsidRDefault="00EB59B2" w:rsidP="00256AF8">
      <w:pPr>
        <w:pStyle w:val="Zkladntext"/>
        <w:spacing w:before="100" w:after="100"/>
        <w:ind w:firstLine="708"/>
        <w:jc w:val="both"/>
        <w:rPr>
          <w:rFonts w:ascii="Arial Narrow" w:hAnsi="Arial Narrow"/>
          <w:sz w:val="22"/>
          <w:szCs w:val="22"/>
        </w:rPr>
      </w:pPr>
      <w:r w:rsidRPr="00C65CAA">
        <w:rPr>
          <w:rFonts w:ascii="Arial Narrow" w:hAnsi="Arial Narrow"/>
          <w:sz w:val="22"/>
          <w:szCs w:val="22"/>
        </w:rPr>
        <w:lastRenderedPageBreak/>
        <w:t xml:space="preserve">Rizikom zostáva riadenie programu, vzhľadom na to, že v praxi </w:t>
      </w:r>
      <w:r w:rsidR="002C17F9" w:rsidRPr="00C65CAA">
        <w:rPr>
          <w:rFonts w:ascii="Arial Narrow" w:hAnsi="Arial Narrow"/>
          <w:sz w:val="22"/>
          <w:szCs w:val="22"/>
        </w:rPr>
        <w:t xml:space="preserve">sa neuplatňuje </w:t>
      </w:r>
      <w:r w:rsidRPr="00C65CAA">
        <w:rPr>
          <w:rFonts w:ascii="Arial Narrow" w:hAnsi="Arial Narrow"/>
          <w:sz w:val="22"/>
          <w:szCs w:val="22"/>
        </w:rPr>
        <w:t xml:space="preserve">prioritizácia projektov protipovodňových opatrení podľa Plánov manažmentu </w:t>
      </w:r>
      <w:r w:rsidR="00E745F8" w:rsidRPr="00C65CAA">
        <w:rPr>
          <w:rFonts w:ascii="Arial Narrow" w:hAnsi="Arial Narrow"/>
          <w:sz w:val="22"/>
          <w:szCs w:val="22"/>
        </w:rPr>
        <w:t xml:space="preserve">povodňového rizika na roky 2016 – </w:t>
      </w:r>
      <w:r w:rsidRPr="00C65CAA">
        <w:rPr>
          <w:rFonts w:ascii="Arial Narrow" w:hAnsi="Arial Narrow"/>
          <w:sz w:val="22"/>
          <w:szCs w:val="22"/>
        </w:rPr>
        <w:t>2021. Ročne tak prichádzame o 13 000 tis. eur odvrátených škôd (na základe modelu)</w:t>
      </w:r>
      <w:r w:rsidR="00E745F8" w:rsidRPr="00C65CAA">
        <w:rPr>
          <w:rFonts w:ascii="Arial Narrow" w:hAnsi="Arial Narrow"/>
          <w:sz w:val="22"/>
          <w:szCs w:val="22"/>
        </w:rPr>
        <w:t>,</w:t>
      </w:r>
      <w:r w:rsidRPr="00C65CAA">
        <w:rPr>
          <w:rFonts w:ascii="Arial Narrow" w:hAnsi="Arial Narrow"/>
          <w:sz w:val="22"/>
          <w:szCs w:val="22"/>
        </w:rPr>
        <w:t xml:space="preserve"> a SVP, š. p.</w:t>
      </w:r>
      <w:r w:rsidR="00E745F8" w:rsidRPr="00C65CAA">
        <w:rPr>
          <w:rFonts w:ascii="Arial Narrow" w:hAnsi="Arial Narrow"/>
          <w:sz w:val="22"/>
          <w:szCs w:val="22"/>
        </w:rPr>
        <w:t>,</w:t>
      </w:r>
      <w:r w:rsidRPr="00C65CAA">
        <w:rPr>
          <w:rFonts w:ascii="Arial Narrow" w:hAnsi="Arial Narrow"/>
          <w:sz w:val="22"/>
          <w:szCs w:val="22"/>
        </w:rPr>
        <w:t xml:space="preserve"> naďalej plánuje podporovať projekty podľa stavu ich pripravenosti na realizáciu, kde v mnohých prípadoch prevládajú vyššie náklady nad prínosom.</w:t>
      </w:r>
    </w:p>
    <w:p w:rsidR="00EB59B2" w:rsidRPr="00C65CAA" w:rsidRDefault="00996FB7" w:rsidP="00256AF8">
      <w:pPr>
        <w:pStyle w:val="Zkladntext"/>
        <w:spacing w:before="100" w:after="100"/>
        <w:ind w:firstLine="708"/>
        <w:jc w:val="both"/>
        <w:rPr>
          <w:rFonts w:ascii="Arial Narrow" w:hAnsi="Arial Narrow"/>
          <w:sz w:val="22"/>
          <w:szCs w:val="22"/>
        </w:rPr>
      </w:pPr>
      <w:r w:rsidRPr="00C65CAA">
        <w:rPr>
          <w:rFonts w:ascii="Arial Narrow" w:hAnsi="Arial Narrow"/>
          <w:sz w:val="22"/>
          <w:szCs w:val="22"/>
        </w:rPr>
        <w:t>Z výsledkov kontroly NKÚ SR</w:t>
      </w:r>
      <w:r w:rsidR="00E745F8" w:rsidRPr="00C65CAA">
        <w:rPr>
          <w:rFonts w:ascii="Arial Narrow" w:hAnsi="Arial Narrow"/>
          <w:sz w:val="22"/>
          <w:szCs w:val="22"/>
        </w:rPr>
        <w:t>,</w:t>
      </w:r>
      <w:r w:rsidRPr="00C65CAA">
        <w:rPr>
          <w:rFonts w:ascii="Arial Narrow" w:hAnsi="Arial Narrow"/>
          <w:sz w:val="22"/>
          <w:szCs w:val="22"/>
        </w:rPr>
        <w:t xml:space="preserve"> vykonanej v roku 2017, ktorá bola za</w:t>
      </w:r>
      <w:r w:rsidR="005A6644" w:rsidRPr="00C65CAA">
        <w:rPr>
          <w:rFonts w:ascii="Arial Narrow" w:hAnsi="Arial Narrow"/>
          <w:sz w:val="22"/>
          <w:szCs w:val="22"/>
        </w:rPr>
        <w:t>meraná na prínosy investícií do </w:t>
      </w:r>
      <w:r w:rsidRPr="00C65CAA">
        <w:rPr>
          <w:rFonts w:ascii="Arial Narrow" w:hAnsi="Arial Narrow"/>
          <w:sz w:val="22"/>
          <w:szCs w:val="22"/>
        </w:rPr>
        <w:t>odkanalizovania z</w:t>
      </w:r>
      <w:r w:rsidR="002C17F9" w:rsidRPr="00C65CAA">
        <w:rPr>
          <w:rFonts w:ascii="Arial Narrow" w:hAnsi="Arial Narrow"/>
          <w:sz w:val="22"/>
          <w:szCs w:val="22"/>
        </w:rPr>
        <w:t> </w:t>
      </w:r>
      <w:r w:rsidRPr="00C65CAA">
        <w:rPr>
          <w:rFonts w:ascii="Arial Narrow" w:hAnsi="Arial Narrow"/>
          <w:sz w:val="22"/>
          <w:szCs w:val="22"/>
        </w:rPr>
        <w:t>O</w:t>
      </w:r>
      <w:r w:rsidR="002C17F9" w:rsidRPr="00C65CAA">
        <w:rPr>
          <w:rFonts w:ascii="Arial Narrow" w:hAnsi="Arial Narrow"/>
          <w:sz w:val="22"/>
          <w:szCs w:val="22"/>
        </w:rPr>
        <w:t xml:space="preserve">P </w:t>
      </w:r>
      <w:r w:rsidRPr="00C65CAA">
        <w:rPr>
          <w:rFonts w:ascii="Arial Narrow" w:hAnsi="Arial Narrow"/>
          <w:sz w:val="22"/>
          <w:szCs w:val="22"/>
        </w:rPr>
        <w:t>Životné prostredie</w:t>
      </w:r>
      <w:r w:rsidR="00E745F8" w:rsidRPr="00C65CAA">
        <w:rPr>
          <w:rFonts w:ascii="Arial Narrow" w:hAnsi="Arial Narrow"/>
          <w:sz w:val="22"/>
          <w:szCs w:val="22"/>
        </w:rPr>
        <w:t>,</w:t>
      </w:r>
      <w:r w:rsidRPr="00C65CAA">
        <w:rPr>
          <w:rFonts w:ascii="Arial Narrow" w:hAnsi="Arial Narrow"/>
          <w:sz w:val="22"/>
          <w:szCs w:val="22"/>
        </w:rPr>
        <w:t xml:space="preserve"> vyplývajú značné rezervy v hospodárnosti, efektívnosti a účinnosti vynaložených finančných prostriedkov. Analýzou sa identifikovali rozdiely medzi jednotkovými cenami vybraných stavebných položiek a ich smernými cenami, ktoré boli často významné, v niekto</w:t>
      </w:r>
      <w:r w:rsidR="002C17F9" w:rsidRPr="00C65CAA">
        <w:rPr>
          <w:rFonts w:ascii="Arial Narrow" w:hAnsi="Arial Narrow"/>
          <w:sz w:val="22"/>
          <w:szCs w:val="22"/>
        </w:rPr>
        <w:t>rých prípadoch boli viac než</w:t>
      </w:r>
      <w:r w:rsidR="002C17F9" w:rsidRPr="00C65CAA">
        <w:rPr>
          <w:rFonts w:ascii="Arial Narrow" w:hAnsi="Arial Narrow"/>
          <w:sz w:val="22"/>
          <w:szCs w:val="22"/>
        </w:rPr>
        <w:br/>
        <w:t>10-</w:t>
      </w:r>
      <w:r w:rsidRPr="00C65CAA">
        <w:rPr>
          <w:rFonts w:ascii="Arial Narrow" w:hAnsi="Arial Narrow"/>
          <w:sz w:val="22"/>
          <w:szCs w:val="22"/>
        </w:rPr>
        <w:t>násobne predražené</w:t>
      </w:r>
    </w:p>
    <w:p w:rsidR="00EB59B2" w:rsidRPr="00C65CAA" w:rsidRDefault="00EB59B2" w:rsidP="00256AF8">
      <w:pPr>
        <w:spacing w:before="100" w:after="100"/>
        <w:ind w:firstLine="708"/>
        <w:jc w:val="both"/>
        <w:rPr>
          <w:rFonts w:ascii="Arial Narrow" w:hAnsi="Arial Narrow"/>
          <w:sz w:val="22"/>
        </w:rPr>
      </w:pPr>
      <w:r w:rsidRPr="00C65CAA">
        <w:rPr>
          <w:rFonts w:ascii="Arial Narrow" w:hAnsi="Arial Narrow"/>
          <w:b/>
          <w:sz w:val="22"/>
        </w:rPr>
        <w:t xml:space="preserve">Výdavky na ochranu ovzdušia </w:t>
      </w:r>
      <w:r w:rsidR="002C17F9" w:rsidRPr="00C65CAA">
        <w:rPr>
          <w:rFonts w:ascii="Arial Narrow" w:hAnsi="Arial Narrow"/>
          <w:sz w:val="22"/>
        </w:rPr>
        <w:t>sú</w:t>
      </w:r>
      <w:r w:rsidRPr="00C65CAA">
        <w:rPr>
          <w:rFonts w:ascii="Arial Narrow" w:hAnsi="Arial Narrow"/>
          <w:sz w:val="22"/>
        </w:rPr>
        <w:t> v návrhu RVS na rok 2019</w:t>
      </w:r>
      <w:r w:rsidR="002C17F9" w:rsidRPr="00C65CAA">
        <w:rPr>
          <w:rFonts w:ascii="Arial Narrow" w:hAnsi="Arial Narrow"/>
          <w:sz w:val="22"/>
        </w:rPr>
        <w:t xml:space="preserve"> tvorené iba prostriedkami ŠR </w:t>
      </w:r>
      <w:r w:rsidRPr="00C65CAA">
        <w:rPr>
          <w:rFonts w:ascii="Arial Narrow" w:hAnsi="Arial Narrow"/>
          <w:sz w:val="22"/>
        </w:rPr>
        <w:t xml:space="preserve">a sú na rovnakej úrovni so schváleným </w:t>
      </w:r>
      <w:r w:rsidR="002C17F9" w:rsidRPr="00C65CAA">
        <w:rPr>
          <w:rFonts w:ascii="Arial Narrow" w:hAnsi="Arial Narrow"/>
          <w:sz w:val="22"/>
        </w:rPr>
        <w:t>rozpočtom na rok 2</w:t>
      </w:r>
      <w:r w:rsidRPr="00C65CAA">
        <w:rPr>
          <w:rFonts w:ascii="Arial Narrow" w:hAnsi="Arial Narrow"/>
          <w:sz w:val="22"/>
        </w:rPr>
        <w:t>018 v objeme  8 696 tis. eur. Celkové emisie základných znečisťujúcich látok (tuhé znečisťujúce látky, SO</w:t>
      </w:r>
      <w:r w:rsidRPr="00C65CAA">
        <w:rPr>
          <w:rFonts w:ascii="Arial Narrow" w:hAnsi="Arial Narrow"/>
          <w:sz w:val="22"/>
          <w:vertAlign w:val="subscript"/>
        </w:rPr>
        <w:t>2</w:t>
      </w:r>
      <w:r w:rsidRPr="00C65CAA">
        <w:rPr>
          <w:rFonts w:ascii="Arial Narrow" w:hAnsi="Arial Narrow"/>
          <w:sz w:val="22"/>
        </w:rPr>
        <w:t>, NO</w:t>
      </w:r>
      <w:r w:rsidRPr="00C65CAA">
        <w:rPr>
          <w:rFonts w:ascii="Arial Narrow" w:hAnsi="Arial Narrow"/>
          <w:sz w:val="22"/>
          <w:vertAlign w:val="subscript"/>
        </w:rPr>
        <w:t>x</w:t>
      </w:r>
      <w:r w:rsidRPr="00C65CAA">
        <w:rPr>
          <w:rFonts w:ascii="Arial Narrow" w:hAnsi="Arial Narrow"/>
          <w:sz w:val="22"/>
        </w:rPr>
        <w:t xml:space="preserve">, CO) v dlhodobom horizonte (1993 – 2015) poklesli, </w:t>
      </w:r>
      <w:r w:rsidR="00E745F8" w:rsidRPr="00C65CAA">
        <w:rPr>
          <w:rFonts w:ascii="Arial Narrow" w:hAnsi="Arial Narrow"/>
          <w:sz w:val="22"/>
        </w:rPr>
        <w:t xml:space="preserve">a to </w:t>
      </w:r>
      <w:r w:rsidRPr="00C65CAA">
        <w:rPr>
          <w:rFonts w:ascii="Arial Narrow" w:hAnsi="Arial Narrow"/>
          <w:sz w:val="22"/>
        </w:rPr>
        <w:t>vďaka odstaveniu neefektívnych prevádzok a </w:t>
      </w:r>
      <w:r w:rsidR="00E745F8" w:rsidRPr="00C65CAA">
        <w:rPr>
          <w:rFonts w:ascii="Arial Narrow" w:hAnsi="Arial Narrow"/>
          <w:sz w:val="22"/>
        </w:rPr>
        <w:t>inštalovaniu nových odlučovačov;</w:t>
      </w:r>
      <w:r w:rsidRPr="00C65CAA">
        <w:rPr>
          <w:rFonts w:ascii="Arial Narrow" w:hAnsi="Arial Narrow"/>
          <w:sz w:val="22"/>
        </w:rPr>
        <w:t xml:space="preserve"> po roku 2000 sa </w:t>
      </w:r>
      <w:r w:rsidR="00E745F8" w:rsidRPr="00C65CAA">
        <w:rPr>
          <w:rFonts w:ascii="Arial Narrow" w:hAnsi="Arial Narrow"/>
          <w:sz w:val="22"/>
        </w:rPr>
        <w:t>však</w:t>
      </w:r>
      <w:r w:rsidRPr="00C65CAA">
        <w:rPr>
          <w:rFonts w:ascii="Arial Narrow" w:hAnsi="Arial Narrow"/>
          <w:sz w:val="22"/>
        </w:rPr>
        <w:t xml:space="preserve"> pokles výrazne spomalil. Slovensko nedosahuje požadované úrovne zníženia niektorých znečisťujúcich látok (NO</w:t>
      </w:r>
      <w:r w:rsidRPr="00C65CAA">
        <w:rPr>
          <w:rFonts w:ascii="Arial Narrow" w:hAnsi="Arial Narrow"/>
          <w:sz w:val="22"/>
          <w:vertAlign w:val="subscript"/>
        </w:rPr>
        <w:t xml:space="preserve">2, </w:t>
      </w:r>
      <w:r w:rsidRPr="00C65CAA">
        <w:rPr>
          <w:rFonts w:ascii="Arial Narrow" w:hAnsi="Arial Narrow"/>
          <w:sz w:val="22"/>
        </w:rPr>
        <w:t>PM</w:t>
      </w:r>
      <w:r w:rsidRPr="00C65CAA">
        <w:rPr>
          <w:rFonts w:ascii="Arial Narrow" w:hAnsi="Arial Narrow"/>
          <w:sz w:val="22"/>
          <w:vertAlign w:val="subscript"/>
        </w:rPr>
        <w:t xml:space="preserve">10, </w:t>
      </w:r>
      <w:r w:rsidRPr="00C65CAA">
        <w:rPr>
          <w:rFonts w:ascii="Arial Narrow" w:hAnsi="Arial Narrow"/>
          <w:sz w:val="22"/>
        </w:rPr>
        <w:t>PM</w:t>
      </w:r>
      <w:r w:rsidRPr="00C65CAA">
        <w:rPr>
          <w:rFonts w:ascii="Arial Narrow" w:hAnsi="Arial Narrow"/>
          <w:sz w:val="22"/>
          <w:vertAlign w:val="subscript"/>
        </w:rPr>
        <w:t xml:space="preserve">2,5 </w:t>
      </w:r>
      <w:r w:rsidRPr="00C65CAA">
        <w:rPr>
          <w:rFonts w:ascii="Arial Narrow" w:hAnsi="Arial Narrow"/>
          <w:sz w:val="22"/>
        </w:rPr>
        <w:t>ozón a benzo(a)pyrén).</w:t>
      </w:r>
      <w:r w:rsidR="00E745F8" w:rsidRPr="00C65CAA">
        <w:rPr>
          <w:rFonts w:ascii="Arial Narrow" w:hAnsi="Arial Narrow"/>
          <w:sz w:val="22"/>
        </w:rPr>
        <w:t xml:space="preserve"> </w:t>
      </w:r>
      <w:r w:rsidRPr="00C65CAA">
        <w:rPr>
          <w:rFonts w:ascii="Arial Narrow" w:hAnsi="Arial Narrow"/>
          <w:sz w:val="22"/>
        </w:rPr>
        <w:t>V súčasnosti využívané nástroje na znižovanie emisií nie sú dostatočné na dosiahnutie potrebného zníženia emisií v horizonte najbližších 10 rokov.</w:t>
      </w:r>
    </w:p>
    <w:p w:rsidR="00EB59B2" w:rsidRPr="00C65CAA" w:rsidRDefault="00996FB7" w:rsidP="00256AF8">
      <w:pPr>
        <w:spacing w:before="100" w:after="100"/>
        <w:ind w:firstLine="708"/>
        <w:jc w:val="both"/>
        <w:rPr>
          <w:rFonts w:ascii="Arial Narrow" w:hAnsi="Arial Narrow"/>
          <w:sz w:val="22"/>
          <w:szCs w:val="22"/>
        </w:rPr>
      </w:pPr>
      <w:r w:rsidRPr="00C65CAA">
        <w:rPr>
          <w:rFonts w:ascii="Arial Narrow" w:hAnsi="Arial Narrow"/>
          <w:sz w:val="22"/>
          <w:szCs w:val="22"/>
        </w:rPr>
        <w:t xml:space="preserve">V oblasti životného prostredia bola v roku 2017 realizovaná kontrola zameraná na plnenie záväzkov SR a finančných prostriedkov vynaložených pri zabezpečovaní kvality ovzdušia. Kontrolou bolo zistené, že financovanie opatrení na zlepšenie kvality ovzdušia je síce smerované do najviac znečistených oblastí, avšak vzhľadom na to, že stále dochádza k prekračovaniu limitných koncentrácií znečisťujúcich látok, nemožno považovať ich financovanie za dostatočné. NKÚ SR poukázal najmä na chýbajúcu ucelenú stratégiu znižovania emisií a znečisťujúcich látok. Zároveň odporúčal prijať nové opatrenia zamerané napríklad na ekologizáciu dopravy, </w:t>
      </w:r>
      <w:r w:rsidR="00E745F8" w:rsidRPr="00C65CAA">
        <w:rPr>
          <w:rFonts w:ascii="Arial Narrow" w:hAnsi="Arial Narrow"/>
          <w:sz w:val="22"/>
          <w:szCs w:val="22"/>
        </w:rPr>
        <w:t>na zintenzívnenie financovania</w:t>
      </w:r>
      <w:r w:rsidRPr="00C65CAA">
        <w:rPr>
          <w:rFonts w:ascii="Arial Narrow" w:hAnsi="Arial Narrow"/>
          <w:sz w:val="22"/>
          <w:szCs w:val="22"/>
        </w:rPr>
        <w:t xml:space="preserve"> takýchto opatrení, posiln</w:t>
      </w:r>
      <w:r w:rsidR="00E745F8" w:rsidRPr="00C65CAA">
        <w:rPr>
          <w:rFonts w:ascii="Arial Narrow" w:hAnsi="Arial Narrow"/>
          <w:sz w:val="22"/>
          <w:szCs w:val="22"/>
        </w:rPr>
        <w:t>enie</w:t>
      </w:r>
      <w:r w:rsidRPr="00C65CAA">
        <w:rPr>
          <w:rFonts w:ascii="Arial Narrow" w:hAnsi="Arial Narrow"/>
          <w:sz w:val="22"/>
          <w:szCs w:val="22"/>
        </w:rPr>
        <w:t xml:space="preserve"> medzirezortn</w:t>
      </w:r>
      <w:r w:rsidR="00E745F8" w:rsidRPr="00C65CAA">
        <w:rPr>
          <w:rFonts w:ascii="Arial Narrow" w:hAnsi="Arial Narrow"/>
          <w:sz w:val="22"/>
          <w:szCs w:val="22"/>
        </w:rPr>
        <w:t>ej</w:t>
      </w:r>
      <w:r w:rsidRPr="00C65CAA">
        <w:rPr>
          <w:rFonts w:ascii="Arial Narrow" w:hAnsi="Arial Narrow"/>
          <w:sz w:val="22"/>
          <w:szCs w:val="22"/>
        </w:rPr>
        <w:t xml:space="preserve"> spoluprác</w:t>
      </w:r>
      <w:r w:rsidR="00E745F8" w:rsidRPr="00C65CAA">
        <w:rPr>
          <w:rFonts w:ascii="Arial Narrow" w:hAnsi="Arial Narrow"/>
          <w:sz w:val="22"/>
          <w:szCs w:val="22"/>
        </w:rPr>
        <w:t>e</w:t>
      </w:r>
      <w:r w:rsidRPr="00C65CAA">
        <w:rPr>
          <w:rFonts w:ascii="Arial Narrow" w:hAnsi="Arial Narrow"/>
          <w:sz w:val="22"/>
          <w:szCs w:val="22"/>
        </w:rPr>
        <w:t xml:space="preserve"> a spoluprác</w:t>
      </w:r>
      <w:r w:rsidR="00E745F8" w:rsidRPr="00C65CAA">
        <w:rPr>
          <w:rFonts w:ascii="Arial Narrow" w:hAnsi="Arial Narrow"/>
          <w:sz w:val="22"/>
          <w:szCs w:val="22"/>
        </w:rPr>
        <w:t>e</w:t>
      </w:r>
      <w:r w:rsidRPr="00C65CAA">
        <w:rPr>
          <w:rFonts w:ascii="Arial Narrow" w:hAnsi="Arial Narrow"/>
          <w:sz w:val="22"/>
          <w:szCs w:val="22"/>
        </w:rPr>
        <w:t xml:space="preserve"> so samosprávami</w:t>
      </w:r>
      <w:r w:rsidR="006B0033" w:rsidRPr="00C65CAA">
        <w:rPr>
          <w:rFonts w:ascii="Arial Narrow" w:hAnsi="Arial Narrow"/>
          <w:sz w:val="22"/>
          <w:szCs w:val="22"/>
        </w:rPr>
        <w:t>.</w:t>
      </w:r>
    </w:p>
    <w:p w:rsidR="00EB59B2" w:rsidRPr="00C65CAA" w:rsidRDefault="00EB59B2" w:rsidP="00256AF8">
      <w:pPr>
        <w:pStyle w:val="Zkladntext"/>
        <w:spacing w:before="100" w:after="100"/>
        <w:ind w:firstLine="708"/>
        <w:jc w:val="both"/>
        <w:rPr>
          <w:rFonts w:ascii="Arial Narrow" w:hAnsi="Arial Narrow"/>
          <w:sz w:val="22"/>
          <w:szCs w:val="22"/>
        </w:rPr>
      </w:pPr>
      <w:r w:rsidRPr="00C65CAA">
        <w:rPr>
          <w:rFonts w:ascii="Arial Narrow" w:hAnsi="Arial Narrow"/>
          <w:bCs/>
          <w:sz w:val="22"/>
          <w:szCs w:val="22"/>
        </w:rPr>
        <w:t xml:space="preserve">Na </w:t>
      </w:r>
      <w:r w:rsidRPr="00C65CAA">
        <w:rPr>
          <w:rFonts w:ascii="Arial Narrow" w:hAnsi="Arial Narrow"/>
          <w:b/>
          <w:bCs/>
          <w:sz w:val="22"/>
          <w:szCs w:val="22"/>
        </w:rPr>
        <w:t xml:space="preserve">odpadové hospodárstvo a environmentálne rizikové faktory </w:t>
      </w:r>
      <w:r w:rsidRPr="00C65CAA">
        <w:rPr>
          <w:rFonts w:ascii="Arial Narrow" w:hAnsi="Arial Narrow"/>
          <w:bCs/>
          <w:sz w:val="22"/>
          <w:szCs w:val="22"/>
        </w:rPr>
        <w:t>sa v</w:t>
      </w:r>
      <w:r w:rsidR="00245510" w:rsidRPr="00C65CAA">
        <w:rPr>
          <w:rFonts w:ascii="Arial Narrow" w:hAnsi="Arial Narrow"/>
          <w:bCs/>
          <w:sz w:val="22"/>
          <w:szCs w:val="22"/>
        </w:rPr>
        <w:t xml:space="preserve"> návrhu RVS na rok</w:t>
      </w:r>
      <w:r w:rsidRPr="00C65CAA">
        <w:rPr>
          <w:rFonts w:ascii="Arial Narrow" w:hAnsi="Arial Narrow"/>
          <w:bCs/>
          <w:sz w:val="22"/>
          <w:szCs w:val="22"/>
        </w:rPr>
        <w:t xml:space="preserve"> 2019 nerozpočtujú žiadne prostriedky. </w:t>
      </w:r>
      <w:r w:rsidRPr="00C65CAA">
        <w:rPr>
          <w:rFonts w:ascii="Arial Narrow" w:hAnsi="Arial Narrow"/>
          <w:bCs/>
          <w:sz w:val="22"/>
        </w:rPr>
        <w:t xml:space="preserve">Vláda SR schválila </w:t>
      </w:r>
      <w:r w:rsidRPr="00C65CAA">
        <w:rPr>
          <w:rFonts w:ascii="Arial Narrow" w:hAnsi="Arial Narrow"/>
          <w:sz w:val="22"/>
        </w:rPr>
        <w:t>zvýšenie poplatkov za skládkovanie</w:t>
      </w:r>
      <w:r w:rsidR="00E745F8" w:rsidRPr="00C65CAA">
        <w:rPr>
          <w:rFonts w:ascii="Arial Narrow" w:hAnsi="Arial Narrow"/>
          <w:sz w:val="22"/>
        </w:rPr>
        <w:t>;</w:t>
      </w:r>
      <w:r w:rsidRPr="00C65CAA">
        <w:rPr>
          <w:rFonts w:ascii="Arial Narrow" w:hAnsi="Arial Narrow"/>
          <w:sz w:val="22"/>
        </w:rPr>
        <w:t xml:space="preserve"> ich výška závisí od </w:t>
      </w:r>
      <w:r w:rsidRPr="00C65CAA">
        <w:rPr>
          <w:rFonts w:ascii="Arial Narrow" w:hAnsi="Arial Narrow"/>
          <w:sz w:val="22"/>
          <w:szCs w:val="22"/>
        </w:rPr>
        <w:t xml:space="preserve">úrovne separácie odpadu. Od roku 2019 sa prostriedky stávajú príjmom Environmentálneho fondu, ktorý ich bude prideľovať na financovanie projektov. V roku 2019 je plánovaný objem 15 200 tis. eur a v roku 2020 je to 26 800 tis. eur. Celkovo je do roku 2021 naplánovaný príjem z poplatkov za skládkovanie v objeme 75 000 tis. eur. </w:t>
      </w:r>
    </w:p>
    <w:p w:rsidR="00EB59B2" w:rsidRPr="00C65CAA" w:rsidRDefault="00EB59B2" w:rsidP="00256AF8">
      <w:pPr>
        <w:pStyle w:val="Default"/>
        <w:spacing w:before="100" w:after="100"/>
        <w:ind w:firstLine="709"/>
        <w:jc w:val="both"/>
        <w:rPr>
          <w:rFonts w:ascii="Arial Narrow" w:hAnsi="Arial Narrow"/>
          <w:color w:val="323232"/>
          <w:sz w:val="22"/>
          <w:szCs w:val="22"/>
        </w:rPr>
      </w:pPr>
      <w:r w:rsidRPr="00C65CAA">
        <w:rPr>
          <w:rFonts w:ascii="Arial Narrow" w:hAnsi="Arial Narrow"/>
          <w:sz w:val="22"/>
          <w:szCs w:val="22"/>
        </w:rPr>
        <w:t>SR bola začiatkom júla 2018, na základe verdiktu S</w:t>
      </w:r>
      <w:r w:rsidR="00E745F8" w:rsidRPr="00C65CAA">
        <w:rPr>
          <w:rFonts w:ascii="Arial Narrow" w:hAnsi="Arial Narrow"/>
          <w:sz w:val="22"/>
          <w:szCs w:val="22"/>
        </w:rPr>
        <w:t>údneho dvora EÚ, udelená pokuta;</w:t>
      </w:r>
      <w:r w:rsidRPr="00C65CAA">
        <w:rPr>
          <w:rFonts w:ascii="Arial Narrow" w:hAnsi="Arial Narrow"/>
          <w:sz w:val="22"/>
          <w:szCs w:val="22"/>
        </w:rPr>
        <w:t xml:space="preserve"> podľa </w:t>
      </w:r>
      <w:r w:rsidR="00E745F8" w:rsidRPr="00C65CAA">
        <w:rPr>
          <w:rFonts w:ascii="Arial Narrow" w:hAnsi="Arial Narrow"/>
          <w:sz w:val="22"/>
          <w:szCs w:val="22"/>
        </w:rPr>
        <w:t>rozhodnutia štát musel</w:t>
      </w:r>
      <w:r w:rsidRPr="00C65CAA">
        <w:rPr>
          <w:rFonts w:ascii="Arial Narrow" w:hAnsi="Arial Narrow"/>
          <w:sz w:val="22"/>
          <w:szCs w:val="22"/>
        </w:rPr>
        <w:t xml:space="preserve"> zaplatiť jednorazovú pokutu vo výške 1 000 tis. eur za neuzatvorenie s</w:t>
      </w:r>
      <w:r w:rsidR="00245510" w:rsidRPr="00C65CAA">
        <w:rPr>
          <w:rFonts w:ascii="Arial Narrow" w:hAnsi="Arial Narrow"/>
          <w:sz w:val="22"/>
          <w:szCs w:val="22"/>
        </w:rPr>
        <w:t>kládky odpadu Považský Chlmec v</w:t>
      </w:r>
      <w:r w:rsidR="00E745F8" w:rsidRPr="00C65CAA">
        <w:rPr>
          <w:rFonts w:ascii="Arial Narrow" w:hAnsi="Arial Narrow"/>
          <w:sz w:val="22"/>
          <w:szCs w:val="22"/>
        </w:rPr>
        <w:t> </w:t>
      </w:r>
      <w:r w:rsidRPr="00C65CAA">
        <w:rPr>
          <w:rFonts w:ascii="Arial Narrow" w:hAnsi="Arial Narrow"/>
          <w:sz w:val="22"/>
          <w:szCs w:val="22"/>
        </w:rPr>
        <w:t>Žiline</w:t>
      </w:r>
      <w:r w:rsidR="00E745F8" w:rsidRPr="00C65CAA">
        <w:rPr>
          <w:rFonts w:ascii="Arial Narrow" w:hAnsi="Arial Narrow"/>
          <w:sz w:val="22"/>
          <w:szCs w:val="22"/>
        </w:rPr>
        <w:t>,</w:t>
      </w:r>
      <w:r w:rsidRPr="00C65CAA">
        <w:rPr>
          <w:rFonts w:ascii="Arial Narrow" w:hAnsi="Arial Narrow"/>
          <w:sz w:val="22"/>
          <w:szCs w:val="22"/>
        </w:rPr>
        <w:t xml:space="preserve"> a</w:t>
      </w:r>
      <w:r w:rsidR="00E745F8" w:rsidRPr="00C65CAA">
        <w:rPr>
          <w:rFonts w:ascii="Arial Narrow" w:hAnsi="Arial Narrow"/>
          <w:sz w:val="22"/>
          <w:szCs w:val="22"/>
        </w:rPr>
        <w:t> </w:t>
      </w:r>
      <w:r w:rsidRPr="00C65CAA">
        <w:rPr>
          <w:rFonts w:ascii="Arial Narrow" w:hAnsi="Arial Narrow"/>
          <w:sz w:val="22"/>
          <w:szCs w:val="22"/>
        </w:rPr>
        <w:t>denne</w:t>
      </w:r>
      <w:r w:rsidR="00E745F8" w:rsidRPr="00C65CAA">
        <w:rPr>
          <w:rFonts w:ascii="Arial Narrow" w:hAnsi="Arial Narrow"/>
          <w:sz w:val="22"/>
          <w:szCs w:val="22"/>
        </w:rPr>
        <w:t xml:space="preserve"> platí a bude platiť ďalších 5 tis. eur</w:t>
      </w:r>
      <w:r w:rsidRPr="00C65CAA">
        <w:rPr>
          <w:rFonts w:ascii="Arial Narrow" w:hAnsi="Arial Narrow"/>
          <w:sz w:val="22"/>
          <w:szCs w:val="22"/>
        </w:rPr>
        <w:t xml:space="preserve"> až </w:t>
      </w:r>
      <w:r w:rsidR="00E745F8" w:rsidRPr="00C65CAA">
        <w:rPr>
          <w:rFonts w:ascii="Arial Narrow" w:hAnsi="Arial Narrow"/>
          <w:sz w:val="22"/>
          <w:szCs w:val="22"/>
        </w:rPr>
        <w:t xml:space="preserve">dovtedy, </w:t>
      </w:r>
      <w:r w:rsidRPr="00C65CAA">
        <w:rPr>
          <w:rFonts w:ascii="Arial Narrow" w:hAnsi="Arial Narrow"/>
          <w:sz w:val="22"/>
          <w:szCs w:val="22"/>
        </w:rPr>
        <w:t>pokým nebude vydané rozhodnutie o definitívnom uzatvorení a rekultivácii všetkých častí tejto skládky. Dôvodom bolo nevykonanie nápravy pre nevysporiadané vlastnícke vzťahy. Definitívne vyriešenie tohto problému je naplánované</w:t>
      </w:r>
      <w:r w:rsidR="00245510" w:rsidRPr="00C65CAA">
        <w:rPr>
          <w:rFonts w:ascii="Arial Narrow" w:hAnsi="Arial Narrow"/>
          <w:sz w:val="22"/>
          <w:szCs w:val="22"/>
        </w:rPr>
        <w:t xml:space="preserve"> na prvú polovicu budúceho roka.</w:t>
      </w:r>
      <w:r w:rsidRPr="00C65CAA">
        <w:rPr>
          <w:rFonts w:ascii="Arial Narrow" w:hAnsi="Arial Narrow"/>
          <w:sz w:val="22"/>
          <w:szCs w:val="22"/>
        </w:rPr>
        <w:t xml:space="preserve"> </w:t>
      </w:r>
      <w:r w:rsidR="00245510" w:rsidRPr="00C65CAA">
        <w:rPr>
          <w:rFonts w:ascii="Arial Narrow" w:hAnsi="Arial Narrow"/>
          <w:sz w:val="22"/>
          <w:szCs w:val="22"/>
        </w:rPr>
        <w:t>D</w:t>
      </w:r>
      <w:r w:rsidRPr="00C65CAA">
        <w:rPr>
          <w:rFonts w:ascii="Arial Narrow" w:hAnsi="Arial Narrow"/>
          <w:sz w:val="22"/>
          <w:szCs w:val="22"/>
        </w:rPr>
        <w:t>ovtedy je nutné pokutu uhrádzať, čím sa zbytočne navyšujú výdavky a vytvára sa priestor negatívneho rozpočto</w:t>
      </w:r>
      <w:r w:rsidR="00245510" w:rsidRPr="00C65CAA">
        <w:rPr>
          <w:rFonts w:ascii="Arial Narrow" w:hAnsi="Arial Narrow"/>
          <w:sz w:val="22"/>
          <w:szCs w:val="22"/>
        </w:rPr>
        <w:t>vého rizika pre štátny rozpočet.</w:t>
      </w:r>
      <w:r w:rsidRPr="00C65CAA">
        <w:rPr>
          <w:rFonts w:ascii="Arial Narrow" w:hAnsi="Arial Narrow" w:cs="Arial"/>
          <w:sz w:val="22"/>
          <w:szCs w:val="22"/>
        </w:rPr>
        <w:t xml:space="preserve"> </w:t>
      </w:r>
      <w:r w:rsidR="00245510" w:rsidRPr="00C65CAA">
        <w:rPr>
          <w:rFonts w:ascii="Arial Narrow" w:hAnsi="Arial Narrow" w:cs="Arial"/>
          <w:sz w:val="22"/>
          <w:szCs w:val="22"/>
        </w:rPr>
        <w:t>D</w:t>
      </w:r>
      <w:r w:rsidRPr="00C65CAA">
        <w:rPr>
          <w:rFonts w:ascii="Arial Narrow" w:hAnsi="Arial Narrow" w:cs="Arial"/>
          <w:sz w:val="22"/>
          <w:szCs w:val="22"/>
        </w:rPr>
        <w:t xml:space="preserve">o konca roka tieto výdavky môžu predstavovať </w:t>
      </w:r>
      <w:r w:rsidRPr="00646403">
        <w:rPr>
          <w:rFonts w:ascii="Arial Narrow" w:hAnsi="Arial Narrow" w:cs="Arial"/>
          <w:sz w:val="22"/>
          <w:szCs w:val="22"/>
        </w:rPr>
        <w:t xml:space="preserve">objem </w:t>
      </w:r>
      <w:r w:rsidRPr="00646403">
        <w:rPr>
          <w:rFonts w:ascii="Arial Narrow" w:hAnsi="Arial Narrow" w:cs="Arial"/>
          <w:b/>
          <w:sz w:val="22"/>
          <w:szCs w:val="22"/>
        </w:rPr>
        <w:t>900 tis. eur.</w:t>
      </w:r>
      <w:r w:rsidRPr="00C65CAA">
        <w:rPr>
          <w:rFonts w:ascii="Arial Narrow" w:hAnsi="Arial Narrow" w:cs="Arial"/>
          <w:sz w:val="22"/>
          <w:szCs w:val="22"/>
        </w:rPr>
        <w:t xml:space="preserve"> </w:t>
      </w:r>
    </w:p>
    <w:p w:rsidR="00EB59B2" w:rsidRPr="00C65CAA" w:rsidRDefault="00EB59B2" w:rsidP="00256AF8">
      <w:pPr>
        <w:pStyle w:val="Zkladntext"/>
        <w:spacing w:before="100" w:after="100"/>
        <w:ind w:firstLine="708"/>
        <w:jc w:val="both"/>
        <w:rPr>
          <w:rFonts w:ascii="Arial Narrow" w:hAnsi="Arial Narrow"/>
          <w:sz w:val="22"/>
          <w:szCs w:val="22"/>
        </w:rPr>
      </w:pPr>
      <w:r w:rsidRPr="00C65CAA">
        <w:rPr>
          <w:rFonts w:ascii="Arial Narrow" w:hAnsi="Arial Narrow"/>
          <w:sz w:val="22"/>
          <w:szCs w:val="22"/>
        </w:rPr>
        <w:t>V prípade skládky CHZJD vo Vrakuni, MŽP SR ukončilo VO na jej sanáciu. Predpokladaný objem nákladov na realizáciu projektu predstavuje  34 100 tis. eur. Zámerom je</w:t>
      </w:r>
      <w:r w:rsidR="002D682C" w:rsidRPr="00C65CAA">
        <w:rPr>
          <w:rFonts w:ascii="Arial Narrow" w:hAnsi="Arial Narrow"/>
          <w:sz w:val="22"/>
          <w:szCs w:val="22"/>
        </w:rPr>
        <w:t>,</w:t>
      </w:r>
      <w:r w:rsidRPr="00C65CAA">
        <w:rPr>
          <w:rFonts w:ascii="Arial Narrow" w:hAnsi="Arial Narrow"/>
          <w:sz w:val="22"/>
          <w:szCs w:val="22"/>
        </w:rPr>
        <w:t xml:space="preserve"> podľa zmluvy</w:t>
      </w:r>
      <w:r w:rsidR="002D682C" w:rsidRPr="00C65CAA">
        <w:rPr>
          <w:rFonts w:ascii="Arial Narrow" w:hAnsi="Arial Narrow"/>
          <w:sz w:val="22"/>
          <w:szCs w:val="22"/>
        </w:rPr>
        <w:t>,</w:t>
      </w:r>
      <w:r w:rsidRPr="00C65CAA">
        <w:rPr>
          <w:rFonts w:ascii="Arial Narrow" w:hAnsi="Arial Narrow"/>
          <w:sz w:val="22"/>
          <w:szCs w:val="22"/>
        </w:rPr>
        <w:t xml:space="preserve"> realizovať enkapsuláciu environmentálnej záťaže, obmedziť plošné a priestorové šírenie znečisťujúcich látok v podzemnej vode či pôde, odstrániť kontamináciu alebo znížiť koncentráciu znečisťujúcich látok. S prvými prácami by sa mohlo začať ešte v roku 2018. Firmy sa v zmluve zaviazali ukončiť práce najneskôr do konca júna 2023. Vzhľadom na to, že sa </w:t>
      </w:r>
      <w:r w:rsidR="002D682C" w:rsidRPr="00C65CAA">
        <w:rPr>
          <w:rFonts w:ascii="Arial Narrow" w:hAnsi="Arial Narrow"/>
          <w:sz w:val="22"/>
          <w:szCs w:val="22"/>
        </w:rPr>
        <w:t>ide</w:t>
      </w:r>
      <w:r w:rsidRPr="00C65CAA">
        <w:rPr>
          <w:rFonts w:ascii="Arial Narrow" w:hAnsi="Arial Narrow"/>
          <w:sz w:val="22"/>
          <w:szCs w:val="22"/>
        </w:rPr>
        <w:t xml:space="preserve"> </w:t>
      </w:r>
      <w:r w:rsidR="00245510" w:rsidRPr="00C65CAA">
        <w:rPr>
          <w:rFonts w:ascii="Arial Narrow" w:hAnsi="Arial Narrow"/>
          <w:sz w:val="22"/>
          <w:szCs w:val="22"/>
        </w:rPr>
        <w:t xml:space="preserve">o </w:t>
      </w:r>
      <w:r w:rsidRPr="00C65CAA">
        <w:rPr>
          <w:rFonts w:ascii="Arial Narrow" w:hAnsi="Arial Narrow"/>
          <w:sz w:val="22"/>
          <w:szCs w:val="22"/>
        </w:rPr>
        <w:t>Žitný ostrov, ktorý je naj</w:t>
      </w:r>
      <w:r w:rsidR="00245510" w:rsidRPr="00C65CAA">
        <w:rPr>
          <w:rFonts w:ascii="Arial Narrow" w:hAnsi="Arial Narrow"/>
          <w:sz w:val="22"/>
          <w:szCs w:val="22"/>
        </w:rPr>
        <w:t>väčším zdrojom pitnej vody v</w:t>
      </w:r>
      <w:r w:rsidR="002D682C" w:rsidRPr="00C65CAA">
        <w:rPr>
          <w:rFonts w:ascii="Arial Narrow" w:hAnsi="Arial Narrow"/>
          <w:sz w:val="22"/>
          <w:szCs w:val="22"/>
        </w:rPr>
        <w:t> </w:t>
      </w:r>
      <w:r w:rsidR="00245510" w:rsidRPr="00C65CAA">
        <w:rPr>
          <w:rFonts w:ascii="Arial Narrow" w:hAnsi="Arial Narrow"/>
          <w:sz w:val="22"/>
          <w:szCs w:val="22"/>
        </w:rPr>
        <w:t>SR</w:t>
      </w:r>
      <w:r w:rsidR="002D682C" w:rsidRPr="00C65CAA">
        <w:rPr>
          <w:rFonts w:ascii="Arial Narrow" w:hAnsi="Arial Narrow"/>
          <w:sz w:val="22"/>
          <w:szCs w:val="22"/>
        </w:rPr>
        <w:t>,</w:t>
      </w:r>
      <w:r w:rsidRPr="00C65CAA">
        <w:rPr>
          <w:rFonts w:ascii="Arial Narrow" w:hAnsi="Arial Narrow"/>
          <w:sz w:val="22"/>
          <w:szCs w:val="22"/>
        </w:rPr>
        <w:t xml:space="preserve"> a rozsah znečistenia nie </w:t>
      </w:r>
      <w:r w:rsidR="002D682C" w:rsidRPr="00C65CAA">
        <w:rPr>
          <w:rFonts w:ascii="Arial Narrow" w:hAnsi="Arial Narrow"/>
          <w:sz w:val="22"/>
          <w:szCs w:val="22"/>
        </w:rPr>
        <w:t xml:space="preserve">je </w:t>
      </w:r>
      <w:r w:rsidRPr="00C65CAA">
        <w:rPr>
          <w:rFonts w:ascii="Arial Narrow" w:hAnsi="Arial Narrow"/>
          <w:sz w:val="22"/>
          <w:szCs w:val="22"/>
        </w:rPr>
        <w:t xml:space="preserve">definitívne určený, reálne hrozí, že rozpočtovaná suma na realizáciu projektu nebude postačovať. </w:t>
      </w:r>
    </w:p>
    <w:p w:rsidR="00996FB7" w:rsidRPr="00C65CAA" w:rsidRDefault="00996FB7" w:rsidP="00256AF8">
      <w:pPr>
        <w:pStyle w:val="Zkladntext"/>
        <w:spacing w:before="100" w:after="100"/>
        <w:ind w:firstLine="708"/>
        <w:jc w:val="both"/>
        <w:rPr>
          <w:rFonts w:ascii="Arial Narrow" w:hAnsi="Arial Narrow"/>
          <w:sz w:val="22"/>
          <w:szCs w:val="22"/>
        </w:rPr>
      </w:pPr>
      <w:r w:rsidRPr="00C65CAA">
        <w:rPr>
          <w:rFonts w:ascii="Arial Narrow" w:hAnsi="Arial Narrow"/>
          <w:sz w:val="22"/>
          <w:szCs w:val="22"/>
        </w:rPr>
        <w:t>Predbežné vý</w:t>
      </w:r>
      <w:r w:rsidR="005A6644" w:rsidRPr="00C65CAA">
        <w:rPr>
          <w:rFonts w:ascii="Arial Narrow" w:hAnsi="Arial Narrow"/>
          <w:sz w:val="22"/>
          <w:szCs w:val="22"/>
        </w:rPr>
        <w:t>sledky a závery z kontroly NKÚ</w:t>
      </w:r>
      <w:r w:rsidRPr="00C65CAA">
        <w:rPr>
          <w:rFonts w:ascii="Arial Narrow" w:hAnsi="Arial Narrow"/>
          <w:sz w:val="22"/>
          <w:szCs w:val="22"/>
        </w:rPr>
        <w:t xml:space="preserve"> SR, vykonávanej v roku 2018, ktorá  je zameraná na kontrolu efektívnosti a účinnosti triedeného zberu komunálneho odpadu</w:t>
      </w:r>
      <w:r w:rsidR="002D682C" w:rsidRPr="00C65CAA">
        <w:rPr>
          <w:rFonts w:ascii="Arial Narrow" w:hAnsi="Arial Narrow"/>
          <w:sz w:val="22"/>
          <w:szCs w:val="22"/>
        </w:rPr>
        <w:t>,</w:t>
      </w:r>
      <w:r w:rsidRPr="00C65CAA">
        <w:rPr>
          <w:rFonts w:ascii="Arial Narrow" w:hAnsi="Arial Narrow"/>
          <w:sz w:val="22"/>
          <w:szCs w:val="22"/>
        </w:rPr>
        <w:t xml:space="preserve"> poukazujú na to, že obce a mestá triedia oveľa viac komunálneho odpadu, ako je oficiálne vykazované štátom. Dôvodom je nesprávne vykazovanie údajov o komunálnom odpade obcami. Existuje stále rezerva v oblasti vykazovania, ktorá s veľkou pravdepodobnosťou spôsobí zvýšenie podielu triedeného odpadu aj v budúcom období.</w:t>
      </w:r>
    </w:p>
    <w:p w:rsidR="00EB59B2" w:rsidRPr="00C65CAA" w:rsidRDefault="00EB59B2" w:rsidP="00256AF8">
      <w:pPr>
        <w:spacing w:before="100" w:after="100"/>
        <w:ind w:firstLine="708"/>
        <w:jc w:val="both"/>
        <w:rPr>
          <w:rFonts w:ascii="Arial Narrow" w:hAnsi="Arial Narrow"/>
          <w:sz w:val="22"/>
        </w:rPr>
      </w:pPr>
      <w:r w:rsidRPr="00C65CAA">
        <w:rPr>
          <w:rFonts w:ascii="Arial Narrow" w:hAnsi="Arial Narrow"/>
          <w:bCs/>
          <w:sz w:val="22"/>
        </w:rPr>
        <w:t xml:space="preserve">Na </w:t>
      </w:r>
      <w:r w:rsidRPr="00C65CAA">
        <w:rPr>
          <w:rFonts w:ascii="Arial Narrow" w:hAnsi="Arial Narrow"/>
          <w:b/>
          <w:sz w:val="22"/>
        </w:rPr>
        <w:t xml:space="preserve">Energeticky efektívne nízkouhlíkové hospodárstvo </w:t>
      </w:r>
      <w:r w:rsidRPr="00C65CAA">
        <w:rPr>
          <w:rFonts w:ascii="Arial Narrow" w:hAnsi="Arial Narrow"/>
          <w:bCs/>
          <w:sz w:val="22"/>
        </w:rPr>
        <w:t>sa v návrhu RVS na rok 2019 rozpočtujú výdavky v objeme 165 511 tis</w:t>
      </w:r>
      <w:r w:rsidR="006B0033" w:rsidRPr="00C65CAA">
        <w:rPr>
          <w:rFonts w:ascii="Arial Narrow" w:hAnsi="Arial Narrow"/>
          <w:bCs/>
          <w:sz w:val="22"/>
        </w:rPr>
        <w:t>. eur</w:t>
      </w:r>
      <w:r w:rsidRPr="00C65CAA">
        <w:rPr>
          <w:rFonts w:ascii="Arial Narrow" w:hAnsi="Arial Narrow"/>
          <w:bCs/>
          <w:sz w:val="22"/>
        </w:rPr>
        <w:t xml:space="preserve"> </w:t>
      </w:r>
      <w:r w:rsidRPr="00C65CAA">
        <w:rPr>
          <w:rFonts w:ascii="Arial Narrow" w:hAnsi="Arial Narrow"/>
          <w:sz w:val="22"/>
        </w:rPr>
        <w:t xml:space="preserve">a tvoria ich iba prostriedky EÚ a spolufinancovania. Čerpaný objem v roku 2018 </w:t>
      </w:r>
      <w:r w:rsidRPr="00C65CAA">
        <w:rPr>
          <w:rFonts w:ascii="Arial Narrow" w:hAnsi="Arial Narrow"/>
          <w:sz w:val="22"/>
        </w:rPr>
        <w:lastRenderedPageBreak/>
        <w:t>predstavuje 51 393,2 tis. eur, t.</w:t>
      </w:r>
      <w:r w:rsidR="00245510" w:rsidRPr="00C65CAA">
        <w:rPr>
          <w:rFonts w:ascii="Arial Narrow" w:hAnsi="Arial Narrow"/>
          <w:sz w:val="22"/>
        </w:rPr>
        <w:t xml:space="preserve"> </w:t>
      </w:r>
      <w:r w:rsidR="002D682C" w:rsidRPr="00C65CAA">
        <w:rPr>
          <w:rFonts w:ascii="Arial Narrow" w:hAnsi="Arial Narrow"/>
          <w:sz w:val="22"/>
        </w:rPr>
        <w:t>j. 32 % z upraveného rozpočtu.</w:t>
      </w:r>
      <w:r w:rsidRPr="00C65CAA">
        <w:rPr>
          <w:rFonts w:ascii="Arial Narrow" w:hAnsi="Arial Narrow"/>
          <w:sz w:val="22"/>
        </w:rPr>
        <w:t xml:space="preserve"> V rámci rozpočtu 2019 budú vyčlenené finančné </w:t>
      </w:r>
      <w:r w:rsidR="00245510" w:rsidRPr="00C65CAA">
        <w:rPr>
          <w:rFonts w:ascii="Arial Narrow" w:hAnsi="Arial Narrow"/>
          <w:sz w:val="22"/>
        </w:rPr>
        <w:t xml:space="preserve">prostriedky </w:t>
      </w:r>
      <w:r w:rsidRPr="00C65CAA">
        <w:rPr>
          <w:rFonts w:ascii="Arial Narrow" w:hAnsi="Arial Narrow"/>
          <w:sz w:val="22"/>
        </w:rPr>
        <w:t>na podpor</w:t>
      </w:r>
      <w:r w:rsidR="00245510" w:rsidRPr="00C65CAA">
        <w:rPr>
          <w:rFonts w:ascii="Arial Narrow" w:hAnsi="Arial Narrow"/>
          <w:sz w:val="22"/>
        </w:rPr>
        <w:t>u</w:t>
      </w:r>
      <w:r w:rsidRPr="00C65CAA">
        <w:rPr>
          <w:rFonts w:ascii="Arial Narrow" w:hAnsi="Arial Narrow"/>
          <w:sz w:val="22"/>
        </w:rPr>
        <w:t xml:space="preserve"> výmeny efektívnejších spaľovacích zariadení pre domácnosti. </w:t>
      </w:r>
    </w:p>
    <w:p w:rsidR="00D23611" w:rsidRPr="00C65CAA" w:rsidRDefault="00EB59B2" w:rsidP="00256AF8">
      <w:pPr>
        <w:pStyle w:val="Zkladntext"/>
        <w:spacing w:before="100" w:after="100"/>
        <w:ind w:firstLine="709"/>
        <w:jc w:val="both"/>
        <w:rPr>
          <w:rFonts w:ascii="Arial Narrow" w:hAnsi="Arial Narrow"/>
          <w:sz w:val="22"/>
          <w:szCs w:val="22"/>
        </w:rPr>
      </w:pPr>
      <w:r w:rsidRPr="00C65CAA">
        <w:rPr>
          <w:rFonts w:ascii="Arial Narrow" w:hAnsi="Arial Narrow"/>
          <w:sz w:val="22"/>
          <w:szCs w:val="22"/>
        </w:rPr>
        <w:t>Na</w:t>
      </w:r>
      <w:r w:rsidRPr="00C65CAA">
        <w:rPr>
          <w:rFonts w:ascii="Arial Narrow" w:hAnsi="Arial Narrow"/>
          <w:bCs/>
          <w:sz w:val="22"/>
          <w:szCs w:val="22"/>
        </w:rPr>
        <w:t xml:space="preserve"> </w:t>
      </w:r>
      <w:r w:rsidRPr="00C65CAA">
        <w:rPr>
          <w:rFonts w:ascii="Arial Narrow" w:hAnsi="Arial Narrow"/>
          <w:b/>
          <w:sz w:val="22"/>
          <w:szCs w:val="22"/>
        </w:rPr>
        <w:t>ochranu prírody a krajiny</w:t>
      </w:r>
      <w:r w:rsidRPr="00C65CAA">
        <w:rPr>
          <w:rFonts w:ascii="Arial Narrow" w:hAnsi="Arial Narrow"/>
          <w:sz w:val="22"/>
          <w:szCs w:val="22"/>
        </w:rPr>
        <w:t xml:space="preserve"> </w:t>
      </w:r>
      <w:r w:rsidRPr="00C65CAA">
        <w:rPr>
          <w:rFonts w:ascii="Arial Narrow" w:hAnsi="Arial Narrow"/>
          <w:bCs/>
          <w:sz w:val="22"/>
          <w:szCs w:val="22"/>
        </w:rPr>
        <w:t>sa v návrhu RVS na rok 2019 rozpočtujú výdavky</w:t>
      </w:r>
      <w:r w:rsidRPr="00C65CAA">
        <w:rPr>
          <w:rFonts w:ascii="Arial Narrow" w:hAnsi="Arial Narrow"/>
          <w:sz w:val="22"/>
          <w:szCs w:val="22"/>
        </w:rPr>
        <w:t xml:space="preserve"> v objeme 17 913 tis. eur. </w:t>
      </w:r>
      <w:r w:rsidR="00245510" w:rsidRPr="00C65CAA">
        <w:rPr>
          <w:rFonts w:ascii="Arial Narrow" w:hAnsi="Arial Narrow"/>
          <w:sz w:val="22"/>
          <w:szCs w:val="22"/>
        </w:rPr>
        <w:t>I</w:t>
      </w:r>
      <w:r w:rsidRPr="00C65CAA">
        <w:rPr>
          <w:rFonts w:ascii="Arial Narrow" w:hAnsi="Arial Narrow"/>
          <w:sz w:val="22"/>
          <w:szCs w:val="22"/>
        </w:rPr>
        <w:t>de o pokles o 4,63 % oproti</w:t>
      </w:r>
      <w:r w:rsidR="00245510" w:rsidRPr="00C65CAA">
        <w:rPr>
          <w:rFonts w:ascii="Arial Narrow" w:hAnsi="Arial Narrow"/>
          <w:sz w:val="22"/>
          <w:szCs w:val="22"/>
        </w:rPr>
        <w:t xml:space="preserve"> rozpočtu na rok 2</w:t>
      </w:r>
      <w:r w:rsidRPr="00C65CAA">
        <w:rPr>
          <w:rFonts w:ascii="Arial Narrow" w:hAnsi="Arial Narrow"/>
          <w:sz w:val="22"/>
          <w:szCs w:val="22"/>
        </w:rPr>
        <w:t>018</w:t>
      </w:r>
      <w:r w:rsidR="002D682C" w:rsidRPr="00C65CAA">
        <w:rPr>
          <w:rFonts w:ascii="Arial Narrow" w:hAnsi="Arial Narrow"/>
          <w:sz w:val="22"/>
          <w:szCs w:val="22"/>
        </w:rPr>
        <w:t>;</w:t>
      </w:r>
      <w:r w:rsidRPr="00C65CAA">
        <w:rPr>
          <w:rFonts w:ascii="Arial Narrow" w:hAnsi="Arial Narrow"/>
          <w:sz w:val="22"/>
          <w:szCs w:val="22"/>
        </w:rPr>
        <w:t xml:space="preserve"> v dôsledku zníženia prostriedkov na spolufinancovanie. Zonácia TANAPu, na ktorej pracuje rezort MŽP SR spolu aj s</w:t>
      </w:r>
      <w:r w:rsidR="002D682C" w:rsidRPr="00C65CAA">
        <w:rPr>
          <w:rFonts w:ascii="Arial Narrow" w:hAnsi="Arial Narrow"/>
          <w:sz w:val="22"/>
          <w:szCs w:val="22"/>
        </w:rPr>
        <w:t>o</w:t>
      </w:r>
      <w:r w:rsidRPr="00C65CAA">
        <w:rPr>
          <w:rFonts w:ascii="Arial Narrow" w:hAnsi="Arial Narrow"/>
          <w:sz w:val="22"/>
          <w:szCs w:val="22"/>
        </w:rPr>
        <w:t> Štátnou ochranou prírody a krajiny S</w:t>
      </w:r>
      <w:r w:rsidR="006B0033" w:rsidRPr="00C65CAA">
        <w:rPr>
          <w:rFonts w:ascii="Arial Narrow" w:hAnsi="Arial Narrow"/>
          <w:sz w:val="22"/>
          <w:szCs w:val="22"/>
        </w:rPr>
        <w:t>R, ešte stále nie je pripravená</w:t>
      </w:r>
      <w:r w:rsidRPr="00C65CAA">
        <w:rPr>
          <w:rFonts w:ascii="Arial Narrow" w:hAnsi="Arial Narrow"/>
          <w:sz w:val="22"/>
          <w:szCs w:val="22"/>
        </w:rPr>
        <w:t>, a riešenie sa odkladá na neurčito. Aj keď rezort už podnikol kroky na o</w:t>
      </w:r>
      <w:r w:rsidR="006B0033" w:rsidRPr="00C65CAA">
        <w:rPr>
          <w:rFonts w:ascii="Arial Narrow" w:hAnsi="Arial Narrow"/>
          <w:sz w:val="22"/>
          <w:szCs w:val="22"/>
        </w:rPr>
        <w:t xml:space="preserve">chranu bezzásahových zón, riziko predstavuje </w:t>
      </w:r>
      <w:r w:rsidRPr="00C65CAA">
        <w:rPr>
          <w:rFonts w:ascii="Arial Narrow" w:hAnsi="Arial Narrow"/>
          <w:sz w:val="22"/>
          <w:szCs w:val="22"/>
        </w:rPr>
        <w:t>nesúhlas vlastní</w:t>
      </w:r>
      <w:r w:rsidR="006B0033" w:rsidRPr="00C65CAA">
        <w:rPr>
          <w:rFonts w:ascii="Arial Narrow" w:hAnsi="Arial Narrow"/>
          <w:sz w:val="22"/>
          <w:szCs w:val="22"/>
        </w:rPr>
        <w:t xml:space="preserve">kov s návrhom jednotlivých zón </w:t>
      </w:r>
      <w:r w:rsidRPr="00C65CAA">
        <w:rPr>
          <w:rFonts w:ascii="Arial Narrow" w:hAnsi="Arial Narrow"/>
          <w:sz w:val="22"/>
          <w:szCs w:val="22"/>
        </w:rPr>
        <w:t xml:space="preserve">a </w:t>
      </w:r>
      <w:r w:rsidR="006B0033" w:rsidRPr="00C65CAA">
        <w:rPr>
          <w:rFonts w:ascii="Arial Narrow" w:hAnsi="Arial Narrow"/>
          <w:sz w:val="22"/>
          <w:szCs w:val="22"/>
        </w:rPr>
        <w:t>so</w:t>
      </w:r>
      <w:r w:rsidRPr="00C65CAA">
        <w:rPr>
          <w:rFonts w:ascii="Arial Narrow" w:hAnsi="Arial Narrow"/>
          <w:sz w:val="22"/>
          <w:szCs w:val="22"/>
        </w:rPr>
        <w:t xml:space="preserve"> spôsobom a výškou kompenzačných opatrení za nájom alebo výkup. Na výkup pozemkov v chránených oblastiach bolo v roku 2018 čerpaných 215 tis. eur, čo je málo na to</w:t>
      </w:r>
      <w:r w:rsidR="00245510" w:rsidRPr="00C65CAA">
        <w:rPr>
          <w:rFonts w:ascii="Arial Narrow" w:hAnsi="Arial Narrow"/>
          <w:sz w:val="22"/>
          <w:szCs w:val="22"/>
        </w:rPr>
        <w:t>,</w:t>
      </w:r>
      <w:r w:rsidRPr="00C65CAA">
        <w:rPr>
          <w:rFonts w:ascii="Arial Narrow" w:hAnsi="Arial Narrow"/>
          <w:sz w:val="22"/>
          <w:szCs w:val="22"/>
        </w:rPr>
        <w:t xml:space="preserve"> aby došlo k nejakým posunom.</w:t>
      </w:r>
    </w:p>
    <w:p w:rsidR="00D23611" w:rsidRPr="00C65CAA" w:rsidRDefault="00D23611" w:rsidP="00256AF8">
      <w:pPr>
        <w:pStyle w:val="Nadpis3"/>
        <w:spacing w:before="100" w:after="100"/>
        <w:rPr>
          <w:szCs w:val="22"/>
        </w:rPr>
      </w:pPr>
      <w:bookmarkStart w:id="34" w:name="_Toc529507602"/>
      <w:r w:rsidRPr="00C65CAA">
        <w:rPr>
          <w:szCs w:val="22"/>
        </w:rPr>
        <w:t>Ministerstvo školstva, vedy, výskumu a športu SR</w:t>
      </w:r>
      <w:bookmarkEnd w:id="34"/>
    </w:p>
    <w:p w:rsidR="00A24373" w:rsidRPr="00C65CAA" w:rsidRDefault="00A24373" w:rsidP="00256AF8">
      <w:pPr>
        <w:spacing w:before="100" w:after="100"/>
        <w:ind w:firstLine="708"/>
        <w:jc w:val="both"/>
        <w:rPr>
          <w:rFonts w:ascii="Arial Narrow" w:hAnsi="Arial Narrow"/>
          <w:sz w:val="22"/>
          <w:lang w:eastAsia="cs-CZ"/>
        </w:rPr>
      </w:pPr>
      <w:r w:rsidRPr="00C65CAA">
        <w:rPr>
          <w:rFonts w:ascii="Arial Narrow" w:hAnsi="Arial Narrow"/>
          <w:sz w:val="22"/>
          <w:lang w:eastAsia="cs-CZ"/>
        </w:rPr>
        <w:t>Príjmy kapitoly sa majú oproti roku 2018 takmer zdvojnásobiť na 81 529 tis. eur. Dôvodom je navýšenie príjmov z rozpočtu EÚ</w:t>
      </w:r>
      <w:r w:rsidRPr="00C65CAA">
        <w:rPr>
          <w:rStyle w:val="Odkaznapoznmkupodiarou"/>
          <w:rFonts w:ascii="Arial Narrow" w:hAnsi="Arial Narrow"/>
          <w:sz w:val="22"/>
          <w:lang w:eastAsia="cs-CZ"/>
        </w:rPr>
        <w:footnoteReference w:id="3"/>
      </w:r>
      <w:r w:rsidRPr="00C65CAA">
        <w:rPr>
          <w:rFonts w:ascii="Arial Narrow" w:hAnsi="Arial Narrow"/>
          <w:sz w:val="22"/>
          <w:lang w:eastAsia="cs-CZ"/>
        </w:rPr>
        <w:t>. Pri pohľade na celkové výdavky sa však toto navýšenie vytráca. Tie majú totiž</w:t>
      </w:r>
      <w:r w:rsidR="002D682C" w:rsidRPr="00C65CAA">
        <w:rPr>
          <w:rFonts w:ascii="Arial Narrow" w:hAnsi="Arial Narrow"/>
          <w:sz w:val="22"/>
          <w:lang w:eastAsia="cs-CZ"/>
        </w:rPr>
        <w:t>,</w:t>
      </w:r>
      <w:r w:rsidRPr="00C65CAA">
        <w:rPr>
          <w:rFonts w:ascii="Arial Narrow" w:hAnsi="Arial Narrow"/>
          <w:sz w:val="22"/>
          <w:lang w:eastAsia="cs-CZ"/>
        </w:rPr>
        <w:t xml:space="preserve"> naopak</w:t>
      </w:r>
      <w:r w:rsidR="002D682C" w:rsidRPr="00C65CAA">
        <w:rPr>
          <w:rFonts w:ascii="Arial Narrow" w:hAnsi="Arial Narrow"/>
          <w:sz w:val="22"/>
          <w:lang w:eastAsia="cs-CZ"/>
        </w:rPr>
        <w:t>,</w:t>
      </w:r>
      <w:r w:rsidRPr="00C65CAA">
        <w:rPr>
          <w:rFonts w:ascii="Arial Narrow" w:hAnsi="Arial Narrow"/>
          <w:sz w:val="22"/>
          <w:lang w:eastAsia="cs-CZ"/>
        </w:rPr>
        <w:t xml:space="preserve"> medziročne klesnúť o 2 826 tis. eur. Výrazne majú poklesnúť výdavky v oblasti športu (ukončenie financovania projektu Národného futbalového štadióna)</w:t>
      </w:r>
      <w:r w:rsidR="002D682C" w:rsidRPr="00C65CAA">
        <w:rPr>
          <w:rFonts w:ascii="Arial Narrow" w:hAnsi="Arial Narrow"/>
          <w:sz w:val="22"/>
          <w:lang w:eastAsia="cs-CZ"/>
        </w:rPr>
        <w:t>,</w:t>
      </w:r>
      <w:r w:rsidRPr="00C65CAA">
        <w:rPr>
          <w:rFonts w:ascii="Arial Narrow" w:hAnsi="Arial Narrow"/>
          <w:sz w:val="22"/>
          <w:lang w:eastAsia="cs-CZ"/>
        </w:rPr>
        <w:t xml:space="preserve"> a</w:t>
      </w:r>
      <w:r w:rsidR="002D682C" w:rsidRPr="00C65CAA">
        <w:rPr>
          <w:rFonts w:ascii="Arial Narrow" w:hAnsi="Arial Narrow"/>
          <w:sz w:val="22"/>
          <w:lang w:eastAsia="cs-CZ"/>
        </w:rPr>
        <w:t>ko aj</w:t>
      </w:r>
      <w:r w:rsidRPr="00C65CAA">
        <w:rPr>
          <w:rFonts w:ascii="Arial Narrow" w:hAnsi="Arial Narrow"/>
          <w:sz w:val="22"/>
          <w:lang w:eastAsia="cs-CZ"/>
        </w:rPr>
        <w:t xml:space="preserve"> vedy a techniky.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4E6C6E" w:rsidRPr="00C65CAA" w:rsidTr="004E6C6E">
        <w:tc>
          <w:tcPr>
            <w:tcW w:w="9073" w:type="dxa"/>
            <w:tcBorders>
              <w:top w:val="single" w:sz="4" w:space="0" w:color="auto"/>
              <w:bottom w:val="single" w:sz="4" w:space="0" w:color="auto"/>
            </w:tcBorders>
            <w:shd w:val="clear" w:color="auto" w:fill="0070C0"/>
          </w:tcPr>
          <w:p w:rsidR="004E6C6E" w:rsidRPr="00C65CAA" w:rsidRDefault="004E6C6E" w:rsidP="00256AF8">
            <w:pPr>
              <w:spacing w:before="100" w:after="100"/>
              <w:jc w:val="both"/>
              <w:rPr>
                <w:rFonts w:ascii="Arial Narrow" w:hAnsi="Arial Narrow"/>
                <w:b/>
                <w:color w:val="FFFFFF" w:themeColor="background1"/>
                <w:sz w:val="20"/>
                <w:szCs w:val="20"/>
              </w:rPr>
            </w:pPr>
            <w:r w:rsidRPr="00C65CAA">
              <w:rPr>
                <w:rFonts w:ascii="Arial Narrow" w:hAnsi="Arial Narrow"/>
                <w:b/>
                <w:color w:val="FFFFFF" w:themeColor="background1"/>
                <w:sz w:val="20"/>
                <w:szCs w:val="20"/>
              </w:rPr>
              <w:t>Oblasti alokovaných výdavkov (v tis. eur)</w:t>
            </w:r>
          </w:p>
        </w:tc>
      </w:tr>
      <w:tr w:rsidR="00A24373" w:rsidRPr="00C65CAA" w:rsidTr="00DE3443">
        <w:tblPrEx>
          <w:tblCellMar>
            <w:left w:w="70" w:type="dxa"/>
            <w:right w:w="70" w:type="dxa"/>
          </w:tblCellMar>
        </w:tblPrEx>
        <w:trPr>
          <w:trHeight w:val="2381"/>
        </w:trPr>
        <w:tc>
          <w:tcPr>
            <w:tcW w:w="9073" w:type="dxa"/>
            <w:tcBorders>
              <w:top w:val="single" w:sz="4" w:space="0" w:color="auto"/>
              <w:left w:val="nil"/>
              <w:bottom w:val="single" w:sz="4" w:space="0" w:color="auto"/>
              <w:right w:val="nil"/>
            </w:tcBorders>
            <w:hideMark/>
          </w:tcPr>
          <w:p w:rsidR="00A24373" w:rsidRPr="00C65CAA" w:rsidRDefault="00DE3443" w:rsidP="00256AF8">
            <w:pPr>
              <w:spacing w:before="100" w:after="100"/>
              <w:jc w:val="both"/>
              <w:rPr>
                <w:rFonts w:ascii="Arial Narrow" w:hAnsi="Arial Narrow"/>
              </w:rPr>
            </w:pPr>
            <w:r w:rsidRPr="00C65CAA">
              <w:rPr>
                <w:rFonts w:ascii="Arial Narrow" w:hAnsi="Arial Narrow"/>
                <w:noProof/>
              </w:rPr>
              <w:drawing>
                <wp:inline distT="0" distB="0" distL="0" distR="0" wp14:anchorId="6FBFAC33" wp14:editId="273E18CA">
                  <wp:extent cx="5761355" cy="1524000"/>
                  <wp:effectExtent l="0" t="0" r="0" b="0"/>
                  <wp:docPr id="34" name="Graf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bl>
    <w:p w:rsidR="00A24373" w:rsidRPr="00C65CAA" w:rsidRDefault="00A24373" w:rsidP="00256AF8">
      <w:pPr>
        <w:autoSpaceDE w:val="0"/>
        <w:autoSpaceDN w:val="0"/>
        <w:adjustRightInd w:val="0"/>
        <w:spacing w:before="100" w:after="100"/>
        <w:jc w:val="both"/>
        <w:rPr>
          <w:rFonts w:ascii="Arial Narrow" w:hAnsi="Arial Narrow" w:cs="Calibri"/>
          <w:sz w:val="20"/>
          <w:szCs w:val="20"/>
        </w:rPr>
      </w:pPr>
      <w:r w:rsidRPr="00C65CAA">
        <w:rPr>
          <w:rFonts w:ascii="Arial Narrow" w:hAnsi="Arial Narrow"/>
          <w:sz w:val="20"/>
          <w:szCs w:val="20"/>
          <w:lang w:eastAsia="cs-CZ"/>
        </w:rPr>
        <w:t>Zdroj:</w:t>
      </w:r>
      <w:r w:rsidRPr="00C65CAA">
        <w:rPr>
          <w:rFonts w:ascii="Arial Narrow" w:hAnsi="Arial Narrow" w:cs="Calibri"/>
          <w:sz w:val="20"/>
          <w:szCs w:val="20"/>
        </w:rPr>
        <w:t xml:space="preserve"> Návrh </w:t>
      </w:r>
      <w:r w:rsidR="002D682C" w:rsidRPr="00C65CAA">
        <w:rPr>
          <w:rFonts w:ascii="Arial Narrow" w:hAnsi="Arial Narrow" w:cs="Calibri"/>
          <w:sz w:val="20"/>
          <w:szCs w:val="20"/>
        </w:rPr>
        <w:t>RVS 2019 –</w:t>
      </w:r>
      <w:r w:rsidRPr="00C65CAA">
        <w:rPr>
          <w:rFonts w:ascii="Arial Narrow" w:hAnsi="Arial Narrow" w:cs="Calibri"/>
          <w:sz w:val="20"/>
          <w:szCs w:val="20"/>
        </w:rPr>
        <w:t xml:space="preserve"> 2021</w:t>
      </w:r>
    </w:p>
    <w:p w:rsidR="004E6C6E" w:rsidRPr="00C65CAA" w:rsidRDefault="00A24373" w:rsidP="00256AF8">
      <w:pPr>
        <w:spacing w:before="100" w:after="100"/>
        <w:ind w:firstLine="708"/>
        <w:jc w:val="both"/>
        <w:rPr>
          <w:rFonts w:ascii="Arial Narrow" w:hAnsi="Arial Narrow"/>
          <w:sz w:val="22"/>
          <w:lang w:eastAsia="cs-CZ"/>
        </w:rPr>
      </w:pPr>
      <w:r w:rsidRPr="00C65CAA">
        <w:rPr>
          <w:rFonts w:ascii="Arial Narrow" w:hAnsi="Arial Narrow"/>
          <w:sz w:val="22"/>
          <w:lang w:eastAsia="cs-CZ"/>
        </w:rPr>
        <w:t>Jedným z cieľov Programového vyhlásenia vlády SR na roky 2016 – 2020</w:t>
      </w:r>
      <w:r w:rsidR="002D682C" w:rsidRPr="00C65CAA">
        <w:rPr>
          <w:rFonts w:ascii="Arial Narrow" w:hAnsi="Arial Narrow"/>
          <w:sz w:val="22"/>
          <w:lang w:eastAsia="cs-CZ"/>
        </w:rPr>
        <w:t>,</w:t>
      </w:r>
      <w:r w:rsidRPr="00C65CAA">
        <w:rPr>
          <w:rFonts w:ascii="Arial Narrow" w:hAnsi="Arial Narrow"/>
          <w:sz w:val="22"/>
          <w:lang w:eastAsia="cs-CZ"/>
        </w:rPr>
        <w:t xml:space="preserve"> v rámci regionálneho školstva</w:t>
      </w:r>
      <w:r w:rsidR="002D682C" w:rsidRPr="00C65CAA">
        <w:rPr>
          <w:rFonts w:ascii="Arial Narrow" w:hAnsi="Arial Narrow"/>
          <w:sz w:val="22"/>
          <w:lang w:eastAsia="cs-CZ"/>
        </w:rPr>
        <w:t>,</w:t>
      </w:r>
      <w:r w:rsidRPr="00C65CAA">
        <w:rPr>
          <w:rFonts w:ascii="Arial Narrow" w:hAnsi="Arial Narrow"/>
          <w:sz w:val="22"/>
          <w:lang w:eastAsia="cs-CZ"/>
        </w:rPr>
        <w:t xml:space="preserve"> je zefektívnenie jeho financovania postupnou optimalizáciou siete škôl a školských zariadení</w:t>
      </w:r>
      <w:r w:rsidR="002D682C" w:rsidRPr="00C65CAA">
        <w:rPr>
          <w:rFonts w:ascii="Arial Narrow" w:hAnsi="Arial Narrow"/>
          <w:sz w:val="22"/>
          <w:lang w:eastAsia="cs-CZ"/>
        </w:rPr>
        <w:t>, a to</w:t>
      </w:r>
      <w:r w:rsidRPr="00C65CAA">
        <w:rPr>
          <w:rFonts w:ascii="Arial Narrow" w:hAnsi="Arial Narrow"/>
          <w:sz w:val="22"/>
          <w:lang w:eastAsia="cs-CZ"/>
        </w:rPr>
        <w:t xml:space="preserve"> s dôrazom najmä na druhý stupeň základných škôl a stredné školy. Problém efektivity sa týka najmä siete základných škôl, ktorá sa demografickému vývoju prispôsobila len čiastočne. Prijatie opatrení na jej racionalizáciu patrí tiež k hlavným úlohám MŠVVŠ SR, vyplývajúcich z Revízie výdavkov na vzdelávanie z roku 2017. Odhadovaná miera úspory by mala predstavovať 12 mil. eur ročne, ale keďže MŠVVŠ SR dosiaľ nedefinovalo a neprijalo žiadne konkrétne opatrenia vedúce k racionalizácii siete základných škôl, NKÚ SR upozorňuje na pretrvávajúce rezervy v efektívnosti vynakladania verejných zdrojov na regionálne školstvo. To vplýva aj na kvalitu a atraktivitu školstva</w:t>
      </w:r>
      <w:r w:rsidR="002D682C" w:rsidRPr="00C65CAA">
        <w:rPr>
          <w:rFonts w:ascii="Arial Narrow" w:hAnsi="Arial Narrow"/>
          <w:sz w:val="22"/>
          <w:lang w:eastAsia="cs-CZ"/>
        </w:rPr>
        <w:t>,</w:t>
      </w:r>
      <w:r w:rsidRPr="00C65CAA">
        <w:rPr>
          <w:rFonts w:ascii="Arial Narrow" w:hAnsi="Arial Narrow"/>
          <w:sz w:val="22"/>
          <w:lang w:eastAsia="cs-CZ"/>
        </w:rPr>
        <w:t xml:space="preserve"> a následne sa pretavuje aj do výsled</w:t>
      </w:r>
      <w:r w:rsidR="002D682C" w:rsidRPr="00C65CAA">
        <w:rPr>
          <w:rFonts w:ascii="Arial Narrow" w:hAnsi="Arial Narrow"/>
          <w:sz w:val="22"/>
          <w:lang w:eastAsia="cs-CZ"/>
        </w:rPr>
        <w:t>n</w:t>
      </w:r>
      <w:r w:rsidRPr="00C65CAA">
        <w:rPr>
          <w:rFonts w:ascii="Arial Narrow" w:hAnsi="Arial Narrow"/>
          <w:sz w:val="22"/>
          <w:lang w:eastAsia="cs-CZ"/>
        </w:rPr>
        <w:t>ých cieľov, ktoré si SR v rámci stratégie Európa 2020 v oblasti vzdelávania stanovila.</w:t>
      </w: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A24373" w:rsidRPr="00C65CAA" w:rsidTr="00EB05EC">
        <w:trPr>
          <w:trHeight w:val="189"/>
        </w:trPr>
        <w:tc>
          <w:tcPr>
            <w:tcW w:w="5000" w:type="pct"/>
            <w:tcBorders>
              <w:top w:val="single" w:sz="4" w:space="0" w:color="auto"/>
              <w:left w:val="nil"/>
              <w:bottom w:val="single" w:sz="4" w:space="0" w:color="auto"/>
              <w:right w:val="nil"/>
            </w:tcBorders>
            <w:shd w:val="clear" w:color="auto" w:fill="0070C0"/>
            <w:hideMark/>
          </w:tcPr>
          <w:p w:rsidR="00A24373" w:rsidRPr="00C65CAA" w:rsidRDefault="00A24373" w:rsidP="00C8633E">
            <w:pPr>
              <w:jc w:val="both"/>
              <w:rPr>
                <w:rFonts w:ascii="Arial Narrow" w:hAnsi="Arial Narrow"/>
                <w:b/>
                <w:color w:val="FFFFFF" w:themeColor="background1"/>
              </w:rPr>
            </w:pPr>
            <w:r w:rsidRPr="00C65CAA">
              <w:rPr>
                <w:rFonts w:ascii="Arial Narrow" w:hAnsi="Arial Narrow"/>
                <w:b/>
                <w:color w:val="FFFFFF" w:themeColor="background1"/>
              </w:rPr>
              <w:t>Predčasné ukončenie školskej dochádzky (v %, vo vekovej skupine 18 – 24 rokov)</w:t>
            </w:r>
          </w:p>
        </w:tc>
      </w:tr>
      <w:tr w:rsidR="00A24373" w:rsidRPr="00C65CAA" w:rsidTr="00EB05EC">
        <w:tblPrEx>
          <w:tblCellMar>
            <w:left w:w="70" w:type="dxa"/>
            <w:right w:w="70" w:type="dxa"/>
          </w:tblCellMar>
        </w:tblPrEx>
        <w:trPr>
          <w:trHeight w:val="2381"/>
        </w:trPr>
        <w:tc>
          <w:tcPr>
            <w:tcW w:w="5000" w:type="pct"/>
            <w:tcBorders>
              <w:top w:val="single" w:sz="4" w:space="0" w:color="auto"/>
              <w:left w:val="nil"/>
              <w:bottom w:val="single" w:sz="4" w:space="0" w:color="auto"/>
              <w:right w:val="nil"/>
            </w:tcBorders>
            <w:hideMark/>
          </w:tcPr>
          <w:p w:rsidR="00A24373" w:rsidRPr="00C65CAA" w:rsidRDefault="00A24373" w:rsidP="00C8633E">
            <w:pPr>
              <w:jc w:val="both"/>
              <w:rPr>
                <w:rFonts w:ascii="Arial Narrow" w:hAnsi="Arial Narrow"/>
              </w:rPr>
            </w:pPr>
            <w:r w:rsidRPr="00C65CAA">
              <w:rPr>
                <w:rFonts w:ascii="Arial Narrow" w:hAnsi="Arial Narrow"/>
                <w:noProof/>
              </w:rPr>
              <w:drawing>
                <wp:inline distT="0" distB="0" distL="0" distR="0" wp14:anchorId="1449C564" wp14:editId="6D265628">
                  <wp:extent cx="5684520" cy="1760220"/>
                  <wp:effectExtent l="0" t="0" r="0" b="0"/>
                  <wp:docPr id="20" name="Graf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bl>
    <w:p w:rsidR="00A24373" w:rsidRPr="00C65CAA" w:rsidRDefault="002D682C" w:rsidP="00C8633E">
      <w:pPr>
        <w:spacing w:after="100"/>
        <w:jc w:val="both"/>
        <w:rPr>
          <w:rFonts w:ascii="Arial Narrow" w:hAnsi="Arial Narrow"/>
          <w:sz w:val="20"/>
          <w:szCs w:val="20"/>
          <w:lang w:eastAsia="cs-CZ"/>
        </w:rPr>
      </w:pPr>
      <w:r w:rsidRPr="00C65CAA">
        <w:rPr>
          <w:rFonts w:ascii="Arial Narrow" w:hAnsi="Arial Narrow"/>
          <w:sz w:val="20"/>
          <w:szCs w:val="20"/>
          <w:lang w:eastAsia="cs-CZ"/>
        </w:rPr>
        <w:t>Zdroj: Návrh RVS 2019 –</w:t>
      </w:r>
      <w:r w:rsidR="00A24373" w:rsidRPr="00C65CAA">
        <w:rPr>
          <w:rFonts w:ascii="Arial Narrow" w:hAnsi="Arial Narrow"/>
          <w:sz w:val="20"/>
          <w:szCs w:val="20"/>
          <w:lang w:eastAsia="cs-CZ"/>
        </w:rPr>
        <w:t xml:space="preserve"> 2021</w:t>
      </w:r>
    </w:p>
    <w:p w:rsidR="00A24373" w:rsidRPr="00C65CAA" w:rsidRDefault="00A24373" w:rsidP="00256AF8">
      <w:pPr>
        <w:spacing w:before="100" w:after="100"/>
        <w:ind w:firstLine="708"/>
        <w:jc w:val="both"/>
        <w:rPr>
          <w:rFonts w:ascii="Arial Narrow" w:hAnsi="Arial Narrow"/>
          <w:sz w:val="22"/>
          <w:lang w:eastAsia="cs-CZ"/>
        </w:rPr>
      </w:pPr>
      <w:r w:rsidRPr="00C65CAA">
        <w:rPr>
          <w:rFonts w:ascii="Arial Narrow" w:hAnsi="Arial Narrow"/>
          <w:sz w:val="22"/>
          <w:lang w:eastAsia="cs-CZ"/>
        </w:rPr>
        <w:lastRenderedPageBreak/>
        <w:t xml:space="preserve">Podľa aktuálnych údajov o počte žiakov a študentov, ktorí predčasne ukončili školskú dochádzku, </w:t>
      </w:r>
      <w:r w:rsidR="006B0033" w:rsidRPr="00C65CAA">
        <w:rPr>
          <w:rFonts w:ascii="Arial Narrow" w:hAnsi="Arial Narrow"/>
          <w:sz w:val="22"/>
          <w:lang w:eastAsia="cs-CZ"/>
        </w:rPr>
        <w:t xml:space="preserve">sa </w:t>
      </w:r>
      <w:r w:rsidRPr="00C65CAA">
        <w:rPr>
          <w:rFonts w:ascii="Arial Narrow" w:hAnsi="Arial Narrow"/>
          <w:sz w:val="22"/>
          <w:lang w:eastAsia="cs-CZ"/>
        </w:rPr>
        <w:t>cieľu</w:t>
      </w:r>
      <w:r w:rsidR="002D682C" w:rsidRPr="00C65CAA">
        <w:rPr>
          <w:rFonts w:ascii="Arial Narrow" w:hAnsi="Arial Narrow"/>
          <w:sz w:val="22"/>
          <w:lang w:eastAsia="cs-CZ"/>
        </w:rPr>
        <w:t>,</w:t>
      </w:r>
      <w:r w:rsidRPr="00C65CAA">
        <w:rPr>
          <w:rFonts w:ascii="Arial Narrow" w:hAnsi="Arial Narrow"/>
          <w:sz w:val="22"/>
          <w:lang w:eastAsia="cs-CZ"/>
        </w:rPr>
        <w:t xml:space="preserve"> </w:t>
      </w:r>
      <w:r w:rsidR="006B0033" w:rsidRPr="00C65CAA">
        <w:rPr>
          <w:rFonts w:ascii="Arial Narrow" w:hAnsi="Arial Narrow"/>
          <w:sz w:val="22"/>
          <w:lang w:eastAsia="cs-CZ"/>
        </w:rPr>
        <w:t>v rámci stratégie Európa 2020</w:t>
      </w:r>
      <w:r w:rsidR="002D682C" w:rsidRPr="00C65CAA">
        <w:rPr>
          <w:rFonts w:ascii="Arial Narrow" w:hAnsi="Arial Narrow"/>
          <w:sz w:val="22"/>
          <w:lang w:eastAsia="cs-CZ"/>
        </w:rPr>
        <w:t>,</w:t>
      </w:r>
      <w:r w:rsidRPr="00C65CAA">
        <w:rPr>
          <w:rFonts w:ascii="Arial Narrow" w:hAnsi="Arial Narrow"/>
          <w:sz w:val="22"/>
          <w:lang w:eastAsia="cs-CZ"/>
        </w:rPr>
        <w:t xml:space="preserve"> skôr vzďaľujeme</w:t>
      </w:r>
      <w:r w:rsidR="002D682C" w:rsidRPr="00C65CAA">
        <w:rPr>
          <w:rFonts w:ascii="Arial Narrow" w:hAnsi="Arial Narrow"/>
          <w:sz w:val="22"/>
          <w:lang w:eastAsia="cs-CZ"/>
        </w:rPr>
        <w:t>,</w:t>
      </w:r>
      <w:r w:rsidRPr="00C65CAA">
        <w:rPr>
          <w:rFonts w:ascii="Arial Narrow" w:hAnsi="Arial Narrow"/>
          <w:sz w:val="22"/>
          <w:lang w:eastAsia="cs-CZ"/>
        </w:rPr>
        <w:t xml:space="preserve"> </w:t>
      </w:r>
      <w:r w:rsidR="002D682C" w:rsidRPr="00C65CAA">
        <w:rPr>
          <w:rFonts w:ascii="Arial Narrow" w:hAnsi="Arial Narrow"/>
          <w:sz w:val="22"/>
          <w:lang w:eastAsia="cs-CZ"/>
        </w:rPr>
        <w:t>než</w:t>
      </w:r>
      <w:r w:rsidRPr="00C65CAA">
        <w:rPr>
          <w:rFonts w:ascii="Arial Narrow" w:hAnsi="Arial Narrow"/>
          <w:sz w:val="22"/>
          <w:lang w:eastAsia="cs-CZ"/>
        </w:rPr>
        <w:t xml:space="preserve"> približujeme. Rezort školstva bude musieť vynaložiť veľa úsilia, aby sa podarilo splniť stanovenú hranicu na úrovni 6 %. Zvyšovanie počtu žiakov a študentov, ktorí predčasne opustili vzdelávacie procesy, do istej miery súvisí aj s problémami v slovenskom školskom systéme pri žiakoch z MRK. Podľa analýzy IFP, dosahujú iba polovičnú úspešnosť v testovaní žiakov základných škôl v 5. a 9. ročníku, navyše</w:t>
      </w:r>
      <w:r w:rsidR="002D682C" w:rsidRPr="00C65CAA">
        <w:rPr>
          <w:rFonts w:ascii="Arial Narrow" w:hAnsi="Arial Narrow"/>
          <w:sz w:val="22"/>
          <w:lang w:eastAsia="cs-CZ"/>
        </w:rPr>
        <w:t>,</w:t>
      </w:r>
      <w:r w:rsidRPr="00C65CAA">
        <w:rPr>
          <w:rFonts w:ascii="Arial Narrow" w:hAnsi="Arial Narrow"/>
          <w:sz w:val="22"/>
          <w:lang w:eastAsia="cs-CZ"/>
        </w:rPr>
        <w:t xml:space="preserve"> zhruba polovica z nich sa do 9. ročníka ani nedostane (opakovanie ročníkov a ukončenie povinnej školskej dochádzky v 16. roku života). Ďalej v štúdiu na strednej škole tak pokračuje iba každý druhý Róm.</w:t>
      </w:r>
      <w:r w:rsidRPr="00C65CAA">
        <w:rPr>
          <w:rStyle w:val="Odkaznapoznmkupodiarou"/>
          <w:rFonts w:ascii="Arial Narrow" w:hAnsi="Arial Narrow"/>
          <w:sz w:val="22"/>
          <w:lang w:eastAsia="cs-CZ"/>
        </w:rPr>
        <w:footnoteReference w:id="4"/>
      </w:r>
      <w:r w:rsidRPr="00C65CAA">
        <w:rPr>
          <w:rFonts w:ascii="Arial Narrow" w:hAnsi="Arial Narrow"/>
          <w:sz w:val="22"/>
          <w:lang w:eastAsia="cs-CZ"/>
        </w:rPr>
        <w:t xml:space="preserve"> Riziko rozpočtu predstavuje rýchlosť čerpania prostriedkov z</w:t>
      </w:r>
      <w:r w:rsidR="002D682C" w:rsidRPr="00C65CAA">
        <w:rPr>
          <w:rFonts w:ascii="Arial Narrow" w:hAnsi="Arial Narrow"/>
          <w:sz w:val="22"/>
          <w:lang w:eastAsia="cs-CZ"/>
        </w:rPr>
        <w:t> </w:t>
      </w:r>
      <w:r w:rsidRPr="00C65CAA">
        <w:rPr>
          <w:rFonts w:ascii="Arial Narrow" w:hAnsi="Arial Narrow"/>
          <w:sz w:val="22"/>
          <w:lang w:eastAsia="cs-CZ"/>
        </w:rPr>
        <w:t>EÚ</w:t>
      </w:r>
      <w:r w:rsidR="002D682C" w:rsidRPr="00C65CAA">
        <w:rPr>
          <w:rFonts w:ascii="Arial Narrow" w:hAnsi="Arial Narrow"/>
          <w:sz w:val="22"/>
          <w:lang w:eastAsia="cs-CZ"/>
        </w:rPr>
        <w:t>,</w:t>
      </w:r>
      <w:r w:rsidRPr="00C65CAA">
        <w:rPr>
          <w:rFonts w:ascii="Arial Narrow" w:hAnsi="Arial Narrow"/>
          <w:sz w:val="22"/>
          <w:lang w:eastAsia="cs-CZ"/>
        </w:rPr>
        <w:t xml:space="preserve"> určených aj na projekty, ktoré by túto situáciu zlepšili. V rámci prioritnej osi Vzdelávanie (OP Ľudské zdroje) sa na rok 2019 plánuje vyčleniť 84 521 tis. eur. V rokoch 2016 </w:t>
      </w:r>
      <w:r w:rsidR="009A1687" w:rsidRPr="00C65CAA">
        <w:rPr>
          <w:rFonts w:ascii="Arial Narrow" w:hAnsi="Arial Narrow"/>
          <w:sz w:val="22"/>
          <w:szCs w:val="22"/>
        </w:rPr>
        <w:t>–</w:t>
      </w:r>
      <w:r w:rsidRPr="00C65CAA">
        <w:rPr>
          <w:rFonts w:ascii="Arial Narrow" w:hAnsi="Arial Narrow"/>
          <w:sz w:val="22"/>
          <w:lang w:eastAsia="cs-CZ"/>
        </w:rPr>
        <w:t xml:space="preserve"> 2018 bolo na tejto prioritnej osi rozpočtovaných spolu 97 981 tis. eur, pričom k 3. štvrťroku 2018 sa za celé toto obdobie vyčerpalo iba 14 730 tis. eur.</w:t>
      </w:r>
    </w:p>
    <w:p w:rsidR="00A24373" w:rsidRPr="00C65CAA" w:rsidRDefault="00A24373" w:rsidP="00256AF8">
      <w:pPr>
        <w:spacing w:before="100" w:after="100"/>
        <w:ind w:firstLine="708"/>
        <w:jc w:val="both"/>
        <w:rPr>
          <w:rFonts w:ascii="Arial Narrow" w:hAnsi="Arial Narrow"/>
          <w:sz w:val="22"/>
          <w:lang w:eastAsia="cs-CZ"/>
        </w:rPr>
      </w:pPr>
      <w:r w:rsidRPr="00C65CAA">
        <w:rPr>
          <w:rFonts w:ascii="Arial Narrow" w:hAnsi="Arial Narrow"/>
          <w:sz w:val="22"/>
          <w:lang w:eastAsia="cs-CZ"/>
        </w:rPr>
        <w:t>Úsporu finančných prostriedkov na riadenie školstva by podľa Revízie výdavkov na vzdelávanie bolo možné dosiahnuť optimalizáciou štruktúry a činností priamo r</w:t>
      </w:r>
      <w:r w:rsidR="006B0033" w:rsidRPr="00C65CAA">
        <w:rPr>
          <w:rFonts w:ascii="Arial Narrow" w:hAnsi="Arial Narrow"/>
          <w:sz w:val="22"/>
          <w:lang w:eastAsia="cs-CZ"/>
        </w:rPr>
        <w:t>iadených organizácii (PRO) MŠVV</w:t>
      </w:r>
      <w:r w:rsidRPr="00C65CAA">
        <w:rPr>
          <w:rFonts w:ascii="Arial Narrow" w:hAnsi="Arial Narrow"/>
          <w:sz w:val="22"/>
          <w:lang w:eastAsia="cs-CZ"/>
        </w:rPr>
        <w:t xml:space="preserve">Š SR, ktorej výsledkom by malo byť aj zrušenie niektorých z nich. </w:t>
      </w:r>
      <w:r w:rsidR="009A1687" w:rsidRPr="00C65CAA">
        <w:rPr>
          <w:rFonts w:ascii="Arial Narrow" w:hAnsi="Arial Narrow"/>
          <w:sz w:val="22"/>
          <w:lang w:eastAsia="cs-CZ"/>
        </w:rPr>
        <w:t>N</w:t>
      </w:r>
      <w:r w:rsidRPr="00C65CAA">
        <w:rPr>
          <w:rFonts w:ascii="Arial Narrow" w:hAnsi="Arial Narrow"/>
          <w:sz w:val="22"/>
          <w:lang w:eastAsia="cs-CZ"/>
        </w:rPr>
        <w:t>a t</w:t>
      </w:r>
      <w:r w:rsidR="009A1687" w:rsidRPr="00C65CAA">
        <w:rPr>
          <w:rFonts w:ascii="Arial Narrow" w:hAnsi="Arial Narrow"/>
          <w:sz w:val="22"/>
          <w:lang w:eastAsia="cs-CZ"/>
        </w:rPr>
        <w:t>ento účel</w:t>
      </w:r>
      <w:r w:rsidRPr="00C65CAA">
        <w:rPr>
          <w:rFonts w:ascii="Arial Narrow" w:hAnsi="Arial Narrow"/>
          <w:sz w:val="22"/>
          <w:lang w:eastAsia="cs-CZ"/>
        </w:rPr>
        <w:t xml:space="preserve"> bol v rámci plnenia danej úlohy na rok 2018 stanovený cieľ zredukovať počet organizácií zo 17 na 16. MŠVVŠ SR síce začalo pripravovať zmeny v tejto oblasti, ale plán zlúčiť Národný ústav celoživotného vzdelávania so Štátnym inštitútom odborného vzdelávania nezrealizovalo. MŠVVŠ SR na rok 2019 nepočíta ani s úsporou na výdavkoch priamo riadených organizácií, keďže tie sú rozpočtované vo vyššej sume</w:t>
      </w:r>
      <w:r w:rsidR="009A1687" w:rsidRPr="00C65CAA">
        <w:rPr>
          <w:rFonts w:ascii="Arial Narrow" w:hAnsi="Arial Narrow"/>
          <w:sz w:val="22"/>
          <w:lang w:eastAsia="cs-CZ"/>
        </w:rPr>
        <w:t>,</w:t>
      </w:r>
      <w:r w:rsidRPr="00C65CAA">
        <w:rPr>
          <w:rFonts w:ascii="Arial Narrow" w:hAnsi="Arial Narrow"/>
          <w:sz w:val="22"/>
          <w:lang w:eastAsia="cs-CZ"/>
        </w:rPr>
        <w:t xml:space="preserve"> ako v dvoch predchádzajúcich rokoch.</w:t>
      </w:r>
    </w:p>
    <w:tbl>
      <w:tblPr>
        <w:tblW w:w="9128" w:type="dxa"/>
        <w:tblCellMar>
          <w:left w:w="70" w:type="dxa"/>
          <w:right w:w="70" w:type="dxa"/>
        </w:tblCellMar>
        <w:tblLook w:val="04A0" w:firstRow="1" w:lastRow="0" w:firstColumn="1" w:lastColumn="0" w:noHBand="0" w:noVBand="1"/>
      </w:tblPr>
      <w:tblGrid>
        <w:gridCol w:w="5581"/>
        <w:gridCol w:w="1218"/>
        <w:gridCol w:w="1111"/>
        <w:gridCol w:w="1218"/>
      </w:tblGrid>
      <w:tr w:rsidR="00A24373" w:rsidRPr="00C65CAA" w:rsidTr="00256AF8">
        <w:trPr>
          <w:trHeight w:val="298"/>
        </w:trPr>
        <w:tc>
          <w:tcPr>
            <w:tcW w:w="5581" w:type="dxa"/>
            <w:tcBorders>
              <w:top w:val="single" w:sz="4" w:space="0" w:color="auto"/>
              <w:left w:val="single" w:sz="4" w:space="0" w:color="auto"/>
              <w:bottom w:val="single" w:sz="4" w:space="0" w:color="auto"/>
              <w:right w:val="single" w:sz="4" w:space="0" w:color="FFFFFF" w:themeColor="background1"/>
            </w:tcBorders>
            <w:shd w:val="clear" w:color="000000" w:fill="0070C0"/>
            <w:noWrap/>
            <w:vAlign w:val="center"/>
            <w:hideMark/>
          </w:tcPr>
          <w:p w:rsidR="00256AF8" w:rsidRPr="00C65CAA" w:rsidRDefault="00A24373" w:rsidP="00011F12">
            <w:pPr>
              <w:jc w:val="both"/>
              <w:rPr>
                <w:rFonts w:ascii="Arial Narrow" w:hAnsi="Arial Narrow"/>
                <w:b/>
                <w:color w:val="FFFFFF" w:themeColor="background1"/>
                <w:sz w:val="20"/>
                <w:szCs w:val="20"/>
                <w:lang w:eastAsia="cs-CZ"/>
              </w:rPr>
            </w:pPr>
            <w:r w:rsidRPr="00C65CAA">
              <w:rPr>
                <w:rFonts w:ascii="Arial Narrow" w:hAnsi="Arial Narrow"/>
                <w:b/>
                <w:color w:val="FFFFFF" w:themeColor="background1"/>
                <w:sz w:val="20"/>
                <w:szCs w:val="20"/>
                <w:lang w:eastAsia="cs-CZ"/>
              </w:rPr>
              <w:t>Rozpočet výdavkov pr</w:t>
            </w:r>
            <w:r w:rsidR="006B0033" w:rsidRPr="00C65CAA">
              <w:rPr>
                <w:rFonts w:ascii="Arial Narrow" w:hAnsi="Arial Narrow"/>
                <w:b/>
                <w:color w:val="FFFFFF" w:themeColor="background1"/>
                <w:sz w:val="20"/>
                <w:szCs w:val="20"/>
                <w:lang w:eastAsia="cs-CZ"/>
              </w:rPr>
              <w:t>iamo riadených organizácií MŠVV</w:t>
            </w:r>
            <w:r w:rsidRPr="00C65CAA">
              <w:rPr>
                <w:rFonts w:ascii="Arial Narrow" w:hAnsi="Arial Narrow"/>
                <w:b/>
                <w:color w:val="FFFFFF" w:themeColor="background1"/>
                <w:sz w:val="20"/>
                <w:szCs w:val="20"/>
                <w:lang w:eastAsia="cs-CZ"/>
              </w:rPr>
              <w:t>Š SR</w:t>
            </w:r>
          </w:p>
          <w:p w:rsidR="00A24373" w:rsidRPr="00C65CAA" w:rsidRDefault="00A24373" w:rsidP="00011F12">
            <w:pPr>
              <w:jc w:val="both"/>
              <w:rPr>
                <w:rFonts w:ascii="Arial Narrow" w:hAnsi="Arial Narrow"/>
                <w:b/>
                <w:bCs/>
                <w:iCs/>
                <w:color w:val="FFFFFF" w:themeColor="background1"/>
                <w:sz w:val="20"/>
                <w:szCs w:val="20"/>
                <w:lang w:eastAsia="cs-CZ"/>
              </w:rPr>
            </w:pPr>
            <w:r w:rsidRPr="00C65CAA">
              <w:rPr>
                <w:rFonts w:ascii="Arial Narrow" w:hAnsi="Arial Narrow"/>
                <w:b/>
                <w:color w:val="FFFFFF" w:themeColor="background1"/>
                <w:sz w:val="20"/>
                <w:szCs w:val="20"/>
                <w:lang w:eastAsia="cs-CZ"/>
              </w:rPr>
              <w:t xml:space="preserve">(2017 – 2019) </w:t>
            </w:r>
            <w:r w:rsidRPr="00C65CAA">
              <w:rPr>
                <w:rFonts w:ascii="Arial Narrow" w:hAnsi="Arial Narrow"/>
                <w:b/>
                <w:bCs/>
                <w:iCs/>
                <w:color w:val="FFFFFF" w:themeColor="background1"/>
                <w:sz w:val="20"/>
                <w:szCs w:val="20"/>
                <w:lang w:eastAsia="cs-CZ"/>
              </w:rPr>
              <w:t>v tis. eur</w:t>
            </w:r>
          </w:p>
        </w:tc>
        <w:tc>
          <w:tcPr>
            <w:tcW w:w="1218" w:type="dxa"/>
            <w:tcBorders>
              <w:top w:val="single" w:sz="4" w:space="0" w:color="auto"/>
              <w:left w:val="single" w:sz="4" w:space="0" w:color="FFFFFF" w:themeColor="background1"/>
              <w:bottom w:val="single" w:sz="4" w:space="0" w:color="auto"/>
              <w:right w:val="single" w:sz="4" w:space="0" w:color="FFFFFF" w:themeColor="background1"/>
            </w:tcBorders>
            <w:shd w:val="clear" w:color="000000" w:fill="0070C0"/>
            <w:noWrap/>
            <w:vAlign w:val="center"/>
            <w:hideMark/>
          </w:tcPr>
          <w:p w:rsidR="00A24373" w:rsidRPr="00C65CAA" w:rsidRDefault="00A24373" w:rsidP="00011F12">
            <w:pPr>
              <w:jc w:val="center"/>
              <w:rPr>
                <w:rFonts w:ascii="Arial Narrow" w:hAnsi="Arial Narrow"/>
                <w:b/>
                <w:bCs/>
                <w:iCs/>
                <w:color w:val="FFFFFF" w:themeColor="background1"/>
                <w:sz w:val="20"/>
                <w:szCs w:val="20"/>
                <w:lang w:eastAsia="cs-CZ"/>
              </w:rPr>
            </w:pPr>
            <w:r w:rsidRPr="00C65CAA">
              <w:rPr>
                <w:rFonts w:ascii="Arial Narrow" w:hAnsi="Arial Narrow"/>
                <w:b/>
                <w:bCs/>
                <w:iCs/>
                <w:color w:val="FFFFFF" w:themeColor="background1"/>
                <w:sz w:val="20"/>
                <w:szCs w:val="20"/>
                <w:lang w:eastAsia="cs-CZ"/>
              </w:rPr>
              <w:t>2017 R</w:t>
            </w:r>
          </w:p>
        </w:tc>
        <w:tc>
          <w:tcPr>
            <w:tcW w:w="1111" w:type="dxa"/>
            <w:tcBorders>
              <w:top w:val="single" w:sz="4" w:space="0" w:color="auto"/>
              <w:left w:val="single" w:sz="4" w:space="0" w:color="FFFFFF" w:themeColor="background1"/>
              <w:bottom w:val="single" w:sz="4" w:space="0" w:color="auto"/>
              <w:right w:val="single" w:sz="4" w:space="0" w:color="FFFFFF" w:themeColor="background1"/>
            </w:tcBorders>
            <w:shd w:val="clear" w:color="000000" w:fill="0070C0"/>
            <w:vAlign w:val="center"/>
            <w:hideMark/>
          </w:tcPr>
          <w:p w:rsidR="00A24373" w:rsidRPr="00C65CAA" w:rsidRDefault="00A24373" w:rsidP="00011F12">
            <w:pPr>
              <w:jc w:val="center"/>
              <w:rPr>
                <w:rFonts w:ascii="Arial Narrow" w:hAnsi="Arial Narrow"/>
                <w:b/>
                <w:bCs/>
                <w:iCs/>
                <w:color w:val="FFFFFF" w:themeColor="background1"/>
                <w:sz w:val="20"/>
                <w:szCs w:val="20"/>
                <w:lang w:eastAsia="cs-CZ"/>
              </w:rPr>
            </w:pPr>
            <w:r w:rsidRPr="00C65CAA">
              <w:rPr>
                <w:rFonts w:ascii="Arial Narrow" w:hAnsi="Arial Narrow"/>
                <w:b/>
                <w:bCs/>
                <w:iCs/>
                <w:color w:val="FFFFFF" w:themeColor="background1"/>
                <w:sz w:val="20"/>
                <w:szCs w:val="20"/>
                <w:lang w:eastAsia="cs-CZ"/>
              </w:rPr>
              <w:t>2018 R</w:t>
            </w:r>
          </w:p>
        </w:tc>
        <w:tc>
          <w:tcPr>
            <w:tcW w:w="1218" w:type="dxa"/>
            <w:tcBorders>
              <w:top w:val="single" w:sz="4" w:space="0" w:color="auto"/>
              <w:left w:val="single" w:sz="4" w:space="0" w:color="FFFFFF" w:themeColor="background1"/>
              <w:bottom w:val="single" w:sz="4" w:space="0" w:color="auto"/>
              <w:right w:val="single" w:sz="4" w:space="0" w:color="auto"/>
            </w:tcBorders>
            <w:shd w:val="clear" w:color="000000" w:fill="0070C0"/>
            <w:noWrap/>
            <w:vAlign w:val="center"/>
            <w:hideMark/>
          </w:tcPr>
          <w:p w:rsidR="00A24373" w:rsidRPr="00C65CAA" w:rsidRDefault="00A24373" w:rsidP="00011F12">
            <w:pPr>
              <w:jc w:val="center"/>
              <w:rPr>
                <w:rFonts w:ascii="Arial Narrow" w:hAnsi="Arial Narrow"/>
                <w:b/>
                <w:bCs/>
                <w:iCs/>
                <w:color w:val="FFFFFF" w:themeColor="background1"/>
                <w:sz w:val="20"/>
                <w:szCs w:val="20"/>
                <w:lang w:eastAsia="cs-CZ"/>
              </w:rPr>
            </w:pPr>
            <w:r w:rsidRPr="00C65CAA">
              <w:rPr>
                <w:rFonts w:ascii="Arial Narrow" w:hAnsi="Arial Narrow"/>
                <w:b/>
                <w:bCs/>
                <w:iCs/>
                <w:color w:val="FFFFFF" w:themeColor="background1"/>
                <w:sz w:val="20"/>
                <w:szCs w:val="20"/>
                <w:lang w:eastAsia="cs-CZ"/>
              </w:rPr>
              <w:t>2019 N</w:t>
            </w:r>
          </w:p>
        </w:tc>
      </w:tr>
      <w:tr w:rsidR="00A24373" w:rsidRPr="00C65CAA" w:rsidTr="00EB05EC">
        <w:trPr>
          <w:trHeight w:val="298"/>
        </w:trPr>
        <w:tc>
          <w:tcPr>
            <w:tcW w:w="5581" w:type="dxa"/>
            <w:tcBorders>
              <w:top w:val="nil"/>
              <w:left w:val="single" w:sz="4" w:space="0" w:color="auto"/>
              <w:bottom w:val="single" w:sz="4" w:space="0" w:color="auto"/>
              <w:right w:val="single" w:sz="4" w:space="0" w:color="auto"/>
            </w:tcBorders>
            <w:shd w:val="clear" w:color="auto" w:fill="FFFFFF" w:themeFill="background1"/>
            <w:vAlign w:val="center"/>
            <w:hideMark/>
          </w:tcPr>
          <w:p w:rsidR="00A24373" w:rsidRPr="00C65CAA" w:rsidRDefault="00A24373" w:rsidP="00011F12">
            <w:pPr>
              <w:jc w:val="both"/>
              <w:rPr>
                <w:rFonts w:ascii="Arial Narrow" w:hAnsi="Arial Narrow"/>
                <w:bCs/>
                <w:iCs/>
                <w:sz w:val="20"/>
                <w:szCs w:val="20"/>
                <w:lang w:eastAsia="cs-CZ"/>
              </w:rPr>
            </w:pPr>
            <w:r w:rsidRPr="00C65CAA">
              <w:rPr>
                <w:rFonts w:ascii="Arial Narrow" w:hAnsi="Arial Narrow"/>
                <w:bCs/>
                <w:iCs/>
                <w:sz w:val="20"/>
                <w:szCs w:val="20"/>
                <w:lang w:eastAsia="cs-CZ"/>
              </w:rPr>
              <w:t>11 rozpočtových a 6 príspevkových organizácií rezortu</w:t>
            </w:r>
          </w:p>
        </w:tc>
        <w:tc>
          <w:tcPr>
            <w:tcW w:w="1218" w:type="dxa"/>
            <w:tcBorders>
              <w:top w:val="nil"/>
              <w:left w:val="nil"/>
              <w:bottom w:val="single" w:sz="4" w:space="0" w:color="auto"/>
              <w:right w:val="single" w:sz="4" w:space="0" w:color="auto"/>
            </w:tcBorders>
            <w:shd w:val="clear" w:color="auto" w:fill="FFFFFF" w:themeFill="background1"/>
            <w:noWrap/>
            <w:vAlign w:val="center"/>
            <w:hideMark/>
          </w:tcPr>
          <w:p w:rsidR="00A24373" w:rsidRPr="00C65CAA" w:rsidRDefault="00A24373" w:rsidP="00011F12">
            <w:pPr>
              <w:jc w:val="right"/>
              <w:rPr>
                <w:rFonts w:ascii="Arial Narrow" w:hAnsi="Arial Narrow"/>
                <w:bCs/>
                <w:iCs/>
                <w:sz w:val="20"/>
                <w:szCs w:val="20"/>
                <w:lang w:eastAsia="cs-CZ"/>
              </w:rPr>
            </w:pPr>
            <w:r w:rsidRPr="00C65CAA">
              <w:rPr>
                <w:rFonts w:ascii="Arial Narrow" w:hAnsi="Arial Narrow"/>
                <w:bCs/>
                <w:iCs/>
                <w:sz w:val="20"/>
                <w:szCs w:val="20"/>
                <w:lang w:eastAsia="cs-CZ"/>
              </w:rPr>
              <w:t>57 280</w:t>
            </w:r>
          </w:p>
        </w:tc>
        <w:tc>
          <w:tcPr>
            <w:tcW w:w="1111" w:type="dxa"/>
            <w:tcBorders>
              <w:top w:val="nil"/>
              <w:left w:val="nil"/>
              <w:bottom w:val="single" w:sz="4" w:space="0" w:color="auto"/>
              <w:right w:val="single" w:sz="4" w:space="0" w:color="auto"/>
            </w:tcBorders>
            <w:shd w:val="clear" w:color="auto" w:fill="FFFFFF" w:themeFill="background1"/>
            <w:noWrap/>
            <w:vAlign w:val="center"/>
            <w:hideMark/>
          </w:tcPr>
          <w:p w:rsidR="00A24373" w:rsidRPr="00C65CAA" w:rsidRDefault="00A24373" w:rsidP="00011F12">
            <w:pPr>
              <w:jc w:val="right"/>
              <w:rPr>
                <w:rFonts w:ascii="Arial Narrow" w:hAnsi="Arial Narrow"/>
                <w:bCs/>
                <w:iCs/>
                <w:sz w:val="20"/>
                <w:szCs w:val="20"/>
                <w:lang w:eastAsia="cs-CZ"/>
              </w:rPr>
            </w:pPr>
            <w:r w:rsidRPr="00C65CAA">
              <w:rPr>
                <w:rFonts w:ascii="Arial Narrow" w:hAnsi="Arial Narrow"/>
                <w:bCs/>
                <w:iCs/>
                <w:sz w:val="20"/>
                <w:szCs w:val="20"/>
                <w:lang w:eastAsia="cs-CZ"/>
              </w:rPr>
              <w:t>69 872</w:t>
            </w:r>
          </w:p>
        </w:tc>
        <w:tc>
          <w:tcPr>
            <w:tcW w:w="1218" w:type="dxa"/>
            <w:tcBorders>
              <w:top w:val="nil"/>
              <w:left w:val="nil"/>
              <w:bottom w:val="single" w:sz="4" w:space="0" w:color="auto"/>
              <w:right w:val="single" w:sz="4" w:space="0" w:color="auto"/>
            </w:tcBorders>
            <w:shd w:val="clear" w:color="auto" w:fill="FFFFFF" w:themeFill="background1"/>
            <w:noWrap/>
            <w:vAlign w:val="center"/>
          </w:tcPr>
          <w:p w:rsidR="00A24373" w:rsidRPr="00C65CAA" w:rsidRDefault="00A24373" w:rsidP="00011F12">
            <w:pPr>
              <w:jc w:val="right"/>
              <w:rPr>
                <w:rFonts w:ascii="Arial Narrow" w:hAnsi="Arial Narrow"/>
                <w:bCs/>
                <w:iCs/>
                <w:sz w:val="20"/>
                <w:szCs w:val="20"/>
                <w:lang w:eastAsia="cs-CZ"/>
              </w:rPr>
            </w:pPr>
            <w:r w:rsidRPr="00C65CAA">
              <w:rPr>
                <w:rFonts w:ascii="Arial Narrow" w:hAnsi="Arial Narrow"/>
                <w:bCs/>
                <w:iCs/>
                <w:sz w:val="20"/>
                <w:szCs w:val="20"/>
                <w:lang w:eastAsia="cs-CZ"/>
              </w:rPr>
              <w:t>74 534</w:t>
            </w:r>
          </w:p>
        </w:tc>
      </w:tr>
    </w:tbl>
    <w:p w:rsidR="00A24373" w:rsidRPr="00C65CAA" w:rsidRDefault="00A24373" w:rsidP="00011F12">
      <w:pPr>
        <w:spacing w:after="100"/>
        <w:jc w:val="both"/>
        <w:rPr>
          <w:rFonts w:ascii="Arial Narrow" w:hAnsi="Arial Narrow"/>
          <w:sz w:val="20"/>
          <w:szCs w:val="20"/>
          <w:lang w:eastAsia="cs-CZ"/>
        </w:rPr>
      </w:pPr>
      <w:r w:rsidRPr="00C65CAA">
        <w:rPr>
          <w:rFonts w:ascii="Arial Narrow" w:hAnsi="Arial Narrow"/>
          <w:iCs/>
          <w:sz w:val="20"/>
          <w:szCs w:val="20"/>
          <w:lang w:eastAsia="cs-CZ"/>
        </w:rPr>
        <w:t>Zdroj: Rozpočtový informačný systém</w:t>
      </w:r>
    </w:p>
    <w:p w:rsidR="00A24373" w:rsidRPr="00C65CAA" w:rsidRDefault="00A24373" w:rsidP="00256AF8">
      <w:pPr>
        <w:spacing w:before="100" w:after="100"/>
        <w:ind w:firstLine="708"/>
        <w:jc w:val="both"/>
        <w:rPr>
          <w:rFonts w:ascii="Arial Narrow" w:hAnsi="Arial Narrow"/>
          <w:sz w:val="22"/>
          <w:lang w:eastAsia="cs-CZ"/>
        </w:rPr>
      </w:pPr>
      <w:r w:rsidRPr="00C65CAA">
        <w:rPr>
          <w:rFonts w:ascii="Arial Narrow" w:hAnsi="Arial Narrow"/>
          <w:sz w:val="22"/>
          <w:lang w:eastAsia="cs-CZ"/>
        </w:rPr>
        <w:t>NKÚ SR vidí tiež riziko vo výške rozpočtovaných výdavkov (20 964 tis. eur) pre rozpočtové a príspevkové organizácie p</w:t>
      </w:r>
      <w:r w:rsidR="006B0033" w:rsidRPr="00C65CAA">
        <w:rPr>
          <w:rFonts w:ascii="Arial Narrow" w:hAnsi="Arial Narrow"/>
          <w:sz w:val="22"/>
          <w:lang w:eastAsia="cs-CZ"/>
        </w:rPr>
        <w:t>ôsobiace v regionálnom školstve.</w:t>
      </w:r>
      <w:r w:rsidRPr="00C65CAA">
        <w:rPr>
          <w:rFonts w:ascii="Arial Narrow" w:hAnsi="Arial Narrow"/>
          <w:sz w:val="22"/>
          <w:lang w:eastAsia="cs-CZ"/>
        </w:rPr>
        <w:t xml:space="preserve"> </w:t>
      </w:r>
      <w:r w:rsidR="006B0033" w:rsidRPr="00C65CAA">
        <w:rPr>
          <w:rFonts w:ascii="Arial Narrow" w:hAnsi="Arial Narrow"/>
          <w:sz w:val="22"/>
          <w:lang w:eastAsia="cs-CZ"/>
        </w:rPr>
        <w:t>V</w:t>
      </w:r>
      <w:r w:rsidRPr="00C65CAA">
        <w:rPr>
          <w:rFonts w:ascii="Arial Narrow" w:hAnsi="Arial Narrow"/>
          <w:sz w:val="22"/>
          <w:lang w:eastAsia="cs-CZ"/>
        </w:rPr>
        <w:t xml:space="preserve">ýdavky s vysokou pravdepodobnosťou nepokryjú finančné potreby daných organizácií na vykonávanie ich činností a plnenie úloh v plnom rozsahu. Poukazuje na to vývoj schválených a skutočne čerpaných finančných prostriedkov v rokoch 2015 – 2017, kedy každoročne dochádzalo k zvyšovaniu pôvodne rozpočtovaných výdavkov v priebehu roka priemerne o 46 %. Väčšina organizácií bola v sledovanom období dodatočne dofinancovaná, niektoré až na úroveň niekoľkonásobku schváleného rozpočtu. </w:t>
      </w:r>
    </w:p>
    <w:tbl>
      <w:tblPr>
        <w:tblW w:w="9027" w:type="dxa"/>
        <w:tblCellMar>
          <w:left w:w="0" w:type="dxa"/>
          <w:right w:w="0" w:type="dxa"/>
        </w:tblCellMar>
        <w:tblLook w:val="04A0" w:firstRow="1" w:lastRow="0" w:firstColumn="1" w:lastColumn="0" w:noHBand="0" w:noVBand="1"/>
      </w:tblPr>
      <w:tblGrid>
        <w:gridCol w:w="2124"/>
        <w:gridCol w:w="708"/>
        <w:gridCol w:w="709"/>
        <w:gridCol w:w="567"/>
        <w:gridCol w:w="709"/>
        <w:gridCol w:w="709"/>
        <w:gridCol w:w="567"/>
        <w:gridCol w:w="708"/>
        <w:gridCol w:w="709"/>
        <w:gridCol w:w="567"/>
        <w:gridCol w:w="950"/>
      </w:tblGrid>
      <w:tr w:rsidR="00256AF8" w:rsidRPr="00C65CAA" w:rsidTr="00256AF8">
        <w:trPr>
          <w:trHeight w:val="195"/>
        </w:trPr>
        <w:tc>
          <w:tcPr>
            <w:tcW w:w="2124" w:type="dxa"/>
            <w:tcBorders>
              <w:top w:val="single" w:sz="8" w:space="0" w:color="auto"/>
              <w:left w:val="single" w:sz="8" w:space="0" w:color="auto"/>
              <w:bottom w:val="single" w:sz="8" w:space="0" w:color="auto"/>
              <w:right w:val="single" w:sz="4" w:space="0" w:color="FFFFFF" w:themeColor="background1"/>
            </w:tcBorders>
            <w:shd w:val="clear" w:color="auto" w:fill="0070C0"/>
            <w:noWrap/>
            <w:tcMar>
              <w:top w:w="0" w:type="dxa"/>
              <w:left w:w="70" w:type="dxa"/>
              <w:bottom w:w="0" w:type="dxa"/>
              <w:right w:w="70" w:type="dxa"/>
            </w:tcMar>
            <w:vAlign w:val="center"/>
            <w:hideMark/>
          </w:tcPr>
          <w:p w:rsidR="00256AF8" w:rsidRPr="00C65CAA" w:rsidRDefault="00256AF8" w:rsidP="00011F12">
            <w:pPr>
              <w:rPr>
                <w:rFonts w:ascii="Arial Narrow" w:hAnsi="Arial Narrow"/>
                <w:b/>
                <w:bCs/>
                <w:color w:val="FFFFFF"/>
                <w:sz w:val="20"/>
                <w:szCs w:val="20"/>
              </w:rPr>
            </w:pPr>
            <w:r w:rsidRPr="00C65CAA">
              <w:rPr>
                <w:rFonts w:ascii="Arial Narrow" w:hAnsi="Arial Narrow"/>
                <w:b/>
                <w:bCs/>
                <w:color w:val="FFFFFF"/>
                <w:sz w:val="20"/>
                <w:szCs w:val="20"/>
              </w:rPr>
              <w:t>v tis. eur</w:t>
            </w:r>
          </w:p>
        </w:tc>
        <w:tc>
          <w:tcPr>
            <w:tcW w:w="708" w:type="dxa"/>
            <w:tcBorders>
              <w:top w:val="single" w:sz="8" w:space="0" w:color="auto"/>
              <w:left w:val="single" w:sz="4" w:space="0" w:color="FFFFFF" w:themeColor="background1"/>
              <w:bottom w:val="single" w:sz="8" w:space="0" w:color="auto"/>
              <w:right w:val="single" w:sz="4" w:space="0" w:color="FFFFFF" w:themeColor="background1"/>
            </w:tcBorders>
            <w:shd w:val="clear" w:color="auto" w:fill="0070C0"/>
            <w:noWrap/>
            <w:tcMar>
              <w:top w:w="0" w:type="dxa"/>
              <w:left w:w="70" w:type="dxa"/>
              <w:bottom w:w="0" w:type="dxa"/>
              <w:right w:w="70" w:type="dxa"/>
            </w:tcMar>
            <w:vAlign w:val="center"/>
            <w:hideMark/>
          </w:tcPr>
          <w:p w:rsidR="00256AF8" w:rsidRPr="00C65CAA" w:rsidRDefault="00256AF8" w:rsidP="00011F12">
            <w:pPr>
              <w:jc w:val="center"/>
              <w:rPr>
                <w:rFonts w:ascii="Arial Narrow" w:hAnsi="Arial Narrow"/>
                <w:b/>
                <w:bCs/>
                <w:color w:val="FFFFFF"/>
                <w:sz w:val="20"/>
                <w:szCs w:val="20"/>
              </w:rPr>
            </w:pPr>
            <w:r w:rsidRPr="00C65CAA">
              <w:rPr>
                <w:rFonts w:ascii="Arial Narrow" w:hAnsi="Arial Narrow"/>
                <w:b/>
                <w:bCs/>
                <w:color w:val="FFFFFF"/>
                <w:sz w:val="20"/>
                <w:szCs w:val="20"/>
              </w:rPr>
              <w:t>2015 R</w:t>
            </w:r>
          </w:p>
        </w:tc>
        <w:tc>
          <w:tcPr>
            <w:tcW w:w="709" w:type="dxa"/>
            <w:tcBorders>
              <w:top w:val="single" w:sz="8" w:space="0" w:color="auto"/>
              <w:left w:val="single" w:sz="4" w:space="0" w:color="FFFFFF" w:themeColor="background1"/>
              <w:bottom w:val="single" w:sz="8" w:space="0" w:color="auto"/>
              <w:right w:val="single" w:sz="4" w:space="0" w:color="FFFFFF" w:themeColor="background1"/>
            </w:tcBorders>
            <w:shd w:val="clear" w:color="auto" w:fill="0070C0"/>
            <w:noWrap/>
            <w:tcMar>
              <w:top w:w="0" w:type="dxa"/>
              <w:left w:w="70" w:type="dxa"/>
              <w:bottom w:w="0" w:type="dxa"/>
              <w:right w:w="70" w:type="dxa"/>
            </w:tcMar>
            <w:vAlign w:val="center"/>
            <w:hideMark/>
          </w:tcPr>
          <w:p w:rsidR="00256AF8" w:rsidRPr="00C65CAA" w:rsidRDefault="00256AF8" w:rsidP="00011F12">
            <w:pPr>
              <w:jc w:val="center"/>
              <w:rPr>
                <w:rFonts w:ascii="Arial Narrow" w:hAnsi="Arial Narrow"/>
                <w:b/>
                <w:bCs/>
                <w:color w:val="FFFFFF"/>
                <w:sz w:val="20"/>
                <w:szCs w:val="20"/>
              </w:rPr>
            </w:pPr>
            <w:r w:rsidRPr="00C65CAA">
              <w:rPr>
                <w:rFonts w:ascii="Arial Narrow" w:hAnsi="Arial Narrow"/>
                <w:b/>
                <w:bCs/>
                <w:color w:val="FFFFFF"/>
                <w:sz w:val="20"/>
                <w:szCs w:val="20"/>
              </w:rPr>
              <w:t xml:space="preserve">2015 S </w:t>
            </w:r>
          </w:p>
        </w:tc>
        <w:tc>
          <w:tcPr>
            <w:tcW w:w="567" w:type="dxa"/>
            <w:tcBorders>
              <w:top w:val="single" w:sz="8" w:space="0" w:color="auto"/>
              <w:left w:val="single" w:sz="4" w:space="0" w:color="FFFFFF" w:themeColor="background1"/>
              <w:bottom w:val="single" w:sz="8" w:space="0" w:color="auto"/>
              <w:right w:val="single" w:sz="4" w:space="0" w:color="FFFFFF" w:themeColor="background1"/>
            </w:tcBorders>
            <w:shd w:val="clear" w:color="auto" w:fill="0070C0"/>
            <w:tcMar>
              <w:top w:w="0" w:type="dxa"/>
              <w:left w:w="70" w:type="dxa"/>
              <w:bottom w:w="0" w:type="dxa"/>
              <w:right w:w="70" w:type="dxa"/>
            </w:tcMar>
            <w:vAlign w:val="center"/>
            <w:hideMark/>
          </w:tcPr>
          <w:p w:rsidR="00256AF8" w:rsidRPr="00C65CAA" w:rsidRDefault="00256AF8" w:rsidP="00011F12">
            <w:pPr>
              <w:jc w:val="center"/>
              <w:rPr>
                <w:rFonts w:ascii="Arial Narrow" w:hAnsi="Arial Narrow"/>
                <w:b/>
                <w:bCs/>
                <w:color w:val="FFFFFF"/>
                <w:sz w:val="20"/>
                <w:szCs w:val="20"/>
              </w:rPr>
            </w:pPr>
            <w:r w:rsidRPr="00C65CAA">
              <w:rPr>
                <w:rFonts w:ascii="Arial Narrow" w:hAnsi="Arial Narrow"/>
                <w:b/>
                <w:bCs/>
                <w:color w:val="FFFFFF"/>
                <w:sz w:val="20"/>
                <w:szCs w:val="20"/>
              </w:rPr>
              <w:t>% (S/R)</w:t>
            </w:r>
          </w:p>
        </w:tc>
        <w:tc>
          <w:tcPr>
            <w:tcW w:w="709" w:type="dxa"/>
            <w:tcBorders>
              <w:top w:val="single" w:sz="8" w:space="0" w:color="auto"/>
              <w:left w:val="single" w:sz="4" w:space="0" w:color="FFFFFF" w:themeColor="background1"/>
              <w:bottom w:val="single" w:sz="8" w:space="0" w:color="auto"/>
              <w:right w:val="single" w:sz="4" w:space="0" w:color="FFFFFF" w:themeColor="background1"/>
            </w:tcBorders>
            <w:shd w:val="clear" w:color="auto" w:fill="0070C0"/>
            <w:noWrap/>
            <w:tcMar>
              <w:top w:w="0" w:type="dxa"/>
              <w:left w:w="70" w:type="dxa"/>
              <w:bottom w:w="0" w:type="dxa"/>
              <w:right w:w="70" w:type="dxa"/>
            </w:tcMar>
            <w:vAlign w:val="center"/>
            <w:hideMark/>
          </w:tcPr>
          <w:p w:rsidR="00256AF8" w:rsidRPr="00C65CAA" w:rsidRDefault="00256AF8" w:rsidP="00011F12">
            <w:pPr>
              <w:jc w:val="center"/>
              <w:rPr>
                <w:rFonts w:ascii="Arial Narrow" w:hAnsi="Arial Narrow"/>
                <w:b/>
                <w:bCs/>
                <w:color w:val="FFFFFF"/>
                <w:sz w:val="20"/>
                <w:szCs w:val="20"/>
              </w:rPr>
            </w:pPr>
            <w:r w:rsidRPr="00C65CAA">
              <w:rPr>
                <w:rFonts w:ascii="Arial Narrow" w:hAnsi="Arial Narrow"/>
                <w:b/>
                <w:bCs/>
                <w:color w:val="FFFFFF"/>
                <w:sz w:val="20"/>
                <w:szCs w:val="20"/>
              </w:rPr>
              <w:t xml:space="preserve">2016 R </w:t>
            </w:r>
          </w:p>
        </w:tc>
        <w:tc>
          <w:tcPr>
            <w:tcW w:w="709" w:type="dxa"/>
            <w:tcBorders>
              <w:top w:val="single" w:sz="8" w:space="0" w:color="auto"/>
              <w:left w:val="single" w:sz="4" w:space="0" w:color="FFFFFF" w:themeColor="background1"/>
              <w:bottom w:val="single" w:sz="8" w:space="0" w:color="auto"/>
              <w:right w:val="single" w:sz="4" w:space="0" w:color="FFFFFF" w:themeColor="background1"/>
            </w:tcBorders>
            <w:shd w:val="clear" w:color="auto" w:fill="0070C0"/>
            <w:noWrap/>
            <w:tcMar>
              <w:top w:w="0" w:type="dxa"/>
              <w:left w:w="70" w:type="dxa"/>
              <w:bottom w:w="0" w:type="dxa"/>
              <w:right w:w="70" w:type="dxa"/>
            </w:tcMar>
            <w:vAlign w:val="center"/>
            <w:hideMark/>
          </w:tcPr>
          <w:p w:rsidR="00256AF8" w:rsidRPr="00C65CAA" w:rsidRDefault="00256AF8" w:rsidP="00011F12">
            <w:pPr>
              <w:jc w:val="center"/>
              <w:rPr>
                <w:rFonts w:ascii="Arial Narrow" w:hAnsi="Arial Narrow"/>
                <w:b/>
                <w:bCs/>
                <w:color w:val="FFFFFF"/>
                <w:sz w:val="20"/>
                <w:szCs w:val="20"/>
              </w:rPr>
            </w:pPr>
            <w:r w:rsidRPr="00C65CAA">
              <w:rPr>
                <w:rFonts w:ascii="Arial Narrow" w:hAnsi="Arial Narrow"/>
                <w:b/>
                <w:bCs/>
                <w:color w:val="FFFFFF"/>
                <w:sz w:val="20"/>
                <w:szCs w:val="20"/>
              </w:rPr>
              <w:t>2016 S</w:t>
            </w:r>
          </w:p>
        </w:tc>
        <w:tc>
          <w:tcPr>
            <w:tcW w:w="567" w:type="dxa"/>
            <w:tcBorders>
              <w:top w:val="single" w:sz="8" w:space="0" w:color="auto"/>
              <w:left w:val="single" w:sz="4" w:space="0" w:color="FFFFFF" w:themeColor="background1"/>
              <w:bottom w:val="single" w:sz="8" w:space="0" w:color="auto"/>
              <w:right w:val="single" w:sz="4" w:space="0" w:color="FFFFFF" w:themeColor="background1"/>
            </w:tcBorders>
            <w:shd w:val="clear" w:color="auto" w:fill="0070C0"/>
            <w:tcMar>
              <w:top w:w="0" w:type="dxa"/>
              <w:left w:w="70" w:type="dxa"/>
              <w:bottom w:w="0" w:type="dxa"/>
              <w:right w:w="70" w:type="dxa"/>
            </w:tcMar>
            <w:vAlign w:val="center"/>
            <w:hideMark/>
          </w:tcPr>
          <w:p w:rsidR="00256AF8" w:rsidRPr="00C65CAA" w:rsidRDefault="00256AF8" w:rsidP="00011F12">
            <w:pPr>
              <w:jc w:val="center"/>
              <w:rPr>
                <w:rFonts w:ascii="Arial Narrow" w:hAnsi="Arial Narrow"/>
                <w:b/>
                <w:bCs/>
                <w:color w:val="FFFFFF"/>
                <w:sz w:val="20"/>
                <w:szCs w:val="20"/>
              </w:rPr>
            </w:pPr>
            <w:r w:rsidRPr="00C65CAA">
              <w:rPr>
                <w:rFonts w:ascii="Arial Narrow" w:hAnsi="Arial Narrow"/>
                <w:b/>
                <w:bCs/>
                <w:color w:val="FFFFFF"/>
                <w:sz w:val="20"/>
                <w:szCs w:val="20"/>
              </w:rPr>
              <w:t>% (S/R)</w:t>
            </w:r>
          </w:p>
        </w:tc>
        <w:tc>
          <w:tcPr>
            <w:tcW w:w="708" w:type="dxa"/>
            <w:tcBorders>
              <w:top w:val="single" w:sz="8" w:space="0" w:color="auto"/>
              <w:left w:val="single" w:sz="4" w:space="0" w:color="FFFFFF" w:themeColor="background1"/>
              <w:bottom w:val="single" w:sz="8" w:space="0" w:color="auto"/>
              <w:right w:val="single" w:sz="4" w:space="0" w:color="FFFFFF" w:themeColor="background1"/>
            </w:tcBorders>
            <w:shd w:val="clear" w:color="auto" w:fill="0070C0"/>
            <w:noWrap/>
            <w:tcMar>
              <w:top w:w="0" w:type="dxa"/>
              <w:left w:w="70" w:type="dxa"/>
              <w:bottom w:w="0" w:type="dxa"/>
              <w:right w:w="70" w:type="dxa"/>
            </w:tcMar>
            <w:vAlign w:val="center"/>
            <w:hideMark/>
          </w:tcPr>
          <w:p w:rsidR="00256AF8" w:rsidRPr="00C65CAA" w:rsidRDefault="00256AF8" w:rsidP="00011F12">
            <w:pPr>
              <w:jc w:val="center"/>
              <w:rPr>
                <w:rFonts w:ascii="Arial Narrow" w:hAnsi="Arial Narrow"/>
                <w:b/>
                <w:bCs/>
                <w:color w:val="FFFFFF"/>
                <w:sz w:val="20"/>
                <w:szCs w:val="20"/>
              </w:rPr>
            </w:pPr>
            <w:r w:rsidRPr="00C65CAA">
              <w:rPr>
                <w:rFonts w:ascii="Arial Narrow" w:hAnsi="Arial Narrow"/>
                <w:b/>
                <w:bCs/>
                <w:color w:val="FFFFFF"/>
                <w:sz w:val="20"/>
                <w:szCs w:val="20"/>
              </w:rPr>
              <w:t>2017 R</w:t>
            </w:r>
          </w:p>
        </w:tc>
        <w:tc>
          <w:tcPr>
            <w:tcW w:w="709" w:type="dxa"/>
            <w:tcBorders>
              <w:top w:val="single" w:sz="8" w:space="0" w:color="auto"/>
              <w:left w:val="single" w:sz="4" w:space="0" w:color="FFFFFF" w:themeColor="background1"/>
              <w:bottom w:val="single" w:sz="8" w:space="0" w:color="auto"/>
              <w:right w:val="single" w:sz="4" w:space="0" w:color="FFFFFF" w:themeColor="background1"/>
            </w:tcBorders>
            <w:shd w:val="clear" w:color="auto" w:fill="0070C0"/>
            <w:noWrap/>
            <w:tcMar>
              <w:top w:w="0" w:type="dxa"/>
              <w:left w:w="70" w:type="dxa"/>
              <w:bottom w:w="0" w:type="dxa"/>
              <w:right w:w="70" w:type="dxa"/>
            </w:tcMar>
            <w:vAlign w:val="center"/>
            <w:hideMark/>
          </w:tcPr>
          <w:p w:rsidR="00256AF8" w:rsidRPr="00C65CAA" w:rsidRDefault="00256AF8" w:rsidP="00011F12">
            <w:pPr>
              <w:jc w:val="center"/>
              <w:rPr>
                <w:rFonts w:ascii="Arial Narrow" w:hAnsi="Arial Narrow"/>
                <w:b/>
                <w:bCs/>
                <w:color w:val="FFFFFF"/>
                <w:sz w:val="20"/>
                <w:szCs w:val="20"/>
              </w:rPr>
            </w:pPr>
            <w:r w:rsidRPr="00C65CAA">
              <w:rPr>
                <w:rFonts w:ascii="Arial Narrow" w:hAnsi="Arial Narrow"/>
                <w:b/>
                <w:bCs/>
                <w:color w:val="FFFFFF"/>
                <w:sz w:val="20"/>
                <w:szCs w:val="20"/>
              </w:rPr>
              <w:t>2017 S</w:t>
            </w:r>
          </w:p>
        </w:tc>
        <w:tc>
          <w:tcPr>
            <w:tcW w:w="567" w:type="dxa"/>
            <w:tcBorders>
              <w:top w:val="single" w:sz="8" w:space="0" w:color="auto"/>
              <w:left w:val="single" w:sz="4" w:space="0" w:color="FFFFFF" w:themeColor="background1"/>
              <w:bottom w:val="single" w:sz="8" w:space="0" w:color="auto"/>
              <w:right w:val="single" w:sz="4" w:space="0" w:color="FFFFFF" w:themeColor="background1"/>
            </w:tcBorders>
            <w:shd w:val="clear" w:color="auto" w:fill="0070C0"/>
            <w:tcMar>
              <w:top w:w="0" w:type="dxa"/>
              <w:left w:w="70" w:type="dxa"/>
              <w:bottom w:w="0" w:type="dxa"/>
              <w:right w:w="70" w:type="dxa"/>
            </w:tcMar>
            <w:vAlign w:val="center"/>
            <w:hideMark/>
          </w:tcPr>
          <w:p w:rsidR="00256AF8" w:rsidRPr="00C65CAA" w:rsidRDefault="00256AF8" w:rsidP="00011F12">
            <w:pPr>
              <w:jc w:val="center"/>
              <w:rPr>
                <w:rFonts w:ascii="Arial Narrow" w:hAnsi="Arial Narrow"/>
                <w:b/>
                <w:bCs/>
                <w:color w:val="FFFFFF"/>
                <w:sz w:val="20"/>
                <w:szCs w:val="20"/>
              </w:rPr>
            </w:pPr>
            <w:r w:rsidRPr="00C65CAA">
              <w:rPr>
                <w:rFonts w:ascii="Arial Narrow" w:hAnsi="Arial Narrow"/>
                <w:b/>
                <w:bCs/>
                <w:color w:val="FFFFFF"/>
                <w:sz w:val="20"/>
                <w:szCs w:val="20"/>
              </w:rPr>
              <w:t>% (S/R)</w:t>
            </w:r>
          </w:p>
        </w:tc>
        <w:tc>
          <w:tcPr>
            <w:tcW w:w="950" w:type="dxa"/>
            <w:tcBorders>
              <w:top w:val="single" w:sz="8" w:space="0" w:color="auto"/>
              <w:left w:val="single" w:sz="4" w:space="0" w:color="FFFFFF" w:themeColor="background1"/>
              <w:bottom w:val="single" w:sz="8" w:space="0" w:color="auto"/>
              <w:right w:val="single" w:sz="8" w:space="0" w:color="auto"/>
            </w:tcBorders>
            <w:shd w:val="clear" w:color="auto" w:fill="0070C0"/>
            <w:noWrap/>
            <w:tcMar>
              <w:top w:w="0" w:type="dxa"/>
              <w:left w:w="70" w:type="dxa"/>
              <w:bottom w:w="0" w:type="dxa"/>
              <w:right w:w="70" w:type="dxa"/>
            </w:tcMar>
            <w:vAlign w:val="center"/>
            <w:hideMark/>
          </w:tcPr>
          <w:p w:rsidR="00256AF8" w:rsidRPr="00C65CAA" w:rsidRDefault="00256AF8" w:rsidP="00011F12">
            <w:pPr>
              <w:jc w:val="center"/>
              <w:rPr>
                <w:rFonts w:ascii="Arial Narrow" w:hAnsi="Arial Narrow"/>
                <w:b/>
                <w:bCs/>
                <w:color w:val="FFFFFF"/>
                <w:sz w:val="20"/>
                <w:szCs w:val="20"/>
              </w:rPr>
            </w:pPr>
            <w:r w:rsidRPr="00C65CAA">
              <w:rPr>
                <w:rFonts w:ascii="Arial Narrow" w:hAnsi="Arial Narrow"/>
                <w:b/>
                <w:bCs/>
                <w:color w:val="FFFFFF"/>
                <w:sz w:val="20"/>
                <w:szCs w:val="20"/>
              </w:rPr>
              <w:t>2019 N</w:t>
            </w:r>
          </w:p>
        </w:tc>
      </w:tr>
      <w:tr w:rsidR="00011F12" w:rsidRPr="00C65CAA" w:rsidTr="00256AF8">
        <w:trPr>
          <w:trHeight w:hRule="exact" w:val="624"/>
        </w:trPr>
        <w:tc>
          <w:tcPr>
            <w:tcW w:w="212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56AF8" w:rsidRPr="00C65CAA" w:rsidRDefault="00256AF8" w:rsidP="00011F12">
            <w:pPr>
              <w:rPr>
                <w:rFonts w:ascii="Arial Narrow" w:hAnsi="Arial Narrow"/>
                <w:sz w:val="20"/>
                <w:szCs w:val="20"/>
              </w:rPr>
            </w:pPr>
            <w:r w:rsidRPr="00C65CAA">
              <w:rPr>
                <w:rFonts w:ascii="Arial Narrow" w:hAnsi="Arial Narrow"/>
                <w:sz w:val="20"/>
                <w:szCs w:val="20"/>
              </w:rPr>
              <w:t>Rozpočtové a príspevkové organizácie spolu</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56AF8" w:rsidRPr="00C65CAA" w:rsidRDefault="00256AF8" w:rsidP="00011F12">
            <w:pPr>
              <w:jc w:val="right"/>
              <w:rPr>
                <w:rFonts w:ascii="Arial Narrow" w:hAnsi="Arial Narrow"/>
                <w:sz w:val="20"/>
                <w:szCs w:val="20"/>
              </w:rPr>
            </w:pPr>
            <w:r w:rsidRPr="00C65CAA">
              <w:rPr>
                <w:rFonts w:ascii="Arial Narrow" w:hAnsi="Arial Narrow"/>
                <w:sz w:val="20"/>
                <w:szCs w:val="20"/>
              </w:rPr>
              <w:t>19 861</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56AF8" w:rsidRPr="00C65CAA" w:rsidRDefault="00256AF8" w:rsidP="00011F12">
            <w:pPr>
              <w:jc w:val="right"/>
              <w:rPr>
                <w:rFonts w:ascii="Arial Narrow" w:hAnsi="Arial Narrow"/>
                <w:sz w:val="20"/>
                <w:szCs w:val="20"/>
              </w:rPr>
            </w:pPr>
            <w:r w:rsidRPr="00C65CAA">
              <w:rPr>
                <w:rFonts w:ascii="Arial Narrow" w:hAnsi="Arial Narrow"/>
                <w:sz w:val="20"/>
                <w:szCs w:val="20"/>
              </w:rPr>
              <w:t>28 995</w:t>
            </w:r>
          </w:p>
        </w:tc>
        <w:tc>
          <w:tcPr>
            <w:tcW w:w="567"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256AF8" w:rsidRPr="00C65CAA" w:rsidRDefault="00256AF8" w:rsidP="00011F12">
            <w:pPr>
              <w:jc w:val="right"/>
              <w:rPr>
                <w:rFonts w:ascii="Arial Narrow" w:hAnsi="Arial Narrow"/>
                <w:sz w:val="20"/>
                <w:szCs w:val="20"/>
              </w:rPr>
            </w:pPr>
            <w:r w:rsidRPr="00C65CAA">
              <w:rPr>
                <w:rFonts w:ascii="Arial Narrow" w:hAnsi="Arial Narrow"/>
                <w:sz w:val="20"/>
                <w:szCs w:val="20"/>
              </w:rPr>
              <w:t>146</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56AF8" w:rsidRPr="00C65CAA" w:rsidRDefault="00256AF8" w:rsidP="00011F12">
            <w:pPr>
              <w:jc w:val="right"/>
              <w:rPr>
                <w:rFonts w:ascii="Arial Narrow" w:hAnsi="Arial Narrow"/>
                <w:sz w:val="20"/>
                <w:szCs w:val="20"/>
              </w:rPr>
            </w:pPr>
            <w:r w:rsidRPr="00C65CAA">
              <w:rPr>
                <w:rFonts w:ascii="Arial Narrow" w:hAnsi="Arial Narrow"/>
                <w:sz w:val="20"/>
                <w:szCs w:val="20"/>
              </w:rPr>
              <w:t>21 309</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56AF8" w:rsidRPr="00C65CAA" w:rsidRDefault="00256AF8" w:rsidP="00011F12">
            <w:pPr>
              <w:jc w:val="right"/>
              <w:rPr>
                <w:rFonts w:ascii="Arial Narrow" w:hAnsi="Arial Narrow"/>
                <w:sz w:val="20"/>
                <w:szCs w:val="20"/>
              </w:rPr>
            </w:pPr>
            <w:r w:rsidRPr="00C65CAA">
              <w:rPr>
                <w:rFonts w:ascii="Arial Narrow" w:hAnsi="Arial Narrow"/>
                <w:sz w:val="20"/>
                <w:szCs w:val="20"/>
              </w:rPr>
              <w:t>33 402</w:t>
            </w:r>
          </w:p>
        </w:tc>
        <w:tc>
          <w:tcPr>
            <w:tcW w:w="567"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256AF8" w:rsidRPr="00C65CAA" w:rsidRDefault="00256AF8" w:rsidP="00011F12">
            <w:pPr>
              <w:jc w:val="right"/>
              <w:rPr>
                <w:rFonts w:ascii="Arial Narrow" w:hAnsi="Arial Narrow"/>
                <w:sz w:val="20"/>
                <w:szCs w:val="20"/>
              </w:rPr>
            </w:pPr>
            <w:r w:rsidRPr="00C65CAA">
              <w:rPr>
                <w:rFonts w:ascii="Arial Narrow" w:hAnsi="Arial Narrow"/>
                <w:sz w:val="20"/>
                <w:szCs w:val="20"/>
              </w:rPr>
              <w:t>157</w:t>
            </w:r>
          </w:p>
        </w:tc>
        <w:tc>
          <w:tcPr>
            <w:tcW w:w="7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56AF8" w:rsidRPr="00C65CAA" w:rsidRDefault="00256AF8" w:rsidP="00011F12">
            <w:pPr>
              <w:jc w:val="right"/>
              <w:rPr>
                <w:rFonts w:ascii="Arial Narrow" w:hAnsi="Arial Narrow"/>
                <w:sz w:val="20"/>
                <w:szCs w:val="20"/>
              </w:rPr>
            </w:pPr>
            <w:r w:rsidRPr="00C65CAA">
              <w:rPr>
                <w:rFonts w:ascii="Arial Narrow" w:hAnsi="Arial Narrow"/>
                <w:sz w:val="20"/>
                <w:szCs w:val="20"/>
              </w:rPr>
              <w:t>21 542</w:t>
            </w:r>
          </w:p>
        </w:tc>
        <w:tc>
          <w:tcPr>
            <w:tcW w:w="7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56AF8" w:rsidRPr="00C65CAA" w:rsidRDefault="00256AF8" w:rsidP="00011F12">
            <w:pPr>
              <w:jc w:val="right"/>
              <w:rPr>
                <w:rFonts w:ascii="Arial Narrow" w:hAnsi="Arial Narrow"/>
                <w:sz w:val="20"/>
                <w:szCs w:val="20"/>
              </w:rPr>
            </w:pPr>
            <w:r w:rsidRPr="00C65CAA">
              <w:rPr>
                <w:rFonts w:ascii="Arial Narrow" w:hAnsi="Arial Narrow"/>
                <w:sz w:val="20"/>
                <w:szCs w:val="20"/>
              </w:rPr>
              <w:t>29 247</w:t>
            </w:r>
          </w:p>
        </w:tc>
        <w:tc>
          <w:tcPr>
            <w:tcW w:w="567"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rsidR="00256AF8" w:rsidRPr="00C65CAA" w:rsidRDefault="00256AF8" w:rsidP="00011F12">
            <w:pPr>
              <w:jc w:val="right"/>
              <w:rPr>
                <w:rFonts w:ascii="Arial Narrow" w:hAnsi="Arial Narrow"/>
                <w:sz w:val="20"/>
                <w:szCs w:val="20"/>
              </w:rPr>
            </w:pPr>
            <w:r w:rsidRPr="00C65CAA">
              <w:rPr>
                <w:rFonts w:ascii="Arial Narrow" w:hAnsi="Arial Narrow"/>
                <w:sz w:val="20"/>
                <w:szCs w:val="20"/>
              </w:rPr>
              <w:t>136</w:t>
            </w:r>
          </w:p>
        </w:tc>
        <w:tc>
          <w:tcPr>
            <w:tcW w:w="9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56AF8" w:rsidRPr="00C65CAA" w:rsidRDefault="00256AF8" w:rsidP="00011F12">
            <w:pPr>
              <w:jc w:val="right"/>
              <w:rPr>
                <w:rFonts w:ascii="Arial Narrow" w:hAnsi="Arial Narrow"/>
                <w:sz w:val="20"/>
                <w:szCs w:val="20"/>
              </w:rPr>
            </w:pPr>
            <w:r w:rsidRPr="00C65CAA">
              <w:rPr>
                <w:rFonts w:ascii="Arial Narrow" w:hAnsi="Arial Narrow"/>
                <w:sz w:val="20"/>
                <w:szCs w:val="20"/>
              </w:rPr>
              <w:t>20 964</w:t>
            </w:r>
          </w:p>
        </w:tc>
      </w:tr>
    </w:tbl>
    <w:p w:rsidR="00256AF8" w:rsidRPr="00C65CAA" w:rsidRDefault="009A1687" w:rsidP="00011F12">
      <w:pPr>
        <w:pStyle w:val="Zkladntext"/>
        <w:spacing w:after="100"/>
        <w:jc w:val="both"/>
        <w:rPr>
          <w:rFonts w:ascii="Arial Narrow" w:eastAsiaTheme="minorHAnsi" w:hAnsi="Arial Narrow"/>
          <w:color w:val="000000"/>
          <w:sz w:val="20"/>
          <w:szCs w:val="20"/>
        </w:rPr>
      </w:pPr>
      <w:r w:rsidRPr="00C65CAA">
        <w:rPr>
          <w:rFonts w:ascii="Arial Narrow" w:hAnsi="Arial Narrow"/>
          <w:color w:val="000000"/>
          <w:sz w:val="20"/>
          <w:szCs w:val="20"/>
        </w:rPr>
        <w:t>Zdroj: Návrhy RVS 2016 – 2018; 2017 – 2019;</w:t>
      </w:r>
      <w:r w:rsidR="00256AF8" w:rsidRPr="00C65CAA">
        <w:rPr>
          <w:rFonts w:ascii="Arial Narrow" w:hAnsi="Arial Narrow"/>
          <w:color w:val="000000"/>
          <w:sz w:val="20"/>
          <w:szCs w:val="20"/>
        </w:rPr>
        <w:t xml:space="preserve"> 2019 – 2021</w:t>
      </w:r>
    </w:p>
    <w:p w:rsidR="00A24373" w:rsidRPr="00C65CAA" w:rsidRDefault="00A24373" w:rsidP="00256AF8">
      <w:pPr>
        <w:spacing w:before="100" w:after="100"/>
        <w:ind w:firstLine="708"/>
        <w:jc w:val="both"/>
        <w:rPr>
          <w:rFonts w:ascii="Arial Narrow" w:hAnsi="Arial Narrow"/>
          <w:sz w:val="22"/>
          <w:lang w:eastAsia="cs-CZ"/>
        </w:rPr>
      </w:pPr>
      <w:r w:rsidRPr="00C65CAA">
        <w:rPr>
          <w:rFonts w:ascii="Arial Narrow" w:hAnsi="Arial Narrow"/>
          <w:sz w:val="22"/>
          <w:lang w:eastAsia="cs-CZ"/>
        </w:rPr>
        <w:t>Keďže výška alokovaných zdrojov je pre rozpočtové a príspevkové organizácie v regionálnom školstve na nasledujúci rok nižšia</w:t>
      </w:r>
      <w:r w:rsidR="009A1687" w:rsidRPr="00C65CAA">
        <w:rPr>
          <w:rFonts w:ascii="Arial Narrow" w:hAnsi="Arial Narrow"/>
          <w:sz w:val="22"/>
          <w:lang w:eastAsia="cs-CZ"/>
        </w:rPr>
        <w:t>,</w:t>
      </w:r>
      <w:r w:rsidRPr="00C65CAA">
        <w:rPr>
          <w:rFonts w:ascii="Arial Narrow" w:hAnsi="Arial Narrow"/>
          <w:sz w:val="22"/>
          <w:lang w:eastAsia="cs-CZ"/>
        </w:rPr>
        <w:t xml:space="preserve"> </w:t>
      </w:r>
      <w:r w:rsidR="009A1687" w:rsidRPr="00C65CAA">
        <w:rPr>
          <w:rFonts w:ascii="Arial Narrow" w:hAnsi="Arial Narrow"/>
          <w:sz w:val="22"/>
          <w:lang w:eastAsia="cs-CZ"/>
        </w:rPr>
        <w:t>než</w:t>
      </w:r>
      <w:r w:rsidRPr="00C65CAA">
        <w:rPr>
          <w:rFonts w:ascii="Arial Narrow" w:hAnsi="Arial Narrow"/>
          <w:sz w:val="22"/>
          <w:lang w:eastAsia="cs-CZ"/>
        </w:rPr>
        <w:t xml:space="preserve"> v rokoch 2016 a 2017, podľa NKÚ SR existuje riziko navyšovania rozpočtov týchto organizácií aj v roku 2019. Takéto dodatočné financovanie môže viesť k nehospodárnemu vynakladaniu finančných prostriedkov a narušeniu plynulého fungovania organizácií, na čo poukázala aj kontrola </w:t>
      </w:r>
      <w:r w:rsidR="006B0033" w:rsidRPr="00C65CAA">
        <w:rPr>
          <w:rFonts w:ascii="Arial Narrow" w:hAnsi="Arial Narrow"/>
          <w:sz w:val="22"/>
          <w:lang w:eastAsia="cs-CZ"/>
        </w:rPr>
        <w:t>NKÚ SR.</w:t>
      </w:r>
    </w:p>
    <w:p w:rsidR="00A24373" w:rsidRPr="00C65CAA" w:rsidRDefault="00A24373" w:rsidP="00256AF8">
      <w:pPr>
        <w:spacing w:before="100" w:after="100"/>
        <w:ind w:firstLine="708"/>
        <w:jc w:val="both"/>
        <w:rPr>
          <w:rFonts w:ascii="Arial Narrow" w:hAnsi="Arial Narrow"/>
          <w:sz w:val="22"/>
          <w:lang w:eastAsia="cs-CZ"/>
        </w:rPr>
      </w:pPr>
      <w:r w:rsidRPr="00C65CAA">
        <w:rPr>
          <w:rFonts w:ascii="Arial Narrow" w:hAnsi="Arial Narrow"/>
          <w:sz w:val="22"/>
          <w:lang w:eastAsia="cs-CZ"/>
        </w:rPr>
        <w:t xml:space="preserve">NKÚ SR uskutočnil v roku 2018 kontrolu vo </w:t>
      </w:r>
      <w:r w:rsidRPr="00C65CAA">
        <w:rPr>
          <w:rFonts w:ascii="Arial Narrow" w:hAnsi="Arial Narrow"/>
          <w:b/>
          <w:sz w:val="22"/>
          <w:lang w:eastAsia="cs-CZ"/>
        </w:rPr>
        <w:t>vybraných rozpočtových organizáciách MŠVVŠ SR</w:t>
      </w:r>
      <w:r w:rsidRPr="00C65CAA">
        <w:rPr>
          <w:rFonts w:ascii="Arial Narrow" w:hAnsi="Arial Narrow"/>
          <w:sz w:val="22"/>
          <w:lang w:eastAsia="cs-CZ"/>
        </w:rPr>
        <w:t xml:space="preserve">, </w:t>
      </w:r>
      <w:r w:rsidR="006B0033" w:rsidRPr="00C65CAA">
        <w:rPr>
          <w:rFonts w:ascii="Arial Narrow" w:hAnsi="Arial Narrow"/>
          <w:sz w:val="22"/>
          <w:lang w:eastAsia="cs-CZ"/>
        </w:rPr>
        <w:t>v</w:t>
      </w:r>
      <w:r w:rsidRPr="00C65CAA">
        <w:rPr>
          <w:rFonts w:ascii="Arial Narrow" w:hAnsi="Arial Narrow"/>
          <w:sz w:val="22"/>
          <w:lang w:eastAsia="cs-CZ"/>
        </w:rPr>
        <w:t xml:space="preserve"> ktorých preveril dodržiavanie všeobecne záväzných právnych predpisov pri vynakladaní finančných prostriedkov na činnosť a plnenie vybraných úloh. Kontrolovanými subjektmi boli </w:t>
      </w:r>
      <w:r w:rsidRPr="00C65CAA">
        <w:rPr>
          <w:rFonts w:ascii="Arial Narrow" w:hAnsi="Arial Narrow"/>
          <w:b/>
          <w:sz w:val="22"/>
          <w:lang w:eastAsia="cs-CZ"/>
        </w:rPr>
        <w:t>Metodicko-pedagogické centrum</w:t>
      </w:r>
      <w:r w:rsidRPr="00C65CAA">
        <w:rPr>
          <w:rFonts w:ascii="Arial Narrow" w:hAnsi="Arial Narrow"/>
          <w:sz w:val="22"/>
          <w:lang w:eastAsia="cs-CZ"/>
        </w:rPr>
        <w:t xml:space="preserve">, </w:t>
      </w:r>
      <w:r w:rsidRPr="00C65CAA">
        <w:rPr>
          <w:rFonts w:ascii="Arial Narrow" w:hAnsi="Arial Narrow"/>
          <w:b/>
          <w:sz w:val="22"/>
          <w:lang w:eastAsia="cs-CZ"/>
        </w:rPr>
        <w:t>Národný ústav certifikovaných meraní vzdelávania</w:t>
      </w:r>
      <w:r w:rsidRPr="00C65CAA">
        <w:rPr>
          <w:rFonts w:ascii="Arial Narrow" w:hAnsi="Arial Narrow"/>
          <w:sz w:val="22"/>
          <w:lang w:eastAsia="cs-CZ"/>
        </w:rPr>
        <w:t xml:space="preserve">, </w:t>
      </w:r>
      <w:r w:rsidRPr="00C65CAA">
        <w:rPr>
          <w:rFonts w:ascii="Arial Narrow" w:hAnsi="Arial Narrow"/>
          <w:b/>
          <w:sz w:val="22"/>
          <w:lang w:eastAsia="cs-CZ"/>
        </w:rPr>
        <w:t>Štátny pedagogický ústav</w:t>
      </w:r>
      <w:r w:rsidRPr="00C65CAA">
        <w:rPr>
          <w:rFonts w:ascii="Arial Narrow" w:hAnsi="Arial Narrow"/>
          <w:sz w:val="22"/>
          <w:lang w:eastAsia="cs-CZ"/>
        </w:rPr>
        <w:t xml:space="preserve"> a </w:t>
      </w:r>
      <w:r w:rsidRPr="00C65CAA">
        <w:rPr>
          <w:rFonts w:ascii="Arial Narrow" w:hAnsi="Arial Narrow"/>
          <w:b/>
          <w:sz w:val="22"/>
          <w:lang w:eastAsia="cs-CZ"/>
        </w:rPr>
        <w:t>Štátny inštitút odborného vzdelávania</w:t>
      </w:r>
      <w:r w:rsidRPr="00C65CAA">
        <w:rPr>
          <w:rFonts w:ascii="Arial Narrow" w:hAnsi="Arial Narrow"/>
          <w:sz w:val="22"/>
          <w:lang w:eastAsia="cs-CZ"/>
        </w:rPr>
        <w:t>.</w:t>
      </w:r>
    </w:p>
    <w:p w:rsidR="00A24373" w:rsidRPr="00C65CAA" w:rsidRDefault="00A24373" w:rsidP="00256AF8">
      <w:pPr>
        <w:spacing w:before="100" w:after="100"/>
        <w:ind w:firstLine="708"/>
        <w:jc w:val="both"/>
        <w:rPr>
          <w:rFonts w:ascii="Arial Narrow" w:hAnsi="Arial Narrow"/>
          <w:sz w:val="22"/>
          <w:lang w:eastAsia="cs-CZ"/>
        </w:rPr>
      </w:pPr>
      <w:r w:rsidRPr="00C65CAA">
        <w:rPr>
          <w:rFonts w:ascii="Arial Narrow" w:hAnsi="Arial Narrow"/>
          <w:sz w:val="22"/>
          <w:lang w:eastAsia="cs-CZ"/>
        </w:rPr>
        <w:t xml:space="preserve">Kontrolou boli zistené nedostatky, z ktorých mnohé súviseli s </w:t>
      </w:r>
      <w:r w:rsidRPr="00C65CAA">
        <w:rPr>
          <w:rFonts w:ascii="Arial Narrow" w:hAnsi="Arial Narrow"/>
          <w:b/>
          <w:sz w:val="22"/>
          <w:lang w:eastAsia="cs-CZ"/>
        </w:rPr>
        <w:t>nekoncepčným nastavením rozpočtového procesu</w:t>
      </w:r>
      <w:r w:rsidRPr="00C65CAA">
        <w:rPr>
          <w:rFonts w:ascii="Arial Narrow" w:hAnsi="Arial Narrow"/>
          <w:sz w:val="22"/>
          <w:lang w:eastAsia="cs-CZ"/>
        </w:rPr>
        <w:t xml:space="preserve">. Kontrolované organizácie nemali na začiatku </w:t>
      </w:r>
      <w:r w:rsidR="009A1687" w:rsidRPr="00C65CAA">
        <w:rPr>
          <w:rFonts w:ascii="Arial Narrow" w:hAnsi="Arial Narrow"/>
          <w:sz w:val="22"/>
          <w:lang w:eastAsia="cs-CZ"/>
        </w:rPr>
        <w:t>žiadne</w:t>
      </w:r>
      <w:r w:rsidRPr="00C65CAA">
        <w:rPr>
          <w:rFonts w:ascii="Arial Narrow" w:hAnsi="Arial Narrow"/>
          <w:sz w:val="22"/>
          <w:lang w:eastAsia="cs-CZ"/>
        </w:rPr>
        <w:t>ho z preverovaných rozpočtových rokov (2015 – 2017) schválené dostatočné finančné prostriedky na real</w:t>
      </w:r>
      <w:r w:rsidR="006B0033" w:rsidRPr="00C65CAA">
        <w:rPr>
          <w:rFonts w:ascii="Arial Narrow" w:hAnsi="Arial Narrow"/>
          <w:sz w:val="22"/>
          <w:lang w:eastAsia="cs-CZ"/>
        </w:rPr>
        <w:t>izáciu svojej činnosti a plneni</w:t>
      </w:r>
      <w:r w:rsidR="009A1687" w:rsidRPr="00C65CAA">
        <w:rPr>
          <w:rFonts w:ascii="Arial Narrow" w:hAnsi="Arial Narrow"/>
          <w:sz w:val="22"/>
          <w:lang w:eastAsia="cs-CZ"/>
        </w:rPr>
        <w:t>e</w:t>
      </w:r>
      <w:r w:rsidRPr="00C65CAA">
        <w:rPr>
          <w:rFonts w:ascii="Arial Narrow" w:hAnsi="Arial Narrow"/>
          <w:sz w:val="22"/>
          <w:lang w:eastAsia="cs-CZ"/>
        </w:rPr>
        <w:t xml:space="preserve"> úloh v plnom rozsahu. V dôsledku toho boli chýbajúce zdroje prideľované rezortom školstva na základe opakovaných žiadostí organizácií v priebehu rozpočtového roka a pôvodne schválené rozpočty sa každoročne zvyšovali rozpočtovými opatreniami, a to až na úroveň </w:t>
      </w:r>
      <w:r w:rsidRPr="00C65CAA">
        <w:rPr>
          <w:rFonts w:ascii="Arial Narrow" w:hAnsi="Arial Narrow"/>
          <w:b/>
          <w:sz w:val="22"/>
          <w:lang w:eastAsia="cs-CZ"/>
        </w:rPr>
        <w:t>244,63 %</w:t>
      </w:r>
      <w:r w:rsidRPr="00C65CAA">
        <w:rPr>
          <w:rFonts w:ascii="Arial Narrow" w:hAnsi="Arial Narrow"/>
          <w:sz w:val="22"/>
          <w:lang w:eastAsia="cs-CZ"/>
        </w:rPr>
        <w:t xml:space="preserve"> základu. S týmto postupom súvisela aj skutočnosť, že kontrolované </w:t>
      </w:r>
      <w:r w:rsidRPr="00C65CAA">
        <w:rPr>
          <w:rFonts w:ascii="Arial Narrow" w:hAnsi="Arial Narrow"/>
          <w:sz w:val="22"/>
          <w:lang w:eastAsia="cs-CZ"/>
        </w:rPr>
        <w:lastRenderedPageBreak/>
        <w:t>organizácie sa zaväzovali k úhradám, ktoré neboli zabezpečené v rozpočte na bežný rozpočtový rok, čo nebolo v súlade so zákonom o rozpočtových pravidlách.</w:t>
      </w:r>
    </w:p>
    <w:p w:rsidR="00A24373" w:rsidRPr="00C65CAA" w:rsidRDefault="00A24373" w:rsidP="00256AF8">
      <w:pPr>
        <w:spacing w:before="100" w:after="100"/>
        <w:ind w:firstLine="708"/>
        <w:jc w:val="both"/>
        <w:rPr>
          <w:rFonts w:ascii="Arial Narrow" w:hAnsi="Arial Narrow"/>
          <w:sz w:val="22"/>
          <w:lang w:eastAsia="cs-CZ"/>
        </w:rPr>
      </w:pPr>
      <w:r w:rsidRPr="00C65CAA">
        <w:rPr>
          <w:rFonts w:ascii="Arial Narrow" w:hAnsi="Arial Narrow"/>
          <w:sz w:val="22"/>
          <w:lang w:eastAsia="cs-CZ"/>
        </w:rPr>
        <w:t>Vo všetkých kontrolovaných organizáciách</w:t>
      </w:r>
      <w:r w:rsidR="009A1687" w:rsidRPr="00C65CAA">
        <w:rPr>
          <w:rFonts w:ascii="Arial Narrow" w:hAnsi="Arial Narrow"/>
          <w:sz w:val="22"/>
          <w:lang w:eastAsia="cs-CZ"/>
        </w:rPr>
        <w:t xml:space="preserve"> boli </w:t>
      </w:r>
      <w:r w:rsidRPr="00C65CAA">
        <w:rPr>
          <w:rFonts w:ascii="Arial Narrow" w:hAnsi="Arial Narrow"/>
          <w:sz w:val="22"/>
          <w:lang w:eastAsia="cs-CZ"/>
        </w:rPr>
        <w:t xml:space="preserve"> identifikované </w:t>
      </w:r>
      <w:r w:rsidRPr="00C65CAA">
        <w:rPr>
          <w:rFonts w:ascii="Arial Narrow" w:hAnsi="Arial Narrow"/>
          <w:b/>
          <w:sz w:val="22"/>
          <w:lang w:eastAsia="cs-CZ"/>
        </w:rPr>
        <w:t>problémy súvisiace s neoprávnenými výdavkami</w:t>
      </w:r>
      <w:r w:rsidRPr="00C65CAA">
        <w:rPr>
          <w:rFonts w:ascii="Arial Narrow" w:hAnsi="Arial Narrow"/>
          <w:sz w:val="22"/>
          <w:lang w:eastAsia="cs-CZ"/>
        </w:rPr>
        <w:t xml:space="preserve"> (nezrovnalosťami), ktoré vznikli pri realizácii národných projektov financovaných z európskych štrukturálnych fondov. Tzv. </w:t>
      </w:r>
      <w:r w:rsidRPr="00C65CAA">
        <w:rPr>
          <w:rFonts w:ascii="Arial Narrow" w:hAnsi="Arial Narrow"/>
          <w:b/>
          <w:sz w:val="22"/>
          <w:lang w:eastAsia="cs-CZ"/>
        </w:rPr>
        <w:t>korekcie</w:t>
      </w:r>
      <w:r w:rsidRPr="00C65CAA">
        <w:rPr>
          <w:rFonts w:ascii="Arial Narrow" w:hAnsi="Arial Narrow"/>
          <w:sz w:val="22"/>
          <w:lang w:eastAsia="cs-CZ"/>
        </w:rPr>
        <w:t xml:space="preserve"> predstavovali </w:t>
      </w:r>
      <w:r w:rsidRPr="00C65CAA">
        <w:rPr>
          <w:rFonts w:ascii="Arial Narrow" w:hAnsi="Arial Narrow"/>
          <w:b/>
          <w:sz w:val="22"/>
          <w:lang w:eastAsia="cs-CZ"/>
        </w:rPr>
        <w:t>0,6 – 2,5 %</w:t>
      </w:r>
      <w:r w:rsidR="009A1687" w:rsidRPr="00C65CAA">
        <w:rPr>
          <w:rFonts w:ascii="Arial Narrow" w:hAnsi="Arial Narrow"/>
          <w:sz w:val="22"/>
          <w:lang w:eastAsia="cs-CZ"/>
        </w:rPr>
        <w:t xml:space="preserve"> čerpaných </w:t>
      </w:r>
      <w:r w:rsidRPr="00C65CAA">
        <w:rPr>
          <w:rFonts w:ascii="Arial Narrow" w:hAnsi="Arial Narrow"/>
          <w:sz w:val="22"/>
          <w:lang w:eastAsia="cs-CZ"/>
        </w:rPr>
        <w:t xml:space="preserve">zdrojov </w:t>
      </w:r>
      <w:r w:rsidR="009A1687" w:rsidRPr="00C65CAA">
        <w:rPr>
          <w:rFonts w:ascii="Arial Narrow" w:hAnsi="Arial Narrow"/>
          <w:sz w:val="22"/>
          <w:lang w:eastAsia="cs-CZ"/>
        </w:rPr>
        <w:t xml:space="preserve">EÚ </w:t>
      </w:r>
      <w:r w:rsidRPr="00C65CAA">
        <w:rPr>
          <w:rFonts w:ascii="Arial Narrow" w:hAnsi="Arial Narrow"/>
          <w:sz w:val="22"/>
          <w:lang w:eastAsia="cs-CZ"/>
        </w:rPr>
        <w:t xml:space="preserve">a neuznané výdavky </w:t>
      </w:r>
      <w:r w:rsidR="009A1687" w:rsidRPr="00C65CAA">
        <w:rPr>
          <w:rFonts w:ascii="Arial Narrow" w:hAnsi="Arial Narrow"/>
          <w:sz w:val="22"/>
          <w:lang w:eastAsia="cs-CZ"/>
        </w:rPr>
        <w:t xml:space="preserve">v </w:t>
      </w:r>
      <w:r w:rsidRPr="00C65CAA">
        <w:rPr>
          <w:rFonts w:ascii="Arial Narrow" w:hAnsi="Arial Narrow"/>
          <w:sz w:val="22"/>
          <w:lang w:eastAsia="cs-CZ"/>
        </w:rPr>
        <w:t xml:space="preserve">celkovej hodnote 2,28 mil. eur museli byť v konečnom dôsledku financované zo </w:t>
      </w:r>
      <w:r w:rsidR="00CD063B" w:rsidRPr="00C65CAA">
        <w:rPr>
          <w:rFonts w:ascii="Arial Narrow" w:hAnsi="Arial Narrow"/>
          <w:sz w:val="22"/>
          <w:lang w:eastAsia="cs-CZ"/>
        </w:rPr>
        <w:t>ŠR</w:t>
      </w:r>
      <w:r w:rsidRPr="00C65CAA">
        <w:rPr>
          <w:rFonts w:ascii="Arial Narrow" w:hAnsi="Arial Narrow"/>
          <w:sz w:val="22"/>
          <w:lang w:eastAsia="cs-CZ"/>
        </w:rPr>
        <w:t>.</w:t>
      </w:r>
    </w:p>
    <w:p w:rsidR="00B51933" w:rsidRPr="00C65CAA" w:rsidRDefault="00A24373" w:rsidP="00256AF8">
      <w:pPr>
        <w:spacing w:before="100" w:after="100"/>
        <w:ind w:firstLine="708"/>
        <w:jc w:val="both"/>
        <w:rPr>
          <w:rFonts w:ascii="Arial Narrow" w:hAnsi="Arial Narrow"/>
          <w:sz w:val="22"/>
          <w:lang w:eastAsia="cs-CZ"/>
        </w:rPr>
      </w:pPr>
      <w:r w:rsidRPr="00C65CAA">
        <w:rPr>
          <w:rFonts w:ascii="Arial Narrow" w:hAnsi="Arial Narrow"/>
          <w:sz w:val="22"/>
          <w:lang w:eastAsia="cs-CZ"/>
        </w:rPr>
        <w:t xml:space="preserve">V oblasti výskumu a vývoja je národným cieľom stratégie Európa 2020 </w:t>
      </w:r>
      <w:r w:rsidR="009A1687" w:rsidRPr="00C65CAA">
        <w:rPr>
          <w:rFonts w:ascii="Arial Narrow" w:hAnsi="Arial Narrow"/>
          <w:sz w:val="22"/>
          <w:szCs w:val="22"/>
        </w:rPr>
        <w:t xml:space="preserve">– </w:t>
      </w:r>
      <w:r w:rsidRPr="00C65CAA">
        <w:rPr>
          <w:rFonts w:ascii="Arial Narrow" w:hAnsi="Arial Narrow"/>
          <w:sz w:val="22"/>
          <w:lang w:eastAsia="cs-CZ"/>
        </w:rPr>
        <w:t xml:space="preserve">dosiahnuť </w:t>
      </w:r>
      <w:r w:rsidR="00B07EDA" w:rsidRPr="00C65CAA">
        <w:rPr>
          <w:rFonts w:ascii="Arial Narrow" w:hAnsi="Arial Narrow"/>
          <w:sz w:val="22"/>
          <w:lang w:eastAsia="cs-CZ"/>
        </w:rPr>
        <w:t xml:space="preserve">výšku </w:t>
      </w:r>
      <w:r w:rsidRPr="00C65CAA">
        <w:rPr>
          <w:rFonts w:ascii="Arial Narrow" w:hAnsi="Arial Narrow"/>
          <w:sz w:val="22"/>
          <w:lang w:eastAsia="cs-CZ"/>
        </w:rPr>
        <w:t>výdavk</w:t>
      </w:r>
      <w:r w:rsidR="00B07EDA" w:rsidRPr="00C65CAA">
        <w:rPr>
          <w:rFonts w:ascii="Arial Narrow" w:hAnsi="Arial Narrow"/>
          <w:sz w:val="22"/>
          <w:lang w:eastAsia="cs-CZ"/>
        </w:rPr>
        <w:t>ov</w:t>
      </w:r>
      <w:r w:rsidRPr="00C65CAA">
        <w:rPr>
          <w:rFonts w:ascii="Arial Narrow" w:hAnsi="Arial Narrow"/>
          <w:sz w:val="22"/>
          <w:lang w:eastAsia="cs-CZ"/>
        </w:rPr>
        <w:t xml:space="preserve"> na túto oblasť na úrovni 1,2 % HDP. SR sa k tomuto cieľu priblížila v roku 2015, kedy výdavky na výskum a vývoj predstavovali 1,18 % HDP, ale to len vďaka dočerpávaniu zdrojov z fondov EÚ. Na rok 2019 sú celkové verejné výdavky na vedu a techniku zo štátneho rozpočtu navrhnuté vo výške 317 206 tis. eur, čo predstavuje pokles oproti roku 2018 o</w:t>
      </w:r>
      <w:r w:rsidR="00CD063B" w:rsidRPr="00C65CAA">
        <w:rPr>
          <w:rFonts w:ascii="Arial Narrow" w:hAnsi="Arial Narrow"/>
          <w:sz w:val="22"/>
          <w:lang w:eastAsia="cs-CZ"/>
        </w:rPr>
        <w:t> 33 </w:t>
      </w:r>
      <w:r w:rsidRPr="00C65CAA">
        <w:rPr>
          <w:rFonts w:ascii="Arial Narrow" w:hAnsi="Arial Narrow"/>
          <w:sz w:val="22"/>
          <w:lang w:eastAsia="cs-CZ"/>
        </w:rPr>
        <w:t>181 tis. eur (9,47 %). V roku 2020 by podľa návrhu rozpočtu mala výška týchto výdavkov stúpnuť na</w:t>
      </w:r>
      <w:r w:rsidR="00CD063B" w:rsidRPr="00C65CAA">
        <w:rPr>
          <w:rFonts w:ascii="Arial Narrow" w:hAnsi="Arial Narrow"/>
          <w:sz w:val="22"/>
          <w:lang w:eastAsia="cs-CZ"/>
        </w:rPr>
        <w:t xml:space="preserve"> 457 751 </w:t>
      </w:r>
      <w:r w:rsidRPr="00C65CAA">
        <w:rPr>
          <w:rFonts w:ascii="Arial Narrow" w:hAnsi="Arial Narrow"/>
          <w:sz w:val="22"/>
          <w:lang w:eastAsia="cs-CZ"/>
        </w:rPr>
        <w:t>tis. eur, to je však o</w:t>
      </w:r>
      <w:r w:rsidR="009A1687" w:rsidRPr="00C65CAA">
        <w:rPr>
          <w:rFonts w:ascii="Arial Narrow" w:hAnsi="Arial Narrow"/>
          <w:sz w:val="22"/>
          <w:lang w:eastAsia="cs-CZ"/>
        </w:rPr>
        <w:t> </w:t>
      </w:r>
      <w:r w:rsidRPr="00C65CAA">
        <w:rPr>
          <w:rFonts w:ascii="Arial Narrow" w:hAnsi="Arial Narrow"/>
          <w:sz w:val="22"/>
          <w:lang w:eastAsia="cs-CZ"/>
        </w:rPr>
        <w:t>60</w:t>
      </w:r>
      <w:r w:rsidR="009A1687" w:rsidRPr="00C65CAA">
        <w:rPr>
          <w:rFonts w:ascii="Arial Narrow" w:hAnsi="Arial Narrow"/>
          <w:sz w:val="22"/>
          <w:lang w:eastAsia="cs-CZ"/>
        </w:rPr>
        <w:t xml:space="preserve"> </w:t>
      </w:r>
      <w:r w:rsidRPr="00C65CAA">
        <w:rPr>
          <w:rFonts w:ascii="Arial Narrow" w:hAnsi="Arial Narrow"/>
          <w:sz w:val="22"/>
          <w:lang w:eastAsia="cs-CZ"/>
        </w:rPr>
        <w:t>% menej</w:t>
      </w:r>
      <w:r w:rsidR="009A1687" w:rsidRPr="00C65CAA">
        <w:rPr>
          <w:rFonts w:ascii="Arial Narrow" w:hAnsi="Arial Narrow"/>
          <w:sz w:val="22"/>
          <w:lang w:eastAsia="cs-CZ"/>
        </w:rPr>
        <w:t>,</w:t>
      </w:r>
      <w:r w:rsidRPr="00C65CAA">
        <w:rPr>
          <w:rFonts w:ascii="Arial Narrow" w:hAnsi="Arial Narrow"/>
          <w:sz w:val="22"/>
          <w:lang w:eastAsia="cs-CZ"/>
        </w:rPr>
        <w:t xml:space="preserve"> ako v roku 2015, kedy celkové výdavky na vedu a techniku predstavovali 729 462 tis. eur. Podľa NKÚ SR, p</w:t>
      </w:r>
      <w:r w:rsidR="009A1687" w:rsidRPr="00C65CAA">
        <w:rPr>
          <w:rFonts w:ascii="Arial Narrow" w:hAnsi="Arial Narrow"/>
          <w:sz w:val="22"/>
          <w:lang w:eastAsia="cs-CZ"/>
        </w:rPr>
        <w:t>ri predpokladanom raste HDP by na účel</w:t>
      </w:r>
      <w:r w:rsidRPr="00C65CAA">
        <w:rPr>
          <w:rFonts w:ascii="Arial Narrow" w:hAnsi="Arial Narrow"/>
          <w:sz w:val="22"/>
          <w:lang w:eastAsia="cs-CZ"/>
        </w:rPr>
        <w:t xml:space="preserve"> splnenia národného cieľa stratégie Európa 2020 mali verejné výdavky na výskum a vývoj rásť intenzívnejšie</w:t>
      </w:r>
      <w:r w:rsidR="009A1687" w:rsidRPr="00C65CAA">
        <w:rPr>
          <w:rFonts w:ascii="Arial Narrow" w:hAnsi="Arial Narrow"/>
          <w:sz w:val="22"/>
          <w:lang w:eastAsia="cs-CZ"/>
        </w:rPr>
        <w:t>,</w:t>
      </w:r>
      <w:r w:rsidRPr="00C65CAA">
        <w:rPr>
          <w:rFonts w:ascii="Arial Narrow" w:hAnsi="Arial Narrow"/>
          <w:sz w:val="22"/>
          <w:lang w:eastAsia="cs-CZ"/>
        </w:rPr>
        <w:t xml:space="preserve"> a ak tento nedostatočný rast výdavkov nebude kompenzovaný rastom výdavkov súkromného sektora, SR svoj cieľ v roku 2020 nesplní.</w:t>
      </w:r>
    </w:p>
    <w:tbl>
      <w:tblPr>
        <w:tblStyle w:val="Mriekatabuky"/>
        <w:tblW w:w="0" w:type="auto"/>
        <w:shd w:val="clear" w:color="auto" w:fill="BDD6EE" w:themeFill="accent1" w:themeFillTint="66"/>
        <w:tblLayout w:type="fixed"/>
        <w:tblLook w:val="04A0" w:firstRow="1" w:lastRow="0" w:firstColumn="1" w:lastColumn="0" w:noHBand="0" w:noVBand="1"/>
      </w:tblPr>
      <w:tblGrid>
        <w:gridCol w:w="9289"/>
      </w:tblGrid>
      <w:tr w:rsidR="00B51933" w:rsidRPr="00C65CAA" w:rsidTr="007809C2">
        <w:trPr>
          <w:trHeight w:val="699"/>
        </w:trPr>
        <w:tc>
          <w:tcPr>
            <w:tcW w:w="9289" w:type="dxa"/>
            <w:shd w:val="clear" w:color="auto" w:fill="BDD6EE" w:themeFill="accent1" w:themeFillTint="66"/>
          </w:tcPr>
          <w:p w:rsidR="00B51933" w:rsidRPr="00C65CAA" w:rsidRDefault="00B51933" w:rsidP="00256AF8">
            <w:pPr>
              <w:spacing w:before="100" w:after="100"/>
              <w:jc w:val="both"/>
              <w:rPr>
                <w:rFonts w:ascii="Arial Narrow" w:hAnsi="Arial Narrow" w:cs="Arial"/>
                <w:b/>
                <w:i/>
                <w:iCs/>
                <w:sz w:val="20"/>
                <w:szCs w:val="20"/>
              </w:rPr>
            </w:pPr>
            <w:r w:rsidRPr="00C65CAA">
              <w:rPr>
                <w:rFonts w:ascii="Arial Narrow" w:hAnsi="Arial Narrow" w:cs="Arial"/>
                <w:b/>
                <w:i/>
                <w:iCs/>
                <w:sz w:val="20"/>
                <w:szCs w:val="20"/>
              </w:rPr>
              <w:t>Analytická správa NKÚ SR: Systém financovania výskumu a vývoja z verejných zdrojov v SR</w:t>
            </w:r>
          </w:p>
          <w:p w:rsidR="00B51933" w:rsidRPr="00C65CAA" w:rsidRDefault="00B51933" w:rsidP="00256AF8">
            <w:pPr>
              <w:spacing w:before="100" w:after="100"/>
              <w:jc w:val="both"/>
              <w:rPr>
                <w:rFonts w:ascii="Arial Narrow" w:hAnsi="Arial Narrow" w:cs="Arial"/>
                <w:sz w:val="20"/>
                <w:szCs w:val="20"/>
              </w:rPr>
            </w:pPr>
            <w:r w:rsidRPr="00C65CAA">
              <w:rPr>
                <w:rFonts w:ascii="Arial Narrow" w:hAnsi="Arial Narrow" w:cs="Arial"/>
                <w:sz w:val="20"/>
                <w:szCs w:val="20"/>
              </w:rPr>
              <w:t>NKÚ SR sa v roku 2018 venoval oblasti výskumu a vývoja (VaV) ako jednej z prioritných oblastí, ktorej výsledkom bola analytická správa. Tá mala za cieľ zanalyzovať danú oblasť ex-post (2007 – 2017)</w:t>
            </w:r>
            <w:r w:rsidR="009A1687" w:rsidRPr="00C65CAA">
              <w:rPr>
                <w:rFonts w:ascii="Arial Narrow" w:hAnsi="Arial Narrow" w:cs="Arial"/>
                <w:sz w:val="20"/>
                <w:szCs w:val="20"/>
              </w:rPr>
              <w:t>,</w:t>
            </w:r>
            <w:r w:rsidRPr="00C65CAA">
              <w:rPr>
                <w:rFonts w:ascii="Arial Narrow" w:hAnsi="Arial Narrow" w:cs="Arial"/>
                <w:sz w:val="20"/>
                <w:szCs w:val="20"/>
              </w:rPr>
              <w:t xml:space="preserve"> s dôrazom na zhodnotenie toho, koľko finančných prostriedkov bolo v tomto období do VaV investovaných a ako sa to premietlo do v</w:t>
            </w:r>
            <w:r w:rsidR="009A1687" w:rsidRPr="00C65CAA">
              <w:rPr>
                <w:rFonts w:ascii="Arial Narrow" w:hAnsi="Arial Narrow" w:cs="Arial"/>
                <w:sz w:val="20"/>
                <w:szCs w:val="20"/>
              </w:rPr>
              <w:t>ýsledkových ukazovateľov štátu</w:t>
            </w:r>
            <w:r w:rsidRPr="00C65CAA">
              <w:rPr>
                <w:rFonts w:ascii="Arial Narrow" w:hAnsi="Arial Narrow" w:cs="Arial"/>
                <w:sz w:val="20"/>
                <w:szCs w:val="20"/>
              </w:rPr>
              <w:t xml:space="preserve">. </w:t>
            </w:r>
          </w:p>
          <w:p w:rsidR="00B51933" w:rsidRPr="00C65CAA" w:rsidRDefault="00B51933" w:rsidP="00256AF8">
            <w:pPr>
              <w:spacing w:before="100" w:after="100"/>
              <w:jc w:val="both"/>
              <w:rPr>
                <w:rFonts w:ascii="Arial Narrow" w:hAnsi="Arial Narrow" w:cs="Arial"/>
                <w:sz w:val="20"/>
                <w:szCs w:val="20"/>
              </w:rPr>
            </w:pPr>
            <w:r w:rsidRPr="00C65CAA">
              <w:rPr>
                <w:rFonts w:ascii="Arial Narrow" w:hAnsi="Arial Narrow" w:cs="Arial"/>
                <w:sz w:val="20"/>
                <w:szCs w:val="20"/>
              </w:rPr>
              <w:t>Z medzinárodného porovnania vyplynu</w:t>
            </w:r>
            <w:r w:rsidR="00F75C9A" w:rsidRPr="00C65CAA">
              <w:rPr>
                <w:rFonts w:ascii="Arial Narrow" w:hAnsi="Arial Narrow" w:cs="Arial"/>
                <w:sz w:val="20"/>
                <w:szCs w:val="20"/>
              </w:rPr>
              <w:t>li, okrem iného, tieto zistenia.</w:t>
            </w:r>
          </w:p>
          <w:p w:rsidR="00B51933" w:rsidRPr="00C65CAA" w:rsidRDefault="00B51933" w:rsidP="00256AF8">
            <w:pPr>
              <w:pStyle w:val="Odsekzoznamu"/>
              <w:numPr>
                <w:ilvl w:val="0"/>
                <w:numId w:val="114"/>
              </w:numPr>
              <w:spacing w:before="100" w:after="100"/>
              <w:jc w:val="both"/>
              <w:rPr>
                <w:rFonts w:ascii="Arial Narrow" w:hAnsi="Arial Narrow"/>
                <w:sz w:val="20"/>
                <w:szCs w:val="20"/>
              </w:rPr>
            </w:pPr>
            <w:r w:rsidRPr="00C65CAA">
              <w:rPr>
                <w:rFonts w:ascii="Arial Narrow" w:hAnsi="Arial Narrow"/>
                <w:sz w:val="20"/>
                <w:szCs w:val="20"/>
              </w:rPr>
              <w:t>Objem finančných prostriedkov, ktoré SR vynakladá na VaV, je v p</w:t>
            </w:r>
            <w:r w:rsidR="009A1687" w:rsidRPr="00C65CAA">
              <w:rPr>
                <w:rFonts w:ascii="Arial Narrow" w:hAnsi="Arial Narrow"/>
                <w:sz w:val="20"/>
                <w:szCs w:val="20"/>
              </w:rPr>
              <w:t>omere k HDP jedným z najnižších</w:t>
            </w:r>
            <w:r w:rsidRPr="00C65CAA">
              <w:rPr>
                <w:rFonts w:ascii="Arial Narrow" w:hAnsi="Arial Narrow"/>
                <w:sz w:val="20"/>
                <w:szCs w:val="20"/>
              </w:rPr>
              <w:t xml:space="preserve"> spomedzi krajín EÚ, a to v celom sledovanom období.</w:t>
            </w:r>
          </w:p>
          <w:p w:rsidR="00B51933" w:rsidRPr="00C65CAA" w:rsidRDefault="00B51933" w:rsidP="00256AF8">
            <w:pPr>
              <w:pStyle w:val="Odsekzoznamu"/>
              <w:numPr>
                <w:ilvl w:val="0"/>
                <w:numId w:val="114"/>
              </w:numPr>
              <w:spacing w:before="100" w:after="100"/>
              <w:jc w:val="both"/>
              <w:rPr>
                <w:rFonts w:ascii="Arial Narrow" w:hAnsi="Arial Narrow"/>
                <w:sz w:val="20"/>
                <w:szCs w:val="20"/>
              </w:rPr>
            </w:pPr>
            <w:r w:rsidRPr="00C65CAA">
              <w:rPr>
                <w:rFonts w:ascii="Arial Narrow" w:hAnsi="Arial Narrow"/>
                <w:sz w:val="20"/>
                <w:szCs w:val="20"/>
              </w:rPr>
              <w:t xml:space="preserve">SR zamestnávala v celom sledovanom období v sektore </w:t>
            </w:r>
            <w:r w:rsidR="00245510" w:rsidRPr="00C65CAA">
              <w:rPr>
                <w:rFonts w:ascii="Arial Narrow" w:hAnsi="Arial Narrow"/>
                <w:sz w:val="20"/>
                <w:szCs w:val="20"/>
              </w:rPr>
              <w:t>VaV</w:t>
            </w:r>
            <w:r w:rsidRPr="00C65CAA">
              <w:rPr>
                <w:rFonts w:ascii="Arial Narrow" w:hAnsi="Arial Narrow"/>
                <w:sz w:val="20"/>
                <w:szCs w:val="20"/>
              </w:rPr>
              <w:t xml:space="preserve"> výrazne menej zamestnancov</w:t>
            </w:r>
            <w:r w:rsidR="009A1687" w:rsidRPr="00C65CAA">
              <w:rPr>
                <w:rFonts w:ascii="Arial Narrow" w:hAnsi="Arial Narrow"/>
                <w:sz w:val="20"/>
                <w:szCs w:val="20"/>
              </w:rPr>
              <w:t>,</w:t>
            </w:r>
            <w:r w:rsidRPr="00C65CAA">
              <w:rPr>
                <w:rFonts w:ascii="Arial Narrow" w:hAnsi="Arial Narrow"/>
                <w:sz w:val="20"/>
                <w:szCs w:val="20"/>
              </w:rPr>
              <w:t xml:space="preserve"> ako porovnateľné štáty.</w:t>
            </w:r>
          </w:p>
          <w:p w:rsidR="00B51933" w:rsidRPr="00C65CAA" w:rsidRDefault="00B51933" w:rsidP="00256AF8">
            <w:pPr>
              <w:pStyle w:val="Odsekzoznamu"/>
              <w:numPr>
                <w:ilvl w:val="0"/>
                <w:numId w:val="114"/>
              </w:numPr>
              <w:spacing w:before="100" w:after="100"/>
              <w:jc w:val="both"/>
              <w:rPr>
                <w:rFonts w:ascii="Arial Narrow" w:hAnsi="Arial Narrow"/>
                <w:sz w:val="20"/>
                <w:szCs w:val="20"/>
              </w:rPr>
            </w:pPr>
            <w:r w:rsidRPr="00C65CAA">
              <w:rPr>
                <w:rFonts w:ascii="Arial Narrow" w:hAnsi="Arial Narrow"/>
                <w:sz w:val="20"/>
                <w:szCs w:val="20"/>
              </w:rPr>
              <w:t>V počte patentov na HDP zaostáva SR v celom sledovanom</w:t>
            </w:r>
            <w:r w:rsidR="009A1687" w:rsidRPr="00C65CAA">
              <w:rPr>
                <w:rFonts w:ascii="Arial Narrow" w:hAnsi="Arial Narrow"/>
                <w:sz w:val="20"/>
                <w:szCs w:val="20"/>
              </w:rPr>
              <w:t xml:space="preserve"> období, pričom v roku 2016 bola</w:t>
            </w:r>
            <w:r w:rsidRPr="00C65CAA">
              <w:rPr>
                <w:rFonts w:ascii="Arial Narrow" w:hAnsi="Arial Narrow"/>
                <w:sz w:val="20"/>
                <w:szCs w:val="20"/>
              </w:rPr>
              <w:t xml:space="preserve"> SR v tomto ukazovateli druh</w:t>
            </w:r>
            <w:r w:rsidR="009A1687" w:rsidRPr="00C65CAA">
              <w:rPr>
                <w:rFonts w:ascii="Arial Narrow" w:hAnsi="Arial Narrow"/>
                <w:sz w:val="20"/>
                <w:szCs w:val="20"/>
              </w:rPr>
              <w:t>á</w:t>
            </w:r>
            <w:r w:rsidRPr="00C65CAA">
              <w:rPr>
                <w:rFonts w:ascii="Arial Narrow" w:hAnsi="Arial Narrow"/>
                <w:sz w:val="20"/>
                <w:szCs w:val="20"/>
              </w:rPr>
              <w:t xml:space="preserve"> najhorši</w:t>
            </w:r>
            <w:r w:rsidR="009A1687" w:rsidRPr="00C65CAA">
              <w:rPr>
                <w:rFonts w:ascii="Arial Narrow" w:hAnsi="Arial Narrow"/>
                <w:sz w:val="20"/>
                <w:szCs w:val="20"/>
              </w:rPr>
              <w:t>a</w:t>
            </w:r>
            <w:r w:rsidRPr="00C65CAA">
              <w:rPr>
                <w:rFonts w:ascii="Arial Narrow" w:hAnsi="Arial Narrow"/>
                <w:sz w:val="20"/>
                <w:szCs w:val="20"/>
              </w:rPr>
              <w:t xml:space="preserve"> v rámci krajín EÚ.</w:t>
            </w:r>
          </w:p>
          <w:p w:rsidR="00B51933" w:rsidRPr="00C65CAA" w:rsidRDefault="00B51933" w:rsidP="00256AF8">
            <w:pPr>
              <w:pStyle w:val="Odsekzoznamu"/>
              <w:numPr>
                <w:ilvl w:val="0"/>
                <w:numId w:val="114"/>
              </w:numPr>
              <w:spacing w:before="100" w:after="100"/>
              <w:jc w:val="both"/>
              <w:rPr>
                <w:rFonts w:ascii="Arial Narrow" w:hAnsi="Arial Narrow"/>
                <w:sz w:val="20"/>
                <w:szCs w:val="20"/>
              </w:rPr>
            </w:pPr>
            <w:r w:rsidRPr="00C65CAA">
              <w:rPr>
                <w:rFonts w:ascii="Arial Narrow" w:hAnsi="Arial Narrow"/>
                <w:sz w:val="20"/>
                <w:szCs w:val="20"/>
              </w:rPr>
              <w:t>Podpriemerné hodnoty dosahuje SR v celom sledovanom období v porovnaní s priemerom krajín EÚ aj v počte vedeckých publikácií a ich citácií.</w:t>
            </w:r>
          </w:p>
          <w:p w:rsidR="00B51933" w:rsidRPr="00C65CAA" w:rsidRDefault="00B51933" w:rsidP="00256AF8">
            <w:pPr>
              <w:pStyle w:val="Odsekzoznamu"/>
              <w:numPr>
                <w:ilvl w:val="0"/>
                <w:numId w:val="114"/>
              </w:numPr>
              <w:spacing w:before="100" w:after="100"/>
              <w:ind w:left="357" w:hanging="357"/>
              <w:jc w:val="both"/>
              <w:rPr>
                <w:rFonts w:ascii="Arial Narrow" w:hAnsi="Arial Narrow"/>
                <w:sz w:val="20"/>
                <w:szCs w:val="20"/>
              </w:rPr>
            </w:pPr>
            <w:r w:rsidRPr="00C65CAA">
              <w:rPr>
                <w:rFonts w:ascii="Arial Narrow" w:hAnsi="Arial Narrow"/>
                <w:sz w:val="20"/>
                <w:szCs w:val="20"/>
              </w:rPr>
              <w:t xml:space="preserve">V úspešnosti čerpania prostriedkov programu Horizont 2020 (v súhrne do marca 2018) je SR z 28 </w:t>
            </w:r>
            <w:r w:rsidR="009A1687" w:rsidRPr="00C65CAA">
              <w:rPr>
                <w:rFonts w:ascii="Arial Narrow" w:hAnsi="Arial Narrow"/>
                <w:sz w:val="20"/>
                <w:szCs w:val="20"/>
              </w:rPr>
              <w:t>štátov</w:t>
            </w:r>
            <w:r w:rsidRPr="00C65CAA">
              <w:rPr>
                <w:rFonts w:ascii="Arial Narrow" w:hAnsi="Arial Narrow"/>
                <w:sz w:val="20"/>
                <w:szCs w:val="20"/>
              </w:rPr>
              <w:t xml:space="preserve"> EÚ až na 25. mieste.</w:t>
            </w:r>
          </w:p>
          <w:p w:rsidR="00876878" w:rsidRPr="00C65CAA" w:rsidRDefault="00B51933" w:rsidP="00256AF8">
            <w:pPr>
              <w:spacing w:before="100" w:after="100"/>
              <w:jc w:val="both"/>
              <w:rPr>
                <w:rFonts w:ascii="Arial Narrow" w:hAnsi="Arial Narrow" w:cs="Arial"/>
                <w:sz w:val="20"/>
                <w:szCs w:val="20"/>
              </w:rPr>
            </w:pPr>
            <w:r w:rsidRPr="00C65CAA">
              <w:rPr>
                <w:rFonts w:ascii="Arial Narrow" w:hAnsi="Arial Narrow" w:cs="Arial"/>
                <w:sz w:val="20"/>
                <w:szCs w:val="20"/>
              </w:rPr>
              <w:t>Medzinárodné porovnanie SR v oblasti VaV indikuje neuspokojivý stav a radí nás do skupiny krajín ako Bulharsko</w:t>
            </w:r>
            <w:r w:rsidR="009A1687" w:rsidRPr="00C65CAA">
              <w:rPr>
                <w:rFonts w:ascii="Arial Narrow" w:hAnsi="Arial Narrow" w:cs="Arial"/>
                <w:sz w:val="20"/>
                <w:szCs w:val="20"/>
              </w:rPr>
              <w:t>,</w:t>
            </w:r>
            <w:r w:rsidRPr="00C65CAA">
              <w:rPr>
                <w:rFonts w:ascii="Arial Narrow" w:hAnsi="Arial Narrow" w:cs="Arial"/>
                <w:sz w:val="20"/>
                <w:szCs w:val="20"/>
              </w:rPr>
              <w:t xml:space="preserve"> Litva, Malta a Chorvátsko, ďaleko za vyspelejšími krajinami EÚ, ale aj za krajinami V3+2 (Obr.1).</w:t>
            </w:r>
          </w:p>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88"/>
              <w:gridCol w:w="3711"/>
            </w:tblGrid>
            <w:tr w:rsidR="00B51933" w:rsidRPr="00C65CAA" w:rsidTr="001065C1">
              <w:tc>
                <w:tcPr>
                  <w:tcW w:w="5488" w:type="dxa"/>
                  <w:tcBorders>
                    <w:top w:val="single" w:sz="4" w:space="0" w:color="auto"/>
                    <w:bottom w:val="single" w:sz="4" w:space="0" w:color="auto"/>
                    <w:right w:val="single" w:sz="4" w:space="0" w:color="auto"/>
                  </w:tcBorders>
                  <w:shd w:val="clear" w:color="auto" w:fill="95B3D7"/>
                </w:tcPr>
                <w:p w:rsidR="00B51933" w:rsidRPr="00C65CAA" w:rsidRDefault="00B51933" w:rsidP="00256AF8">
                  <w:pPr>
                    <w:spacing w:before="100" w:after="100"/>
                    <w:jc w:val="both"/>
                    <w:rPr>
                      <w:rFonts w:ascii="Arial Narrow" w:hAnsi="Arial Narrow" w:cs="Arial"/>
                      <w:sz w:val="18"/>
                      <w:szCs w:val="18"/>
                    </w:rPr>
                  </w:pPr>
                  <w:r w:rsidRPr="00C65CAA">
                    <w:rPr>
                      <w:rFonts w:ascii="Arial Narrow" w:hAnsi="Arial Narrow" w:cs="Arial"/>
                      <w:sz w:val="18"/>
                      <w:szCs w:val="18"/>
                    </w:rPr>
                    <w:t>Obr. 1: Krajiny EÚ podľa počtu zamestnancov sektora VaV na 1000 obyv. (vertikálna os), výdavkov na tento sektor v pomere k HDP v % (horizontálna os) a počtu patentov na milión obyv. (veľkosť bubliny) v roku 2016</w:t>
                  </w:r>
                </w:p>
              </w:tc>
              <w:tc>
                <w:tcPr>
                  <w:tcW w:w="3711" w:type="dxa"/>
                  <w:tcBorders>
                    <w:top w:val="single" w:sz="4" w:space="0" w:color="auto"/>
                    <w:left w:val="single" w:sz="4" w:space="0" w:color="auto"/>
                    <w:bottom w:val="single" w:sz="4" w:space="0" w:color="auto"/>
                    <w:right w:val="single" w:sz="4" w:space="0" w:color="auto"/>
                  </w:tcBorders>
                  <w:shd w:val="clear" w:color="auto" w:fill="95B3D7"/>
                </w:tcPr>
                <w:p w:rsidR="00B51933" w:rsidRPr="00C65CAA" w:rsidRDefault="00B51933" w:rsidP="00256AF8">
                  <w:pPr>
                    <w:spacing w:before="100" w:after="100"/>
                    <w:jc w:val="both"/>
                    <w:rPr>
                      <w:rFonts w:ascii="Arial Narrow" w:hAnsi="Arial Narrow" w:cs="Arial"/>
                      <w:sz w:val="18"/>
                      <w:szCs w:val="18"/>
                    </w:rPr>
                  </w:pPr>
                  <w:r w:rsidRPr="00C65CAA">
                    <w:rPr>
                      <w:rFonts w:ascii="Arial Narrow" w:hAnsi="Arial Narrow" w:cs="Arial"/>
                      <w:sz w:val="18"/>
                      <w:szCs w:val="18"/>
                    </w:rPr>
                    <w:t>Obr. 2: Štruktúra verejných výdavkov na VaV (v mil. eur)</w:t>
                  </w:r>
                </w:p>
              </w:tc>
            </w:tr>
            <w:tr w:rsidR="00B51933" w:rsidRPr="00C65CAA" w:rsidTr="001065C1">
              <w:tblPrEx>
                <w:tblCellMar>
                  <w:left w:w="70" w:type="dxa"/>
                  <w:right w:w="70" w:type="dxa"/>
                </w:tblCellMar>
              </w:tblPrEx>
              <w:trPr>
                <w:trHeight w:val="4613"/>
              </w:trPr>
              <w:tc>
                <w:tcPr>
                  <w:tcW w:w="5488" w:type="dxa"/>
                  <w:tcBorders>
                    <w:top w:val="single" w:sz="4" w:space="0" w:color="auto"/>
                    <w:bottom w:val="single" w:sz="4" w:space="0" w:color="auto"/>
                    <w:right w:val="single" w:sz="4" w:space="0" w:color="auto"/>
                  </w:tcBorders>
                  <w:vAlign w:val="center"/>
                </w:tcPr>
                <w:p w:rsidR="00B51933" w:rsidRPr="00C65CAA" w:rsidRDefault="00B51933" w:rsidP="00256AF8">
                  <w:pPr>
                    <w:spacing w:before="100" w:after="100"/>
                    <w:jc w:val="both"/>
                    <w:rPr>
                      <w:rFonts w:ascii="Arial Narrow" w:hAnsi="Arial Narrow" w:cs="Arial"/>
                      <w:b/>
                      <w:sz w:val="20"/>
                      <w:szCs w:val="20"/>
                    </w:rPr>
                  </w:pPr>
                  <w:r w:rsidRPr="00C65CAA">
                    <w:rPr>
                      <w:rFonts w:ascii="Arial Narrow" w:hAnsi="Arial Narrow" w:cs="Arial"/>
                      <w:noProof/>
                      <w:sz w:val="20"/>
                      <w:szCs w:val="20"/>
                    </w:rPr>
                    <w:drawing>
                      <wp:inline distT="0" distB="0" distL="0" distR="0" wp14:anchorId="72C42BA6" wp14:editId="6ACB6787">
                        <wp:extent cx="3192780" cy="2636520"/>
                        <wp:effectExtent l="0" t="0" r="7620" b="0"/>
                        <wp:docPr id="31" name="Graf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3711" w:type="dxa"/>
                  <w:tcBorders>
                    <w:top w:val="single" w:sz="4" w:space="0" w:color="auto"/>
                    <w:left w:val="single" w:sz="4" w:space="0" w:color="auto"/>
                    <w:bottom w:val="single" w:sz="4" w:space="0" w:color="auto"/>
                    <w:right w:val="single" w:sz="4" w:space="0" w:color="auto"/>
                  </w:tcBorders>
                  <w:vAlign w:val="center"/>
                </w:tcPr>
                <w:p w:rsidR="00B51933" w:rsidRPr="00C65CAA" w:rsidRDefault="00B51933" w:rsidP="00256AF8">
                  <w:pPr>
                    <w:spacing w:before="100" w:after="100"/>
                    <w:jc w:val="both"/>
                    <w:rPr>
                      <w:rFonts w:ascii="Arial Narrow" w:hAnsi="Arial Narrow" w:cs="Arial"/>
                      <w:b/>
                      <w:sz w:val="20"/>
                      <w:szCs w:val="20"/>
                    </w:rPr>
                  </w:pPr>
                  <w:r w:rsidRPr="00C65CAA">
                    <w:rPr>
                      <w:rFonts w:ascii="Arial Narrow" w:hAnsi="Arial Narrow" w:cs="Arial"/>
                      <w:noProof/>
                      <w:sz w:val="20"/>
                      <w:szCs w:val="20"/>
                    </w:rPr>
                    <w:drawing>
                      <wp:inline distT="0" distB="0" distL="0" distR="0" wp14:anchorId="184F995C" wp14:editId="40BB26E1">
                        <wp:extent cx="2267585" cy="2665563"/>
                        <wp:effectExtent l="0" t="0" r="0" b="1905"/>
                        <wp:docPr id="32" name="Graf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B51933" w:rsidRPr="00C65CAA" w:rsidTr="001065C1">
              <w:trPr>
                <w:trHeight w:val="780"/>
              </w:trPr>
              <w:tc>
                <w:tcPr>
                  <w:tcW w:w="5488" w:type="dxa"/>
                  <w:tcBorders>
                    <w:top w:val="single" w:sz="4" w:space="0" w:color="auto"/>
                    <w:right w:val="single" w:sz="4" w:space="0" w:color="auto"/>
                  </w:tcBorders>
                </w:tcPr>
                <w:p w:rsidR="00B51933" w:rsidRPr="00C65CAA" w:rsidRDefault="00B51933" w:rsidP="00256AF8">
                  <w:pPr>
                    <w:spacing w:before="100" w:after="100"/>
                    <w:jc w:val="both"/>
                    <w:rPr>
                      <w:rFonts w:ascii="Arial Narrow" w:hAnsi="Arial Narrow" w:cs="Arial"/>
                      <w:sz w:val="18"/>
                      <w:szCs w:val="18"/>
                    </w:rPr>
                  </w:pPr>
                  <w:r w:rsidRPr="00C65CAA">
                    <w:rPr>
                      <w:rFonts w:ascii="Arial Narrow" w:hAnsi="Arial Narrow" w:cs="Arial"/>
                      <w:sz w:val="18"/>
                      <w:szCs w:val="18"/>
                    </w:rPr>
                    <w:lastRenderedPageBreak/>
                    <w:t>Zdroj: Eurostat; WIPO Statistics Database; spracovanie NKÚ SR</w:t>
                  </w:r>
                </w:p>
                <w:p w:rsidR="00B51933" w:rsidRPr="00C65CAA" w:rsidRDefault="00B51933" w:rsidP="00256AF8">
                  <w:pPr>
                    <w:spacing w:before="100" w:after="100"/>
                    <w:jc w:val="both"/>
                    <w:rPr>
                      <w:rFonts w:ascii="Arial Narrow" w:hAnsi="Arial Narrow" w:cs="Arial"/>
                      <w:i/>
                      <w:sz w:val="20"/>
                      <w:szCs w:val="20"/>
                    </w:rPr>
                  </w:pPr>
                  <w:r w:rsidRPr="00C65CAA">
                    <w:rPr>
                      <w:rFonts w:ascii="Arial Narrow" w:hAnsi="Arial Narrow" w:cs="Arial"/>
                      <w:sz w:val="18"/>
                      <w:szCs w:val="18"/>
                    </w:rPr>
                    <w:t>*Dáta za rok 2016 nedostupné za Poľsko a Francúzsko, teda aj priemer krajín EÚ za 2016 je bez hodnôt za tieto krajiny</w:t>
                  </w:r>
                  <w:r w:rsidRPr="00C65CAA">
                    <w:rPr>
                      <w:rFonts w:ascii="Arial Narrow" w:hAnsi="Arial Narrow" w:cs="Arial"/>
                      <w:i/>
                      <w:sz w:val="20"/>
                      <w:szCs w:val="20"/>
                    </w:rPr>
                    <w:t xml:space="preserve"> </w:t>
                  </w:r>
                </w:p>
              </w:tc>
              <w:tc>
                <w:tcPr>
                  <w:tcW w:w="3711" w:type="dxa"/>
                  <w:tcBorders>
                    <w:top w:val="single" w:sz="4" w:space="0" w:color="auto"/>
                    <w:left w:val="single" w:sz="4" w:space="0" w:color="auto"/>
                    <w:right w:val="single" w:sz="4" w:space="0" w:color="auto"/>
                  </w:tcBorders>
                </w:tcPr>
                <w:p w:rsidR="00B51933" w:rsidRPr="00C65CAA" w:rsidRDefault="00B51933" w:rsidP="00256AF8">
                  <w:pPr>
                    <w:spacing w:before="100" w:after="100"/>
                    <w:jc w:val="both"/>
                    <w:rPr>
                      <w:rFonts w:ascii="Arial Narrow" w:hAnsi="Arial Narrow" w:cs="Arial"/>
                      <w:sz w:val="20"/>
                      <w:szCs w:val="20"/>
                    </w:rPr>
                  </w:pPr>
                  <w:r w:rsidRPr="00C65CAA">
                    <w:rPr>
                      <w:rFonts w:ascii="Arial Narrow" w:hAnsi="Arial Narrow" w:cs="Arial"/>
                      <w:sz w:val="20"/>
                      <w:szCs w:val="20"/>
                    </w:rPr>
                    <w:t>Zdroj: ŠÚ SR; spracovanie NKÚ SR</w:t>
                  </w:r>
                </w:p>
              </w:tc>
            </w:tr>
          </w:tbl>
          <w:p w:rsidR="00B51933" w:rsidRPr="00C65CAA" w:rsidRDefault="00B51933" w:rsidP="00256AF8">
            <w:pPr>
              <w:spacing w:before="100" w:after="100"/>
              <w:jc w:val="both"/>
              <w:rPr>
                <w:rFonts w:ascii="Arial Narrow" w:hAnsi="Arial Narrow" w:cs="Arial"/>
                <w:sz w:val="20"/>
                <w:szCs w:val="20"/>
              </w:rPr>
            </w:pPr>
            <w:r w:rsidRPr="00C65CAA">
              <w:rPr>
                <w:rFonts w:ascii="Arial Narrow" w:hAnsi="Arial Narrow" w:cs="Arial"/>
                <w:sz w:val="20"/>
                <w:szCs w:val="20"/>
              </w:rPr>
              <w:t>Ako príčiny tohto neuspokojivého stavu analytická správa uvádza okrem iného:</w:t>
            </w:r>
          </w:p>
          <w:p w:rsidR="00B51933" w:rsidRPr="00C65CAA" w:rsidRDefault="00B51933" w:rsidP="00256AF8">
            <w:pPr>
              <w:pStyle w:val="Odsekzoznamu"/>
              <w:numPr>
                <w:ilvl w:val="0"/>
                <w:numId w:val="114"/>
              </w:numPr>
              <w:spacing w:before="100" w:after="100"/>
              <w:ind w:left="357" w:hanging="357"/>
              <w:jc w:val="both"/>
              <w:rPr>
                <w:rFonts w:ascii="Arial Narrow" w:hAnsi="Arial Narrow"/>
                <w:sz w:val="20"/>
                <w:szCs w:val="20"/>
              </w:rPr>
            </w:pPr>
            <w:r w:rsidRPr="00C65CAA">
              <w:rPr>
                <w:rFonts w:ascii="Arial Narrow" w:hAnsi="Arial Narrow"/>
                <w:sz w:val="20"/>
                <w:szCs w:val="20"/>
              </w:rPr>
              <w:t>Politika VaV nie je v súčasnosti zastrešená žiadnym komplexným strategickým dokumentom. Fragmentáciu riadiaceho politického a administratívneho rámca dokazuje skutočnosť, že za obdobie 2007 – 2017 bolo pre oblasť VaV prijatých na Slovensku 14 strategických dokumentov, z ktorých sa realizovala len polovica.</w:t>
            </w:r>
          </w:p>
          <w:p w:rsidR="00B51933" w:rsidRPr="00C65CAA" w:rsidRDefault="00B51933" w:rsidP="00256AF8">
            <w:pPr>
              <w:pStyle w:val="Odsekzoznamu"/>
              <w:numPr>
                <w:ilvl w:val="0"/>
                <w:numId w:val="114"/>
              </w:numPr>
              <w:spacing w:before="100" w:after="100"/>
              <w:ind w:left="357" w:hanging="357"/>
              <w:jc w:val="both"/>
              <w:rPr>
                <w:rFonts w:ascii="Arial Narrow" w:hAnsi="Arial Narrow"/>
                <w:sz w:val="20"/>
                <w:szCs w:val="20"/>
              </w:rPr>
            </w:pPr>
            <w:r w:rsidRPr="00C65CAA">
              <w:rPr>
                <w:rFonts w:ascii="Arial Narrow" w:hAnsi="Arial Narrow"/>
                <w:sz w:val="20"/>
                <w:szCs w:val="20"/>
              </w:rPr>
              <w:t>Proces prideľovania prostriedkov zo štrukturálnych fondov EÚ je administratívne veľmi náročný a obsahu podávaných projektov sa nevenuje dostatočná pozornosť. Pritom celkový objem verejných výdavkov na VaV do veľkej miery ovplyvňujú práve tieto prostriedky</w:t>
            </w:r>
            <w:r w:rsidR="00F75C9A" w:rsidRPr="00C65CAA">
              <w:rPr>
                <w:rFonts w:ascii="Arial Narrow" w:hAnsi="Arial Narrow"/>
                <w:sz w:val="20"/>
                <w:szCs w:val="20"/>
              </w:rPr>
              <w:t>;</w:t>
            </w:r>
            <w:r w:rsidRPr="00C65CAA">
              <w:rPr>
                <w:rFonts w:ascii="Arial Narrow" w:hAnsi="Arial Narrow"/>
                <w:sz w:val="20"/>
                <w:szCs w:val="20"/>
              </w:rPr>
              <w:t> napríklad v roku 2015 tvorili viac ako polovicu z celkových verejných výdavkov na VaV v SR (Obr.2).</w:t>
            </w:r>
          </w:p>
          <w:p w:rsidR="00B51933" w:rsidRPr="00C65CAA" w:rsidRDefault="00B51933" w:rsidP="00011F12">
            <w:pPr>
              <w:pStyle w:val="Odsekzoznamu"/>
              <w:numPr>
                <w:ilvl w:val="0"/>
                <w:numId w:val="114"/>
              </w:numPr>
              <w:ind w:left="357" w:hanging="357"/>
              <w:jc w:val="both"/>
              <w:rPr>
                <w:rFonts w:ascii="Arial Narrow" w:hAnsi="Arial Narrow" w:cs="Arial"/>
                <w:sz w:val="20"/>
                <w:szCs w:val="20"/>
              </w:rPr>
            </w:pPr>
            <w:r w:rsidRPr="00C65CAA">
              <w:rPr>
                <w:rFonts w:ascii="Arial Narrow" w:hAnsi="Arial Narrow"/>
                <w:sz w:val="20"/>
                <w:szCs w:val="20"/>
              </w:rPr>
              <w:t>Pre oblasť VaV na Slovensku v súčasnosti neexistuje komplexný informačný systém poskytujúci podrobné, spracovateľné, konzistentné údaje umožňujúce efektívne riadenie a kontrolu tejto oblasti.</w:t>
            </w:r>
          </w:p>
        </w:tc>
      </w:tr>
    </w:tbl>
    <w:p w:rsidR="00D23611" w:rsidRPr="00C65CAA" w:rsidRDefault="00D23611" w:rsidP="00256AF8">
      <w:pPr>
        <w:pStyle w:val="Nadpis3"/>
        <w:spacing w:before="100" w:after="100"/>
        <w:rPr>
          <w:szCs w:val="22"/>
        </w:rPr>
      </w:pPr>
      <w:bookmarkStart w:id="35" w:name="_Toc529507603"/>
      <w:r w:rsidRPr="00C65CAA">
        <w:rPr>
          <w:szCs w:val="22"/>
        </w:rPr>
        <w:lastRenderedPageBreak/>
        <w:t>Ministerstvo zdravotníctva  SR</w:t>
      </w:r>
      <w:bookmarkEnd w:id="35"/>
    </w:p>
    <w:p w:rsidR="00A24373" w:rsidRPr="00C65CAA" w:rsidRDefault="00A24373" w:rsidP="00256AF8">
      <w:pPr>
        <w:spacing w:before="100" w:after="100"/>
        <w:ind w:firstLine="708"/>
        <w:jc w:val="both"/>
        <w:rPr>
          <w:rFonts w:ascii="Arial Narrow" w:hAnsi="Arial Narrow"/>
          <w:sz w:val="22"/>
        </w:rPr>
      </w:pPr>
      <w:r w:rsidRPr="00C65CAA">
        <w:rPr>
          <w:rFonts w:ascii="Arial Narrow" w:hAnsi="Arial Narrow"/>
          <w:sz w:val="22"/>
        </w:rPr>
        <w:t>Celkové príjmy bežného roka sa v sektore zdravotníctva na rok 2019 rozpočtujú na úrovni 5 043 885 tis. eur s medziročným rastom o 243 850 tis. eur (o 5,1 %) oproti schválenému rozpočtu na rok 2018. Najväčší podiel predstavujú príjmy od ekonomicky aktívnych osôb (79,3 %), ktoré sa rozpočtujú medziročným rastom o 488 315 tis. eur na sumu 4 000 070 tis. eur (vrátane ročného zúčtovania). Príjmy za poistencov štátu sa rozpočtujú vplyvom zmeny legislatívy pevnou sumou na úrovni 992 570 tis. eur (vrátane ročného zúčtovania) s medziročným poklesom o 249 300 tis. eur. Pokles príjmov za poistencov štátu je vykompenzovaný rastom príjmov od ekonomicky aktívnych osôb.</w:t>
      </w:r>
    </w:p>
    <w:p w:rsidR="00A24373" w:rsidRPr="00C65CAA" w:rsidRDefault="00A24373" w:rsidP="00256AF8">
      <w:pPr>
        <w:spacing w:before="100" w:after="100"/>
        <w:ind w:firstLine="708"/>
        <w:jc w:val="both"/>
        <w:rPr>
          <w:rFonts w:ascii="Arial Narrow" w:hAnsi="Arial Narrow"/>
          <w:sz w:val="22"/>
        </w:rPr>
      </w:pPr>
      <w:r w:rsidRPr="00C65CAA">
        <w:rPr>
          <w:rFonts w:ascii="Arial Narrow" w:hAnsi="Arial Narrow"/>
          <w:sz w:val="22"/>
        </w:rPr>
        <w:t>Z pohľadu financovania zdravotníctva klesajúca dynamika rozpočtu príjmov za poistencov štátu v rokoch 2019 – 2021 je riziková predovšetkým vo vzťahu k možnej ekonomickej kríze, keď príjmy od ekonomicky aktívnych osôb budú klesať.</w:t>
      </w:r>
    </w:p>
    <w:p w:rsidR="00A24373" w:rsidRPr="00C65CAA" w:rsidRDefault="00A24373" w:rsidP="00256AF8">
      <w:pPr>
        <w:spacing w:before="100" w:after="100"/>
        <w:ind w:firstLine="708"/>
        <w:jc w:val="both"/>
        <w:rPr>
          <w:rFonts w:ascii="Arial Narrow" w:hAnsi="Arial Narrow"/>
          <w:sz w:val="22"/>
        </w:rPr>
      </w:pPr>
      <w:r w:rsidRPr="00C65CAA">
        <w:rPr>
          <w:rFonts w:ascii="Arial Narrow" w:hAnsi="Arial Narrow"/>
          <w:sz w:val="22"/>
        </w:rPr>
        <w:t>Podľa NKÚ SR tento pokles predstavuje v roku 2019 riziko financovania zdravotnej starostlivosti bez ďalšieho zadlžovania. Rozpočet v oblasti platby štátu za svojich poistencov nezohľadňuje potrebu dofinancovania nemocníc tak, aby negenerovali straty a následne ďalšie záväzky po lehote splatnosti.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15"/>
        <w:gridCol w:w="1026"/>
        <w:gridCol w:w="1028"/>
        <w:gridCol w:w="1028"/>
        <w:gridCol w:w="1028"/>
        <w:gridCol w:w="1028"/>
        <w:gridCol w:w="1410"/>
      </w:tblGrid>
      <w:tr w:rsidR="00A24373" w:rsidRPr="00C65CAA" w:rsidTr="00EB05EC">
        <w:trPr>
          <w:trHeight w:hRule="exact" w:val="283"/>
          <w:tblHeader/>
        </w:trPr>
        <w:tc>
          <w:tcPr>
            <w:tcW w:w="1388" w:type="pct"/>
            <w:tcBorders>
              <w:top w:val="single" w:sz="4" w:space="0" w:color="auto"/>
              <w:left w:val="single" w:sz="4" w:space="0" w:color="auto"/>
              <w:bottom w:val="single" w:sz="4" w:space="0" w:color="auto"/>
              <w:right w:val="single" w:sz="4" w:space="0" w:color="FFFFFF"/>
            </w:tcBorders>
            <w:shd w:val="clear" w:color="auto" w:fill="0070C0"/>
            <w:vAlign w:val="center"/>
            <w:hideMark/>
          </w:tcPr>
          <w:p w:rsidR="00A24373" w:rsidRPr="00C65CAA" w:rsidRDefault="00A24373" w:rsidP="00011F12">
            <w:pPr>
              <w:rPr>
                <w:rFonts w:ascii="Arial Narrow" w:hAnsi="Arial Narrow"/>
                <w:b/>
                <w:bCs/>
                <w:color w:val="FFFFFF"/>
                <w:sz w:val="20"/>
                <w:szCs w:val="20"/>
              </w:rPr>
            </w:pPr>
            <w:r w:rsidRPr="00C65CAA">
              <w:rPr>
                <w:rFonts w:ascii="Arial Narrow" w:hAnsi="Arial Narrow"/>
                <w:b/>
                <w:bCs/>
                <w:color w:val="FFFFFF"/>
                <w:sz w:val="20"/>
                <w:szCs w:val="20"/>
              </w:rPr>
              <w:t xml:space="preserve">Nemocnica </w:t>
            </w:r>
            <w:r w:rsidRPr="00C65CAA">
              <w:rPr>
                <w:rFonts w:ascii="Arial Narrow" w:eastAsia="Calibri" w:hAnsi="Arial Narrow"/>
                <w:color w:val="FFFFFF"/>
                <w:sz w:val="20"/>
                <w:szCs w:val="20"/>
              </w:rPr>
              <w:t>(v tis. eur)</w:t>
            </w:r>
          </w:p>
        </w:tc>
        <w:tc>
          <w:tcPr>
            <w:tcW w:w="566" w:type="pct"/>
            <w:tcBorders>
              <w:top w:val="single" w:sz="4" w:space="0" w:color="000000" w:themeColor="text1"/>
              <w:left w:val="single" w:sz="4" w:space="0" w:color="FFFFFF"/>
              <w:bottom w:val="single" w:sz="4" w:space="0" w:color="auto"/>
              <w:right w:val="single" w:sz="4" w:space="0" w:color="FFFFFF"/>
            </w:tcBorders>
            <w:shd w:val="clear" w:color="auto" w:fill="0070C0"/>
            <w:noWrap/>
            <w:vAlign w:val="center"/>
            <w:hideMark/>
          </w:tcPr>
          <w:p w:rsidR="00A24373" w:rsidRPr="00C65CAA" w:rsidRDefault="00A24373" w:rsidP="00011F12">
            <w:pPr>
              <w:jc w:val="center"/>
              <w:rPr>
                <w:rFonts w:ascii="Arial Narrow" w:hAnsi="Arial Narrow"/>
                <w:b/>
                <w:bCs/>
                <w:color w:val="FFFFFF"/>
                <w:sz w:val="20"/>
                <w:szCs w:val="20"/>
              </w:rPr>
            </w:pPr>
            <w:r w:rsidRPr="00C65CAA">
              <w:rPr>
                <w:rFonts w:ascii="Arial Narrow" w:hAnsi="Arial Narrow"/>
                <w:b/>
                <w:bCs/>
                <w:color w:val="FFFFFF"/>
                <w:sz w:val="20"/>
                <w:szCs w:val="20"/>
              </w:rPr>
              <w:t>2013</w:t>
            </w:r>
          </w:p>
        </w:tc>
        <w:tc>
          <w:tcPr>
            <w:tcW w:w="567" w:type="pct"/>
            <w:tcBorders>
              <w:top w:val="single" w:sz="4" w:space="0" w:color="000000" w:themeColor="text1"/>
              <w:left w:val="single" w:sz="4" w:space="0" w:color="FFFFFF"/>
              <w:bottom w:val="single" w:sz="4" w:space="0" w:color="auto"/>
              <w:right w:val="single" w:sz="4" w:space="0" w:color="FFFFFF"/>
            </w:tcBorders>
            <w:shd w:val="clear" w:color="auto" w:fill="0070C0"/>
            <w:noWrap/>
            <w:vAlign w:val="center"/>
            <w:hideMark/>
          </w:tcPr>
          <w:p w:rsidR="00A24373" w:rsidRPr="00C65CAA" w:rsidRDefault="00A24373" w:rsidP="00011F12">
            <w:pPr>
              <w:jc w:val="center"/>
              <w:rPr>
                <w:rFonts w:ascii="Arial Narrow" w:hAnsi="Arial Narrow"/>
                <w:b/>
                <w:bCs/>
                <w:color w:val="FFFFFF"/>
                <w:sz w:val="20"/>
                <w:szCs w:val="20"/>
              </w:rPr>
            </w:pPr>
            <w:r w:rsidRPr="00C65CAA">
              <w:rPr>
                <w:rFonts w:ascii="Arial Narrow" w:hAnsi="Arial Narrow"/>
                <w:b/>
                <w:bCs/>
                <w:color w:val="FFFFFF"/>
                <w:sz w:val="20"/>
                <w:szCs w:val="20"/>
              </w:rPr>
              <w:t>2014</w:t>
            </w:r>
          </w:p>
        </w:tc>
        <w:tc>
          <w:tcPr>
            <w:tcW w:w="567" w:type="pct"/>
            <w:tcBorders>
              <w:top w:val="single" w:sz="4" w:space="0" w:color="000000" w:themeColor="text1"/>
              <w:left w:val="single" w:sz="4" w:space="0" w:color="FFFFFF"/>
              <w:bottom w:val="single" w:sz="4" w:space="0" w:color="auto"/>
              <w:right w:val="single" w:sz="4" w:space="0" w:color="FFFFFF"/>
            </w:tcBorders>
            <w:shd w:val="clear" w:color="auto" w:fill="0070C0"/>
            <w:noWrap/>
            <w:vAlign w:val="center"/>
            <w:hideMark/>
          </w:tcPr>
          <w:p w:rsidR="00A24373" w:rsidRPr="00C65CAA" w:rsidRDefault="00A24373" w:rsidP="00011F12">
            <w:pPr>
              <w:jc w:val="center"/>
              <w:rPr>
                <w:rFonts w:ascii="Arial Narrow" w:hAnsi="Arial Narrow"/>
                <w:b/>
                <w:bCs/>
                <w:color w:val="FFFFFF"/>
                <w:sz w:val="20"/>
                <w:szCs w:val="20"/>
              </w:rPr>
            </w:pPr>
            <w:r w:rsidRPr="00C65CAA">
              <w:rPr>
                <w:rFonts w:ascii="Arial Narrow" w:hAnsi="Arial Narrow"/>
                <w:b/>
                <w:bCs/>
                <w:color w:val="FFFFFF"/>
                <w:sz w:val="20"/>
                <w:szCs w:val="20"/>
              </w:rPr>
              <w:t>2015</w:t>
            </w:r>
          </w:p>
        </w:tc>
        <w:tc>
          <w:tcPr>
            <w:tcW w:w="567" w:type="pct"/>
            <w:tcBorders>
              <w:top w:val="single" w:sz="4" w:space="0" w:color="auto"/>
              <w:left w:val="single" w:sz="4" w:space="0" w:color="FFFFFF"/>
              <w:bottom w:val="single" w:sz="4" w:space="0" w:color="auto"/>
              <w:right w:val="single" w:sz="4" w:space="0" w:color="FFFFFF" w:themeColor="background1"/>
            </w:tcBorders>
            <w:shd w:val="clear" w:color="auto" w:fill="0070C0"/>
            <w:vAlign w:val="center"/>
            <w:hideMark/>
          </w:tcPr>
          <w:p w:rsidR="00A24373" w:rsidRPr="00C65CAA" w:rsidRDefault="00A24373" w:rsidP="00011F12">
            <w:pPr>
              <w:jc w:val="center"/>
              <w:rPr>
                <w:rFonts w:ascii="Arial Narrow" w:hAnsi="Arial Narrow"/>
                <w:b/>
                <w:bCs/>
                <w:color w:val="FFFFFF"/>
                <w:sz w:val="20"/>
                <w:szCs w:val="20"/>
              </w:rPr>
            </w:pPr>
            <w:r w:rsidRPr="00C65CAA">
              <w:rPr>
                <w:rFonts w:ascii="Arial Narrow" w:hAnsi="Arial Narrow"/>
                <w:b/>
                <w:bCs/>
                <w:color w:val="FFFFFF"/>
                <w:sz w:val="20"/>
                <w:szCs w:val="20"/>
              </w:rPr>
              <w:t>2016</w:t>
            </w:r>
          </w:p>
        </w:tc>
        <w:tc>
          <w:tcPr>
            <w:tcW w:w="567" w:type="pc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tcPr>
          <w:p w:rsidR="00A24373" w:rsidRPr="00C65CAA" w:rsidRDefault="00A24373" w:rsidP="00011F12">
            <w:pPr>
              <w:jc w:val="center"/>
              <w:rPr>
                <w:rFonts w:ascii="Arial Narrow" w:hAnsi="Arial Narrow"/>
                <w:b/>
                <w:bCs/>
                <w:color w:val="FFFFFF"/>
                <w:sz w:val="20"/>
                <w:szCs w:val="20"/>
              </w:rPr>
            </w:pPr>
            <w:r w:rsidRPr="00C65CAA">
              <w:rPr>
                <w:rFonts w:ascii="Arial Narrow" w:hAnsi="Arial Narrow"/>
                <w:b/>
                <w:bCs/>
                <w:color w:val="FFFFFF"/>
                <w:sz w:val="20"/>
                <w:szCs w:val="20"/>
              </w:rPr>
              <w:t>2017</w:t>
            </w:r>
          </w:p>
        </w:tc>
        <w:tc>
          <w:tcPr>
            <w:tcW w:w="779" w:type="pct"/>
            <w:tcBorders>
              <w:top w:val="single" w:sz="4" w:space="0" w:color="auto"/>
              <w:left w:val="single" w:sz="4" w:space="0" w:color="FFFFFF" w:themeColor="background1"/>
              <w:bottom w:val="single" w:sz="4" w:space="0" w:color="auto"/>
              <w:right w:val="single" w:sz="4" w:space="0" w:color="auto"/>
            </w:tcBorders>
            <w:shd w:val="clear" w:color="auto" w:fill="0070C0"/>
            <w:vAlign w:val="center"/>
          </w:tcPr>
          <w:p w:rsidR="00A24373" w:rsidRPr="00C65CAA" w:rsidRDefault="00A24373" w:rsidP="00011F12">
            <w:pPr>
              <w:jc w:val="center"/>
              <w:rPr>
                <w:rFonts w:ascii="Arial Narrow" w:hAnsi="Arial Narrow"/>
                <w:b/>
                <w:bCs/>
                <w:color w:val="FFFFFF"/>
                <w:sz w:val="20"/>
                <w:szCs w:val="20"/>
              </w:rPr>
            </w:pPr>
            <w:r w:rsidRPr="00C65CAA">
              <w:rPr>
                <w:rFonts w:ascii="Arial Narrow" w:hAnsi="Arial Narrow"/>
                <w:b/>
                <w:bCs/>
                <w:color w:val="FFFFFF"/>
                <w:sz w:val="20"/>
                <w:szCs w:val="20"/>
              </w:rPr>
              <w:t>30.08.2018</w:t>
            </w:r>
          </w:p>
        </w:tc>
      </w:tr>
      <w:tr w:rsidR="00A24373" w:rsidRPr="00C65CAA" w:rsidTr="00EB05EC">
        <w:trPr>
          <w:trHeight w:hRule="exact" w:val="227"/>
        </w:trPr>
        <w:tc>
          <w:tcPr>
            <w:tcW w:w="138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A24373" w:rsidRPr="00C65CAA" w:rsidRDefault="00A24373" w:rsidP="00011F12">
            <w:pPr>
              <w:rPr>
                <w:rFonts w:ascii="Arial Narrow" w:eastAsia="Calibri" w:hAnsi="Arial Narrow"/>
                <w:sz w:val="20"/>
                <w:szCs w:val="20"/>
              </w:rPr>
            </w:pPr>
            <w:r w:rsidRPr="00C65CAA">
              <w:rPr>
                <w:rFonts w:ascii="Arial Narrow" w:eastAsia="Calibri" w:hAnsi="Arial Narrow"/>
                <w:sz w:val="20"/>
                <w:szCs w:val="20"/>
              </w:rPr>
              <w:t>Záväzky v lehote splatnosti</w:t>
            </w:r>
          </w:p>
        </w:tc>
        <w:tc>
          <w:tcPr>
            <w:tcW w:w="56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A24373" w:rsidRPr="00C65CAA" w:rsidRDefault="00A24373" w:rsidP="00011F12">
            <w:pPr>
              <w:jc w:val="right"/>
              <w:rPr>
                <w:rFonts w:ascii="Arial Narrow" w:eastAsia="Calibri" w:hAnsi="Arial Narrow"/>
                <w:sz w:val="20"/>
                <w:szCs w:val="20"/>
              </w:rPr>
            </w:pPr>
            <w:r w:rsidRPr="00C65CAA">
              <w:rPr>
                <w:rFonts w:ascii="Arial Narrow" w:eastAsia="Calibri" w:hAnsi="Arial Narrow"/>
                <w:sz w:val="20"/>
                <w:szCs w:val="20"/>
              </w:rPr>
              <w:t>128 985</w:t>
            </w:r>
          </w:p>
        </w:tc>
        <w:tc>
          <w:tcPr>
            <w:tcW w:w="56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A24373" w:rsidRPr="00C65CAA" w:rsidRDefault="00A24373" w:rsidP="00011F12">
            <w:pPr>
              <w:jc w:val="right"/>
              <w:rPr>
                <w:rFonts w:ascii="Arial Narrow" w:eastAsia="Calibri" w:hAnsi="Arial Narrow"/>
                <w:sz w:val="20"/>
                <w:szCs w:val="20"/>
              </w:rPr>
            </w:pPr>
            <w:r w:rsidRPr="00C65CAA">
              <w:rPr>
                <w:rFonts w:ascii="Arial Narrow" w:eastAsia="Calibri" w:hAnsi="Arial Narrow"/>
                <w:sz w:val="20"/>
                <w:szCs w:val="20"/>
              </w:rPr>
              <w:t>118 191</w:t>
            </w:r>
          </w:p>
        </w:tc>
        <w:tc>
          <w:tcPr>
            <w:tcW w:w="56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A24373" w:rsidRPr="00C65CAA" w:rsidRDefault="00A24373" w:rsidP="00011F12">
            <w:pPr>
              <w:jc w:val="right"/>
              <w:rPr>
                <w:rFonts w:ascii="Arial Narrow" w:eastAsia="Calibri" w:hAnsi="Arial Narrow"/>
                <w:sz w:val="20"/>
                <w:szCs w:val="20"/>
              </w:rPr>
            </w:pPr>
            <w:r w:rsidRPr="00C65CAA">
              <w:rPr>
                <w:rFonts w:ascii="Arial Narrow" w:eastAsia="Calibri" w:hAnsi="Arial Narrow"/>
                <w:sz w:val="20"/>
                <w:szCs w:val="20"/>
              </w:rPr>
              <w:t>120 205</w:t>
            </w:r>
          </w:p>
        </w:tc>
        <w:tc>
          <w:tcPr>
            <w:tcW w:w="56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A24373" w:rsidRPr="00C65CAA" w:rsidRDefault="00A24373" w:rsidP="00011F12">
            <w:pPr>
              <w:jc w:val="right"/>
              <w:rPr>
                <w:rFonts w:ascii="Arial Narrow" w:eastAsia="Calibri" w:hAnsi="Arial Narrow"/>
                <w:sz w:val="20"/>
                <w:szCs w:val="20"/>
              </w:rPr>
            </w:pPr>
            <w:r w:rsidRPr="00C65CAA">
              <w:rPr>
                <w:rFonts w:ascii="Arial Narrow" w:eastAsia="Calibri" w:hAnsi="Arial Narrow"/>
                <w:sz w:val="20"/>
                <w:szCs w:val="20"/>
              </w:rPr>
              <w:t>123 329</w:t>
            </w:r>
          </w:p>
        </w:tc>
        <w:tc>
          <w:tcPr>
            <w:tcW w:w="567" w:type="pct"/>
            <w:tcBorders>
              <w:top w:val="single" w:sz="4" w:space="0" w:color="auto"/>
              <w:left w:val="single" w:sz="4" w:space="0" w:color="auto"/>
              <w:bottom w:val="single" w:sz="4" w:space="0" w:color="auto"/>
              <w:right w:val="single" w:sz="4" w:space="0" w:color="auto"/>
            </w:tcBorders>
            <w:shd w:val="clear" w:color="auto" w:fill="FFFFFF"/>
          </w:tcPr>
          <w:p w:rsidR="00A24373" w:rsidRPr="00C65CAA" w:rsidRDefault="00A24373" w:rsidP="00011F12">
            <w:pPr>
              <w:jc w:val="right"/>
              <w:rPr>
                <w:rFonts w:ascii="Arial Narrow" w:eastAsia="Calibri" w:hAnsi="Arial Narrow"/>
                <w:sz w:val="20"/>
                <w:szCs w:val="20"/>
              </w:rPr>
            </w:pPr>
            <w:r w:rsidRPr="00C65CAA">
              <w:rPr>
                <w:rFonts w:ascii="Arial Narrow" w:eastAsia="Calibri" w:hAnsi="Arial Narrow"/>
                <w:sz w:val="20"/>
                <w:szCs w:val="20"/>
              </w:rPr>
              <w:t>127 621</w:t>
            </w:r>
          </w:p>
        </w:tc>
        <w:tc>
          <w:tcPr>
            <w:tcW w:w="779" w:type="pct"/>
            <w:tcBorders>
              <w:top w:val="single" w:sz="4" w:space="0" w:color="auto"/>
              <w:left w:val="single" w:sz="4" w:space="0" w:color="auto"/>
              <w:bottom w:val="single" w:sz="4" w:space="0" w:color="auto"/>
              <w:right w:val="single" w:sz="4" w:space="0" w:color="auto"/>
            </w:tcBorders>
            <w:shd w:val="clear" w:color="auto" w:fill="FFFFFF"/>
          </w:tcPr>
          <w:p w:rsidR="00A24373" w:rsidRPr="00C65CAA" w:rsidRDefault="00A24373" w:rsidP="00011F12">
            <w:pPr>
              <w:jc w:val="right"/>
              <w:rPr>
                <w:rFonts w:ascii="Arial Narrow" w:eastAsia="Calibri" w:hAnsi="Arial Narrow"/>
                <w:sz w:val="20"/>
                <w:szCs w:val="20"/>
              </w:rPr>
            </w:pPr>
            <w:r w:rsidRPr="00C65CAA">
              <w:rPr>
                <w:rFonts w:ascii="Arial Narrow" w:eastAsia="Calibri" w:hAnsi="Arial Narrow"/>
                <w:sz w:val="20"/>
                <w:szCs w:val="20"/>
              </w:rPr>
              <w:t>136 807</w:t>
            </w:r>
          </w:p>
        </w:tc>
      </w:tr>
      <w:tr w:rsidR="00A24373" w:rsidRPr="00C65CAA" w:rsidTr="00EB05EC">
        <w:trPr>
          <w:trHeight w:hRule="exact" w:val="227"/>
        </w:trPr>
        <w:tc>
          <w:tcPr>
            <w:tcW w:w="13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24373" w:rsidRPr="00C65CAA" w:rsidRDefault="00A24373" w:rsidP="00011F12">
            <w:pPr>
              <w:rPr>
                <w:rFonts w:ascii="Arial Narrow" w:eastAsia="Calibri" w:hAnsi="Arial Narrow"/>
                <w:sz w:val="20"/>
                <w:szCs w:val="20"/>
              </w:rPr>
            </w:pPr>
            <w:r w:rsidRPr="00C65CAA">
              <w:rPr>
                <w:rFonts w:ascii="Arial Narrow" w:eastAsia="Calibri" w:hAnsi="Arial Narrow"/>
                <w:sz w:val="20"/>
                <w:szCs w:val="20"/>
              </w:rPr>
              <w:t>Záväzky po lehote splatnosti</w:t>
            </w:r>
          </w:p>
        </w:tc>
        <w:tc>
          <w:tcPr>
            <w:tcW w:w="56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24373" w:rsidRPr="00C65CAA" w:rsidRDefault="00A24373" w:rsidP="00011F12">
            <w:pPr>
              <w:jc w:val="right"/>
              <w:rPr>
                <w:rFonts w:ascii="Arial Narrow" w:eastAsia="Calibri" w:hAnsi="Arial Narrow"/>
                <w:sz w:val="20"/>
                <w:szCs w:val="20"/>
              </w:rPr>
            </w:pPr>
            <w:r w:rsidRPr="00C65CAA">
              <w:rPr>
                <w:rFonts w:ascii="Arial Narrow" w:eastAsia="Calibri" w:hAnsi="Arial Narrow"/>
                <w:sz w:val="20"/>
                <w:szCs w:val="20"/>
              </w:rPr>
              <w:t>236 825</w:t>
            </w:r>
          </w:p>
        </w:tc>
        <w:tc>
          <w:tcPr>
            <w:tcW w:w="56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24373" w:rsidRPr="00C65CAA" w:rsidRDefault="00A24373" w:rsidP="00011F12">
            <w:pPr>
              <w:jc w:val="right"/>
              <w:rPr>
                <w:rFonts w:ascii="Arial Narrow" w:eastAsia="Calibri" w:hAnsi="Arial Narrow"/>
                <w:sz w:val="20"/>
                <w:szCs w:val="20"/>
              </w:rPr>
            </w:pPr>
            <w:r w:rsidRPr="00C65CAA">
              <w:rPr>
                <w:rFonts w:ascii="Arial Narrow" w:eastAsia="Calibri" w:hAnsi="Arial Narrow"/>
                <w:sz w:val="20"/>
                <w:szCs w:val="20"/>
              </w:rPr>
              <w:t>317 856</w:t>
            </w:r>
          </w:p>
        </w:tc>
        <w:tc>
          <w:tcPr>
            <w:tcW w:w="56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24373" w:rsidRPr="00C65CAA" w:rsidRDefault="00A24373" w:rsidP="00011F12">
            <w:pPr>
              <w:jc w:val="right"/>
              <w:rPr>
                <w:rFonts w:ascii="Arial Narrow" w:eastAsia="Calibri" w:hAnsi="Arial Narrow"/>
                <w:sz w:val="20"/>
                <w:szCs w:val="20"/>
              </w:rPr>
            </w:pPr>
            <w:r w:rsidRPr="00C65CAA">
              <w:rPr>
                <w:rFonts w:ascii="Arial Narrow" w:eastAsia="Calibri" w:hAnsi="Arial Narrow"/>
                <w:sz w:val="20"/>
                <w:szCs w:val="20"/>
              </w:rPr>
              <w:t>426 923</w:t>
            </w:r>
          </w:p>
        </w:tc>
        <w:tc>
          <w:tcPr>
            <w:tcW w:w="56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24373" w:rsidRPr="00C65CAA" w:rsidRDefault="00A24373" w:rsidP="00011F12">
            <w:pPr>
              <w:jc w:val="right"/>
              <w:rPr>
                <w:rFonts w:ascii="Arial Narrow" w:eastAsia="Calibri" w:hAnsi="Arial Narrow"/>
                <w:sz w:val="20"/>
                <w:szCs w:val="20"/>
              </w:rPr>
            </w:pPr>
            <w:r w:rsidRPr="00C65CAA">
              <w:rPr>
                <w:rFonts w:ascii="Arial Narrow" w:eastAsia="Calibri" w:hAnsi="Arial Narrow"/>
                <w:sz w:val="20"/>
                <w:szCs w:val="20"/>
              </w:rPr>
              <w:t>527165</w:t>
            </w:r>
          </w:p>
        </w:tc>
        <w:tc>
          <w:tcPr>
            <w:tcW w:w="567" w:type="pct"/>
            <w:tcBorders>
              <w:top w:val="single" w:sz="4" w:space="0" w:color="auto"/>
              <w:left w:val="single" w:sz="4" w:space="0" w:color="auto"/>
              <w:bottom w:val="single" w:sz="4" w:space="0" w:color="auto"/>
              <w:right w:val="single" w:sz="4" w:space="0" w:color="auto"/>
            </w:tcBorders>
            <w:shd w:val="clear" w:color="auto" w:fill="FFFFFF"/>
          </w:tcPr>
          <w:p w:rsidR="00A24373" w:rsidRPr="00C65CAA" w:rsidRDefault="00A24373" w:rsidP="00011F12">
            <w:pPr>
              <w:jc w:val="right"/>
              <w:rPr>
                <w:rFonts w:ascii="Arial Narrow" w:eastAsia="Calibri" w:hAnsi="Arial Narrow"/>
                <w:sz w:val="20"/>
                <w:szCs w:val="20"/>
              </w:rPr>
            </w:pPr>
            <w:r w:rsidRPr="00C65CAA">
              <w:rPr>
                <w:rFonts w:ascii="Arial Narrow" w:eastAsia="Calibri" w:hAnsi="Arial Narrow"/>
                <w:sz w:val="20"/>
                <w:szCs w:val="20"/>
              </w:rPr>
              <w:t>646 389</w:t>
            </w:r>
          </w:p>
        </w:tc>
        <w:tc>
          <w:tcPr>
            <w:tcW w:w="779" w:type="pct"/>
            <w:tcBorders>
              <w:top w:val="single" w:sz="4" w:space="0" w:color="auto"/>
              <w:left w:val="single" w:sz="4" w:space="0" w:color="auto"/>
              <w:bottom w:val="single" w:sz="4" w:space="0" w:color="auto"/>
              <w:right w:val="single" w:sz="4" w:space="0" w:color="auto"/>
            </w:tcBorders>
            <w:shd w:val="clear" w:color="auto" w:fill="FFFFFF"/>
          </w:tcPr>
          <w:p w:rsidR="00A24373" w:rsidRPr="00C65CAA" w:rsidRDefault="00A24373" w:rsidP="00011F12">
            <w:pPr>
              <w:jc w:val="right"/>
              <w:rPr>
                <w:rFonts w:ascii="Arial Narrow" w:eastAsia="Calibri" w:hAnsi="Arial Narrow"/>
                <w:sz w:val="20"/>
                <w:szCs w:val="20"/>
              </w:rPr>
            </w:pPr>
            <w:r w:rsidRPr="00C65CAA">
              <w:rPr>
                <w:rFonts w:ascii="Arial Narrow" w:eastAsia="Calibri" w:hAnsi="Arial Narrow"/>
                <w:sz w:val="20"/>
                <w:szCs w:val="20"/>
              </w:rPr>
              <w:t>623 534</w:t>
            </w:r>
          </w:p>
        </w:tc>
      </w:tr>
      <w:tr w:rsidR="00A24373" w:rsidRPr="00C65CAA" w:rsidTr="00EB05EC">
        <w:trPr>
          <w:trHeight w:hRule="exact" w:val="227"/>
        </w:trPr>
        <w:tc>
          <w:tcPr>
            <w:tcW w:w="13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24373" w:rsidRPr="00C65CAA" w:rsidRDefault="00A24373" w:rsidP="00011F12">
            <w:pPr>
              <w:rPr>
                <w:rFonts w:ascii="Arial Narrow" w:eastAsia="Calibri" w:hAnsi="Arial Narrow"/>
                <w:b/>
                <w:sz w:val="20"/>
                <w:szCs w:val="20"/>
              </w:rPr>
            </w:pPr>
            <w:r w:rsidRPr="00C65CAA">
              <w:rPr>
                <w:rFonts w:ascii="Arial Narrow" w:eastAsia="Calibri" w:hAnsi="Arial Narrow"/>
                <w:b/>
                <w:sz w:val="20"/>
                <w:szCs w:val="20"/>
              </w:rPr>
              <w:t>Celkové záväzky</w:t>
            </w:r>
          </w:p>
        </w:tc>
        <w:tc>
          <w:tcPr>
            <w:tcW w:w="56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24373" w:rsidRPr="00C65CAA" w:rsidRDefault="00A24373" w:rsidP="00011F12">
            <w:pPr>
              <w:jc w:val="right"/>
              <w:rPr>
                <w:rFonts w:ascii="Arial Narrow" w:eastAsia="Calibri" w:hAnsi="Arial Narrow"/>
                <w:b/>
                <w:sz w:val="20"/>
                <w:szCs w:val="20"/>
              </w:rPr>
            </w:pPr>
            <w:r w:rsidRPr="00C65CAA">
              <w:rPr>
                <w:rFonts w:ascii="Arial Narrow" w:eastAsia="Calibri" w:hAnsi="Arial Narrow"/>
                <w:b/>
                <w:sz w:val="20"/>
                <w:szCs w:val="20"/>
              </w:rPr>
              <w:t>365 810</w:t>
            </w:r>
          </w:p>
        </w:tc>
        <w:tc>
          <w:tcPr>
            <w:tcW w:w="56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24373" w:rsidRPr="00C65CAA" w:rsidRDefault="00A24373" w:rsidP="00011F12">
            <w:pPr>
              <w:jc w:val="right"/>
              <w:rPr>
                <w:rFonts w:ascii="Arial Narrow" w:eastAsia="Calibri" w:hAnsi="Arial Narrow"/>
                <w:b/>
                <w:sz w:val="20"/>
                <w:szCs w:val="20"/>
              </w:rPr>
            </w:pPr>
            <w:r w:rsidRPr="00C65CAA">
              <w:rPr>
                <w:rFonts w:ascii="Arial Narrow" w:eastAsia="Calibri" w:hAnsi="Arial Narrow"/>
                <w:b/>
                <w:sz w:val="20"/>
                <w:szCs w:val="20"/>
              </w:rPr>
              <w:t>436 047</w:t>
            </w:r>
          </w:p>
        </w:tc>
        <w:tc>
          <w:tcPr>
            <w:tcW w:w="56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24373" w:rsidRPr="00C65CAA" w:rsidRDefault="00A24373" w:rsidP="00011F12">
            <w:pPr>
              <w:jc w:val="right"/>
              <w:rPr>
                <w:rFonts w:ascii="Arial Narrow" w:eastAsia="Calibri" w:hAnsi="Arial Narrow"/>
                <w:b/>
                <w:sz w:val="20"/>
                <w:szCs w:val="20"/>
              </w:rPr>
            </w:pPr>
            <w:r w:rsidRPr="00C65CAA">
              <w:rPr>
                <w:rFonts w:ascii="Arial Narrow" w:eastAsia="Calibri" w:hAnsi="Arial Narrow"/>
                <w:b/>
                <w:sz w:val="20"/>
                <w:szCs w:val="20"/>
              </w:rPr>
              <w:t>547 128</w:t>
            </w:r>
          </w:p>
        </w:tc>
        <w:tc>
          <w:tcPr>
            <w:tcW w:w="56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24373" w:rsidRPr="00C65CAA" w:rsidRDefault="00A24373" w:rsidP="00011F12">
            <w:pPr>
              <w:jc w:val="right"/>
              <w:rPr>
                <w:rFonts w:ascii="Arial Narrow" w:eastAsia="Calibri" w:hAnsi="Arial Narrow"/>
                <w:b/>
                <w:sz w:val="20"/>
                <w:szCs w:val="20"/>
              </w:rPr>
            </w:pPr>
            <w:r w:rsidRPr="00C65CAA">
              <w:rPr>
                <w:rFonts w:ascii="Arial Narrow" w:eastAsia="Calibri" w:hAnsi="Arial Narrow"/>
                <w:b/>
                <w:sz w:val="20"/>
                <w:szCs w:val="20"/>
              </w:rPr>
              <w:t>650 494</w:t>
            </w:r>
          </w:p>
        </w:tc>
        <w:tc>
          <w:tcPr>
            <w:tcW w:w="567" w:type="pct"/>
            <w:tcBorders>
              <w:top w:val="single" w:sz="4" w:space="0" w:color="auto"/>
              <w:left w:val="single" w:sz="4" w:space="0" w:color="auto"/>
              <w:bottom w:val="single" w:sz="4" w:space="0" w:color="auto"/>
              <w:right w:val="single" w:sz="4" w:space="0" w:color="auto"/>
            </w:tcBorders>
            <w:shd w:val="clear" w:color="auto" w:fill="FFFFFF"/>
          </w:tcPr>
          <w:p w:rsidR="00A24373" w:rsidRPr="00C65CAA" w:rsidRDefault="00A24373" w:rsidP="00011F12">
            <w:pPr>
              <w:jc w:val="right"/>
              <w:rPr>
                <w:rFonts w:ascii="Arial Narrow" w:eastAsia="Calibri" w:hAnsi="Arial Narrow"/>
                <w:b/>
                <w:sz w:val="20"/>
                <w:szCs w:val="20"/>
              </w:rPr>
            </w:pPr>
            <w:r w:rsidRPr="00C65CAA">
              <w:rPr>
                <w:rFonts w:ascii="Arial Narrow" w:eastAsia="Calibri" w:hAnsi="Arial Narrow"/>
                <w:b/>
                <w:sz w:val="20"/>
                <w:szCs w:val="20"/>
              </w:rPr>
              <w:t>774 009</w:t>
            </w:r>
          </w:p>
        </w:tc>
        <w:tc>
          <w:tcPr>
            <w:tcW w:w="779" w:type="pct"/>
            <w:tcBorders>
              <w:top w:val="single" w:sz="4" w:space="0" w:color="auto"/>
              <w:left w:val="single" w:sz="4" w:space="0" w:color="auto"/>
              <w:bottom w:val="single" w:sz="4" w:space="0" w:color="auto"/>
              <w:right w:val="single" w:sz="4" w:space="0" w:color="auto"/>
            </w:tcBorders>
            <w:shd w:val="clear" w:color="auto" w:fill="FFFFFF"/>
          </w:tcPr>
          <w:p w:rsidR="00A24373" w:rsidRPr="00C65CAA" w:rsidRDefault="00A24373" w:rsidP="00011F12">
            <w:pPr>
              <w:jc w:val="right"/>
              <w:rPr>
                <w:rFonts w:ascii="Arial Narrow" w:eastAsia="Calibri" w:hAnsi="Arial Narrow"/>
                <w:b/>
                <w:sz w:val="20"/>
                <w:szCs w:val="20"/>
              </w:rPr>
            </w:pPr>
            <w:r w:rsidRPr="00C65CAA">
              <w:rPr>
                <w:rFonts w:ascii="Arial Narrow" w:eastAsia="Calibri" w:hAnsi="Arial Narrow"/>
                <w:b/>
                <w:sz w:val="20"/>
                <w:szCs w:val="20"/>
              </w:rPr>
              <w:t>760 341</w:t>
            </w:r>
          </w:p>
        </w:tc>
      </w:tr>
    </w:tbl>
    <w:p w:rsidR="00A24373" w:rsidRPr="00C65CAA" w:rsidRDefault="00A24373" w:rsidP="00011F12">
      <w:pPr>
        <w:jc w:val="both"/>
        <w:rPr>
          <w:rFonts w:ascii="Arial Narrow" w:hAnsi="Arial Narrow"/>
          <w:sz w:val="20"/>
          <w:szCs w:val="20"/>
        </w:rPr>
      </w:pPr>
      <w:r w:rsidRPr="00C65CAA">
        <w:rPr>
          <w:rFonts w:ascii="Arial Narrow" w:hAnsi="Arial Narrow"/>
          <w:sz w:val="20"/>
          <w:szCs w:val="20"/>
        </w:rPr>
        <w:t>Zdroj: MF SR</w:t>
      </w:r>
    </w:p>
    <w:p w:rsidR="00A24373" w:rsidRPr="00C65CAA" w:rsidRDefault="00A24373" w:rsidP="00256AF8">
      <w:pPr>
        <w:spacing w:before="100" w:after="100"/>
        <w:ind w:firstLine="708"/>
        <w:jc w:val="both"/>
        <w:rPr>
          <w:rFonts w:ascii="Arial Narrow" w:hAnsi="Arial Narrow"/>
          <w:sz w:val="22"/>
        </w:rPr>
      </w:pPr>
      <w:r w:rsidRPr="00C65CAA">
        <w:rPr>
          <w:rFonts w:ascii="Arial Narrow" w:hAnsi="Arial Narrow"/>
          <w:sz w:val="22"/>
        </w:rPr>
        <w:t xml:space="preserve">Stav záväzkov 13 fakultných a univerzitných nemocníc sa za posledných 5 rokov viac ako zdvojnásobil. Prvá etapa oddlženia, ktorá prebehla v 1. polroku 2018 a nemocníc zbavila dlhov vo výške viac ako 100 000 tis. eur, sa pri zmene oproti roku 2017 takmer neprejavila. Dôvodom je fakt, že stav záväzkov po lehote splatnosti narástol za prvých 6 mesiacov roku 2018 o ďalších 58 036 tis. eur. Dá sa očakávať, že ani ďalšie etapy oddlžovania neprinesú výrazný pokles dlhov, keďže nemocnice naďalej generujú straty a tým aj nové záväzky. V podstate štát nemocnice oddlžuje, ale zatiaľ nenastavil </w:t>
      </w:r>
      <w:r w:rsidR="00F75C9A" w:rsidRPr="00C65CAA">
        <w:rPr>
          <w:rFonts w:ascii="Arial Narrow" w:hAnsi="Arial Narrow"/>
          <w:sz w:val="22"/>
        </w:rPr>
        <w:t xml:space="preserve">také </w:t>
      </w:r>
      <w:r w:rsidRPr="00C65CAA">
        <w:rPr>
          <w:rFonts w:ascii="Arial Narrow" w:hAnsi="Arial Narrow"/>
          <w:sz w:val="22"/>
        </w:rPr>
        <w:t xml:space="preserve">mechanizmy, aby tomu predchádzal. Stále absentuje plná funkcionalita projektov DRG a eZdravie. </w:t>
      </w:r>
    </w:p>
    <w:p w:rsidR="00A24373" w:rsidRPr="00C65CAA" w:rsidRDefault="00F75C9A" w:rsidP="00256AF8">
      <w:pPr>
        <w:autoSpaceDE w:val="0"/>
        <w:autoSpaceDN w:val="0"/>
        <w:adjustRightInd w:val="0"/>
        <w:spacing w:before="100" w:after="100"/>
        <w:ind w:firstLine="708"/>
        <w:jc w:val="both"/>
        <w:rPr>
          <w:rFonts w:ascii="Arial Narrow" w:hAnsi="Arial Narrow" w:cs="Calibri"/>
          <w:sz w:val="22"/>
        </w:rPr>
      </w:pPr>
      <w:r w:rsidRPr="00C65CAA">
        <w:rPr>
          <w:rFonts w:ascii="Arial Narrow" w:hAnsi="Arial Narrow" w:cs="Calibri"/>
          <w:sz w:val="22"/>
        </w:rPr>
        <w:t>N</w:t>
      </w:r>
      <w:r w:rsidR="00A24373" w:rsidRPr="00C65CAA">
        <w:rPr>
          <w:rFonts w:ascii="Arial Narrow" w:hAnsi="Arial Narrow" w:cs="Calibri"/>
          <w:sz w:val="22"/>
        </w:rPr>
        <w:t>a účel</w:t>
      </w:r>
      <w:r w:rsidRPr="00C65CAA">
        <w:rPr>
          <w:rFonts w:ascii="Arial Narrow" w:hAnsi="Arial Narrow" w:cs="Calibri"/>
          <w:sz w:val="22"/>
        </w:rPr>
        <w:t>y</w:t>
      </w:r>
      <w:r w:rsidR="00A24373" w:rsidRPr="00C65CAA">
        <w:rPr>
          <w:rFonts w:ascii="Arial Narrow" w:hAnsi="Arial Narrow" w:cs="Calibri"/>
          <w:sz w:val="22"/>
        </w:rPr>
        <w:t xml:space="preserve"> rekonštrukcie budov a obnovy technického vybavenia nemocníc sa kapitálové výdavky rozpočtujú na rok 2019 v sume 100 000 tis. eur, čo predstavuje medziročný nárast o 30 000 tis. eur (o 42,8 %). NKÚ SR hodnotí tento nárast pozitívne, pričom ide o historicky najvyšší objem financií, ktoré by mali investične pomôcť zdravotníctvu. Na druhej strane</w:t>
      </w:r>
      <w:r w:rsidRPr="00C65CAA">
        <w:rPr>
          <w:rFonts w:ascii="Arial Narrow" w:hAnsi="Arial Narrow" w:cs="Calibri"/>
          <w:sz w:val="22"/>
        </w:rPr>
        <w:t>,</w:t>
      </w:r>
      <w:r w:rsidR="00A24373" w:rsidRPr="00C65CAA">
        <w:rPr>
          <w:rFonts w:ascii="Arial Narrow" w:hAnsi="Arial Narrow" w:cs="Calibri"/>
          <w:sz w:val="22"/>
        </w:rPr>
        <w:t xml:space="preserve"> riziko vyvoláva schopnosť manažmentu nemocníc a ministerstva využiť tieto zdroje. V rokoch 2017 a 2018 boli na rovnaký účel alokované výdavky vo výške 70 000 tis. eur, pričom MZ SR z nich vyčerpalo v roku 2017 len 18,9 %</w:t>
      </w:r>
      <w:r w:rsidRPr="00C65CAA">
        <w:rPr>
          <w:rFonts w:ascii="Arial Narrow" w:hAnsi="Arial Narrow" w:cs="Calibri"/>
          <w:sz w:val="22"/>
        </w:rPr>
        <w:t>,</w:t>
      </w:r>
      <w:r w:rsidR="00A24373" w:rsidRPr="00C65CAA">
        <w:rPr>
          <w:rFonts w:ascii="Arial Narrow" w:hAnsi="Arial Narrow" w:cs="Calibri"/>
          <w:sz w:val="22"/>
        </w:rPr>
        <w:t xml:space="preserve"> a na rok 2018 sa očakáva čerpanie vo výške 53,5 %.</w:t>
      </w:r>
    </w:p>
    <w:p w:rsidR="002D7929" w:rsidRPr="00C65CAA" w:rsidRDefault="00A24373" w:rsidP="00256AF8">
      <w:pPr>
        <w:autoSpaceDE w:val="0"/>
        <w:autoSpaceDN w:val="0"/>
        <w:adjustRightInd w:val="0"/>
        <w:spacing w:before="100" w:after="100"/>
        <w:ind w:firstLine="708"/>
        <w:jc w:val="both"/>
        <w:rPr>
          <w:rFonts w:ascii="Arial Narrow" w:hAnsi="Arial Narrow" w:cs="Calibri"/>
          <w:sz w:val="22"/>
        </w:rPr>
      </w:pPr>
      <w:r w:rsidRPr="00C65CAA">
        <w:rPr>
          <w:rFonts w:ascii="Arial Narrow" w:hAnsi="Arial Narrow" w:cs="Calibri"/>
          <w:sz w:val="22"/>
        </w:rPr>
        <w:t>Platné pravidlá automatického rastu miezd stanovujú zvýšenie o 96 000 tis. eur v roku 2019. NKÚ SR upozorňuje, že súčasné nastavenie platového automatu nezohľadňuje princíp zásluhovosti a absentuje naviazanie odmeňovania manažmentu nemocníc na dosahované výsledky.</w:t>
      </w:r>
      <w:r w:rsidR="002D7929" w:rsidRPr="00C65CAA">
        <w:rPr>
          <w:rFonts w:ascii="Arial Narrow" w:hAnsi="Arial Narrow" w:cs="Calibri"/>
          <w:sz w:val="22"/>
        </w:rPr>
        <w:t xml:space="preserve"> Pozitívne možno zhodnotiť rozpočtovanie výdavkov z verejného zdravotného poistenia vo výške 77 mil. eur na zvýšenie miezd pre sestry a ostatný nelekársky personál nad rámec automatického rastu.</w:t>
      </w:r>
    </w:p>
    <w:p w:rsidR="00A24373" w:rsidRPr="00C65CAA" w:rsidRDefault="00A24373" w:rsidP="00256AF8">
      <w:pPr>
        <w:autoSpaceDE w:val="0"/>
        <w:autoSpaceDN w:val="0"/>
        <w:adjustRightInd w:val="0"/>
        <w:spacing w:before="100" w:after="100"/>
        <w:jc w:val="both"/>
        <w:rPr>
          <w:rFonts w:ascii="Arial Narrow" w:hAnsi="Arial Narrow" w:cs="Calibri"/>
          <w:sz w:val="22"/>
        </w:rPr>
      </w:pPr>
      <w:r w:rsidRPr="00C65CAA">
        <w:rPr>
          <w:rFonts w:ascii="Arial Narrow" w:hAnsi="Arial Narrow" w:cs="Calibri"/>
          <w:sz w:val="22"/>
        </w:rPr>
        <w:lastRenderedPageBreak/>
        <w:tab/>
        <w:t>Pre zabezpečenie financovania hodnotových opatrení na zefektívnenie fungovania zdravotníctva budú realizované úsporné opatrenia v roku 2019 vo výške 92 000 tis. eur z verejného zdravotného poistenia (VZP) a 46 000 tis. eur</w:t>
      </w:r>
      <w:r w:rsidRPr="00C65CAA">
        <w:rPr>
          <w:rFonts w:ascii="Arial Narrow" w:hAnsi="Arial Narrow" w:cs="Calibri"/>
          <w:color w:val="00B050"/>
          <w:sz w:val="22"/>
        </w:rPr>
        <w:t xml:space="preserve"> </w:t>
      </w:r>
      <w:r w:rsidRPr="00C65CAA">
        <w:rPr>
          <w:rFonts w:ascii="Arial Narrow" w:hAnsi="Arial Narrow" w:cs="Calibri"/>
          <w:sz w:val="22"/>
        </w:rPr>
        <w:t>na výdavkoch nemocníc. Spolu úsporné opatrenia dosiahnu úroveň 139 000 tis. eur.</w:t>
      </w:r>
      <w:r w:rsidRPr="00C65CAA">
        <w:rPr>
          <w:rFonts w:ascii="Arial Narrow" w:hAnsi="Arial Narrow" w:cs="Calibri"/>
          <w:sz w:val="22"/>
        </w:rPr>
        <w:tab/>
      </w:r>
    </w:p>
    <w:p w:rsidR="00A24373" w:rsidRPr="00C65CAA" w:rsidRDefault="00A24373" w:rsidP="00256AF8">
      <w:pPr>
        <w:autoSpaceDE w:val="0"/>
        <w:autoSpaceDN w:val="0"/>
        <w:adjustRightInd w:val="0"/>
        <w:spacing w:before="100" w:after="100"/>
        <w:ind w:firstLine="708"/>
        <w:jc w:val="both"/>
        <w:rPr>
          <w:rFonts w:ascii="Arial Narrow" w:hAnsi="Arial Narrow" w:cs="Calibri"/>
          <w:sz w:val="22"/>
        </w:rPr>
      </w:pPr>
      <w:r w:rsidRPr="00C65CAA">
        <w:rPr>
          <w:rFonts w:ascii="Arial Narrow" w:hAnsi="Arial Narrow" w:cs="Calibri"/>
          <w:sz w:val="22"/>
        </w:rPr>
        <w:t xml:space="preserve">Podľa priebežnej implementačnej správy za 1. polrok 2018 realizované úspory v roku 2017 predstavovali 104 000 tis. eur, čo bolo 59,8 percentné plnenie stanoveného cieľa </w:t>
      </w:r>
      <w:r w:rsidR="00C406AF" w:rsidRPr="00C65CAA">
        <w:rPr>
          <w:rFonts w:ascii="Arial Narrow" w:hAnsi="Arial Narrow"/>
          <w:sz w:val="22"/>
          <w:szCs w:val="22"/>
        </w:rPr>
        <w:t xml:space="preserve">– </w:t>
      </w:r>
      <w:r w:rsidRPr="00C65CAA">
        <w:rPr>
          <w:rFonts w:ascii="Arial Narrow" w:hAnsi="Arial Narrow" w:cs="Calibri"/>
          <w:sz w:val="22"/>
        </w:rPr>
        <w:t xml:space="preserve">174 000 tis. eur. Namiesto toho, aby dosiahnutá úspora bola nasmerovaná na programy zvyšovania kvality zdravotnej starostlivosti, rozhodujúca časť z nej išla na zníženie straty VšZP. </w:t>
      </w:r>
    </w:p>
    <w:p w:rsidR="00A24373" w:rsidRPr="00C65CAA" w:rsidRDefault="00A24373" w:rsidP="00256AF8">
      <w:pPr>
        <w:autoSpaceDE w:val="0"/>
        <w:autoSpaceDN w:val="0"/>
        <w:adjustRightInd w:val="0"/>
        <w:spacing w:before="100" w:after="100"/>
        <w:ind w:firstLine="708"/>
        <w:jc w:val="both"/>
        <w:rPr>
          <w:rFonts w:ascii="Arial Narrow" w:hAnsi="Arial Narrow" w:cs="Calibri"/>
          <w:sz w:val="22"/>
        </w:rPr>
      </w:pPr>
      <w:r w:rsidRPr="00C65CAA">
        <w:rPr>
          <w:rFonts w:ascii="Arial Narrow" w:hAnsi="Arial Narrow" w:cs="Calibri"/>
          <w:sz w:val="22"/>
        </w:rPr>
        <w:t>Z aktualizovaného plánu úspor na rok 2018 v sume 103 000 tis. eur</w:t>
      </w:r>
      <w:r w:rsidRPr="00C65CAA">
        <w:rPr>
          <w:rFonts w:ascii="Arial Narrow" w:hAnsi="Arial Narrow" w:cs="Calibri"/>
          <w:color w:val="00B050"/>
          <w:sz w:val="22"/>
        </w:rPr>
        <w:t xml:space="preserve"> </w:t>
      </w:r>
      <w:r w:rsidRPr="00C65CAA">
        <w:rPr>
          <w:rFonts w:ascii="Arial Narrow" w:hAnsi="Arial Narrow" w:cs="Calibri"/>
          <w:sz w:val="22"/>
        </w:rPr>
        <w:t>sa podarilo k 30.</w:t>
      </w:r>
      <w:r w:rsidR="00C406AF" w:rsidRPr="00C65CAA">
        <w:rPr>
          <w:rFonts w:ascii="Arial Narrow" w:hAnsi="Arial Narrow" w:cs="Calibri"/>
          <w:sz w:val="22"/>
        </w:rPr>
        <w:t xml:space="preserve"> </w:t>
      </w:r>
      <w:r w:rsidRPr="00C65CAA">
        <w:rPr>
          <w:rFonts w:ascii="Arial Narrow" w:hAnsi="Arial Narrow" w:cs="Calibri"/>
          <w:sz w:val="22"/>
        </w:rPr>
        <w:t xml:space="preserve">6. 2018 ušetriť iba </w:t>
      </w:r>
      <w:r w:rsidR="00B07EDA" w:rsidRPr="00C65CAA">
        <w:rPr>
          <w:rFonts w:ascii="Arial Narrow" w:hAnsi="Arial Narrow" w:cs="Calibri"/>
          <w:sz w:val="22"/>
        </w:rPr>
        <w:t>3 </w:t>
      </w:r>
      <w:r w:rsidRPr="00C65CAA">
        <w:rPr>
          <w:rFonts w:ascii="Arial Narrow" w:hAnsi="Arial Narrow" w:cs="Calibri"/>
          <w:sz w:val="22"/>
        </w:rPr>
        <w:t>700 tis. eur. Primárne sa úspory realizovali v opatreniach VZP, výdavky v nemocniciach naďalej rástli.</w:t>
      </w:r>
      <w:r w:rsidR="00B07EDA" w:rsidRPr="00C65CAA">
        <w:rPr>
          <w:rFonts w:ascii="Arial Narrow" w:hAnsi="Arial Narrow" w:cs="Calibri"/>
          <w:sz w:val="22"/>
        </w:rPr>
        <w:t xml:space="preserve"> Podľa NKÚ </w:t>
      </w:r>
      <w:r w:rsidRPr="00C65CAA">
        <w:rPr>
          <w:rFonts w:ascii="Arial Narrow" w:hAnsi="Arial Narrow" w:cs="Calibri"/>
          <w:sz w:val="22"/>
        </w:rPr>
        <w:t>SR</w:t>
      </w:r>
      <w:r w:rsidR="00C406AF" w:rsidRPr="00C65CAA">
        <w:rPr>
          <w:rFonts w:ascii="Arial Narrow" w:hAnsi="Arial Narrow" w:cs="Calibri"/>
          <w:sz w:val="22"/>
        </w:rPr>
        <w:t>,</w:t>
      </w:r>
      <w:r w:rsidRPr="00C65CAA">
        <w:rPr>
          <w:rFonts w:ascii="Arial Narrow" w:hAnsi="Arial Narrow" w:cs="Calibri"/>
          <w:sz w:val="22"/>
        </w:rPr>
        <w:t xml:space="preserve"> na základe d</w:t>
      </w:r>
      <w:r w:rsidR="00C406AF" w:rsidRPr="00C65CAA">
        <w:rPr>
          <w:rFonts w:ascii="Arial Narrow" w:hAnsi="Arial Narrow" w:cs="Calibri"/>
          <w:sz w:val="22"/>
        </w:rPr>
        <w:t>oterajšieho plnenia plánu úspor</w:t>
      </w:r>
      <w:r w:rsidRPr="00C65CAA">
        <w:rPr>
          <w:rFonts w:ascii="Arial Narrow" w:hAnsi="Arial Narrow" w:cs="Calibri"/>
          <w:sz w:val="22"/>
        </w:rPr>
        <w:t xml:space="preserve"> je dosiahnutie predpokladanej úspory na rok 2019 výrazne  rizikové</w:t>
      </w:r>
      <w:r w:rsidR="00B07EDA" w:rsidRPr="00C65CAA">
        <w:rPr>
          <w:rFonts w:ascii="Arial Narrow" w:hAnsi="Arial Narrow" w:cs="Calibri"/>
          <w:sz w:val="22"/>
        </w:rPr>
        <w:t>. N</w:t>
      </w:r>
      <w:r w:rsidRPr="00C65CAA">
        <w:rPr>
          <w:rFonts w:ascii="Arial Narrow" w:hAnsi="Arial Narrow" w:cs="Calibri"/>
          <w:sz w:val="22"/>
        </w:rPr>
        <w:t>ová Revízia výdavkov na zdravotníctvo II je zatiaľ len priebežnou správou bez uznesenia, ktorým by vláda SR formálne zaviazala rezort zdravotníctva k napĺňaniu opatrení.</w:t>
      </w:r>
    </w:p>
    <w:p w:rsidR="00A24373" w:rsidRPr="00C65CAA" w:rsidRDefault="00A24373" w:rsidP="00256AF8">
      <w:pPr>
        <w:autoSpaceDE w:val="0"/>
        <w:autoSpaceDN w:val="0"/>
        <w:adjustRightInd w:val="0"/>
        <w:spacing w:before="100" w:after="100"/>
        <w:ind w:firstLine="708"/>
        <w:jc w:val="both"/>
        <w:rPr>
          <w:rFonts w:ascii="Arial Narrow" w:hAnsi="Arial Narrow" w:cs="Calibri"/>
          <w:sz w:val="22"/>
        </w:rPr>
      </w:pPr>
      <w:r w:rsidRPr="00C65CAA">
        <w:rPr>
          <w:rFonts w:ascii="Arial Narrow" w:hAnsi="Arial Narrow" w:cs="Calibri"/>
          <w:sz w:val="22"/>
        </w:rPr>
        <w:t xml:space="preserve">Výdavky VZP na zdravotnú starostlivosť v roku 2019 sa rozpočtujú na úrovni 4 704 000 tis. eur a oproti schválenému rozpočtu na rok 2018 sú vyššie o 237 000 tis. eur. V štruktúre rozhodujúce objemy výdavkov predstavujú: </w:t>
      </w:r>
    </w:p>
    <w:p w:rsidR="00A24373" w:rsidRPr="00C65CAA" w:rsidRDefault="00A24373" w:rsidP="00256AF8">
      <w:pPr>
        <w:pStyle w:val="Odsekzoznamu"/>
        <w:numPr>
          <w:ilvl w:val="0"/>
          <w:numId w:val="108"/>
        </w:numPr>
        <w:autoSpaceDE w:val="0"/>
        <w:autoSpaceDN w:val="0"/>
        <w:adjustRightInd w:val="0"/>
        <w:spacing w:before="100" w:after="100"/>
        <w:jc w:val="both"/>
        <w:rPr>
          <w:rFonts w:ascii="Arial Narrow" w:hAnsi="Arial Narrow" w:cs="Calibri"/>
          <w:sz w:val="22"/>
        </w:rPr>
      </w:pPr>
      <w:r w:rsidRPr="00C65CAA">
        <w:rPr>
          <w:rFonts w:ascii="Arial Narrow" w:hAnsi="Arial Narrow" w:cs="Calibri"/>
          <w:sz w:val="22"/>
        </w:rPr>
        <w:t>Ústavná zdravotná starostlivosť (lôžka) – 1 466 000 tis. eur (medziročný rast o 153 000 tis. eur);</w:t>
      </w:r>
    </w:p>
    <w:p w:rsidR="00A24373" w:rsidRPr="00C65CAA" w:rsidRDefault="00A24373" w:rsidP="00256AF8">
      <w:pPr>
        <w:pStyle w:val="Odsekzoznamu"/>
        <w:numPr>
          <w:ilvl w:val="0"/>
          <w:numId w:val="108"/>
        </w:numPr>
        <w:autoSpaceDE w:val="0"/>
        <w:autoSpaceDN w:val="0"/>
        <w:adjustRightInd w:val="0"/>
        <w:spacing w:before="100" w:after="100"/>
        <w:jc w:val="both"/>
        <w:rPr>
          <w:rFonts w:ascii="Arial Narrow" w:hAnsi="Arial Narrow" w:cs="Calibri"/>
          <w:sz w:val="22"/>
        </w:rPr>
      </w:pPr>
      <w:r w:rsidRPr="00C65CAA">
        <w:rPr>
          <w:rFonts w:ascii="Arial Narrow" w:hAnsi="Arial Narrow" w:cs="Calibri"/>
          <w:sz w:val="22"/>
        </w:rPr>
        <w:t>Lieky a potraviny – 1 069 000 tis. eur (pokles o 32 000 tis. eur);</w:t>
      </w:r>
    </w:p>
    <w:p w:rsidR="00A24373" w:rsidRPr="00C65CAA" w:rsidRDefault="00245510" w:rsidP="00256AF8">
      <w:pPr>
        <w:pStyle w:val="Odsekzoznamu"/>
        <w:numPr>
          <w:ilvl w:val="0"/>
          <w:numId w:val="108"/>
        </w:numPr>
        <w:autoSpaceDE w:val="0"/>
        <w:autoSpaceDN w:val="0"/>
        <w:adjustRightInd w:val="0"/>
        <w:spacing w:before="100" w:after="100"/>
        <w:jc w:val="both"/>
        <w:rPr>
          <w:rFonts w:ascii="Arial Narrow" w:hAnsi="Arial Narrow" w:cs="Calibri"/>
          <w:sz w:val="22"/>
        </w:rPr>
      </w:pPr>
      <w:r w:rsidRPr="00C65CAA">
        <w:rPr>
          <w:rFonts w:ascii="Arial Narrow" w:hAnsi="Arial Narrow" w:cs="Calibri"/>
          <w:sz w:val="22"/>
        </w:rPr>
        <w:t>Špeciálna</w:t>
      </w:r>
      <w:r w:rsidR="00A24373" w:rsidRPr="00C65CAA">
        <w:rPr>
          <w:rFonts w:ascii="Arial Narrow" w:hAnsi="Arial Narrow" w:cs="Calibri"/>
          <w:sz w:val="22"/>
        </w:rPr>
        <w:t xml:space="preserve"> ambulantná starostlivosť – 877 000 tis. eur (rast o 44 000 tis. eur);</w:t>
      </w:r>
    </w:p>
    <w:p w:rsidR="00A24373" w:rsidRPr="00C65CAA" w:rsidRDefault="00A24373" w:rsidP="00256AF8">
      <w:pPr>
        <w:pStyle w:val="Odsekzoznamu"/>
        <w:numPr>
          <w:ilvl w:val="0"/>
          <w:numId w:val="108"/>
        </w:numPr>
        <w:autoSpaceDE w:val="0"/>
        <w:autoSpaceDN w:val="0"/>
        <w:adjustRightInd w:val="0"/>
        <w:spacing w:before="100" w:after="100"/>
        <w:jc w:val="both"/>
        <w:rPr>
          <w:rFonts w:ascii="Arial Narrow" w:hAnsi="Arial Narrow" w:cs="Calibri"/>
          <w:sz w:val="22"/>
        </w:rPr>
      </w:pPr>
      <w:r w:rsidRPr="00C65CAA">
        <w:rPr>
          <w:rFonts w:ascii="Arial Narrow" w:hAnsi="Arial Narrow" w:cs="Calibri"/>
          <w:sz w:val="22"/>
        </w:rPr>
        <w:t xml:space="preserve">SVLZ – 527 mil. eur (rast o 17 000 tis. eur). </w:t>
      </w:r>
    </w:p>
    <w:p w:rsidR="00A24373" w:rsidRPr="00C65CAA" w:rsidRDefault="00A24373" w:rsidP="007809C2">
      <w:pPr>
        <w:autoSpaceDE w:val="0"/>
        <w:autoSpaceDN w:val="0"/>
        <w:adjustRightInd w:val="0"/>
        <w:spacing w:before="120" w:after="120"/>
        <w:ind w:firstLine="708"/>
        <w:jc w:val="both"/>
        <w:rPr>
          <w:rFonts w:ascii="Arial Narrow" w:hAnsi="Arial Narrow" w:cs="Calibri"/>
          <w:sz w:val="22"/>
        </w:rPr>
      </w:pPr>
      <w:r w:rsidRPr="00C65CAA">
        <w:rPr>
          <w:rFonts w:ascii="Arial Narrow" w:hAnsi="Arial Narrow" w:cs="Calibri"/>
          <w:sz w:val="22"/>
        </w:rPr>
        <w:t>Lieky predstavujú jednu z najnákladnejších častí zdravotnej starostlivosti. Prostredníctvom úsporných opatrení poklesnú výdavky na lieky o 88 000 tis. eur v roku 2019</w:t>
      </w:r>
      <w:r w:rsidR="00C406AF" w:rsidRPr="00C65CAA">
        <w:rPr>
          <w:rFonts w:ascii="Arial Narrow" w:hAnsi="Arial Narrow" w:cs="Calibri"/>
          <w:sz w:val="22"/>
        </w:rPr>
        <w:t>, a to</w:t>
      </w:r>
      <w:r w:rsidRPr="00C65CAA">
        <w:rPr>
          <w:rFonts w:ascii="Arial Narrow" w:hAnsi="Arial Narrow" w:cs="Calibri"/>
          <w:sz w:val="22"/>
        </w:rPr>
        <w:t xml:space="preserve"> najmä vplyvom revízie úhrad liekov. Na druhej strane sú kompenzované zvýšenými výdavkami vo výške 56 000 tis. eur. Ako vyplýva z analytickej činnosti NKÚ SR, toto zvýšenie výdavkov je pre systém VZP rizikové a výrazne podhodnotené.</w:t>
      </w:r>
    </w:p>
    <w:p w:rsidR="00A24373" w:rsidRPr="00C65CAA" w:rsidRDefault="00A24373" w:rsidP="007809C2">
      <w:pPr>
        <w:autoSpaceDE w:val="0"/>
        <w:autoSpaceDN w:val="0"/>
        <w:adjustRightInd w:val="0"/>
        <w:spacing w:before="120" w:after="120"/>
        <w:ind w:firstLine="708"/>
        <w:jc w:val="both"/>
        <w:rPr>
          <w:rFonts w:ascii="Arial Narrow" w:hAnsi="Arial Narrow" w:cs="Calibri"/>
          <w:sz w:val="22"/>
        </w:rPr>
      </w:pPr>
      <w:r w:rsidRPr="00C65CAA">
        <w:rPr>
          <w:rFonts w:ascii="Arial Narrow" w:hAnsi="Arial Narrow" w:cs="Calibri"/>
          <w:sz w:val="22"/>
        </w:rPr>
        <w:t>V rozpore s analýzou vplyvu na rozpočet verejnej správy</w:t>
      </w:r>
      <w:r w:rsidR="00C406AF" w:rsidRPr="00C65CAA">
        <w:rPr>
          <w:rFonts w:ascii="Arial Narrow" w:hAnsi="Arial Narrow" w:cs="Calibri"/>
          <w:sz w:val="22"/>
        </w:rPr>
        <w:t>,</w:t>
      </w:r>
      <w:r w:rsidRPr="00C65CAA">
        <w:rPr>
          <w:rFonts w:ascii="Arial Narrow" w:hAnsi="Arial Narrow" w:cs="Calibri"/>
          <w:sz w:val="22"/>
        </w:rPr>
        <w:t xml:space="preserve"> predloženej k novele zákona č. 363/2011 (účinnej od 1.</w:t>
      </w:r>
      <w:r w:rsidR="00C406AF" w:rsidRPr="00C65CAA">
        <w:rPr>
          <w:rFonts w:ascii="Arial Narrow" w:hAnsi="Arial Narrow" w:cs="Calibri"/>
          <w:sz w:val="22"/>
        </w:rPr>
        <w:t xml:space="preserve"> </w:t>
      </w:r>
      <w:r w:rsidRPr="00C65CAA">
        <w:rPr>
          <w:rFonts w:ascii="Arial Narrow" w:hAnsi="Arial Narrow" w:cs="Calibri"/>
          <w:sz w:val="22"/>
        </w:rPr>
        <w:t>1.</w:t>
      </w:r>
      <w:r w:rsidR="00C406AF" w:rsidRPr="00C65CAA">
        <w:rPr>
          <w:rFonts w:ascii="Arial Narrow" w:hAnsi="Arial Narrow" w:cs="Calibri"/>
          <w:sz w:val="22"/>
        </w:rPr>
        <w:t xml:space="preserve"> </w:t>
      </w:r>
      <w:r w:rsidRPr="00C65CAA">
        <w:rPr>
          <w:rFonts w:ascii="Arial Narrow" w:hAnsi="Arial Narrow" w:cs="Calibri"/>
          <w:sz w:val="22"/>
        </w:rPr>
        <w:t>2018)</w:t>
      </w:r>
      <w:r w:rsidR="00C406AF" w:rsidRPr="00C65CAA">
        <w:rPr>
          <w:rFonts w:ascii="Arial Narrow" w:hAnsi="Arial Narrow" w:cs="Calibri"/>
          <w:sz w:val="22"/>
        </w:rPr>
        <w:t>,</w:t>
      </w:r>
      <w:r w:rsidRPr="00C65CAA">
        <w:rPr>
          <w:rFonts w:ascii="Arial Narrow" w:hAnsi="Arial Narrow" w:cs="Calibri"/>
          <w:sz w:val="22"/>
        </w:rPr>
        <w:t xml:space="preserve"> bolo len za prvých osem mesiacov roka 2018 podaných 88 žiadostí držiteľov registrácie o zaradenie liekov vo výške viac ako 144 mil. eur za prvých 24 mesiacov po ich zaradení. Na rok 2019 predpokladá MZ SR dopad 64 mil. eur namiesto plánovaných 31 mil. eur. Pri týchto liekoch nová legislatíva nevyžaduje farmako</w:t>
      </w:r>
      <w:r w:rsidR="00C24AD1" w:rsidRPr="00C65CAA">
        <w:rPr>
          <w:rFonts w:ascii="Arial Narrow" w:hAnsi="Arial Narrow" w:cs="Calibri"/>
          <w:sz w:val="22"/>
        </w:rPr>
        <w:t>logicko</w:t>
      </w:r>
      <w:r w:rsidRPr="00C65CAA">
        <w:rPr>
          <w:rFonts w:ascii="Arial Narrow" w:hAnsi="Arial Narrow" w:cs="Calibri"/>
          <w:sz w:val="22"/>
        </w:rPr>
        <w:t>-ekonomický rozbor lieku. Predpokladaný dopad 64 mil. eur v roku 2019 považuje NKÚ SR za podhodnotený z dôvodu efektu postupného nárastu spotreby tejto skupiny liekov</w:t>
      </w:r>
      <w:r w:rsidR="00C406AF" w:rsidRPr="00C65CAA">
        <w:rPr>
          <w:rFonts w:ascii="Arial Narrow" w:hAnsi="Arial Narrow" w:cs="Calibri"/>
          <w:sz w:val="22"/>
        </w:rPr>
        <w:t>,</w:t>
      </w:r>
      <w:r w:rsidRPr="00C65CAA">
        <w:rPr>
          <w:rFonts w:ascii="Arial Narrow" w:hAnsi="Arial Narrow" w:cs="Calibri"/>
          <w:sz w:val="22"/>
        </w:rPr>
        <w:t xml:space="preserve"> uvádzanej na farmaceutický trh v SR. Okrem toho MZ SR vo svojej analýze adekvátne nezohľadnilo limitujúce reštrikcie spojené s poklesom žiadostí o zaradenie generických a biologicky podobných liekov do kategorizačného zoznamu, ktoré by mali kompenzovať nárast nákladov na nové lieky.</w:t>
      </w:r>
    </w:p>
    <w:p w:rsidR="002D7929" w:rsidRDefault="00A24373" w:rsidP="007809C2">
      <w:pPr>
        <w:spacing w:before="120" w:after="120"/>
        <w:ind w:firstLine="708"/>
        <w:jc w:val="both"/>
        <w:rPr>
          <w:rFonts w:ascii="Arial Narrow" w:eastAsia="Calibri" w:hAnsi="Arial Narrow"/>
          <w:sz w:val="22"/>
        </w:rPr>
      </w:pPr>
      <w:r w:rsidRPr="00C65CAA">
        <w:rPr>
          <w:rFonts w:ascii="Arial Narrow" w:eastAsia="Calibri" w:hAnsi="Arial Narrow"/>
          <w:sz w:val="22"/>
        </w:rPr>
        <w:t>NKÚ SR na základe vykonaných kontrol v zdravotníctve opätovne konštatuje, že okrem netransparen</w:t>
      </w:r>
      <w:r w:rsidR="00245510" w:rsidRPr="00C65CAA">
        <w:rPr>
          <w:rFonts w:ascii="Arial Narrow" w:eastAsia="Calibri" w:hAnsi="Arial Narrow"/>
          <w:sz w:val="22"/>
        </w:rPr>
        <w:t>tných obstarávaní a neefektívnosti</w:t>
      </w:r>
      <w:r w:rsidRPr="00C65CAA">
        <w:rPr>
          <w:rFonts w:ascii="Arial Narrow" w:eastAsia="Calibri" w:hAnsi="Arial Narrow"/>
          <w:sz w:val="22"/>
        </w:rPr>
        <w:t xml:space="preserve"> v hospodárení nemocníc je rizikom aj nedofinancovanie zdravotnej starostlivosti. Zdravotné poisťovne nezaplatia nemocniciam toľko, koľko by za realizovanú zdravotnú starostlivosť pre svojich pacientov mali. Rozsah a podmienky zazmluvnenej zdravotnej starostlivosti sa menia v čase, absentujú jasné pravidlá stanovovania cien, čo spôsobuje, že ceny za niektoré zdravotnícke výkony nepokrývajú všetky náklady spojené s poskytovaním zdravotnej starostlivosti a ceny za iné výkony prinášajú neprimeraný zisk.</w:t>
      </w:r>
      <w:r w:rsidR="002D7929" w:rsidRPr="00C65CAA">
        <w:rPr>
          <w:rFonts w:ascii="Arial Narrow" w:eastAsia="Calibri" w:hAnsi="Arial Narrow"/>
          <w:sz w:val="22"/>
        </w:rPr>
        <w:t xml:space="preserve"> Kontrola NKÚ SR v zdravotných poisťovniach</w:t>
      </w:r>
      <w:r w:rsidR="00C406AF" w:rsidRPr="00C65CAA">
        <w:rPr>
          <w:rFonts w:ascii="Arial Narrow" w:eastAsia="Calibri" w:hAnsi="Arial Narrow"/>
          <w:sz w:val="22"/>
        </w:rPr>
        <w:t>, okrem</w:t>
      </w:r>
      <w:r w:rsidR="002D7929" w:rsidRPr="00C65CAA">
        <w:rPr>
          <w:rFonts w:ascii="Arial Narrow" w:eastAsia="Calibri" w:hAnsi="Arial Narrow"/>
          <w:sz w:val="22"/>
        </w:rPr>
        <w:t xml:space="preserve"> i</w:t>
      </w:r>
      <w:r w:rsidR="00C406AF" w:rsidRPr="00C65CAA">
        <w:rPr>
          <w:rFonts w:ascii="Arial Narrow" w:eastAsia="Calibri" w:hAnsi="Arial Narrow"/>
          <w:sz w:val="22"/>
        </w:rPr>
        <w:t>ného,</w:t>
      </w:r>
      <w:r w:rsidR="002D7929" w:rsidRPr="00C65CAA">
        <w:rPr>
          <w:rFonts w:ascii="Arial Narrow" w:eastAsia="Calibri" w:hAnsi="Arial Narrow"/>
          <w:sz w:val="22"/>
        </w:rPr>
        <w:t> odhalila, že VšZP mala v jednotlivých nemocniciach diferencované ceny v závislosti od typu nemocnice a medicínskeho odboru. Tento problém by sa mal odstrániť plným nasadením systému DRG do praxe, ke</w:t>
      </w:r>
      <w:r w:rsidR="00C406AF" w:rsidRPr="00C65CAA">
        <w:rPr>
          <w:rFonts w:ascii="Arial Narrow" w:eastAsia="Calibri" w:hAnsi="Arial Narrow"/>
          <w:sz w:val="22"/>
        </w:rPr>
        <w:t>ď</w:t>
      </w:r>
      <w:r w:rsidR="002D7929" w:rsidRPr="00C65CAA">
        <w:rPr>
          <w:rFonts w:ascii="Arial Narrow" w:eastAsia="Calibri" w:hAnsi="Arial Narrow"/>
          <w:sz w:val="22"/>
        </w:rPr>
        <w:t xml:space="preserve"> cena už nebude stanovená dohodou ako dnes, ale kalkuláciou s presnými pravidlami.</w:t>
      </w:r>
    </w:p>
    <w:p w:rsidR="007809C2" w:rsidRPr="00C65CAA" w:rsidRDefault="007809C2" w:rsidP="007809C2">
      <w:pPr>
        <w:spacing w:before="120" w:after="120"/>
        <w:ind w:firstLine="708"/>
        <w:jc w:val="both"/>
        <w:rPr>
          <w:rFonts w:ascii="Arial Narrow" w:eastAsia="Calibri" w:hAnsi="Arial Narrow"/>
          <w:sz w:val="22"/>
        </w:rPr>
      </w:pPr>
    </w:p>
    <w:p w:rsidR="00D23611" w:rsidRPr="00C65CAA" w:rsidRDefault="00D23611" w:rsidP="007809C2">
      <w:pPr>
        <w:pStyle w:val="Nadpis3"/>
        <w:spacing w:before="120" w:after="120"/>
        <w:rPr>
          <w:szCs w:val="22"/>
        </w:rPr>
      </w:pPr>
      <w:bookmarkStart w:id="36" w:name="_Toc529507604"/>
      <w:r w:rsidRPr="00C65CAA">
        <w:rPr>
          <w:szCs w:val="22"/>
        </w:rPr>
        <w:t>Ministerstvo práce, sociálnych vecí a rodiny SR</w:t>
      </w:r>
      <w:bookmarkEnd w:id="36"/>
    </w:p>
    <w:p w:rsidR="00A24373" w:rsidRPr="00C65CAA" w:rsidRDefault="00A24373" w:rsidP="007809C2">
      <w:pPr>
        <w:autoSpaceDE w:val="0"/>
        <w:autoSpaceDN w:val="0"/>
        <w:adjustRightInd w:val="0"/>
        <w:spacing w:before="120" w:after="120"/>
        <w:ind w:firstLine="709"/>
        <w:jc w:val="both"/>
        <w:rPr>
          <w:rFonts w:ascii="Arial Narrow" w:hAnsi="Arial Narrow" w:cs="Calibri"/>
          <w:sz w:val="22"/>
        </w:rPr>
      </w:pPr>
      <w:r w:rsidRPr="00C65CAA">
        <w:rPr>
          <w:rFonts w:ascii="Arial Narrow" w:hAnsi="Arial Narrow" w:cs="Calibri"/>
          <w:sz w:val="22"/>
        </w:rPr>
        <w:t>V rezorte prác</w:t>
      </w:r>
      <w:r w:rsidR="00C406AF" w:rsidRPr="00C65CAA">
        <w:rPr>
          <w:rFonts w:ascii="Arial Narrow" w:hAnsi="Arial Narrow" w:cs="Calibri"/>
          <w:sz w:val="22"/>
        </w:rPr>
        <w:t>e majú na rok 2019 poklesnúť</w:t>
      </w:r>
      <w:r w:rsidRPr="00C65CAA">
        <w:rPr>
          <w:rFonts w:ascii="Arial Narrow" w:hAnsi="Arial Narrow" w:cs="Calibri"/>
          <w:sz w:val="22"/>
        </w:rPr>
        <w:t xml:space="preserve"> príj</w:t>
      </w:r>
      <w:r w:rsidR="00C406AF" w:rsidRPr="00C65CAA">
        <w:rPr>
          <w:rFonts w:ascii="Arial Narrow" w:hAnsi="Arial Narrow" w:cs="Calibri"/>
          <w:sz w:val="22"/>
        </w:rPr>
        <w:t>my</w:t>
      </w:r>
      <w:r w:rsidRPr="00C65CAA">
        <w:rPr>
          <w:rFonts w:ascii="Arial Narrow" w:hAnsi="Arial Narrow" w:cs="Calibri"/>
          <w:sz w:val="22"/>
        </w:rPr>
        <w:t xml:space="preserve"> aj výdavky. V oboch prípadoch pokles zapríčinia nižšie prostriedky z rozpočtu EÚ. Pri a</w:t>
      </w:r>
      <w:r w:rsidR="00C406AF" w:rsidRPr="00C65CAA">
        <w:rPr>
          <w:rFonts w:ascii="Arial Narrow" w:hAnsi="Arial Narrow" w:cs="Calibri"/>
          <w:sz w:val="22"/>
        </w:rPr>
        <w:t>bstrahovaní týchto prostriedkov</w:t>
      </w:r>
      <w:r w:rsidRPr="00C65CAA">
        <w:rPr>
          <w:rFonts w:ascii="Arial Narrow" w:hAnsi="Arial Narrow" w:cs="Calibri"/>
          <w:sz w:val="22"/>
        </w:rPr>
        <w:t xml:space="preserve"> tak možno konštatovať, že na strane príjmov sa rozpočet oproti roku 2018 nezmení, výdavky sa však zvýšia o 82 793 tis. eur.</w:t>
      </w:r>
    </w:p>
    <w:p w:rsidR="00A24373" w:rsidRDefault="00A24373" w:rsidP="007809C2">
      <w:pPr>
        <w:autoSpaceDE w:val="0"/>
        <w:autoSpaceDN w:val="0"/>
        <w:adjustRightInd w:val="0"/>
        <w:spacing w:before="120" w:after="120"/>
        <w:ind w:firstLine="709"/>
        <w:jc w:val="both"/>
        <w:rPr>
          <w:rFonts w:ascii="Arial Narrow" w:hAnsi="Arial Narrow" w:cs="Calibri"/>
          <w:sz w:val="22"/>
        </w:rPr>
      </w:pPr>
      <w:r w:rsidRPr="00C65CAA">
        <w:rPr>
          <w:rFonts w:ascii="Arial Narrow" w:hAnsi="Arial Narrow" w:cs="Calibri"/>
          <w:sz w:val="22"/>
        </w:rPr>
        <w:t xml:space="preserve">V kapitole MPSVR SR tvoria ťažisko tri programy </w:t>
      </w:r>
      <w:r w:rsidR="00C406AF" w:rsidRPr="00C65CAA">
        <w:rPr>
          <w:rFonts w:ascii="Arial Narrow" w:hAnsi="Arial Narrow"/>
          <w:sz w:val="22"/>
          <w:szCs w:val="22"/>
        </w:rPr>
        <w:t>–</w:t>
      </w:r>
      <w:r w:rsidRPr="00C65CAA">
        <w:rPr>
          <w:rFonts w:ascii="Arial Narrow" w:hAnsi="Arial Narrow" w:cs="Calibri"/>
          <w:sz w:val="22"/>
        </w:rPr>
        <w:t xml:space="preserve"> sociálna inklúzia, ľudské zdroje a tvorba a implementácia politík. </w:t>
      </w: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A24373" w:rsidRPr="00C65CAA" w:rsidTr="00EB05EC">
        <w:trPr>
          <w:trHeight w:val="189"/>
        </w:trPr>
        <w:tc>
          <w:tcPr>
            <w:tcW w:w="5000" w:type="pct"/>
            <w:tcBorders>
              <w:top w:val="single" w:sz="4" w:space="0" w:color="auto"/>
              <w:left w:val="nil"/>
              <w:bottom w:val="single" w:sz="4" w:space="0" w:color="auto"/>
              <w:right w:val="nil"/>
            </w:tcBorders>
            <w:shd w:val="clear" w:color="auto" w:fill="0070C0"/>
            <w:hideMark/>
          </w:tcPr>
          <w:p w:rsidR="00A24373" w:rsidRPr="00C65CAA" w:rsidRDefault="00DE3443" w:rsidP="00C8633E">
            <w:pPr>
              <w:jc w:val="both"/>
              <w:rPr>
                <w:rFonts w:ascii="Arial Narrow" w:hAnsi="Arial Narrow"/>
                <w:b/>
                <w:color w:val="FFFFFF" w:themeColor="background1"/>
                <w:lang w:eastAsia="en-US"/>
              </w:rPr>
            </w:pPr>
            <w:r w:rsidRPr="00C65CAA">
              <w:rPr>
                <w:rFonts w:ascii="Arial Narrow" w:hAnsi="Arial Narrow"/>
                <w:b/>
                <w:color w:val="FFFFFF" w:themeColor="background1"/>
              </w:rPr>
              <w:lastRenderedPageBreak/>
              <w:t>Oblasti alokovaných výdavkov (v tis. eur)</w:t>
            </w:r>
          </w:p>
        </w:tc>
      </w:tr>
      <w:tr w:rsidR="00A24373" w:rsidRPr="00C65CAA" w:rsidTr="00563718">
        <w:tblPrEx>
          <w:tblCellMar>
            <w:left w:w="70" w:type="dxa"/>
            <w:right w:w="70" w:type="dxa"/>
          </w:tblCellMar>
        </w:tblPrEx>
        <w:trPr>
          <w:trHeight w:val="1984"/>
        </w:trPr>
        <w:tc>
          <w:tcPr>
            <w:tcW w:w="5000" w:type="pct"/>
            <w:tcBorders>
              <w:top w:val="single" w:sz="4" w:space="0" w:color="auto"/>
              <w:left w:val="nil"/>
              <w:bottom w:val="single" w:sz="4" w:space="0" w:color="auto"/>
              <w:right w:val="nil"/>
            </w:tcBorders>
            <w:hideMark/>
          </w:tcPr>
          <w:p w:rsidR="00A24373" w:rsidRPr="00C65CAA" w:rsidRDefault="00DE3443" w:rsidP="00C8633E">
            <w:pPr>
              <w:jc w:val="both"/>
              <w:rPr>
                <w:rFonts w:ascii="Arial Narrow" w:hAnsi="Arial Narrow"/>
                <w:lang w:eastAsia="en-US"/>
              </w:rPr>
            </w:pPr>
            <w:r w:rsidRPr="00C65CAA">
              <w:rPr>
                <w:rFonts w:ascii="Arial Narrow" w:hAnsi="Arial Narrow"/>
                <w:noProof/>
              </w:rPr>
              <w:drawing>
                <wp:inline distT="0" distB="0" distL="0" distR="0" wp14:anchorId="66CF5203" wp14:editId="3A8A39D9">
                  <wp:extent cx="5701030" cy="1352550"/>
                  <wp:effectExtent l="0" t="0" r="0" b="0"/>
                  <wp:docPr id="33" name="Graf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rsidR="00DE3443" w:rsidRPr="00C65CAA" w:rsidRDefault="00DE3443" w:rsidP="00C8633E">
      <w:pPr>
        <w:spacing w:after="100"/>
        <w:jc w:val="both"/>
        <w:rPr>
          <w:rFonts w:ascii="Arial Narrow" w:hAnsi="Arial Narrow"/>
          <w:sz w:val="20"/>
          <w:szCs w:val="20"/>
        </w:rPr>
      </w:pPr>
      <w:r w:rsidRPr="00C65CAA">
        <w:rPr>
          <w:rFonts w:ascii="Arial Narrow" w:hAnsi="Arial Narrow"/>
          <w:sz w:val="20"/>
          <w:szCs w:val="20"/>
        </w:rPr>
        <w:t>Zdroj: Návrh RVS na roky 2019 až 2021</w:t>
      </w:r>
    </w:p>
    <w:p w:rsidR="00A24373" w:rsidRPr="00C65CAA" w:rsidRDefault="00A24373" w:rsidP="007809C2">
      <w:pPr>
        <w:autoSpaceDE w:val="0"/>
        <w:autoSpaceDN w:val="0"/>
        <w:adjustRightInd w:val="0"/>
        <w:spacing w:before="120" w:after="120"/>
        <w:ind w:firstLine="709"/>
        <w:jc w:val="both"/>
        <w:rPr>
          <w:rFonts w:ascii="Arial Narrow" w:hAnsi="Arial Narrow" w:cs="Calibri"/>
          <w:sz w:val="22"/>
        </w:rPr>
      </w:pPr>
      <w:r w:rsidRPr="00C65CAA">
        <w:rPr>
          <w:rFonts w:ascii="Arial Narrow" w:hAnsi="Arial Narrow" w:cs="Calibri"/>
          <w:sz w:val="22"/>
        </w:rPr>
        <w:t xml:space="preserve">V oblasti sociálnej inklúzie NKÚ SR  pozitívne vníma pokles dávok v hmotnej núdzi zo 150 596 tis. eur na 134 995 tis. eur, čo odráža priaznivú ekonomickú situáciu. Pozornosť si zasluhuje aj významné zvýšenie výdavkov na kompenzáciu sociálnych dôsledkov ZŤP z 281 435 tis. eur na 375 485 tis. eur, napr. zvýšenie peňažného príspevku na opatrovanie pri starostlivosti o rodinných príslušníkov, ktorí ostávajú vo svojom prirodzenom prostredí, čím sa následne znižujú verejné výdavky na ich pobyt v špecializovaných zariadeniach a zariadeniach pre seniorov. NKÚ SR v tejto súvislosti upozorňuje na permanentný rast výdavkov </w:t>
      </w:r>
      <w:r w:rsidR="00C406AF" w:rsidRPr="00C65CAA">
        <w:rPr>
          <w:rFonts w:ascii="Arial Narrow" w:hAnsi="Arial Narrow" w:cs="Calibri"/>
          <w:sz w:val="22"/>
        </w:rPr>
        <w:t xml:space="preserve">na sociálne služby v budúcnosti </w:t>
      </w:r>
      <w:r w:rsidR="00C406AF" w:rsidRPr="00C65CAA">
        <w:rPr>
          <w:rFonts w:ascii="Arial Narrow" w:hAnsi="Arial Narrow"/>
          <w:sz w:val="22"/>
          <w:szCs w:val="22"/>
        </w:rPr>
        <w:t>–</w:t>
      </w:r>
      <w:r w:rsidRPr="00C65CAA">
        <w:rPr>
          <w:rFonts w:ascii="Arial Narrow" w:hAnsi="Arial Narrow" w:cs="Calibri"/>
          <w:sz w:val="22"/>
        </w:rPr>
        <w:t xml:space="preserve"> napr. v roku 2019 oproti roku 2016 sú tieto výdavky vyššie až o 78 %. NKÚ SR </w:t>
      </w:r>
      <w:r w:rsidR="00C406AF" w:rsidRPr="00C65CAA">
        <w:rPr>
          <w:rFonts w:ascii="Arial Narrow" w:hAnsi="Arial Narrow"/>
          <w:sz w:val="22"/>
          <w:szCs w:val="22"/>
        </w:rPr>
        <w:t xml:space="preserve">– </w:t>
      </w:r>
      <w:r w:rsidRPr="00C65CAA">
        <w:rPr>
          <w:rFonts w:ascii="Arial Narrow" w:hAnsi="Arial Narrow" w:cs="Calibri"/>
          <w:sz w:val="22"/>
        </w:rPr>
        <w:t xml:space="preserve">preto odporúča vytvoriť ešte priaznivejšie podmienky pre starostlivosť o osoby ZŤP v ich prirodzenom prostredí, ktoré je </w:t>
      </w:r>
      <w:r w:rsidR="00B07EDA" w:rsidRPr="00C65CAA">
        <w:rPr>
          <w:rFonts w:ascii="Arial Narrow" w:hAnsi="Arial Narrow" w:cs="Calibri"/>
          <w:sz w:val="22"/>
        </w:rPr>
        <w:t>efektívnejšie</w:t>
      </w:r>
      <w:r w:rsidRPr="00C65CAA">
        <w:rPr>
          <w:rFonts w:ascii="Arial Narrow" w:hAnsi="Arial Narrow" w:cs="Calibri"/>
          <w:sz w:val="22"/>
        </w:rPr>
        <w:t xml:space="preserve">. </w:t>
      </w:r>
    </w:p>
    <w:p w:rsidR="00A24373" w:rsidRPr="00C65CAA" w:rsidRDefault="00A24373" w:rsidP="007809C2">
      <w:pPr>
        <w:autoSpaceDE w:val="0"/>
        <w:autoSpaceDN w:val="0"/>
        <w:adjustRightInd w:val="0"/>
        <w:spacing w:before="120" w:after="120"/>
        <w:ind w:firstLine="709"/>
        <w:jc w:val="both"/>
        <w:rPr>
          <w:rFonts w:ascii="Arial Narrow" w:hAnsi="Arial Narrow" w:cs="Calibri"/>
          <w:sz w:val="22"/>
        </w:rPr>
      </w:pPr>
      <w:r w:rsidRPr="00C65CAA">
        <w:rPr>
          <w:rFonts w:ascii="Arial Narrow" w:hAnsi="Arial Narrow" w:cs="Calibri"/>
          <w:sz w:val="22"/>
        </w:rPr>
        <w:t xml:space="preserve">Plánovaný cieľ v rámci stratégie Európa 2020 v oblasti sociálnych politík </w:t>
      </w:r>
      <w:r w:rsidR="00C406AF" w:rsidRPr="00C65CAA">
        <w:rPr>
          <w:rFonts w:ascii="Arial Narrow" w:hAnsi="Arial Narrow"/>
          <w:sz w:val="22"/>
          <w:szCs w:val="22"/>
        </w:rPr>
        <w:t>–</w:t>
      </w:r>
      <w:r w:rsidRPr="00C65CAA">
        <w:rPr>
          <w:rFonts w:ascii="Arial Narrow" w:hAnsi="Arial Narrow" w:cs="Calibri"/>
          <w:sz w:val="22"/>
        </w:rPr>
        <w:t xml:space="preserve"> „Znížiť podiel populácie ohrozenej chudobou a sociálnym vylúčením na 17,2 %, resp. o 170 tis. osôb do roku 2020“ sa podarilo dosiahnuť už v roku 2017, kedy </w:t>
      </w:r>
      <w:r w:rsidR="00C406AF" w:rsidRPr="00C65CAA">
        <w:rPr>
          <w:rFonts w:ascii="Arial Narrow" w:hAnsi="Arial Narrow" w:cs="Calibri"/>
          <w:sz w:val="22"/>
        </w:rPr>
        <w:t>bol, podľa údajov Eurostatu,</w:t>
      </w:r>
      <w:r w:rsidRPr="00C65CAA">
        <w:rPr>
          <w:rFonts w:ascii="Arial Narrow" w:hAnsi="Arial Narrow" w:cs="Calibri"/>
          <w:sz w:val="22"/>
        </w:rPr>
        <w:t xml:space="preserve"> zaznamenaný najvýraznejší medziročný pokles miery rizika</w:t>
      </w:r>
      <w:r w:rsidR="00B07EDA" w:rsidRPr="00C65CAA">
        <w:rPr>
          <w:rFonts w:ascii="Arial Narrow" w:hAnsi="Arial Narrow" w:cs="Calibri"/>
          <w:sz w:val="22"/>
        </w:rPr>
        <w:t xml:space="preserve"> chudoby od roku 2007.</w:t>
      </w:r>
    </w:p>
    <w:p w:rsidR="00A24373" w:rsidRPr="00C65CAA" w:rsidRDefault="00A24373" w:rsidP="007809C2">
      <w:pPr>
        <w:autoSpaceDE w:val="0"/>
        <w:autoSpaceDN w:val="0"/>
        <w:adjustRightInd w:val="0"/>
        <w:spacing w:before="120" w:after="120"/>
        <w:ind w:firstLine="709"/>
        <w:jc w:val="both"/>
        <w:rPr>
          <w:rFonts w:ascii="Arial Narrow" w:hAnsi="Arial Narrow" w:cs="Calibri"/>
          <w:sz w:val="22"/>
        </w:rPr>
      </w:pPr>
      <w:r w:rsidRPr="00C65CAA">
        <w:rPr>
          <w:rFonts w:ascii="Arial Narrow" w:hAnsi="Arial Narrow" w:cs="Calibri"/>
          <w:sz w:val="22"/>
        </w:rPr>
        <w:t>Najväčšou výzvou v oblasti ľudských zdrojov je riešenie dlhodobej nezamestnanosti, na ktorej sa najviac podieľajú osoby s nízkou kvalifikáciou a </w:t>
      </w:r>
      <w:r w:rsidR="00B07EDA" w:rsidRPr="00C65CAA">
        <w:rPr>
          <w:rFonts w:ascii="Arial Narrow" w:hAnsi="Arial Narrow" w:cs="Calibri"/>
          <w:sz w:val="22"/>
        </w:rPr>
        <w:t>MRK</w:t>
      </w:r>
      <w:r w:rsidRPr="00C65CAA">
        <w:rPr>
          <w:rFonts w:ascii="Arial Narrow" w:hAnsi="Arial Narrow" w:cs="Calibri"/>
          <w:sz w:val="22"/>
        </w:rPr>
        <w:t xml:space="preserve"> v Prešovskom, Banskobystrickom a Košickom kraji. Podľa analýzy </w:t>
      </w:r>
      <w:r w:rsidR="00B07EDA" w:rsidRPr="00C65CAA">
        <w:rPr>
          <w:rFonts w:ascii="Arial Narrow" w:hAnsi="Arial Narrow" w:cs="Calibri"/>
          <w:sz w:val="22"/>
        </w:rPr>
        <w:t>IFP</w:t>
      </w:r>
      <w:r w:rsidRPr="00C65CAA">
        <w:rPr>
          <w:rStyle w:val="Odkaznapoznmkupodiarou"/>
          <w:rFonts w:ascii="Arial Narrow" w:hAnsi="Arial Narrow" w:cs="Calibri"/>
          <w:sz w:val="22"/>
        </w:rPr>
        <w:footnoteReference w:id="5"/>
      </w:r>
      <w:r w:rsidRPr="00C65CAA">
        <w:rPr>
          <w:rFonts w:ascii="Arial Narrow" w:hAnsi="Arial Narrow" w:cs="Calibri"/>
          <w:sz w:val="22"/>
        </w:rPr>
        <w:t xml:space="preserve"> dosiahla v roku 2017 miera nezamestnanosti Rómov v koncentrovaných osídleniach približne 40 %, kým obyvatelia väčšinovej populácie v rovnakých obciach dosiahli nezamestnanosť 8 %. Rast zamestnanosti medzi obyvateľmi MRK bol medzi rokmi 2004 – 2017 veľmi mierny, pričom v priemere dosahoval len približne tretinu miery zamestnanosti majoritnej populácie.</w:t>
      </w:r>
    </w:p>
    <w:p w:rsidR="00A24373" w:rsidRPr="00C65CAA" w:rsidRDefault="00A24373" w:rsidP="007809C2">
      <w:pPr>
        <w:autoSpaceDE w:val="0"/>
        <w:autoSpaceDN w:val="0"/>
        <w:adjustRightInd w:val="0"/>
        <w:spacing w:before="120" w:after="120"/>
        <w:ind w:firstLine="709"/>
        <w:jc w:val="both"/>
        <w:rPr>
          <w:rFonts w:ascii="Arial Narrow" w:hAnsi="Arial Narrow" w:cs="Calibri"/>
          <w:sz w:val="22"/>
        </w:rPr>
      </w:pPr>
      <w:r w:rsidRPr="00C65CAA">
        <w:rPr>
          <w:rFonts w:ascii="Arial Narrow" w:hAnsi="Arial Narrow" w:cs="Calibri"/>
          <w:sz w:val="22"/>
        </w:rPr>
        <w:t>Z analýzy ďalej vyplýva, že podpora zamestnávania obyvateľov z MRK je pre túto skupinu neúčinná. V roku 2016 sa len 8</w:t>
      </w:r>
      <w:r w:rsidR="00485240" w:rsidRPr="00C65CAA">
        <w:rPr>
          <w:rFonts w:ascii="Arial Narrow" w:hAnsi="Arial Narrow" w:cs="Calibri"/>
          <w:sz w:val="22"/>
        </w:rPr>
        <w:t xml:space="preserve"> </w:t>
      </w:r>
      <w:r w:rsidRPr="00C65CAA">
        <w:rPr>
          <w:rFonts w:ascii="Arial Narrow" w:hAnsi="Arial Narrow" w:cs="Calibri"/>
          <w:sz w:val="22"/>
        </w:rPr>
        <w:t>% nezamestnaných Rómov zúčastnilo nástroja AOTP (okrem aktivačných prác). Aj nástroje v podobe aktivačných prác (v roku 2017 sa ich zúčast</w:t>
      </w:r>
      <w:r w:rsidR="00485240" w:rsidRPr="00C65CAA">
        <w:rPr>
          <w:rFonts w:ascii="Arial Narrow" w:hAnsi="Arial Narrow" w:cs="Calibri"/>
          <w:sz w:val="22"/>
        </w:rPr>
        <w:t>nilo 40 % nezamestnaných Rómov)</w:t>
      </w:r>
      <w:r w:rsidRPr="00C65CAA">
        <w:rPr>
          <w:rFonts w:ascii="Arial Narrow" w:hAnsi="Arial Narrow" w:cs="Calibri"/>
          <w:sz w:val="22"/>
        </w:rPr>
        <w:t xml:space="preserve"> neprinášajú očakávaný účinok v podobe získania potrebných zručností, nevyhnutných pri uplatnení sa na trhu práce. Vzhľadom </w:t>
      </w:r>
      <w:r w:rsidR="00485240" w:rsidRPr="00C65CAA">
        <w:rPr>
          <w:rFonts w:ascii="Arial Narrow" w:hAnsi="Arial Narrow" w:cs="Calibri"/>
          <w:sz w:val="22"/>
        </w:rPr>
        <w:t>na to</w:t>
      </w:r>
      <w:r w:rsidRPr="00C65CAA">
        <w:rPr>
          <w:rFonts w:ascii="Arial Narrow" w:hAnsi="Arial Narrow" w:cs="Calibri"/>
          <w:sz w:val="22"/>
        </w:rPr>
        <w:t>, že ide o dlhoročne neriešený problém, ktorý sa výrazne prejavil predovšetkým v období nedostatku pracovnej s</w:t>
      </w:r>
      <w:r w:rsidR="00485240" w:rsidRPr="00C65CAA">
        <w:rPr>
          <w:rFonts w:ascii="Arial Narrow" w:hAnsi="Arial Narrow" w:cs="Calibri"/>
          <w:sz w:val="22"/>
        </w:rPr>
        <w:t xml:space="preserve">ily na trhu práce a nutnosti </w:t>
      </w:r>
      <w:r w:rsidRPr="00C65CAA">
        <w:rPr>
          <w:rFonts w:ascii="Arial Narrow" w:hAnsi="Arial Narrow" w:cs="Calibri"/>
          <w:sz w:val="22"/>
        </w:rPr>
        <w:t xml:space="preserve">dovážať </w:t>
      </w:r>
      <w:r w:rsidR="00485240" w:rsidRPr="00C65CAA">
        <w:rPr>
          <w:rFonts w:ascii="Arial Narrow" w:hAnsi="Arial Narrow" w:cs="Calibri"/>
          <w:sz w:val="22"/>
        </w:rPr>
        <w:t xml:space="preserve">ju </w:t>
      </w:r>
      <w:r w:rsidRPr="00C65CAA">
        <w:rPr>
          <w:rFonts w:ascii="Arial Narrow" w:hAnsi="Arial Narrow" w:cs="Calibri"/>
          <w:sz w:val="22"/>
        </w:rPr>
        <w:t xml:space="preserve">zo zahraničia, odporúča NKÚ SR rezortu práce, v spolupráci s ďalšími dotknutými rezortmi (predovšetkým MV SR a MŠVVŠ SR), zamerať </w:t>
      </w:r>
      <w:r w:rsidR="00B07EDA" w:rsidRPr="00C65CAA">
        <w:rPr>
          <w:rFonts w:ascii="Arial Narrow" w:hAnsi="Arial Narrow" w:cs="Calibri"/>
          <w:sz w:val="22"/>
        </w:rPr>
        <w:t>väčšiu</w:t>
      </w:r>
      <w:r w:rsidRPr="00C65CAA">
        <w:rPr>
          <w:rFonts w:ascii="Arial Narrow" w:hAnsi="Arial Narrow" w:cs="Calibri"/>
          <w:sz w:val="22"/>
        </w:rPr>
        <w:t xml:space="preserve"> pozornosť </w:t>
      </w:r>
      <w:r w:rsidR="00485240" w:rsidRPr="00C65CAA">
        <w:rPr>
          <w:rFonts w:ascii="Arial Narrow" w:hAnsi="Arial Narrow" w:cs="Calibri"/>
          <w:sz w:val="22"/>
        </w:rPr>
        <w:t>na</w:t>
      </w:r>
      <w:r w:rsidRPr="00C65CAA">
        <w:rPr>
          <w:rFonts w:ascii="Arial Narrow" w:hAnsi="Arial Narrow" w:cs="Calibri"/>
          <w:sz w:val="22"/>
        </w:rPr>
        <w:t xml:space="preserve"> t</w:t>
      </w:r>
      <w:r w:rsidR="00485240" w:rsidRPr="00C65CAA">
        <w:rPr>
          <w:rFonts w:ascii="Arial Narrow" w:hAnsi="Arial Narrow" w:cs="Calibri"/>
          <w:sz w:val="22"/>
        </w:rPr>
        <w:t>ú</w:t>
      </w:r>
      <w:r w:rsidRPr="00C65CAA">
        <w:rPr>
          <w:rFonts w:ascii="Arial Narrow" w:hAnsi="Arial Narrow" w:cs="Calibri"/>
          <w:sz w:val="22"/>
        </w:rPr>
        <w:t>to oblas</w:t>
      </w:r>
      <w:r w:rsidR="00485240" w:rsidRPr="00C65CAA">
        <w:rPr>
          <w:rFonts w:ascii="Arial Narrow" w:hAnsi="Arial Narrow" w:cs="Calibri"/>
          <w:sz w:val="22"/>
        </w:rPr>
        <w:t>ť</w:t>
      </w:r>
      <w:r w:rsidRPr="00C65CAA">
        <w:rPr>
          <w:rFonts w:ascii="Arial Narrow" w:hAnsi="Arial Narrow" w:cs="Calibri"/>
          <w:sz w:val="22"/>
        </w:rPr>
        <w:t xml:space="preserve"> a vytvoriť nadrezortné programy, ktoré budú efektívne a dlhodobo účinné pre skupiny obyvateľov patriacich do MRK (nielen v oblasti zamestnanosti, ale aj vzdelávania a zlepšenia životnej úrovne). Vhodná príležitosť na naštartovanie takých projektov sa naskytá aj vďaka množstvu eurofondov z 3. programového obdobia, ktoré sú určené </w:t>
      </w:r>
      <w:r w:rsidR="00485240" w:rsidRPr="00C65CAA">
        <w:rPr>
          <w:rFonts w:ascii="Arial Narrow" w:hAnsi="Arial Narrow" w:cs="Calibri"/>
          <w:sz w:val="22"/>
        </w:rPr>
        <w:t>pre</w:t>
      </w:r>
      <w:r w:rsidRPr="00C65CAA">
        <w:rPr>
          <w:rFonts w:ascii="Arial Narrow" w:hAnsi="Arial Narrow" w:cs="Calibri"/>
          <w:sz w:val="22"/>
        </w:rPr>
        <w:t xml:space="preserve"> túto oblasť a ktoré boli doposiaľ čerpané minimálne. </w:t>
      </w:r>
    </w:p>
    <w:p w:rsidR="00A24373" w:rsidRPr="00C65CAA" w:rsidRDefault="00A24373" w:rsidP="007809C2">
      <w:pPr>
        <w:autoSpaceDE w:val="0"/>
        <w:autoSpaceDN w:val="0"/>
        <w:adjustRightInd w:val="0"/>
        <w:spacing w:before="120" w:after="120"/>
        <w:ind w:firstLine="709"/>
        <w:jc w:val="both"/>
        <w:rPr>
          <w:rFonts w:ascii="Arial Narrow" w:hAnsi="Arial Narrow" w:cs="Calibri"/>
          <w:sz w:val="22"/>
        </w:rPr>
      </w:pPr>
      <w:r w:rsidRPr="00C65CAA">
        <w:rPr>
          <w:rFonts w:ascii="Arial Narrow" w:hAnsi="Arial Narrow" w:cs="Calibri"/>
          <w:sz w:val="22"/>
        </w:rPr>
        <w:t>Práve v tejto oblasti vidí NKÚ SR aj riziko v rozpočte na rok 2019, keďže na politike zamestnanosti je zaznamenaný pokles plánovaných zdrojov oproti rozpočtu v roku 2018 až o 50 % (2019:</w:t>
      </w:r>
      <w:r w:rsidR="00485240" w:rsidRPr="00C65CAA">
        <w:rPr>
          <w:rFonts w:ascii="Arial Narrow" w:hAnsi="Arial Narrow" w:cs="Calibri"/>
          <w:sz w:val="22"/>
        </w:rPr>
        <w:t xml:space="preserve"> 134 891 tis. eur;</w:t>
      </w:r>
      <w:r w:rsidRPr="00C65CAA">
        <w:rPr>
          <w:rFonts w:ascii="Arial Narrow" w:hAnsi="Arial Narrow" w:cs="Calibri"/>
          <w:sz w:val="22"/>
        </w:rPr>
        <w:t xml:space="preserve"> 2018:</w:t>
      </w:r>
      <w:r w:rsidR="00485240" w:rsidRPr="00C65CAA">
        <w:rPr>
          <w:rFonts w:ascii="Arial Narrow" w:hAnsi="Arial Narrow" w:cs="Calibri"/>
          <w:sz w:val="22"/>
        </w:rPr>
        <w:t xml:space="preserve"> </w:t>
      </w:r>
      <w:r w:rsidRPr="00C65CAA">
        <w:rPr>
          <w:rFonts w:ascii="Arial Narrow" w:hAnsi="Arial Narrow" w:cs="Calibri"/>
          <w:sz w:val="22"/>
        </w:rPr>
        <w:t>268 424 tis. eur). Výraznou mierou sa na tom podieľa pokles výdavkov v podprogra</w:t>
      </w:r>
      <w:r w:rsidR="00485240" w:rsidRPr="00C65CAA">
        <w:rPr>
          <w:rFonts w:ascii="Arial Narrow" w:hAnsi="Arial Narrow" w:cs="Calibri"/>
          <w:sz w:val="22"/>
        </w:rPr>
        <w:t xml:space="preserve">me OP Ľudské zdroje 2014 </w:t>
      </w:r>
      <w:r w:rsidR="00485240" w:rsidRPr="00C65CAA">
        <w:rPr>
          <w:rFonts w:ascii="Arial Narrow" w:hAnsi="Arial Narrow"/>
          <w:sz w:val="22"/>
          <w:szCs w:val="22"/>
        </w:rPr>
        <w:t>–</w:t>
      </w:r>
      <w:r w:rsidR="00B07EDA" w:rsidRPr="00C65CAA">
        <w:rPr>
          <w:rFonts w:ascii="Arial Narrow" w:hAnsi="Arial Narrow" w:cs="Calibri"/>
          <w:sz w:val="22"/>
        </w:rPr>
        <w:t>2020</w:t>
      </w:r>
      <w:r w:rsidR="00485240" w:rsidRPr="00C65CAA">
        <w:rPr>
          <w:rFonts w:ascii="Arial Narrow" w:hAnsi="Arial Narrow" w:cs="Calibri"/>
          <w:sz w:val="22"/>
        </w:rPr>
        <w:t>,</w:t>
      </w:r>
      <w:r w:rsidR="00B07EDA" w:rsidRPr="00C65CAA">
        <w:rPr>
          <w:rFonts w:ascii="Arial Narrow" w:hAnsi="Arial Narrow" w:cs="Calibri"/>
          <w:sz w:val="22"/>
        </w:rPr>
        <w:t xml:space="preserve"> a </w:t>
      </w:r>
      <w:r w:rsidRPr="00C65CAA">
        <w:rPr>
          <w:rFonts w:ascii="Arial Narrow" w:hAnsi="Arial Narrow" w:cs="Calibri"/>
          <w:sz w:val="22"/>
        </w:rPr>
        <w:t>to až o 60,5 %, čo súvisí s presunom nevyčerpaných zdrojov z predchádzajúcich rokov</w:t>
      </w:r>
      <w:r w:rsidR="00B07EDA" w:rsidRPr="00C65CAA">
        <w:rPr>
          <w:rFonts w:ascii="Arial Narrow" w:hAnsi="Arial Narrow" w:cs="Calibri"/>
          <w:sz w:val="22"/>
        </w:rPr>
        <w:t>.</w:t>
      </w:r>
      <w:r w:rsidRPr="00C65CAA">
        <w:rPr>
          <w:rFonts w:ascii="Arial Narrow" w:hAnsi="Arial Narrow" w:cs="Calibri"/>
          <w:sz w:val="22"/>
        </w:rPr>
        <w:t xml:space="preserve"> NKÚ SR preto upriamuje pozornosť na riziko nevyčerpania finančných prostriedkov v rámci OP ĽZ. Príč</w:t>
      </w:r>
      <w:r w:rsidR="00B07EDA" w:rsidRPr="00C65CAA">
        <w:rPr>
          <w:rFonts w:ascii="Arial Narrow" w:hAnsi="Arial Narrow" w:cs="Calibri"/>
          <w:sz w:val="22"/>
        </w:rPr>
        <w:t>iny treba hľadať predovšetkým v </w:t>
      </w:r>
      <w:r w:rsidRPr="00C65CAA">
        <w:rPr>
          <w:rFonts w:ascii="Arial Narrow" w:hAnsi="Arial Narrow" w:cs="Calibri"/>
          <w:sz w:val="22"/>
        </w:rPr>
        <w:t>prílišnej administratívnej náročnosti projektov, podporených z EŠ</w:t>
      </w:r>
      <w:r w:rsidR="00485240" w:rsidRPr="00C65CAA">
        <w:rPr>
          <w:rFonts w:ascii="Arial Narrow" w:hAnsi="Arial Narrow" w:cs="Calibri"/>
          <w:sz w:val="22"/>
        </w:rPr>
        <w:t>IF pri ich samotnej realizácii</w:t>
      </w:r>
      <w:r w:rsidR="00B07EDA" w:rsidRPr="00C65CAA">
        <w:rPr>
          <w:rFonts w:ascii="Arial Narrow" w:hAnsi="Arial Narrow" w:cs="Calibri"/>
          <w:sz w:val="22"/>
        </w:rPr>
        <w:t>.</w:t>
      </w:r>
    </w:p>
    <w:p w:rsidR="00A24373" w:rsidRPr="00C65CAA" w:rsidRDefault="00A24373" w:rsidP="007809C2">
      <w:pPr>
        <w:autoSpaceDE w:val="0"/>
        <w:autoSpaceDN w:val="0"/>
        <w:adjustRightInd w:val="0"/>
        <w:spacing w:before="120" w:after="120"/>
        <w:ind w:firstLine="709"/>
        <w:jc w:val="both"/>
        <w:rPr>
          <w:rFonts w:ascii="Arial Narrow" w:hAnsi="Arial Narrow" w:cs="Calibri"/>
          <w:sz w:val="22"/>
        </w:rPr>
      </w:pPr>
      <w:r w:rsidRPr="00C65CAA">
        <w:rPr>
          <w:rFonts w:ascii="Arial Narrow" w:hAnsi="Arial Narrow" w:cs="Calibri"/>
          <w:sz w:val="22"/>
        </w:rPr>
        <w:t>V podprograme Aktívna politika trhu práce a zvýšenie zamestnateľnosti je na individuálnu štátnu pomoc naplánovaných o 31,6 % menej zdrojov</w:t>
      </w:r>
      <w:r w:rsidR="00485240" w:rsidRPr="00C65CAA">
        <w:rPr>
          <w:rFonts w:ascii="Arial Narrow" w:hAnsi="Arial Narrow" w:cs="Calibri"/>
          <w:sz w:val="22"/>
        </w:rPr>
        <w:t>,</w:t>
      </w:r>
      <w:r w:rsidRPr="00C65CAA">
        <w:rPr>
          <w:rFonts w:ascii="Arial Narrow" w:hAnsi="Arial Narrow" w:cs="Calibri"/>
          <w:sz w:val="22"/>
        </w:rPr>
        <w:t xml:space="preserve"> ako v roku 2018. V  roku 2019 sa predpokladá poskytnutie investičnej pomoci 10 investorom, ktorým bola schválená investičná pomoc v období 2011 až 2018 vo forme príspevku na novovytvorené pracovné miesta a na vzdelávanie v celkovej sume takmer 1 977 tis. eur</w:t>
      </w:r>
      <w:r w:rsidR="00485240" w:rsidRPr="00C65CAA">
        <w:rPr>
          <w:rFonts w:ascii="Arial Narrow" w:hAnsi="Arial Narrow" w:cs="Calibri"/>
          <w:sz w:val="22"/>
        </w:rPr>
        <w:t>,</w:t>
      </w:r>
      <w:r w:rsidRPr="00C65CAA">
        <w:rPr>
          <w:rFonts w:ascii="Arial Narrow" w:hAnsi="Arial Narrow" w:cs="Calibri"/>
          <w:sz w:val="22"/>
        </w:rPr>
        <w:t xml:space="preserve"> a tiež pre ďalších </w:t>
      </w:r>
      <w:r w:rsidRPr="00C65CAA">
        <w:rPr>
          <w:rFonts w:ascii="Arial Narrow" w:hAnsi="Arial Narrow" w:cs="Calibri"/>
          <w:sz w:val="22"/>
        </w:rPr>
        <w:lastRenderedPageBreak/>
        <w:t>potenciálnych investorov v sume 775 tis. eur. V tejto súvislosti NKÚ SR upozorňuje na schválenú investičnú pomoc pre Jaguar Land Rover v celkovej sume 130 mil. eur; z navrhovaného rozpočtu na roky 2019 – 2021 nie je zrejmé, či je v ňom zahrnutý aj príspevok na pracovné miesta pre tohto prijímateľa (v rozpočte MPSVR SR je pre nových prijímateľov investičnej pomoci na rok 2020 naplánovaných 3 142,3 tis. eur</w:t>
      </w:r>
      <w:r w:rsidR="00485240" w:rsidRPr="00C65CAA">
        <w:rPr>
          <w:rFonts w:ascii="Arial Narrow" w:hAnsi="Arial Narrow" w:cs="Calibri"/>
          <w:sz w:val="22"/>
        </w:rPr>
        <w:t xml:space="preserve">; na rok 2021 je to </w:t>
      </w:r>
      <w:r w:rsidRPr="00C65CAA">
        <w:rPr>
          <w:rFonts w:ascii="Arial Narrow" w:hAnsi="Arial Narrow" w:cs="Calibri"/>
          <w:sz w:val="22"/>
        </w:rPr>
        <w:t>1 983,4 tis. eur).</w:t>
      </w:r>
    </w:p>
    <w:p w:rsidR="00A24373" w:rsidRPr="00C65CAA" w:rsidRDefault="00A24373" w:rsidP="007809C2">
      <w:pPr>
        <w:autoSpaceDE w:val="0"/>
        <w:autoSpaceDN w:val="0"/>
        <w:adjustRightInd w:val="0"/>
        <w:spacing w:before="120" w:after="120"/>
        <w:ind w:firstLine="709"/>
        <w:jc w:val="both"/>
        <w:rPr>
          <w:rFonts w:ascii="Arial Narrow" w:hAnsi="Arial Narrow" w:cs="Calibri"/>
          <w:sz w:val="22"/>
        </w:rPr>
      </w:pPr>
      <w:r w:rsidRPr="00C65CAA">
        <w:rPr>
          <w:rFonts w:ascii="Arial Narrow" w:hAnsi="Arial Narrow" w:cs="Calibri"/>
          <w:sz w:val="22"/>
        </w:rPr>
        <w:t xml:space="preserve">Jedným z nástrojov, ktoré môžu pozitívne prispieť k zlepšeniu situácie so zamestnanosťou znevýhodnených uchádzačov o zamestnanie a osôb s nízkou kvalifikáciou v regiónoch s vyššou nezamestnanosťou je nadobudnutie účinnosti </w:t>
      </w:r>
      <w:r w:rsidRPr="00C65CAA">
        <w:rPr>
          <w:rFonts w:ascii="Arial Narrow" w:hAnsi="Arial Narrow" w:cs="Calibri"/>
          <w:bCs/>
          <w:sz w:val="22"/>
        </w:rPr>
        <w:t>zákona č. 112/2018 Z. z. o sociálnej ekonomike a sociálnych podnikoch.</w:t>
      </w:r>
    </w:p>
    <w:p w:rsidR="00A24373" w:rsidRPr="00C65CAA" w:rsidRDefault="00A24373" w:rsidP="007809C2">
      <w:pPr>
        <w:autoSpaceDE w:val="0"/>
        <w:autoSpaceDN w:val="0"/>
        <w:adjustRightInd w:val="0"/>
        <w:spacing w:before="120" w:after="120"/>
        <w:ind w:firstLine="709"/>
        <w:jc w:val="both"/>
        <w:rPr>
          <w:rFonts w:ascii="Arial Narrow" w:hAnsi="Arial Narrow" w:cs="Calibri"/>
          <w:sz w:val="22"/>
        </w:rPr>
      </w:pPr>
      <w:r w:rsidRPr="00C65CAA">
        <w:rPr>
          <w:rFonts w:ascii="Arial Narrow" w:hAnsi="Arial Narrow" w:cs="Calibri"/>
          <w:sz w:val="22"/>
        </w:rPr>
        <w:t>Cieľ SR, stanovený v stratégií Európa 2020 v politike zamestnanosti „Zvýšiť mieru zamestnanosti obyvateľov vo veku 20 – 64 rokov na 72 % do roku 2020“ Slovensko už takisto splnilo. Podľa posledných dostupných údajov ŠÚ SR a Eurostatu (2. štvrťrok 2018) mier</w:t>
      </w:r>
      <w:r w:rsidR="00485240" w:rsidRPr="00C65CAA">
        <w:rPr>
          <w:rFonts w:ascii="Arial Narrow" w:hAnsi="Arial Narrow" w:cs="Calibri"/>
          <w:sz w:val="22"/>
        </w:rPr>
        <w:t xml:space="preserve">a zamestnanosti osôb vo veku 20 až </w:t>
      </w:r>
      <w:r w:rsidRPr="00C65CAA">
        <w:rPr>
          <w:rFonts w:ascii="Arial Narrow" w:hAnsi="Arial Narrow" w:cs="Calibri"/>
          <w:sz w:val="22"/>
        </w:rPr>
        <w:t xml:space="preserve">64 rokov dosiahla 72 %. </w:t>
      </w:r>
    </w:p>
    <w:p w:rsidR="00A24373" w:rsidRPr="00C65CAA" w:rsidRDefault="00A24373" w:rsidP="007809C2">
      <w:pPr>
        <w:autoSpaceDE w:val="0"/>
        <w:autoSpaceDN w:val="0"/>
        <w:adjustRightInd w:val="0"/>
        <w:spacing w:before="120" w:after="120"/>
        <w:ind w:firstLine="709"/>
        <w:jc w:val="both"/>
        <w:rPr>
          <w:rFonts w:ascii="Arial Narrow" w:hAnsi="Arial Narrow" w:cs="Calibri"/>
          <w:sz w:val="22"/>
        </w:rPr>
      </w:pPr>
      <w:r w:rsidRPr="00C65CAA">
        <w:rPr>
          <w:rFonts w:ascii="Arial Narrow" w:hAnsi="Arial Narrow" w:cs="Calibri"/>
          <w:sz w:val="22"/>
        </w:rPr>
        <w:t xml:space="preserve">NKÚ SR upozorňuje na opatrenia navrhnuté v Revízií výdavkov na politiky trhu práce a sociálne politiky, ktoré by sa mali stať súčasťou návrhu rozpočtu. Z navrhovaných opatrení (31) sa do rozpočtu kapitoly na roky 2019 až 2021 podarilo sčasti zapracovať napr. v oblasti rodinnej politiky </w:t>
      </w:r>
      <w:r w:rsidR="00485240" w:rsidRPr="00C65CAA">
        <w:rPr>
          <w:rFonts w:ascii="Arial Narrow" w:hAnsi="Arial Narrow"/>
          <w:sz w:val="22"/>
          <w:szCs w:val="22"/>
        </w:rPr>
        <w:t xml:space="preserve">– </w:t>
      </w:r>
      <w:r w:rsidRPr="00C65CAA">
        <w:rPr>
          <w:rFonts w:ascii="Arial Narrow" w:hAnsi="Arial Narrow" w:cs="Calibri"/>
          <w:sz w:val="22"/>
        </w:rPr>
        <w:t>deinštitucionalizáciu náhradnej starostlivosti vykonávanú v náhradných rodinách (národný projekt Podpora deinštitucionalizácie náhradnej starostlivosti)</w:t>
      </w:r>
      <w:r w:rsidR="00485240" w:rsidRPr="00C65CAA">
        <w:rPr>
          <w:rFonts w:ascii="Arial Narrow" w:hAnsi="Arial Narrow" w:cs="Calibri"/>
          <w:sz w:val="22"/>
        </w:rPr>
        <w:t>,</w:t>
      </w:r>
      <w:r w:rsidRPr="00C65CAA">
        <w:rPr>
          <w:rFonts w:ascii="Arial Narrow" w:hAnsi="Arial Narrow" w:cs="Calibri"/>
          <w:sz w:val="22"/>
        </w:rPr>
        <w:t xml:space="preserve"> a včasnú intervenciu detí s ťažkým zdravotným postihnutím a ich integráciu do normálneho vzdelávacieho procesu (národný projekt Každé dieťa sa počíta). V politike zamestnanosti opatrenie </w:t>
      </w:r>
      <w:r w:rsidR="00485240" w:rsidRPr="00C65CAA">
        <w:rPr>
          <w:rFonts w:ascii="Arial Narrow" w:hAnsi="Arial Narrow"/>
          <w:sz w:val="22"/>
          <w:szCs w:val="22"/>
        </w:rPr>
        <w:t>–</w:t>
      </w:r>
      <w:r w:rsidRPr="00C65CAA">
        <w:rPr>
          <w:rFonts w:ascii="Arial Narrow" w:hAnsi="Arial Narrow" w:cs="Calibri"/>
          <w:sz w:val="22"/>
        </w:rPr>
        <w:t xml:space="preserve"> zlepšenie individuálneho prístupu k uchádzačom o zamestnanie s vyhodnocovaním kompetencií a možností uchádzača, zahrnuté v rozpočte, sa postupne realizuje prostredníctvom troch národných projektov (Podpora individualizovaného poradenstva pre dlhodobo nezamestnaných, Cesta na trh práce a Reštart pre mladých uchádzačov o zamestnanie); Opatrenie </w:t>
      </w:r>
      <w:r w:rsidR="00485240" w:rsidRPr="00C65CAA">
        <w:rPr>
          <w:rFonts w:ascii="Arial Narrow" w:hAnsi="Arial Narrow"/>
          <w:sz w:val="22"/>
          <w:szCs w:val="22"/>
        </w:rPr>
        <w:t>–</w:t>
      </w:r>
      <w:r w:rsidRPr="00C65CAA">
        <w:rPr>
          <w:rFonts w:ascii="Arial Narrow" w:hAnsi="Arial Narrow" w:cs="Calibri"/>
          <w:sz w:val="22"/>
        </w:rPr>
        <w:t xml:space="preserve"> efektívne poskytovanie aktívnych opatrení trhu práce podľa profilu nezamestnanej osoby a lepšie umiestňovanie uchádzačov o zamestnanie na trh práce</w:t>
      </w:r>
      <w:r w:rsidR="00485240" w:rsidRPr="00C65CAA">
        <w:rPr>
          <w:rFonts w:ascii="Arial Narrow" w:hAnsi="Arial Narrow" w:cs="Calibri"/>
          <w:sz w:val="22"/>
        </w:rPr>
        <w:t>,</w:t>
      </w:r>
      <w:r w:rsidRPr="00C65CAA">
        <w:rPr>
          <w:rFonts w:ascii="Arial Narrow" w:hAnsi="Arial Narrow" w:cs="Calibri"/>
          <w:sz w:val="22"/>
        </w:rPr>
        <w:t xml:space="preserve"> je zahrnuté v roku 20</w:t>
      </w:r>
      <w:r w:rsidR="00485240" w:rsidRPr="00C65CAA">
        <w:rPr>
          <w:rFonts w:ascii="Arial Narrow" w:hAnsi="Arial Narrow" w:cs="Calibri"/>
          <w:sz w:val="22"/>
        </w:rPr>
        <w:t xml:space="preserve">19 v rámci národného projektu </w:t>
      </w:r>
      <w:r w:rsidRPr="00C65CAA">
        <w:rPr>
          <w:rFonts w:ascii="Arial Narrow" w:hAnsi="Arial Narrow" w:cs="Calibri"/>
          <w:sz w:val="22"/>
        </w:rPr>
        <w:t>Efektívnymi službami k občan</w:t>
      </w:r>
      <w:r w:rsidR="00485240" w:rsidRPr="00C65CAA">
        <w:rPr>
          <w:rFonts w:ascii="Arial Narrow" w:hAnsi="Arial Narrow" w:cs="Calibri"/>
          <w:sz w:val="22"/>
        </w:rPr>
        <w:t>ovi</w:t>
      </w:r>
      <w:r w:rsidRPr="00C65CAA">
        <w:rPr>
          <w:rFonts w:ascii="Arial Narrow" w:hAnsi="Arial Narrow" w:cs="Calibri"/>
          <w:sz w:val="22"/>
        </w:rPr>
        <w:t xml:space="preserve"> 2.</w:t>
      </w:r>
    </w:p>
    <w:p w:rsidR="00A24373" w:rsidRPr="00C65CAA" w:rsidRDefault="00A24373" w:rsidP="007809C2">
      <w:pPr>
        <w:autoSpaceDE w:val="0"/>
        <w:autoSpaceDN w:val="0"/>
        <w:adjustRightInd w:val="0"/>
        <w:spacing w:before="120" w:after="120"/>
        <w:ind w:firstLine="709"/>
        <w:jc w:val="both"/>
        <w:rPr>
          <w:rFonts w:ascii="Arial Narrow" w:hAnsi="Arial Narrow" w:cs="Calibri"/>
          <w:sz w:val="22"/>
        </w:rPr>
      </w:pPr>
      <w:r w:rsidRPr="00C65CAA">
        <w:rPr>
          <w:rFonts w:ascii="Arial Narrow" w:hAnsi="Arial Narrow" w:cs="Calibri"/>
          <w:sz w:val="22"/>
        </w:rPr>
        <w:t>Tie opatrenia, ktoré sa nepremietli do návrhu kapitoly rozpočtu</w:t>
      </w:r>
      <w:r w:rsidR="00485240" w:rsidRPr="00C65CAA">
        <w:rPr>
          <w:rFonts w:ascii="Arial Narrow" w:hAnsi="Arial Narrow" w:cs="Calibri"/>
          <w:sz w:val="22"/>
        </w:rPr>
        <w:t>, ako sú napr. opatrenia</w:t>
      </w:r>
      <w:r w:rsidRPr="00C65CAA">
        <w:rPr>
          <w:rFonts w:ascii="Arial Narrow" w:hAnsi="Arial Narrow" w:cs="Calibri"/>
          <w:sz w:val="22"/>
        </w:rPr>
        <w:t xml:space="preserve"> zamerané na efektívnejšie fungovanie II. a III. piliera dôchodkového sporenia, na zavedenie flexibilného čerpania rodičovského príspevku s možnosťou voliť si dĺžku jeho poberania, na zvýšenie efektívnosti pobočiek ÚPSVR a pod.</w:t>
      </w:r>
      <w:r w:rsidR="00485240" w:rsidRPr="00C65CAA">
        <w:rPr>
          <w:rFonts w:ascii="Arial Narrow" w:hAnsi="Arial Narrow" w:cs="Calibri"/>
          <w:sz w:val="22"/>
        </w:rPr>
        <w:t>,</w:t>
      </w:r>
      <w:r w:rsidRPr="00C65CAA">
        <w:rPr>
          <w:rFonts w:ascii="Arial Narrow" w:hAnsi="Arial Narrow" w:cs="Calibri"/>
          <w:sz w:val="22"/>
        </w:rPr>
        <w:t xml:space="preserve"> NKÚ SR odporúča postupne zapracovávať do návrhov rozpočtu na ďalšie roky.</w:t>
      </w:r>
    </w:p>
    <w:p w:rsidR="00A24373" w:rsidRPr="00C65CAA" w:rsidRDefault="00A24373" w:rsidP="007809C2">
      <w:pPr>
        <w:autoSpaceDE w:val="0"/>
        <w:autoSpaceDN w:val="0"/>
        <w:adjustRightInd w:val="0"/>
        <w:spacing w:before="120" w:after="120"/>
        <w:ind w:firstLine="709"/>
        <w:jc w:val="both"/>
        <w:rPr>
          <w:rFonts w:ascii="Arial Narrow" w:hAnsi="Arial Narrow" w:cs="Calibri"/>
          <w:sz w:val="22"/>
        </w:rPr>
      </w:pPr>
      <w:r w:rsidRPr="00C65CAA">
        <w:rPr>
          <w:rFonts w:ascii="Arial Narrow" w:hAnsi="Arial Narrow" w:cs="Calibri"/>
          <w:sz w:val="22"/>
        </w:rPr>
        <w:t>V predbežnej štúdii ku kontrolnej akcii „Poskytovanie sociálnych služieb pre seniorov“ bol identifikovaný negatívny demografický vývoj, potvrdzujúci potrebu zabezpečenia a posilňovania dostupnosti sociálnych služieb, nesúlad niektorých údajov o poskytovateľoch sociálnych služieb, vykazovaných ministerstvom a ŠÚ SR, rastúce nároky na financovanie sociálnych služieb vrátane úhrady za zdravotné výkony a pod. Na štúdiu nadväzuje kontrolná akcia, ktorá by mala poukázať na skutočný stav v dostupnosti sociálnych služieb pre seniorov pobytovou formou.</w:t>
      </w:r>
    </w:p>
    <w:p w:rsidR="00D23611" w:rsidRPr="00C65CAA" w:rsidRDefault="00D23611" w:rsidP="007809C2">
      <w:pPr>
        <w:pStyle w:val="Nadpis3"/>
        <w:spacing w:before="120" w:after="120"/>
        <w:rPr>
          <w:szCs w:val="22"/>
        </w:rPr>
      </w:pPr>
      <w:bookmarkStart w:id="37" w:name="_Toc529507605"/>
      <w:r w:rsidRPr="00C65CAA">
        <w:rPr>
          <w:szCs w:val="22"/>
        </w:rPr>
        <w:t>Ministerstvo hospodárstva SR</w:t>
      </w:r>
      <w:bookmarkEnd w:id="37"/>
    </w:p>
    <w:p w:rsidR="00D41F81" w:rsidRPr="00C65CAA" w:rsidRDefault="00D41F81" w:rsidP="007809C2">
      <w:pPr>
        <w:spacing w:before="120" w:after="120"/>
        <w:ind w:firstLine="708"/>
        <w:jc w:val="both"/>
        <w:rPr>
          <w:rFonts w:ascii="Arial Narrow" w:hAnsi="Arial Narrow"/>
          <w:sz w:val="22"/>
          <w:szCs w:val="22"/>
        </w:rPr>
      </w:pPr>
      <w:r w:rsidRPr="00C65CAA">
        <w:rPr>
          <w:rFonts w:ascii="Arial Narrow" w:hAnsi="Arial Narrow"/>
          <w:sz w:val="22"/>
          <w:szCs w:val="22"/>
        </w:rPr>
        <w:t>Výdavky kapitoly sú v roku 2019 navrhované do nasledovných oblastí: reštrukturalizácia priemyselných odvetví, podpora podnikania, investičné projekty, regionálny rozvoj, OP Výskum a inovácie a administratíva.</w:t>
      </w: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D41F81" w:rsidRPr="00C65CAA" w:rsidTr="00D6428C">
        <w:tc>
          <w:tcPr>
            <w:tcW w:w="5000" w:type="pct"/>
            <w:tcBorders>
              <w:top w:val="single" w:sz="4" w:space="0" w:color="auto"/>
              <w:bottom w:val="single" w:sz="4" w:space="0" w:color="auto"/>
            </w:tcBorders>
            <w:shd w:val="clear" w:color="auto" w:fill="0070C0"/>
          </w:tcPr>
          <w:p w:rsidR="00D41F81" w:rsidRPr="00C65CAA" w:rsidRDefault="00D41F81" w:rsidP="00C8633E">
            <w:pPr>
              <w:jc w:val="both"/>
              <w:rPr>
                <w:rFonts w:ascii="Arial Narrow" w:hAnsi="Arial Narrow"/>
                <w:b/>
                <w:color w:val="FFFFFF" w:themeColor="background1"/>
              </w:rPr>
            </w:pPr>
            <w:r w:rsidRPr="00C65CAA">
              <w:rPr>
                <w:rFonts w:ascii="Arial Narrow" w:hAnsi="Arial Narrow"/>
                <w:b/>
                <w:color w:val="FFFFFF" w:themeColor="background1"/>
              </w:rPr>
              <w:t>Oblasti alokovaných výdavkov (v tis. eur)</w:t>
            </w:r>
          </w:p>
        </w:tc>
      </w:tr>
      <w:tr w:rsidR="00D41F81" w:rsidRPr="00C65CAA" w:rsidTr="00D6428C">
        <w:tc>
          <w:tcPr>
            <w:tcW w:w="5000" w:type="pct"/>
            <w:tcBorders>
              <w:top w:val="single" w:sz="4" w:space="0" w:color="auto"/>
              <w:bottom w:val="single" w:sz="4" w:space="0" w:color="auto"/>
            </w:tcBorders>
          </w:tcPr>
          <w:p w:rsidR="00D41F81" w:rsidRPr="00C65CAA" w:rsidRDefault="00D41F81" w:rsidP="00C8633E">
            <w:pPr>
              <w:jc w:val="both"/>
              <w:rPr>
                <w:rFonts w:ascii="Arial Narrow" w:hAnsi="Arial Narrow"/>
              </w:rPr>
            </w:pPr>
            <w:r w:rsidRPr="00C65CAA">
              <w:rPr>
                <w:rFonts w:ascii="Arial Narrow" w:hAnsi="Arial Narrow"/>
                <w:noProof/>
              </w:rPr>
              <w:drawing>
                <wp:inline distT="0" distB="0" distL="0" distR="0" wp14:anchorId="63D9FDDD" wp14:editId="3CED04CA">
                  <wp:extent cx="5760000" cy="1152000"/>
                  <wp:effectExtent l="0" t="0" r="0" b="0"/>
                  <wp:docPr id="26" name="Graf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rsidR="00D41F81" w:rsidRPr="00C65CAA" w:rsidRDefault="00D41F81" w:rsidP="00011F12">
      <w:pPr>
        <w:spacing w:after="100"/>
        <w:jc w:val="both"/>
        <w:rPr>
          <w:rFonts w:ascii="Arial Narrow" w:hAnsi="Arial Narrow"/>
          <w:sz w:val="20"/>
          <w:szCs w:val="20"/>
        </w:rPr>
      </w:pPr>
      <w:r w:rsidRPr="00C65CAA">
        <w:rPr>
          <w:rFonts w:ascii="Arial Narrow" w:hAnsi="Arial Narrow"/>
          <w:sz w:val="20"/>
          <w:szCs w:val="20"/>
        </w:rPr>
        <w:t>Zdroj: Návrh RVS na roky 2019 až 2021</w:t>
      </w:r>
    </w:p>
    <w:p w:rsidR="00EB59B2" w:rsidRPr="00C65CAA" w:rsidRDefault="00EB59B2" w:rsidP="00256AF8">
      <w:pPr>
        <w:spacing w:before="100" w:after="100"/>
        <w:ind w:firstLine="709"/>
        <w:jc w:val="both"/>
        <w:rPr>
          <w:rFonts w:ascii="Arial Narrow" w:eastAsia="Calibri" w:hAnsi="Arial Narrow"/>
          <w:sz w:val="22"/>
          <w:szCs w:val="22"/>
          <w:lang w:eastAsia="en-US"/>
        </w:rPr>
      </w:pPr>
      <w:r w:rsidRPr="00C65CAA">
        <w:rPr>
          <w:rFonts w:ascii="Arial Narrow" w:eastAsia="Calibri" w:hAnsi="Arial Narrow"/>
          <w:sz w:val="22"/>
          <w:szCs w:val="22"/>
          <w:lang w:eastAsia="en-US"/>
        </w:rPr>
        <w:t xml:space="preserve">Návrh rozpočtu ráta s celkovými výdavkami rezortu v objeme 428 178 tis. eur. Oproti predchádzajúcemu roku došlo k posilneniu rozpočtu o 67,2 %, t. j. o 172 129 tis. eur. Vlastné zdroje predstavujú 226 023 tis. eur, prostriedky EÚ vrátane spolufinancovania zo ŠR sú naplánované v objeme 202 154 tis. eur. Vlastné zdroje kapitoly </w:t>
      </w:r>
      <w:r w:rsidRPr="00C65CAA">
        <w:rPr>
          <w:rFonts w:ascii="Arial Narrow" w:eastAsia="Calibri" w:hAnsi="Arial Narrow"/>
          <w:sz w:val="22"/>
          <w:szCs w:val="22"/>
          <w:lang w:eastAsia="en-US"/>
        </w:rPr>
        <w:lastRenderedPageBreak/>
        <w:t>rastú oproti predchádzajúcemu roku o 97 461 tis. eur. Všetky kategórie zaznamenávajú rast</w:t>
      </w:r>
      <w:r w:rsidR="00B07EDA" w:rsidRPr="00C65CAA">
        <w:rPr>
          <w:rFonts w:ascii="Arial Narrow" w:eastAsia="Calibri" w:hAnsi="Arial Narrow"/>
          <w:sz w:val="22"/>
          <w:szCs w:val="22"/>
          <w:lang w:eastAsia="en-US"/>
        </w:rPr>
        <w:t>.</w:t>
      </w:r>
      <w:r w:rsidRPr="00C65CAA">
        <w:rPr>
          <w:rFonts w:ascii="Arial Narrow" w:eastAsia="Calibri" w:hAnsi="Arial Narrow"/>
          <w:sz w:val="22"/>
          <w:szCs w:val="22"/>
          <w:lang w:eastAsia="en-US"/>
        </w:rPr>
        <w:t xml:space="preserve"> </w:t>
      </w:r>
      <w:r w:rsidR="00B07EDA" w:rsidRPr="00C65CAA">
        <w:rPr>
          <w:rFonts w:ascii="Arial Narrow" w:eastAsia="Calibri" w:hAnsi="Arial Narrow"/>
          <w:sz w:val="22"/>
          <w:szCs w:val="22"/>
          <w:lang w:eastAsia="en-US"/>
        </w:rPr>
        <w:t>N</w:t>
      </w:r>
      <w:r w:rsidRPr="00C65CAA">
        <w:rPr>
          <w:rFonts w:ascii="Arial Narrow" w:eastAsia="Calibri" w:hAnsi="Arial Narrow"/>
          <w:sz w:val="22"/>
          <w:szCs w:val="22"/>
          <w:lang w:eastAsia="en-US"/>
        </w:rPr>
        <w:t>ajrýchlejšie rastie kategória kapitálových výdavkov o 38</w:t>
      </w:r>
      <w:r w:rsidR="00B07EDA" w:rsidRPr="00C65CAA">
        <w:rPr>
          <w:rFonts w:ascii="Arial Narrow" w:eastAsia="Calibri" w:hAnsi="Arial Narrow"/>
          <w:sz w:val="22"/>
          <w:szCs w:val="22"/>
          <w:lang w:eastAsia="en-US"/>
        </w:rPr>
        <w:t> </w:t>
      </w:r>
      <w:r w:rsidRPr="00C65CAA">
        <w:rPr>
          <w:rFonts w:ascii="Arial Narrow" w:eastAsia="Calibri" w:hAnsi="Arial Narrow"/>
          <w:sz w:val="22"/>
          <w:szCs w:val="22"/>
          <w:lang w:eastAsia="en-US"/>
        </w:rPr>
        <w:t>938</w:t>
      </w:r>
      <w:r w:rsidR="00B07EDA" w:rsidRPr="00C65CAA">
        <w:rPr>
          <w:rFonts w:ascii="Arial Narrow" w:eastAsia="Calibri" w:hAnsi="Arial Narrow"/>
          <w:sz w:val="22"/>
          <w:szCs w:val="22"/>
          <w:lang w:eastAsia="en-US"/>
        </w:rPr>
        <w:t xml:space="preserve"> tis. eur</w:t>
      </w:r>
      <w:r w:rsidRPr="00C65CAA">
        <w:rPr>
          <w:rFonts w:ascii="Arial Narrow" w:eastAsia="Calibri" w:hAnsi="Arial Narrow"/>
          <w:sz w:val="22"/>
          <w:szCs w:val="22"/>
          <w:lang w:eastAsia="en-US"/>
        </w:rPr>
        <w:t xml:space="preserve"> a kategória bežných transferov o 53 168 tis. eur oproti RVS 2018.  </w:t>
      </w:r>
    </w:p>
    <w:p w:rsidR="00EB59B2" w:rsidRPr="00C65CAA" w:rsidRDefault="00EB59B2" w:rsidP="00256AF8">
      <w:pPr>
        <w:spacing w:before="100" w:after="100"/>
        <w:ind w:firstLine="709"/>
        <w:jc w:val="both"/>
        <w:rPr>
          <w:rFonts w:ascii="Arial Narrow" w:eastAsia="Calibri" w:hAnsi="Arial Narrow"/>
          <w:sz w:val="22"/>
          <w:szCs w:val="22"/>
          <w:lang w:eastAsia="en-US"/>
        </w:rPr>
      </w:pPr>
      <w:r w:rsidRPr="00C65CAA">
        <w:rPr>
          <w:rFonts w:ascii="Arial Narrow" w:eastAsia="Calibri" w:hAnsi="Arial Narrow"/>
          <w:sz w:val="22"/>
          <w:szCs w:val="22"/>
          <w:lang w:eastAsia="en-US"/>
        </w:rPr>
        <w:t>Celkové príjmy kapitoly sú plánované na rok 2019 v objeme 293 692</w:t>
      </w:r>
      <w:r w:rsidR="00245510" w:rsidRPr="00C65CAA">
        <w:rPr>
          <w:rFonts w:ascii="Arial Narrow" w:eastAsia="Calibri" w:hAnsi="Arial Narrow"/>
          <w:sz w:val="22"/>
          <w:szCs w:val="22"/>
          <w:lang w:eastAsia="en-US"/>
        </w:rPr>
        <w:t xml:space="preserve"> tis. eur,</w:t>
      </w:r>
      <w:r w:rsidRPr="00C65CAA">
        <w:rPr>
          <w:rFonts w:ascii="Arial Narrow" w:eastAsia="Calibri" w:hAnsi="Arial Narrow"/>
          <w:sz w:val="22"/>
          <w:szCs w:val="22"/>
          <w:lang w:eastAsia="en-US"/>
        </w:rPr>
        <w:t xml:space="preserve"> z toho záväzný ukazovateľ v sume 94 937 tis. eur.</w:t>
      </w:r>
      <w:r w:rsidR="00245510" w:rsidRPr="00C65CAA">
        <w:rPr>
          <w:rFonts w:ascii="Arial Narrow" w:eastAsia="Calibri" w:hAnsi="Arial Narrow"/>
          <w:sz w:val="22"/>
          <w:szCs w:val="22"/>
          <w:lang w:eastAsia="en-US"/>
        </w:rPr>
        <w:t xml:space="preserve"> Základné</w:t>
      </w:r>
      <w:r w:rsidRPr="00C65CAA">
        <w:rPr>
          <w:rFonts w:ascii="Arial Narrow" w:eastAsia="Calibri" w:hAnsi="Arial Narrow"/>
          <w:sz w:val="22"/>
          <w:szCs w:val="22"/>
          <w:lang w:eastAsia="en-US"/>
        </w:rPr>
        <w:t xml:space="preserve"> príjmy 9 032 tis. eur tvoria dividendy; JAVYS, a.</w:t>
      </w:r>
      <w:r w:rsidR="00245510" w:rsidRPr="00C65CAA">
        <w:rPr>
          <w:rFonts w:ascii="Arial Narrow" w:eastAsia="Calibri" w:hAnsi="Arial Narrow"/>
          <w:sz w:val="22"/>
          <w:szCs w:val="22"/>
          <w:lang w:eastAsia="en-US"/>
        </w:rPr>
        <w:t xml:space="preserve"> </w:t>
      </w:r>
      <w:r w:rsidRPr="00C65CAA">
        <w:rPr>
          <w:rFonts w:ascii="Arial Narrow" w:eastAsia="Calibri" w:hAnsi="Arial Narrow"/>
          <w:sz w:val="22"/>
          <w:szCs w:val="22"/>
          <w:lang w:eastAsia="en-US"/>
        </w:rPr>
        <w:t>s.</w:t>
      </w:r>
      <w:r w:rsidR="00485240" w:rsidRPr="00C65CAA">
        <w:rPr>
          <w:rFonts w:ascii="Arial Narrow" w:eastAsia="Calibri" w:hAnsi="Arial Narrow"/>
          <w:sz w:val="22"/>
          <w:szCs w:val="22"/>
          <w:lang w:eastAsia="en-US"/>
        </w:rPr>
        <w:t>,</w:t>
      </w:r>
      <w:r w:rsidRPr="00C65CAA">
        <w:rPr>
          <w:rFonts w:ascii="Arial Narrow" w:eastAsia="Calibri" w:hAnsi="Arial Narrow"/>
          <w:sz w:val="22"/>
          <w:szCs w:val="22"/>
          <w:lang w:eastAsia="en-US"/>
        </w:rPr>
        <w:t xml:space="preserve"> vo výške 2 032 tis.</w:t>
      </w:r>
      <w:r w:rsidR="00245510" w:rsidRPr="00C65CAA">
        <w:rPr>
          <w:rFonts w:ascii="Arial Narrow" w:eastAsia="Calibri" w:hAnsi="Arial Narrow"/>
          <w:sz w:val="22"/>
          <w:szCs w:val="22"/>
          <w:lang w:eastAsia="en-US"/>
        </w:rPr>
        <w:t xml:space="preserve"> eur</w:t>
      </w:r>
      <w:r w:rsidR="00472D2A" w:rsidRPr="00C65CAA">
        <w:rPr>
          <w:rFonts w:ascii="Arial Narrow" w:eastAsia="Calibri" w:hAnsi="Arial Narrow"/>
          <w:sz w:val="22"/>
          <w:szCs w:val="22"/>
          <w:lang w:eastAsia="en-US"/>
        </w:rPr>
        <w:t>,</w:t>
      </w:r>
      <w:r w:rsidR="00245510" w:rsidRPr="00C65CAA">
        <w:rPr>
          <w:rFonts w:ascii="Arial Narrow" w:eastAsia="Calibri" w:hAnsi="Arial Narrow"/>
          <w:sz w:val="22"/>
          <w:szCs w:val="22"/>
          <w:lang w:eastAsia="en-US"/>
        </w:rPr>
        <w:t xml:space="preserve"> a </w:t>
      </w:r>
      <w:r w:rsidR="002A56FA" w:rsidRPr="00C65CAA">
        <w:rPr>
          <w:rFonts w:ascii="Arial Narrow" w:eastAsia="Calibri" w:hAnsi="Arial Narrow"/>
          <w:sz w:val="22"/>
          <w:szCs w:val="22"/>
          <w:lang w:eastAsia="en-US"/>
        </w:rPr>
        <w:t>Transpetrol, a.</w:t>
      </w:r>
      <w:r w:rsidR="00245510" w:rsidRPr="00C65CAA">
        <w:rPr>
          <w:rFonts w:ascii="Arial Narrow" w:eastAsia="Calibri" w:hAnsi="Arial Narrow"/>
          <w:sz w:val="22"/>
          <w:szCs w:val="22"/>
          <w:lang w:eastAsia="en-US"/>
        </w:rPr>
        <w:t xml:space="preserve"> </w:t>
      </w:r>
      <w:r w:rsidR="002A56FA" w:rsidRPr="00C65CAA">
        <w:rPr>
          <w:rFonts w:ascii="Arial Narrow" w:eastAsia="Calibri" w:hAnsi="Arial Narrow"/>
          <w:sz w:val="22"/>
          <w:szCs w:val="22"/>
          <w:lang w:eastAsia="en-US"/>
        </w:rPr>
        <w:t>s.</w:t>
      </w:r>
      <w:r w:rsidR="00472D2A" w:rsidRPr="00C65CAA">
        <w:rPr>
          <w:rFonts w:ascii="Arial Narrow" w:eastAsia="Calibri" w:hAnsi="Arial Narrow"/>
          <w:sz w:val="22"/>
          <w:szCs w:val="22"/>
          <w:lang w:eastAsia="en-US"/>
        </w:rPr>
        <w:t>,</w:t>
      </w:r>
      <w:r w:rsidR="002A56FA" w:rsidRPr="00C65CAA">
        <w:rPr>
          <w:rFonts w:ascii="Arial Narrow" w:eastAsia="Calibri" w:hAnsi="Arial Narrow"/>
          <w:sz w:val="22"/>
          <w:szCs w:val="22"/>
          <w:lang w:eastAsia="en-US"/>
        </w:rPr>
        <w:t xml:space="preserve"> </w:t>
      </w:r>
      <w:r w:rsidRPr="00C65CAA">
        <w:rPr>
          <w:rFonts w:ascii="Arial Narrow" w:eastAsia="Calibri" w:hAnsi="Arial Narrow"/>
          <w:sz w:val="22"/>
          <w:szCs w:val="22"/>
          <w:lang w:eastAsia="en-US"/>
        </w:rPr>
        <w:t>vo výške 7 000 tis. eur.</w:t>
      </w:r>
      <w:r w:rsidRPr="00C65CAA">
        <w:rPr>
          <w:rFonts w:ascii="Arial Narrow" w:hAnsi="Arial Narrow"/>
        </w:rPr>
        <w:t xml:space="preserve"> </w:t>
      </w:r>
      <w:r w:rsidRPr="00C65CAA">
        <w:rPr>
          <w:rFonts w:ascii="Arial Narrow" w:eastAsia="Calibri" w:hAnsi="Arial Narrow"/>
          <w:sz w:val="22"/>
          <w:szCs w:val="22"/>
          <w:lang w:eastAsia="en-US"/>
        </w:rPr>
        <w:t>Ďalšiu časť závä</w:t>
      </w:r>
      <w:r w:rsidR="008830F2" w:rsidRPr="00C65CAA">
        <w:rPr>
          <w:rFonts w:ascii="Arial Narrow" w:eastAsia="Calibri" w:hAnsi="Arial Narrow"/>
          <w:sz w:val="22"/>
          <w:szCs w:val="22"/>
          <w:lang w:eastAsia="en-US"/>
        </w:rPr>
        <w:t>zného ukazovateľa tvoria príjmy z odvodov od </w:t>
      </w:r>
      <w:r w:rsidRPr="00C65CAA">
        <w:rPr>
          <w:rFonts w:ascii="Arial Narrow" w:eastAsia="Calibri" w:hAnsi="Arial Narrow"/>
          <w:sz w:val="22"/>
          <w:szCs w:val="22"/>
          <w:lang w:eastAsia="en-US"/>
        </w:rPr>
        <w:t>prevádzkovateľov distribučných sústav a prevádzkovateľa prenosovej sústavy vo výške 74 642 tis. eur. Vývoj príjmov v roku 2018 a investičné plány spoločnosti Transpetrol, a.</w:t>
      </w:r>
      <w:r w:rsidR="008830F2" w:rsidRPr="00C65CAA">
        <w:rPr>
          <w:rFonts w:ascii="Arial Narrow" w:eastAsia="Calibri" w:hAnsi="Arial Narrow"/>
          <w:sz w:val="22"/>
          <w:szCs w:val="22"/>
          <w:lang w:eastAsia="en-US"/>
        </w:rPr>
        <w:t xml:space="preserve"> s.</w:t>
      </w:r>
      <w:r w:rsidR="00472D2A" w:rsidRPr="00C65CAA">
        <w:rPr>
          <w:rFonts w:ascii="Arial Narrow" w:eastAsia="Calibri" w:hAnsi="Arial Narrow"/>
          <w:sz w:val="22"/>
          <w:szCs w:val="22"/>
          <w:lang w:eastAsia="en-US"/>
        </w:rPr>
        <w:t>,</w:t>
      </w:r>
      <w:r w:rsidR="008830F2" w:rsidRPr="00C65CAA">
        <w:rPr>
          <w:rFonts w:ascii="Arial Narrow" w:eastAsia="Calibri" w:hAnsi="Arial Narrow"/>
          <w:sz w:val="22"/>
          <w:szCs w:val="22"/>
          <w:lang w:eastAsia="en-US"/>
        </w:rPr>
        <w:t xml:space="preserve"> naznačujú</w:t>
      </w:r>
      <w:r w:rsidRPr="00C65CAA">
        <w:rPr>
          <w:rFonts w:ascii="Arial Narrow" w:eastAsia="Calibri" w:hAnsi="Arial Narrow"/>
          <w:sz w:val="22"/>
          <w:szCs w:val="22"/>
          <w:lang w:eastAsia="en-US"/>
        </w:rPr>
        <w:t xml:space="preserve">, že v oblasti príjmov nemusí </w:t>
      </w:r>
      <w:r w:rsidR="008830F2" w:rsidRPr="00C65CAA">
        <w:rPr>
          <w:rFonts w:ascii="Arial Narrow" w:eastAsia="Calibri" w:hAnsi="Arial Narrow"/>
          <w:sz w:val="22"/>
          <w:szCs w:val="22"/>
          <w:lang w:eastAsia="en-US"/>
        </w:rPr>
        <w:t xml:space="preserve">byť </w:t>
      </w:r>
      <w:r w:rsidRPr="00C65CAA">
        <w:rPr>
          <w:rFonts w:ascii="Arial Narrow" w:eastAsia="Calibri" w:hAnsi="Arial Narrow"/>
          <w:sz w:val="22"/>
          <w:szCs w:val="22"/>
          <w:lang w:eastAsia="en-US"/>
        </w:rPr>
        <w:t xml:space="preserve">rozpočet naplnený.   </w:t>
      </w:r>
    </w:p>
    <w:p w:rsidR="00EB59B2" w:rsidRPr="00C65CAA" w:rsidRDefault="00EB59B2" w:rsidP="00256AF8">
      <w:pPr>
        <w:spacing w:before="100" w:after="100"/>
        <w:ind w:firstLine="708"/>
        <w:jc w:val="both"/>
        <w:rPr>
          <w:rFonts w:ascii="Arial Narrow" w:hAnsi="Arial Narrow"/>
          <w:sz w:val="22"/>
          <w:szCs w:val="22"/>
        </w:rPr>
      </w:pPr>
      <w:r w:rsidRPr="00C65CAA">
        <w:rPr>
          <w:rFonts w:ascii="Arial Narrow" w:eastAsia="Calibri" w:hAnsi="Arial Narrow"/>
          <w:sz w:val="22"/>
          <w:szCs w:val="22"/>
          <w:lang w:eastAsia="en-US"/>
        </w:rPr>
        <w:t xml:space="preserve">Hlavným programom rezortu je </w:t>
      </w:r>
      <w:r w:rsidRPr="00C65CAA">
        <w:rPr>
          <w:rFonts w:ascii="Arial Narrow" w:hAnsi="Arial Narrow"/>
          <w:b/>
          <w:sz w:val="22"/>
          <w:szCs w:val="22"/>
        </w:rPr>
        <w:t xml:space="preserve">OP Výskum a inovácie, </w:t>
      </w:r>
      <w:r w:rsidRPr="00C65CAA">
        <w:rPr>
          <w:rFonts w:ascii="Arial Narrow" w:hAnsi="Arial Narrow"/>
          <w:sz w:val="22"/>
          <w:szCs w:val="22"/>
        </w:rPr>
        <w:t>kde sú výdavky rozpočtované v objeme 202 130 tis. eur. Ide o rast výdavkov v objeme 74 700 tis. eur, oproti RVS 2018. Všetky zdroje sú rozpočtované z pros</w:t>
      </w:r>
      <w:r w:rsidR="00472D2A" w:rsidRPr="00C65CAA">
        <w:rPr>
          <w:rFonts w:ascii="Arial Narrow" w:hAnsi="Arial Narrow"/>
          <w:sz w:val="22"/>
          <w:szCs w:val="22"/>
        </w:rPr>
        <w:t xml:space="preserve">triedkov </w:t>
      </w:r>
      <w:r w:rsidR="008830F2" w:rsidRPr="00C65CAA">
        <w:rPr>
          <w:rFonts w:ascii="Arial Narrow" w:hAnsi="Arial Narrow"/>
          <w:sz w:val="22"/>
          <w:szCs w:val="22"/>
        </w:rPr>
        <w:t>fondov</w:t>
      </w:r>
      <w:r w:rsidR="00472D2A" w:rsidRPr="00C65CAA">
        <w:rPr>
          <w:rFonts w:ascii="Arial Narrow" w:hAnsi="Arial Narrow"/>
          <w:sz w:val="22"/>
          <w:szCs w:val="22"/>
        </w:rPr>
        <w:t xml:space="preserve"> EÚ</w:t>
      </w:r>
      <w:r w:rsidR="008830F2" w:rsidRPr="00C65CAA">
        <w:rPr>
          <w:rFonts w:ascii="Arial Narrow" w:hAnsi="Arial Narrow"/>
          <w:sz w:val="22"/>
          <w:szCs w:val="22"/>
        </w:rPr>
        <w:t>. V roku 2018 bolo</w:t>
      </w:r>
      <w:r w:rsidRPr="00C65CAA">
        <w:rPr>
          <w:rFonts w:ascii="Arial Narrow" w:hAnsi="Arial Narrow"/>
          <w:sz w:val="22"/>
          <w:szCs w:val="22"/>
        </w:rPr>
        <w:t xml:space="preserve"> z ce</w:t>
      </w:r>
      <w:r w:rsidR="008830F2" w:rsidRPr="00C65CAA">
        <w:rPr>
          <w:rFonts w:ascii="Arial Narrow" w:hAnsi="Arial Narrow"/>
          <w:sz w:val="22"/>
          <w:szCs w:val="22"/>
        </w:rPr>
        <w:t>lkového objemu 266 060 tis. eur</w:t>
      </w:r>
      <w:r w:rsidRPr="00C65CAA">
        <w:rPr>
          <w:rFonts w:ascii="Arial Narrow" w:hAnsi="Arial Narrow"/>
          <w:sz w:val="22"/>
          <w:szCs w:val="22"/>
        </w:rPr>
        <w:t xml:space="preserve"> čerpaných 27 184 tis. eur, t</w:t>
      </w:r>
      <w:r w:rsidR="008830F2" w:rsidRPr="00C65CAA">
        <w:rPr>
          <w:rFonts w:ascii="Arial Narrow" w:hAnsi="Arial Narrow"/>
          <w:sz w:val="22"/>
          <w:szCs w:val="22"/>
        </w:rPr>
        <w:t>. j. 10,2 % pridelených zdrojov.</w:t>
      </w:r>
      <w:r w:rsidRPr="00C65CAA">
        <w:rPr>
          <w:rFonts w:ascii="Arial Narrow" w:hAnsi="Arial Narrow"/>
          <w:sz w:val="22"/>
          <w:szCs w:val="22"/>
        </w:rPr>
        <w:t xml:space="preserve"> </w:t>
      </w:r>
      <w:r w:rsidR="008830F2" w:rsidRPr="00C65CAA">
        <w:rPr>
          <w:rFonts w:ascii="Arial Narrow" w:hAnsi="Arial Narrow"/>
          <w:sz w:val="22"/>
          <w:szCs w:val="22"/>
        </w:rPr>
        <w:t>M</w:t>
      </w:r>
      <w:r w:rsidRPr="00C65CAA">
        <w:rPr>
          <w:rFonts w:ascii="Arial Narrow" w:hAnsi="Arial Narrow"/>
          <w:sz w:val="22"/>
          <w:szCs w:val="22"/>
        </w:rPr>
        <w:t>ožno predpokladať, že navrhovaný objem, vzhľadom na pomalé tempo využívania zdro</w:t>
      </w:r>
      <w:r w:rsidR="008830F2" w:rsidRPr="00C65CAA">
        <w:rPr>
          <w:rFonts w:ascii="Arial Narrow" w:hAnsi="Arial Narrow"/>
          <w:sz w:val="22"/>
          <w:szCs w:val="22"/>
        </w:rPr>
        <w:t xml:space="preserve">jov </w:t>
      </w:r>
      <w:r w:rsidR="00472D2A" w:rsidRPr="00C65CAA">
        <w:rPr>
          <w:rFonts w:ascii="Arial Narrow" w:hAnsi="Arial Narrow"/>
          <w:sz w:val="22"/>
          <w:szCs w:val="22"/>
        </w:rPr>
        <w:t xml:space="preserve">z </w:t>
      </w:r>
      <w:r w:rsidR="008830F2" w:rsidRPr="00C65CAA">
        <w:rPr>
          <w:rFonts w:ascii="Arial Narrow" w:hAnsi="Arial Narrow"/>
          <w:sz w:val="22"/>
          <w:szCs w:val="22"/>
        </w:rPr>
        <w:t>fondov EÚ,</w:t>
      </w:r>
      <w:r w:rsidR="00D41F81" w:rsidRPr="00C65CAA">
        <w:rPr>
          <w:rFonts w:ascii="Arial Narrow" w:hAnsi="Arial Narrow"/>
          <w:sz w:val="22"/>
          <w:szCs w:val="22"/>
        </w:rPr>
        <w:t xml:space="preserve"> nebude vyčerpaný.</w:t>
      </w:r>
    </w:p>
    <w:p w:rsidR="00EB05EC" w:rsidRPr="00C65CAA" w:rsidRDefault="00EB59B2" w:rsidP="00256AF8">
      <w:pPr>
        <w:spacing w:before="100" w:after="100"/>
        <w:ind w:firstLine="708"/>
        <w:jc w:val="both"/>
        <w:rPr>
          <w:rFonts w:ascii="Arial Narrow" w:hAnsi="Arial Narrow"/>
          <w:sz w:val="22"/>
          <w:szCs w:val="22"/>
        </w:rPr>
      </w:pPr>
      <w:r w:rsidRPr="00C65CAA">
        <w:rPr>
          <w:rFonts w:ascii="Arial Narrow" w:hAnsi="Arial Narrow"/>
          <w:sz w:val="22"/>
          <w:szCs w:val="22"/>
        </w:rPr>
        <w:t xml:space="preserve">Ďalším dôležitým programom rezortu je </w:t>
      </w:r>
      <w:r w:rsidRPr="00C65CAA">
        <w:rPr>
          <w:rFonts w:ascii="Arial Narrow" w:hAnsi="Arial Narrow"/>
          <w:b/>
          <w:sz w:val="22"/>
          <w:szCs w:val="22"/>
        </w:rPr>
        <w:t>Rozvoj priemyslu a podnikania</w:t>
      </w:r>
      <w:r w:rsidRPr="00C65CAA">
        <w:rPr>
          <w:rFonts w:ascii="Arial Narrow" w:hAnsi="Arial Narrow"/>
          <w:sz w:val="22"/>
          <w:szCs w:val="22"/>
        </w:rPr>
        <w:t xml:space="preserve"> s celkovou rozpočtovanou sumou 181 391 tis. eur. V rámci neho je vyčlenených 13 927 tis. eur na </w:t>
      </w:r>
      <w:r w:rsidRPr="00C65CAA">
        <w:rPr>
          <w:rFonts w:ascii="Arial Narrow" w:hAnsi="Arial Narrow"/>
          <w:b/>
          <w:sz w:val="22"/>
          <w:szCs w:val="22"/>
        </w:rPr>
        <w:t xml:space="preserve">Podporu rozvoja strategických investícií – investičné stimuly. </w:t>
      </w:r>
      <w:r w:rsidRPr="00C65CAA">
        <w:rPr>
          <w:rFonts w:ascii="Arial Narrow" w:hAnsi="Arial Narrow"/>
          <w:sz w:val="22"/>
          <w:szCs w:val="22"/>
        </w:rPr>
        <w:t>V roku 2018, z celkového objemu 49 845 tis. eur, bolo čerpaných 4 850 tis. eur, t</w:t>
      </w:r>
      <w:r w:rsidR="00D41F81" w:rsidRPr="00C65CAA">
        <w:rPr>
          <w:rFonts w:ascii="Arial Narrow" w:hAnsi="Arial Narrow"/>
          <w:sz w:val="22"/>
          <w:szCs w:val="22"/>
        </w:rPr>
        <w:t xml:space="preserve">eda 9,7 % pridelených zdrojov. </w:t>
      </w:r>
    </w:p>
    <w:p w:rsidR="00EB05EC" w:rsidRPr="00C65CAA" w:rsidRDefault="00957A55" w:rsidP="00256AF8">
      <w:pPr>
        <w:spacing w:before="100" w:after="100"/>
        <w:ind w:firstLine="708"/>
        <w:jc w:val="both"/>
        <w:rPr>
          <w:rFonts w:ascii="Arial Narrow" w:hAnsi="Arial Narrow"/>
          <w:sz w:val="22"/>
          <w:szCs w:val="22"/>
        </w:rPr>
      </w:pPr>
      <w:r w:rsidRPr="00C65CAA">
        <w:rPr>
          <w:rFonts w:ascii="Arial Narrow" w:hAnsi="Arial Narrow"/>
          <w:sz w:val="22"/>
          <w:szCs w:val="22"/>
        </w:rPr>
        <w:t>V</w:t>
      </w:r>
      <w:r w:rsidR="00EB05EC" w:rsidRPr="00C65CAA">
        <w:rPr>
          <w:rFonts w:ascii="Arial Narrow" w:hAnsi="Arial Narrow"/>
          <w:sz w:val="22"/>
          <w:szCs w:val="22"/>
        </w:rPr>
        <w:t>ývoj skutočne poskytnutej investičnej pomoci od roku 2008:</w:t>
      </w: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EB05EC" w:rsidRPr="00C65CAA" w:rsidTr="00EB05EC">
        <w:trPr>
          <w:trHeight w:val="183"/>
        </w:trPr>
        <w:tc>
          <w:tcPr>
            <w:tcW w:w="5000" w:type="pct"/>
            <w:tcBorders>
              <w:top w:val="single" w:sz="4" w:space="0" w:color="auto"/>
              <w:bottom w:val="single" w:sz="4" w:space="0" w:color="auto"/>
            </w:tcBorders>
            <w:shd w:val="clear" w:color="auto" w:fill="0070C0"/>
          </w:tcPr>
          <w:p w:rsidR="00EB05EC" w:rsidRPr="00C65CAA" w:rsidRDefault="00EB05EC" w:rsidP="00C8633E">
            <w:pPr>
              <w:pStyle w:val="Bezriadkovania"/>
              <w:rPr>
                <w:rFonts w:ascii="Arial Narrow" w:hAnsi="Arial Narrow"/>
                <w:b/>
                <w:color w:val="FFFFFF" w:themeColor="background1"/>
              </w:rPr>
            </w:pPr>
            <w:r w:rsidRPr="00C65CAA">
              <w:rPr>
                <w:rFonts w:ascii="Arial Narrow" w:hAnsi="Arial Narrow"/>
                <w:b/>
                <w:color w:val="FFFFFF" w:themeColor="background1"/>
              </w:rPr>
              <w:t>Schválená a skutočne čerpaná investičná pomoc za obdobie 2008 – 2017</w:t>
            </w:r>
          </w:p>
        </w:tc>
      </w:tr>
      <w:tr w:rsidR="00EB05EC" w:rsidRPr="00C65CAA" w:rsidTr="00EB05EC">
        <w:tblPrEx>
          <w:tblCellMar>
            <w:left w:w="70" w:type="dxa"/>
            <w:right w:w="70" w:type="dxa"/>
          </w:tblCellMar>
        </w:tblPrEx>
        <w:trPr>
          <w:trHeight w:val="2590"/>
        </w:trPr>
        <w:tc>
          <w:tcPr>
            <w:tcW w:w="5000" w:type="pct"/>
            <w:tcBorders>
              <w:top w:val="single" w:sz="4" w:space="0" w:color="auto"/>
              <w:bottom w:val="single" w:sz="4" w:space="0" w:color="auto"/>
            </w:tcBorders>
          </w:tcPr>
          <w:p w:rsidR="00EB05EC" w:rsidRPr="00C65CAA" w:rsidRDefault="00EB05EC" w:rsidP="00C8633E">
            <w:pPr>
              <w:pStyle w:val="Bezriadkovania"/>
              <w:rPr>
                <w:rFonts w:ascii="Arial Narrow" w:hAnsi="Arial Narrow"/>
                <w:b/>
                <w:color w:val="FF0000"/>
              </w:rPr>
            </w:pPr>
            <w:r w:rsidRPr="00C65CAA">
              <w:rPr>
                <w:rFonts w:ascii="Arial Narrow" w:hAnsi="Arial Narrow"/>
                <w:noProof/>
                <w:lang w:eastAsia="sk-SK"/>
              </w:rPr>
              <w:drawing>
                <wp:inline distT="0" distB="0" distL="0" distR="0" wp14:anchorId="6BDD9CBC" wp14:editId="2FD2D2F5">
                  <wp:extent cx="5707900" cy="2413789"/>
                  <wp:effectExtent l="0" t="0" r="7620" b="5715"/>
                  <wp:docPr id="22" name="Graf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rsidR="00EB59B2" w:rsidRPr="00C65CAA" w:rsidRDefault="00D41F81" w:rsidP="00011F12">
      <w:pPr>
        <w:spacing w:after="100"/>
        <w:jc w:val="both"/>
        <w:rPr>
          <w:rFonts w:ascii="Arial Narrow" w:hAnsi="Arial Narrow"/>
          <w:sz w:val="20"/>
          <w:szCs w:val="20"/>
        </w:rPr>
      </w:pPr>
      <w:r w:rsidRPr="00C65CAA">
        <w:rPr>
          <w:rFonts w:ascii="Arial Narrow" w:hAnsi="Arial Narrow"/>
          <w:sz w:val="20"/>
          <w:szCs w:val="20"/>
        </w:rPr>
        <w:t>Zdroj: MH SR, NKÚ SR</w:t>
      </w:r>
    </w:p>
    <w:tbl>
      <w:tblPr>
        <w:tblStyle w:val="Mriekatabuky"/>
        <w:tblW w:w="0" w:type="auto"/>
        <w:shd w:val="clear" w:color="auto" w:fill="BDD6EE" w:themeFill="accent1" w:themeFillTint="66"/>
        <w:tblLook w:val="04A0" w:firstRow="1" w:lastRow="0" w:firstColumn="1" w:lastColumn="0" w:noHBand="0" w:noVBand="1"/>
      </w:tblPr>
      <w:tblGrid>
        <w:gridCol w:w="9063"/>
      </w:tblGrid>
      <w:tr w:rsidR="00505DD7" w:rsidRPr="00C65CAA" w:rsidTr="00505DD7">
        <w:tc>
          <w:tcPr>
            <w:tcW w:w="9063" w:type="dxa"/>
            <w:shd w:val="clear" w:color="auto" w:fill="BDD6EE" w:themeFill="accent1" w:themeFillTint="66"/>
          </w:tcPr>
          <w:p w:rsidR="00505DD7" w:rsidRPr="00C65CAA" w:rsidRDefault="00505DD7" w:rsidP="00505DD7">
            <w:pPr>
              <w:spacing w:before="100" w:after="100"/>
              <w:ind w:firstLine="708"/>
              <w:jc w:val="both"/>
              <w:rPr>
                <w:rFonts w:ascii="Arial Narrow" w:hAnsi="Arial Narrow"/>
                <w:sz w:val="20"/>
                <w:szCs w:val="20"/>
              </w:rPr>
            </w:pPr>
            <w:r w:rsidRPr="00C65CAA">
              <w:rPr>
                <w:rFonts w:ascii="Arial Narrow" w:hAnsi="Arial Narrow"/>
                <w:sz w:val="20"/>
                <w:szCs w:val="20"/>
              </w:rPr>
              <w:t xml:space="preserve">Analytický odbor NKÚ SR v roku 2018 spracoval analýzu poskytnutej investičnej pomoci ako jednej z prioritných oblastí. Analýza má za cieľ poskytnúť verejnosti informácie o politike investičnej pomoci v SR za roky 2008 </w:t>
            </w:r>
            <w:r w:rsidR="00472D2A" w:rsidRPr="00C65CAA">
              <w:rPr>
                <w:rFonts w:ascii="Arial Narrow" w:hAnsi="Arial Narrow"/>
                <w:sz w:val="20"/>
                <w:szCs w:val="20"/>
              </w:rPr>
              <w:t xml:space="preserve">až 2017 a ex </w:t>
            </w:r>
            <w:r w:rsidRPr="00C65CAA">
              <w:rPr>
                <w:rFonts w:ascii="Arial Narrow" w:hAnsi="Arial Narrow"/>
                <w:sz w:val="20"/>
                <w:szCs w:val="20"/>
              </w:rPr>
              <w:t xml:space="preserve">post zhodnotiť prínos investičnej pomoci pre jednotlivé regióny. </w:t>
            </w:r>
          </w:p>
          <w:p w:rsidR="00505DD7" w:rsidRPr="00C65CAA" w:rsidRDefault="00505DD7" w:rsidP="00505DD7">
            <w:pPr>
              <w:spacing w:before="100" w:after="100"/>
              <w:jc w:val="both"/>
              <w:rPr>
                <w:rFonts w:ascii="Arial Narrow" w:hAnsi="Arial Narrow"/>
                <w:b/>
                <w:sz w:val="20"/>
                <w:szCs w:val="20"/>
              </w:rPr>
            </w:pPr>
            <w:r w:rsidRPr="00C65CAA">
              <w:rPr>
                <w:rFonts w:ascii="Arial Narrow" w:hAnsi="Arial Narrow"/>
                <w:b/>
                <w:sz w:val="20"/>
                <w:szCs w:val="20"/>
              </w:rPr>
              <w:t>Vybrané zistenia o investič</w:t>
            </w:r>
            <w:r w:rsidR="00472D2A" w:rsidRPr="00C65CAA">
              <w:rPr>
                <w:rFonts w:ascii="Arial Narrow" w:hAnsi="Arial Narrow"/>
                <w:b/>
                <w:sz w:val="20"/>
                <w:szCs w:val="20"/>
              </w:rPr>
              <w:t>nej pomoci v období 2008 – 2017.</w:t>
            </w:r>
          </w:p>
          <w:p w:rsidR="00505DD7" w:rsidRPr="00C65CAA" w:rsidRDefault="00505DD7" w:rsidP="00505DD7">
            <w:pPr>
              <w:pStyle w:val="Odsekzoznamu"/>
              <w:numPr>
                <w:ilvl w:val="0"/>
                <w:numId w:val="102"/>
              </w:numPr>
              <w:spacing w:before="100" w:after="100"/>
              <w:jc w:val="both"/>
              <w:rPr>
                <w:rFonts w:ascii="Arial Narrow" w:hAnsi="Arial Narrow"/>
                <w:sz w:val="20"/>
                <w:szCs w:val="20"/>
              </w:rPr>
            </w:pPr>
            <w:r w:rsidRPr="00C65CAA">
              <w:rPr>
                <w:rFonts w:ascii="Arial Narrow" w:hAnsi="Arial Narrow"/>
                <w:sz w:val="20"/>
                <w:szCs w:val="20"/>
              </w:rPr>
              <w:t>Schválilo sa 106 zámerov v celkovej výške 658 400 tis. eur pre 100 podnikateľských subjektov, z toho 6 žiadateľom bola investičná pomoc schválená dvakrát.</w:t>
            </w:r>
          </w:p>
          <w:p w:rsidR="00505DD7" w:rsidRPr="00C65CAA" w:rsidRDefault="00505DD7" w:rsidP="00505DD7">
            <w:pPr>
              <w:pStyle w:val="Odsekzoznamu"/>
              <w:numPr>
                <w:ilvl w:val="0"/>
                <w:numId w:val="102"/>
              </w:numPr>
              <w:spacing w:before="100" w:after="100"/>
              <w:jc w:val="both"/>
              <w:rPr>
                <w:rFonts w:ascii="Arial Narrow" w:hAnsi="Arial Narrow"/>
                <w:sz w:val="20"/>
                <w:szCs w:val="20"/>
              </w:rPr>
            </w:pPr>
            <w:r w:rsidRPr="00C65CAA">
              <w:rPr>
                <w:rFonts w:ascii="Arial Narrow" w:hAnsi="Arial Narrow"/>
                <w:sz w:val="20"/>
                <w:szCs w:val="20"/>
              </w:rPr>
              <w:t>Zo 106 zámerov sa 21 zrušilo (v objeme 122 100 tis. eur).</w:t>
            </w:r>
          </w:p>
          <w:p w:rsidR="00505DD7" w:rsidRPr="00C65CAA" w:rsidRDefault="00505DD7" w:rsidP="00505DD7">
            <w:pPr>
              <w:pStyle w:val="Odsekzoznamu"/>
              <w:numPr>
                <w:ilvl w:val="0"/>
                <w:numId w:val="102"/>
              </w:numPr>
              <w:spacing w:before="100" w:after="100"/>
              <w:jc w:val="both"/>
              <w:rPr>
                <w:rFonts w:ascii="Arial Narrow" w:hAnsi="Arial Narrow"/>
                <w:sz w:val="20"/>
                <w:szCs w:val="20"/>
              </w:rPr>
            </w:pPr>
            <w:r w:rsidRPr="00C65CAA">
              <w:rPr>
                <w:rFonts w:ascii="Arial Narrow" w:hAnsi="Arial Narrow"/>
                <w:sz w:val="20"/>
                <w:szCs w:val="20"/>
              </w:rPr>
              <w:t>Najvyšší objem investičnej pomoci bol schválený pre Trnavský a Košický kraj (20,4 %, resp. 20,1 %); najnižší pre Bratislavský kraj (2,2 %).</w:t>
            </w:r>
          </w:p>
          <w:p w:rsidR="00505DD7" w:rsidRPr="00C65CAA" w:rsidRDefault="00505DD7" w:rsidP="00505DD7">
            <w:pPr>
              <w:pStyle w:val="Odsekzoznamu"/>
              <w:numPr>
                <w:ilvl w:val="0"/>
                <w:numId w:val="102"/>
              </w:numPr>
              <w:spacing w:before="100" w:after="100"/>
              <w:jc w:val="both"/>
              <w:rPr>
                <w:rFonts w:ascii="Arial Narrow" w:hAnsi="Arial Narrow"/>
                <w:b/>
                <w:sz w:val="20"/>
                <w:szCs w:val="20"/>
              </w:rPr>
            </w:pPr>
            <w:r w:rsidRPr="00C65CAA">
              <w:rPr>
                <w:rFonts w:ascii="Arial Narrow" w:hAnsi="Arial Narrow"/>
                <w:sz w:val="20"/>
                <w:szCs w:val="20"/>
              </w:rPr>
              <w:t xml:space="preserve">Podľa odvetvového zamerania mala prevahu schválená pomoc vo výrobe </w:t>
            </w:r>
            <w:r w:rsidRPr="00C65CAA">
              <w:rPr>
                <w:rFonts w:ascii="Arial Narrow" w:hAnsi="Arial Narrow" w:cs="Calibri"/>
                <w:color w:val="000000"/>
                <w:sz w:val="20"/>
                <w:szCs w:val="20"/>
              </w:rPr>
              <w:t xml:space="preserve">motorových vozidiel, návesov a prívesov (27,8 %), </w:t>
            </w:r>
            <w:r w:rsidRPr="00C65CAA">
              <w:rPr>
                <w:rFonts w:ascii="Arial Narrow" w:hAnsi="Arial Narrow" w:cs="Calibri"/>
                <w:b/>
                <w:color w:val="000000"/>
                <w:sz w:val="20"/>
                <w:szCs w:val="20"/>
              </w:rPr>
              <w:t>v porovnaní s tým bola najmenej zastúpená napr. vo vedeckom výskume a vývoji alebo v ostatných odborných, vedeckých a technických činnostiach (0,1 % a 0,2 %).</w:t>
            </w:r>
          </w:p>
          <w:p w:rsidR="00505DD7" w:rsidRPr="00C65CAA" w:rsidRDefault="00505DD7" w:rsidP="00505DD7">
            <w:pPr>
              <w:pStyle w:val="Odsekzoznamu"/>
              <w:numPr>
                <w:ilvl w:val="0"/>
                <w:numId w:val="102"/>
              </w:numPr>
              <w:spacing w:before="100" w:after="100"/>
              <w:jc w:val="both"/>
              <w:rPr>
                <w:rFonts w:ascii="Arial Narrow" w:hAnsi="Arial Narrow"/>
                <w:sz w:val="20"/>
                <w:szCs w:val="20"/>
              </w:rPr>
            </w:pPr>
            <w:r w:rsidRPr="00C65CAA">
              <w:rPr>
                <w:rFonts w:ascii="Arial Narrow" w:hAnsi="Arial Narrow"/>
                <w:sz w:val="20"/>
                <w:szCs w:val="20"/>
              </w:rPr>
              <w:t>106 investičných zámerov počítalo s vytvorením 21 874 pracovných miest.</w:t>
            </w:r>
          </w:p>
          <w:p w:rsidR="00505DD7" w:rsidRPr="00C65CAA" w:rsidRDefault="00505DD7" w:rsidP="00505DD7">
            <w:pPr>
              <w:pStyle w:val="Odsekzoznamu"/>
              <w:numPr>
                <w:ilvl w:val="0"/>
                <w:numId w:val="102"/>
              </w:numPr>
              <w:spacing w:before="100" w:after="100"/>
              <w:jc w:val="both"/>
              <w:rPr>
                <w:rFonts w:ascii="Arial Narrow" w:hAnsi="Arial Narrow"/>
                <w:sz w:val="20"/>
                <w:szCs w:val="20"/>
              </w:rPr>
            </w:pPr>
            <w:r w:rsidRPr="00C65CAA">
              <w:rPr>
                <w:rFonts w:ascii="Arial Narrow" w:hAnsi="Arial Narrow"/>
                <w:sz w:val="20"/>
                <w:szCs w:val="20"/>
              </w:rPr>
              <w:t>Prijímatelia v investičných zámeroch plánovali vytvoriť najviac pracovných miest v Košickom (27,1 %) a najmenej v Bratislavskom kraji (3,5 %).</w:t>
            </w:r>
          </w:p>
          <w:p w:rsidR="00505DD7" w:rsidRPr="00C65CAA" w:rsidRDefault="00505DD7" w:rsidP="00505DD7">
            <w:pPr>
              <w:pStyle w:val="Odsekzoznamu"/>
              <w:numPr>
                <w:ilvl w:val="0"/>
                <w:numId w:val="102"/>
              </w:numPr>
              <w:spacing w:before="100" w:after="100"/>
              <w:jc w:val="both"/>
              <w:rPr>
                <w:rFonts w:ascii="Arial Narrow" w:hAnsi="Arial Narrow"/>
                <w:sz w:val="20"/>
                <w:szCs w:val="20"/>
              </w:rPr>
            </w:pPr>
            <w:r w:rsidRPr="00C65CAA">
              <w:rPr>
                <w:rFonts w:ascii="Arial Narrow" w:hAnsi="Arial Narrow"/>
                <w:sz w:val="20"/>
                <w:szCs w:val="20"/>
              </w:rPr>
              <w:t>Najväčší objem investičnej pomoci (94 %) bol schválený v oblasti priemyselnej výroby, kde bolo zaznamenané čerpanie na úrovni 37,3 %.</w:t>
            </w:r>
          </w:p>
          <w:p w:rsidR="00505DD7" w:rsidRPr="00C65CAA" w:rsidRDefault="00505DD7" w:rsidP="00505DD7">
            <w:pPr>
              <w:pStyle w:val="Odsekzoznamu"/>
              <w:numPr>
                <w:ilvl w:val="0"/>
                <w:numId w:val="102"/>
              </w:numPr>
              <w:spacing w:before="100" w:after="100"/>
              <w:jc w:val="both"/>
              <w:rPr>
                <w:rFonts w:ascii="Arial Narrow" w:hAnsi="Arial Narrow"/>
                <w:sz w:val="20"/>
                <w:szCs w:val="20"/>
                <w:u w:val="single"/>
              </w:rPr>
            </w:pPr>
            <w:r w:rsidRPr="00C65CAA">
              <w:rPr>
                <w:rFonts w:ascii="Arial Narrow" w:hAnsi="Arial Narrow"/>
                <w:sz w:val="20"/>
                <w:szCs w:val="20"/>
                <w:u w:val="single"/>
              </w:rPr>
              <w:lastRenderedPageBreak/>
              <w:t xml:space="preserve">73 zrealizovaných zámerov zo 106 schválených vyčerpalo 260 500 tis. eur, čo predstavuje len </w:t>
            </w:r>
            <w:r w:rsidRPr="00C65CAA">
              <w:rPr>
                <w:rFonts w:ascii="Arial Narrow" w:hAnsi="Arial Narrow"/>
                <w:b/>
                <w:sz w:val="20"/>
                <w:szCs w:val="20"/>
                <w:u w:val="single"/>
              </w:rPr>
              <w:t>39,6 %</w:t>
            </w:r>
            <w:r w:rsidRPr="00C65CAA">
              <w:rPr>
                <w:rFonts w:ascii="Arial Narrow" w:hAnsi="Arial Narrow"/>
                <w:sz w:val="20"/>
                <w:szCs w:val="20"/>
                <w:u w:val="single"/>
              </w:rPr>
              <w:t xml:space="preserve"> z celkovej schválenej investičnej pomoci.</w:t>
            </w:r>
          </w:p>
          <w:p w:rsidR="00505DD7" w:rsidRPr="00C65CAA" w:rsidRDefault="00505DD7" w:rsidP="00505DD7">
            <w:pPr>
              <w:pStyle w:val="Odsekzoznamu"/>
              <w:numPr>
                <w:ilvl w:val="0"/>
                <w:numId w:val="102"/>
              </w:numPr>
              <w:spacing w:before="100" w:after="100"/>
              <w:jc w:val="both"/>
              <w:rPr>
                <w:rFonts w:ascii="Arial Narrow" w:hAnsi="Arial Narrow"/>
                <w:sz w:val="20"/>
                <w:szCs w:val="20"/>
              </w:rPr>
            </w:pPr>
            <w:r w:rsidRPr="00C65CAA">
              <w:rPr>
                <w:rFonts w:ascii="Arial Narrow" w:hAnsi="Arial Narrow"/>
                <w:sz w:val="20"/>
                <w:szCs w:val="20"/>
              </w:rPr>
              <w:t>Najvyššie percento využitia schválenej investičnej pomoci vykázal Bratislavský kraj (100 %), za ním nasleduje Žilinský kraj (71,9 %), ostatné kraje majú percento čerpania podstatne nižšie, od 43,4 % v Nitrianskom kraji až po 25,1 % v Trnavskom kraji.</w:t>
            </w:r>
          </w:p>
          <w:p w:rsidR="00505DD7" w:rsidRPr="00C65CAA" w:rsidRDefault="00505DD7" w:rsidP="00505DD7">
            <w:pPr>
              <w:spacing w:before="100" w:after="100"/>
              <w:ind w:firstLine="708"/>
              <w:jc w:val="both"/>
              <w:rPr>
                <w:rFonts w:ascii="Arial Narrow" w:hAnsi="Arial Narrow"/>
                <w:sz w:val="20"/>
                <w:szCs w:val="20"/>
              </w:rPr>
            </w:pPr>
            <w:r w:rsidRPr="00C65CAA">
              <w:rPr>
                <w:rFonts w:ascii="Arial Narrow" w:hAnsi="Arial Narrow"/>
                <w:b/>
                <w:sz w:val="20"/>
                <w:szCs w:val="20"/>
              </w:rPr>
              <w:t>Z hodnotenia vplyvu investičnej pomoci na regióny</w:t>
            </w:r>
            <w:r w:rsidRPr="00C65CAA">
              <w:rPr>
                <w:rFonts w:ascii="Arial Narrow" w:hAnsi="Arial Narrow"/>
                <w:sz w:val="20"/>
                <w:szCs w:val="20"/>
              </w:rPr>
              <w:t xml:space="preserve"> vyplýva, že výška čerpanej investičnej pomoci na 1 obyvateľa SR za obdobie rokov 2008 – 2017 nemala preukazný vplyv na znižovanie regionálnych rozdielov a podporu menej rozvinutých regiónov. </w:t>
            </w:r>
            <w:r w:rsidRPr="00C65CAA">
              <w:rPr>
                <w:rFonts w:ascii="Arial Narrow" w:hAnsi="Arial Narrow"/>
                <w:b/>
                <w:sz w:val="20"/>
                <w:szCs w:val="20"/>
              </w:rPr>
              <w:t>Paradoxom je, že z pohľadu výšky regionálneho HDP na obyvateľa (v parite kúpnej sily) dva relatívne najmenej rozvinuté kraje (Banskobystrický a Prešovský kraj) čerpali najmenej investičnej pomoci na obyvateľa. Tieto kraje nedosiahli ani úroveň SR pri schválenej investičnej pomoci, čo poukazuje na slabú investičnú aktivitu v týchto regiónoch.</w:t>
            </w:r>
            <w:r w:rsidRPr="00C65CAA">
              <w:rPr>
                <w:rFonts w:ascii="Arial Narrow" w:hAnsi="Arial Narrow"/>
                <w:sz w:val="20"/>
                <w:szCs w:val="20"/>
              </w:rPr>
              <w:t xml:space="preserve"> </w:t>
            </w:r>
          </w:p>
          <w:p w:rsidR="00505DD7" w:rsidRPr="00C65CAA" w:rsidRDefault="00505DD7" w:rsidP="00505DD7">
            <w:pPr>
              <w:spacing w:before="100" w:after="100"/>
              <w:ind w:firstLine="709"/>
              <w:jc w:val="both"/>
              <w:rPr>
                <w:rFonts w:ascii="Arial Narrow" w:hAnsi="Arial Narrow"/>
                <w:sz w:val="20"/>
                <w:szCs w:val="20"/>
              </w:rPr>
            </w:pPr>
            <w:r w:rsidRPr="00C65CAA">
              <w:rPr>
                <w:rFonts w:ascii="Arial Narrow" w:hAnsi="Arial Narrow"/>
                <w:sz w:val="20"/>
                <w:szCs w:val="20"/>
              </w:rPr>
              <w:t>Vzhľadom na prevládajúcu podporu investičnej pomoci v odvetví Výroba motorových vozidiel, návesov a prívesov (27,8 %, čo je takmer 3-krát viac než druhý najvyšší objem schválenej investičnej pomoci v odvetví Výroba chemikálií a chemických produktov), by stálo za úvahu prehodnotiť politiku investičnej pomoci, sústrediť sa v SR na podporu malého a stredného podnikania</w:t>
            </w:r>
            <w:r w:rsidRPr="00C65CAA">
              <w:rPr>
                <w:rStyle w:val="Odkaznapoznmkupodiarou"/>
                <w:rFonts w:ascii="Arial Narrow" w:hAnsi="Arial Narrow"/>
                <w:sz w:val="20"/>
                <w:szCs w:val="20"/>
              </w:rPr>
              <w:t xml:space="preserve"> </w:t>
            </w:r>
            <w:r w:rsidRPr="00C65CAA">
              <w:rPr>
                <w:rFonts w:ascii="Arial Narrow" w:hAnsi="Arial Narrow"/>
                <w:sz w:val="20"/>
                <w:szCs w:val="20"/>
              </w:rPr>
              <w:t>a časť zdrojov použiť na ich podporu s dôrazom na najmenej rozvinuté okresy, čo prinesie väčšiu rôznorodosť vo veľkostnej štruktúre firiem a v zastúpení odvetví, a súčasne prirodzenou formou prispeje k znižovaniu regionálnych rozdielov.</w:t>
            </w:r>
          </w:p>
          <w:p w:rsidR="00505DD7" w:rsidRPr="00C65CAA" w:rsidRDefault="00472D2A" w:rsidP="00505DD7">
            <w:pPr>
              <w:spacing w:before="100" w:after="100"/>
              <w:ind w:firstLine="709"/>
              <w:jc w:val="both"/>
              <w:rPr>
                <w:rFonts w:ascii="Arial Narrow" w:hAnsi="Arial Narrow"/>
                <w:sz w:val="20"/>
                <w:szCs w:val="20"/>
              </w:rPr>
            </w:pPr>
            <w:r w:rsidRPr="00C65CAA">
              <w:rPr>
                <w:rFonts w:ascii="Arial Narrow" w:hAnsi="Arial Narrow"/>
                <w:sz w:val="20"/>
                <w:szCs w:val="20"/>
              </w:rPr>
              <w:t>(</w:t>
            </w:r>
            <w:r w:rsidR="00505DD7" w:rsidRPr="00C65CAA">
              <w:rPr>
                <w:rFonts w:ascii="Arial Narrow" w:hAnsi="Arial Narrow"/>
                <w:sz w:val="20"/>
                <w:szCs w:val="20"/>
              </w:rPr>
              <w:t>V ČR objem schválenej investičnej pomoci bol 6,4-krát vyšší, podiel investičnej pomoci na HDP takmer 2,9-krát vyšší a investičná pomoc na obyvateľa 3,2-krát vyššia.</w:t>
            </w:r>
            <w:r w:rsidRPr="00C65CAA">
              <w:rPr>
                <w:rFonts w:ascii="Arial Narrow" w:hAnsi="Arial Narrow"/>
                <w:sz w:val="20"/>
                <w:szCs w:val="20"/>
              </w:rPr>
              <w:t>)</w:t>
            </w:r>
            <w:r w:rsidR="00505DD7" w:rsidRPr="00C65CAA">
              <w:rPr>
                <w:rFonts w:ascii="Arial Narrow" w:hAnsi="Arial Narrow"/>
                <w:sz w:val="20"/>
                <w:szCs w:val="20"/>
              </w:rPr>
              <w:t xml:space="preserve"> </w:t>
            </w:r>
          </w:p>
          <w:p w:rsidR="00505DD7" w:rsidRPr="00C65CAA" w:rsidRDefault="00472D2A" w:rsidP="00505DD7">
            <w:pPr>
              <w:spacing w:after="100"/>
              <w:jc w:val="both"/>
              <w:rPr>
                <w:rFonts w:ascii="Arial Narrow" w:hAnsi="Arial Narrow"/>
                <w:sz w:val="20"/>
                <w:szCs w:val="20"/>
              </w:rPr>
            </w:pPr>
            <w:r w:rsidRPr="00C65CAA">
              <w:rPr>
                <w:rFonts w:ascii="Arial Narrow" w:hAnsi="Arial Narrow" w:cs="Arial"/>
                <w:sz w:val="20"/>
                <w:szCs w:val="20"/>
              </w:rPr>
              <w:t xml:space="preserve">                </w:t>
            </w:r>
            <w:r w:rsidR="00505DD7" w:rsidRPr="00C65CAA">
              <w:rPr>
                <w:rFonts w:ascii="Arial Narrow" w:hAnsi="Arial Narrow" w:cs="Arial"/>
                <w:sz w:val="20"/>
                <w:szCs w:val="20"/>
              </w:rPr>
              <w:t>Prezentované výsledky investičnej pomoci v SR poukazujú na dôležitosť nastavenia jej ďalšieho smerovania v budúcnosti. Z tohto pohľadu možno ako pozitívny krok vnímať nový zákon o regionálnej investičnej pomoci, platný od 1. apríla 2018, ktorého absolútnou prioritou je znižovanie regionálnych rozdielov a podpora investícií s vyššou pridanou hodnotou a investícií do výskumu a vývoja.</w:t>
            </w:r>
          </w:p>
        </w:tc>
      </w:tr>
    </w:tbl>
    <w:p w:rsidR="00505DD7" w:rsidRPr="00C65CAA" w:rsidRDefault="00505DD7" w:rsidP="00011F12">
      <w:pPr>
        <w:spacing w:after="100"/>
        <w:jc w:val="both"/>
        <w:rPr>
          <w:rFonts w:ascii="Arial Narrow" w:hAnsi="Arial Narrow"/>
          <w:sz w:val="20"/>
          <w:szCs w:val="20"/>
        </w:rPr>
      </w:pPr>
    </w:p>
    <w:p w:rsidR="00D23611" w:rsidRPr="00C65CAA" w:rsidRDefault="00D23611" w:rsidP="00256AF8">
      <w:pPr>
        <w:pStyle w:val="Nadpis3"/>
        <w:spacing w:before="100" w:after="100"/>
        <w:rPr>
          <w:szCs w:val="22"/>
        </w:rPr>
      </w:pPr>
      <w:bookmarkStart w:id="38" w:name="_Toc529507606"/>
      <w:r w:rsidRPr="00C65CAA">
        <w:rPr>
          <w:szCs w:val="22"/>
        </w:rPr>
        <w:t>Ministerstvo pôdohospodárstva a rozvoja vidieka SR</w:t>
      </w:r>
      <w:bookmarkEnd w:id="38"/>
    </w:p>
    <w:p w:rsidR="00D25921" w:rsidRPr="00C65CAA" w:rsidRDefault="00D25921" w:rsidP="00256AF8">
      <w:pPr>
        <w:spacing w:before="100" w:after="100"/>
        <w:ind w:firstLine="708"/>
        <w:jc w:val="both"/>
        <w:rPr>
          <w:rFonts w:ascii="Arial Narrow" w:hAnsi="Arial Narrow"/>
          <w:sz w:val="20"/>
          <w:szCs w:val="20"/>
        </w:rPr>
      </w:pPr>
      <w:r w:rsidRPr="00C65CAA">
        <w:rPr>
          <w:rFonts w:ascii="Arial Narrow" w:hAnsi="Arial Narrow"/>
          <w:sz w:val="20"/>
          <w:szCs w:val="20"/>
        </w:rPr>
        <w:t>Výdavky kapitoly MPRV SR sú smerované do nasledovných oblastí: priame platby, rozvoj vidieka, inštitucionálna podpora, regionálny rozvoj, štátna pomoc, trhovo orientované výdavky a rybné hospodárstvo.</w:t>
      </w: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D25921" w:rsidRPr="00C65CAA" w:rsidTr="00D6428C">
        <w:tc>
          <w:tcPr>
            <w:tcW w:w="5000" w:type="pct"/>
            <w:tcBorders>
              <w:top w:val="single" w:sz="4" w:space="0" w:color="auto"/>
              <w:bottom w:val="single" w:sz="4" w:space="0" w:color="auto"/>
            </w:tcBorders>
            <w:shd w:val="clear" w:color="auto" w:fill="0070C0"/>
          </w:tcPr>
          <w:p w:rsidR="00D25921" w:rsidRPr="00C65CAA" w:rsidRDefault="00D25921" w:rsidP="00C8633E">
            <w:pPr>
              <w:jc w:val="both"/>
              <w:rPr>
                <w:rFonts w:ascii="Arial Narrow" w:hAnsi="Arial Narrow"/>
                <w:b/>
                <w:color w:val="FFFFFF" w:themeColor="background1"/>
              </w:rPr>
            </w:pPr>
            <w:r w:rsidRPr="00C65CAA">
              <w:rPr>
                <w:rFonts w:ascii="Arial Narrow" w:hAnsi="Arial Narrow"/>
                <w:b/>
                <w:color w:val="FFFFFF" w:themeColor="background1"/>
              </w:rPr>
              <w:t>Oblasti alokovaných výdavkov (v tis. eur)</w:t>
            </w:r>
          </w:p>
        </w:tc>
      </w:tr>
      <w:tr w:rsidR="00D25921" w:rsidRPr="00C65CAA" w:rsidTr="00D6428C">
        <w:tc>
          <w:tcPr>
            <w:tcW w:w="5000" w:type="pct"/>
            <w:tcBorders>
              <w:top w:val="single" w:sz="4" w:space="0" w:color="auto"/>
              <w:bottom w:val="single" w:sz="4" w:space="0" w:color="auto"/>
            </w:tcBorders>
          </w:tcPr>
          <w:p w:rsidR="00D25921" w:rsidRPr="00C65CAA" w:rsidRDefault="00D25921" w:rsidP="00C8633E">
            <w:pPr>
              <w:jc w:val="both"/>
              <w:rPr>
                <w:rFonts w:ascii="Arial Narrow" w:hAnsi="Arial Narrow"/>
              </w:rPr>
            </w:pPr>
            <w:r w:rsidRPr="00C65CAA">
              <w:rPr>
                <w:rFonts w:ascii="Arial Narrow" w:hAnsi="Arial Narrow"/>
                <w:noProof/>
              </w:rPr>
              <w:drawing>
                <wp:inline distT="0" distB="0" distL="0" distR="0" wp14:anchorId="45F3C1D1" wp14:editId="335F4D56">
                  <wp:extent cx="5760000" cy="1656000"/>
                  <wp:effectExtent l="0" t="0" r="0" b="1905"/>
                  <wp:docPr id="28" name="Graf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rsidR="00D25921" w:rsidRPr="00C65CAA" w:rsidRDefault="00D25921" w:rsidP="00011F12">
      <w:pPr>
        <w:spacing w:after="100"/>
        <w:jc w:val="both"/>
        <w:rPr>
          <w:rFonts w:ascii="Arial Narrow" w:hAnsi="Arial Narrow"/>
          <w:sz w:val="20"/>
          <w:szCs w:val="20"/>
        </w:rPr>
      </w:pPr>
      <w:r w:rsidRPr="00C65CAA">
        <w:rPr>
          <w:rFonts w:ascii="Arial Narrow" w:hAnsi="Arial Narrow"/>
          <w:sz w:val="20"/>
          <w:szCs w:val="20"/>
        </w:rPr>
        <w:t>Zdroj: Návrh RVS na roky 2019 až 2021</w:t>
      </w:r>
    </w:p>
    <w:p w:rsidR="00EB59B2" w:rsidRPr="00C65CAA" w:rsidRDefault="00EB59B2" w:rsidP="007809C2">
      <w:pPr>
        <w:spacing w:before="120" w:after="120"/>
        <w:ind w:firstLine="709"/>
        <w:jc w:val="both"/>
        <w:rPr>
          <w:rFonts w:ascii="Arial Narrow" w:hAnsi="Arial Narrow"/>
          <w:sz w:val="22"/>
          <w:szCs w:val="22"/>
        </w:rPr>
      </w:pPr>
      <w:r w:rsidRPr="00C65CAA">
        <w:rPr>
          <w:rFonts w:ascii="Arial Narrow" w:hAnsi="Arial Narrow"/>
          <w:sz w:val="22"/>
          <w:szCs w:val="22"/>
        </w:rPr>
        <w:t xml:space="preserve">V rezorte pôdohospodárstva a rozvoja vidieka sú dlhodobejšie identifikované problémy v poľnohospodárstve, potravinárskom priemysle a v lesnom hospodárstve, čo sa prejavuje na výsledkoch hospodárenia v týchto oblastiach, nižšou konkurencieschopnosťou v EÚ, znižovaním </w:t>
      </w:r>
      <w:r w:rsidR="00095372" w:rsidRPr="00C65CAA">
        <w:rPr>
          <w:rFonts w:ascii="Arial Narrow" w:hAnsi="Arial Narrow"/>
          <w:sz w:val="22"/>
          <w:szCs w:val="22"/>
        </w:rPr>
        <w:t xml:space="preserve">výmery poľnohospodárskej pôdy, </w:t>
      </w:r>
      <w:r w:rsidRPr="00C65CAA">
        <w:rPr>
          <w:rFonts w:ascii="Arial Narrow" w:hAnsi="Arial Narrow"/>
          <w:sz w:val="22"/>
          <w:szCs w:val="22"/>
        </w:rPr>
        <w:t xml:space="preserve">jej ceny a pod.  </w:t>
      </w:r>
    </w:p>
    <w:p w:rsidR="00EB59B2" w:rsidRPr="00C65CAA" w:rsidRDefault="00EB59B2" w:rsidP="007809C2">
      <w:pPr>
        <w:spacing w:before="120" w:after="120"/>
        <w:ind w:firstLine="709"/>
        <w:jc w:val="both"/>
        <w:rPr>
          <w:rFonts w:ascii="Arial Narrow" w:eastAsia="Calibri" w:hAnsi="Arial Narrow"/>
          <w:sz w:val="22"/>
          <w:szCs w:val="22"/>
          <w:lang w:eastAsia="en-US"/>
        </w:rPr>
      </w:pPr>
      <w:r w:rsidRPr="00C65CAA">
        <w:rPr>
          <w:rFonts w:ascii="Arial Narrow" w:eastAsia="Calibri" w:hAnsi="Arial Narrow"/>
          <w:sz w:val="22"/>
          <w:szCs w:val="22"/>
          <w:lang w:eastAsia="en-US"/>
        </w:rPr>
        <w:t>Návrh rozpočtu ráta s celkovými výdavkami rezortu v objeme 1 193 458 tis. eur. Oproti predchádzajúcemu roku došlo k posilneniu rozpočtu o 2,41 %, t. j. o 92 589 tis. eur. Vlastné zdroje predstavujú 244 488 tis. eur, prostriedky EÚ vrátane spolufinancovania zo ŠR sú naplánované v objeme 948 970 tis. eur. Vlastné zdroje kapitoly rastú oproti predchádzajúcemu roku o 159 056 tis. eur, rast zdrojov predstavuje z veľkej časti navrhovaný príjem z odvodu z obchodných reťazcov. Všetky kategórie zaznamenávajú rast</w:t>
      </w:r>
      <w:r w:rsidR="00623B3F" w:rsidRPr="00C65CAA">
        <w:rPr>
          <w:rFonts w:ascii="Arial Narrow" w:eastAsia="Calibri" w:hAnsi="Arial Narrow"/>
          <w:sz w:val="22"/>
          <w:szCs w:val="22"/>
          <w:lang w:eastAsia="en-US"/>
        </w:rPr>
        <w:t>.</w:t>
      </w:r>
      <w:r w:rsidR="00B07EDA" w:rsidRPr="00C65CAA">
        <w:rPr>
          <w:rFonts w:ascii="Arial Narrow" w:eastAsia="Calibri" w:hAnsi="Arial Narrow"/>
          <w:sz w:val="22"/>
          <w:szCs w:val="22"/>
          <w:lang w:eastAsia="en-US"/>
        </w:rPr>
        <w:t xml:space="preserve"> N</w:t>
      </w:r>
      <w:r w:rsidRPr="00C65CAA">
        <w:rPr>
          <w:rFonts w:ascii="Arial Narrow" w:eastAsia="Calibri" w:hAnsi="Arial Narrow"/>
          <w:sz w:val="22"/>
          <w:szCs w:val="22"/>
          <w:lang w:eastAsia="en-US"/>
        </w:rPr>
        <w:t xml:space="preserve">ajrýchlejšie rastie kategória tovary a služby </w:t>
      </w:r>
      <w:r w:rsidR="00623B3F" w:rsidRPr="00C65CAA">
        <w:rPr>
          <w:rFonts w:ascii="Arial Narrow" w:hAnsi="Arial Narrow"/>
          <w:sz w:val="22"/>
          <w:szCs w:val="22"/>
        </w:rPr>
        <w:t xml:space="preserve">– </w:t>
      </w:r>
      <w:r w:rsidRPr="00C65CAA">
        <w:rPr>
          <w:rFonts w:ascii="Arial Narrow" w:eastAsia="Calibri" w:hAnsi="Arial Narrow"/>
          <w:sz w:val="22"/>
          <w:szCs w:val="22"/>
          <w:lang w:eastAsia="en-US"/>
        </w:rPr>
        <w:t>o 118</w:t>
      </w:r>
      <w:r w:rsidR="00B07EDA" w:rsidRPr="00C65CAA">
        <w:rPr>
          <w:rFonts w:ascii="Arial Narrow" w:eastAsia="Calibri" w:hAnsi="Arial Narrow"/>
          <w:sz w:val="22"/>
          <w:szCs w:val="22"/>
          <w:lang w:eastAsia="en-US"/>
        </w:rPr>
        <w:t> </w:t>
      </w:r>
      <w:r w:rsidRPr="00C65CAA">
        <w:rPr>
          <w:rFonts w:ascii="Arial Narrow" w:eastAsia="Calibri" w:hAnsi="Arial Narrow"/>
          <w:sz w:val="22"/>
          <w:szCs w:val="22"/>
          <w:lang w:eastAsia="en-US"/>
        </w:rPr>
        <w:t>928</w:t>
      </w:r>
      <w:r w:rsidR="00B07EDA" w:rsidRPr="00C65CAA">
        <w:rPr>
          <w:rFonts w:ascii="Arial Narrow" w:eastAsia="Calibri" w:hAnsi="Arial Narrow"/>
          <w:sz w:val="22"/>
          <w:szCs w:val="22"/>
          <w:lang w:eastAsia="en-US"/>
        </w:rPr>
        <w:t xml:space="preserve"> tis. eur</w:t>
      </w:r>
      <w:r w:rsidRPr="00C65CAA">
        <w:rPr>
          <w:rFonts w:ascii="Arial Narrow" w:eastAsia="Calibri" w:hAnsi="Arial Narrow"/>
          <w:sz w:val="22"/>
          <w:szCs w:val="22"/>
          <w:lang w:eastAsia="en-US"/>
        </w:rPr>
        <w:t xml:space="preserve">, a kategória bežných transferov </w:t>
      </w:r>
      <w:r w:rsidR="00623B3F" w:rsidRPr="00C65CAA">
        <w:rPr>
          <w:rFonts w:ascii="Arial Narrow" w:hAnsi="Arial Narrow"/>
          <w:sz w:val="22"/>
          <w:szCs w:val="22"/>
        </w:rPr>
        <w:t xml:space="preserve">– </w:t>
      </w:r>
      <w:r w:rsidRPr="00C65CAA">
        <w:rPr>
          <w:rFonts w:ascii="Arial Narrow" w:eastAsia="Calibri" w:hAnsi="Arial Narrow"/>
          <w:sz w:val="22"/>
          <w:szCs w:val="22"/>
          <w:lang w:eastAsia="en-US"/>
        </w:rPr>
        <w:t xml:space="preserve">o 36 429 tis. eur oproti RVS 2018.  </w:t>
      </w:r>
    </w:p>
    <w:p w:rsidR="00EB59B2" w:rsidRPr="00C65CAA" w:rsidRDefault="00EB59B2" w:rsidP="007809C2">
      <w:pPr>
        <w:spacing w:before="120" w:after="120"/>
        <w:ind w:firstLine="709"/>
        <w:jc w:val="both"/>
        <w:rPr>
          <w:rFonts w:ascii="Arial Narrow" w:eastAsia="Calibri" w:hAnsi="Arial Narrow"/>
          <w:sz w:val="22"/>
          <w:szCs w:val="22"/>
          <w:lang w:eastAsia="en-US"/>
        </w:rPr>
      </w:pPr>
      <w:r w:rsidRPr="00C65CAA">
        <w:rPr>
          <w:rFonts w:ascii="Arial Narrow" w:eastAsia="Calibri" w:hAnsi="Arial Narrow"/>
          <w:sz w:val="22"/>
          <w:szCs w:val="22"/>
          <w:lang w:eastAsia="en-US"/>
        </w:rPr>
        <w:t>Celkové príjmy kapitoly sú plánované na rok 2</w:t>
      </w:r>
      <w:r w:rsidR="00095372" w:rsidRPr="00C65CAA">
        <w:rPr>
          <w:rFonts w:ascii="Arial Narrow" w:eastAsia="Calibri" w:hAnsi="Arial Narrow"/>
          <w:sz w:val="22"/>
          <w:szCs w:val="22"/>
          <w:lang w:eastAsia="en-US"/>
        </w:rPr>
        <w:t xml:space="preserve">019 v objeme 829 678 tis. eur, </w:t>
      </w:r>
      <w:r w:rsidRPr="00C65CAA">
        <w:rPr>
          <w:rFonts w:ascii="Arial Narrow" w:eastAsia="Calibri" w:hAnsi="Arial Narrow"/>
          <w:sz w:val="22"/>
          <w:szCs w:val="22"/>
          <w:lang w:eastAsia="en-US"/>
        </w:rPr>
        <w:t>z toho záväzný ukazovateľ v sume 15 352 tis. eur. Základnými príjmami je odvod zo štátneho podniku Lesy</w:t>
      </w:r>
      <w:r w:rsidR="00623B3F" w:rsidRPr="00C65CAA">
        <w:rPr>
          <w:rFonts w:ascii="Arial Narrow" w:eastAsia="Calibri" w:hAnsi="Arial Narrow"/>
          <w:sz w:val="22"/>
          <w:szCs w:val="22"/>
          <w:lang w:eastAsia="en-US"/>
        </w:rPr>
        <w:t>,</w:t>
      </w:r>
      <w:r w:rsidRPr="00C65CAA">
        <w:rPr>
          <w:rFonts w:ascii="Arial Narrow" w:eastAsia="Calibri" w:hAnsi="Arial Narrow"/>
          <w:sz w:val="22"/>
          <w:szCs w:val="22"/>
          <w:lang w:eastAsia="en-US"/>
        </w:rPr>
        <w:t xml:space="preserve"> š.</w:t>
      </w:r>
      <w:r w:rsidR="00095372" w:rsidRPr="00C65CAA">
        <w:rPr>
          <w:rFonts w:ascii="Arial Narrow" w:eastAsia="Calibri" w:hAnsi="Arial Narrow"/>
          <w:sz w:val="22"/>
          <w:szCs w:val="22"/>
          <w:lang w:eastAsia="en-US"/>
        </w:rPr>
        <w:t xml:space="preserve"> p.</w:t>
      </w:r>
      <w:r w:rsidR="00623B3F" w:rsidRPr="00C65CAA">
        <w:rPr>
          <w:rFonts w:ascii="Arial Narrow" w:eastAsia="Calibri" w:hAnsi="Arial Narrow"/>
          <w:sz w:val="22"/>
          <w:szCs w:val="22"/>
          <w:lang w:eastAsia="en-US"/>
        </w:rPr>
        <w:t>,</w:t>
      </w:r>
      <w:r w:rsidR="00095372" w:rsidRPr="00C65CAA">
        <w:rPr>
          <w:rFonts w:ascii="Arial Narrow" w:eastAsia="Calibri" w:hAnsi="Arial Narrow"/>
          <w:sz w:val="22"/>
          <w:szCs w:val="22"/>
          <w:lang w:eastAsia="en-US"/>
        </w:rPr>
        <w:t xml:space="preserve"> naplánovaný v objeme 5 000 </w:t>
      </w:r>
      <w:r w:rsidR="008830F2" w:rsidRPr="00C65CAA">
        <w:rPr>
          <w:rFonts w:ascii="Arial Narrow" w:eastAsia="Calibri" w:hAnsi="Arial Narrow"/>
          <w:sz w:val="22"/>
          <w:szCs w:val="22"/>
          <w:lang w:eastAsia="en-US"/>
        </w:rPr>
        <w:t>tis. eur,</w:t>
      </w:r>
      <w:r w:rsidRPr="00C65CAA">
        <w:rPr>
          <w:rFonts w:ascii="Arial Narrow" w:eastAsia="Calibri" w:hAnsi="Arial Narrow"/>
          <w:sz w:val="22"/>
          <w:szCs w:val="22"/>
          <w:lang w:eastAsia="en-US"/>
        </w:rPr>
        <w:t xml:space="preserve"> príjmy za administratívne poplatky z ŠVaPS SR v 7 950 tis. eur, a prevod zisku z SPF v objeme </w:t>
      </w:r>
      <w:r w:rsidRPr="00C65CAA">
        <w:rPr>
          <w:rFonts w:ascii="Arial Narrow" w:eastAsia="Calibri" w:hAnsi="Arial Narrow"/>
          <w:sz w:val="22"/>
          <w:szCs w:val="22"/>
          <w:lang w:eastAsia="en-US"/>
        </w:rPr>
        <w:lastRenderedPageBreak/>
        <w:t xml:space="preserve">1 500 tis. eur. Plnenie záväzného ukazovateľa príjmov </w:t>
      </w:r>
      <w:r w:rsidR="00095372" w:rsidRPr="00C65CAA">
        <w:rPr>
          <w:rFonts w:ascii="Arial Narrow" w:eastAsia="Calibri" w:hAnsi="Arial Narrow"/>
          <w:sz w:val="22"/>
          <w:szCs w:val="22"/>
          <w:lang w:eastAsia="en-US"/>
        </w:rPr>
        <w:t>k 24.</w:t>
      </w:r>
      <w:r w:rsidR="00623B3F" w:rsidRPr="00C65CAA">
        <w:rPr>
          <w:rFonts w:ascii="Arial Narrow" w:eastAsia="Calibri" w:hAnsi="Arial Narrow"/>
          <w:sz w:val="22"/>
          <w:szCs w:val="22"/>
          <w:lang w:eastAsia="en-US"/>
        </w:rPr>
        <w:t xml:space="preserve"> </w:t>
      </w:r>
      <w:r w:rsidR="00095372" w:rsidRPr="00C65CAA">
        <w:rPr>
          <w:rFonts w:ascii="Arial Narrow" w:eastAsia="Calibri" w:hAnsi="Arial Narrow"/>
          <w:sz w:val="22"/>
          <w:szCs w:val="22"/>
          <w:lang w:eastAsia="en-US"/>
        </w:rPr>
        <w:t>10.</w:t>
      </w:r>
      <w:r w:rsidR="00623B3F" w:rsidRPr="00C65CAA">
        <w:rPr>
          <w:rFonts w:ascii="Arial Narrow" w:eastAsia="Calibri" w:hAnsi="Arial Narrow"/>
          <w:sz w:val="22"/>
          <w:szCs w:val="22"/>
          <w:lang w:eastAsia="en-US"/>
        </w:rPr>
        <w:t xml:space="preserve"> </w:t>
      </w:r>
      <w:r w:rsidR="00095372" w:rsidRPr="00C65CAA">
        <w:rPr>
          <w:rFonts w:ascii="Arial Narrow" w:eastAsia="Calibri" w:hAnsi="Arial Narrow"/>
          <w:sz w:val="22"/>
          <w:szCs w:val="22"/>
          <w:lang w:eastAsia="en-US"/>
        </w:rPr>
        <w:t>2018 predstavuje</w:t>
      </w:r>
      <w:r w:rsidRPr="00C65CAA">
        <w:rPr>
          <w:rFonts w:ascii="Arial Narrow" w:eastAsia="Calibri" w:hAnsi="Arial Narrow"/>
          <w:sz w:val="22"/>
          <w:szCs w:val="22"/>
          <w:lang w:eastAsia="en-US"/>
        </w:rPr>
        <w:t xml:space="preserve"> 70</w:t>
      </w:r>
      <w:r w:rsidR="00623B3F" w:rsidRPr="00C65CAA">
        <w:rPr>
          <w:rFonts w:ascii="Arial Narrow" w:eastAsia="Calibri" w:hAnsi="Arial Narrow"/>
          <w:sz w:val="22"/>
          <w:szCs w:val="22"/>
          <w:lang w:eastAsia="en-US"/>
        </w:rPr>
        <w:t xml:space="preserve"> </w:t>
      </w:r>
      <w:r w:rsidRPr="00C65CAA">
        <w:rPr>
          <w:rFonts w:ascii="Arial Narrow" w:eastAsia="Calibri" w:hAnsi="Arial Narrow"/>
          <w:sz w:val="22"/>
          <w:szCs w:val="22"/>
          <w:lang w:eastAsia="en-US"/>
        </w:rPr>
        <w:t>%</w:t>
      </w:r>
      <w:r w:rsidR="008830F2" w:rsidRPr="00C65CAA">
        <w:rPr>
          <w:rFonts w:ascii="Arial Narrow" w:eastAsia="Calibri" w:hAnsi="Arial Narrow"/>
          <w:sz w:val="22"/>
          <w:szCs w:val="22"/>
          <w:lang w:eastAsia="en-US"/>
        </w:rPr>
        <w:t xml:space="preserve"> z plánovaných 13 761 tis. </w:t>
      </w:r>
      <w:r w:rsidRPr="00C65CAA">
        <w:rPr>
          <w:rFonts w:ascii="Arial Narrow" w:eastAsia="Calibri" w:hAnsi="Arial Narrow"/>
          <w:sz w:val="22"/>
          <w:szCs w:val="22"/>
          <w:lang w:eastAsia="en-US"/>
        </w:rPr>
        <w:t>eur.</w:t>
      </w:r>
      <w:r w:rsidR="00623B3F" w:rsidRPr="00C65CAA">
        <w:rPr>
          <w:rFonts w:ascii="Arial Narrow" w:eastAsia="Calibri" w:hAnsi="Arial Narrow"/>
          <w:sz w:val="22"/>
          <w:szCs w:val="22"/>
          <w:lang w:eastAsia="en-US"/>
        </w:rPr>
        <w:t xml:space="preserve"> Očakáva sa ešte platba</w:t>
      </w:r>
      <w:r w:rsidRPr="00C65CAA">
        <w:rPr>
          <w:rFonts w:ascii="Arial Narrow" w:eastAsia="Calibri" w:hAnsi="Arial Narrow"/>
          <w:sz w:val="22"/>
          <w:szCs w:val="22"/>
          <w:lang w:eastAsia="en-US"/>
        </w:rPr>
        <w:t xml:space="preserve"> zo štátneho podniku Lesy</w:t>
      </w:r>
      <w:r w:rsidR="00623B3F" w:rsidRPr="00C65CAA">
        <w:rPr>
          <w:rFonts w:ascii="Arial Narrow" w:eastAsia="Calibri" w:hAnsi="Arial Narrow"/>
          <w:sz w:val="22"/>
          <w:szCs w:val="22"/>
          <w:lang w:eastAsia="en-US"/>
        </w:rPr>
        <w:t>,</w:t>
      </w:r>
      <w:r w:rsidRPr="00C65CAA">
        <w:rPr>
          <w:rFonts w:ascii="Arial Narrow" w:eastAsia="Calibri" w:hAnsi="Arial Narrow"/>
          <w:sz w:val="22"/>
          <w:szCs w:val="22"/>
          <w:lang w:eastAsia="en-US"/>
        </w:rPr>
        <w:t xml:space="preserve"> š.</w:t>
      </w:r>
      <w:r w:rsidR="00095372" w:rsidRPr="00C65CAA">
        <w:rPr>
          <w:rFonts w:ascii="Arial Narrow" w:eastAsia="Calibri" w:hAnsi="Arial Narrow"/>
          <w:sz w:val="22"/>
          <w:szCs w:val="22"/>
          <w:lang w:eastAsia="en-US"/>
        </w:rPr>
        <w:t xml:space="preserve"> p.</w:t>
      </w:r>
      <w:r w:rsidRPr="00C65CAA">
        <w:rPr>
          <w:rFonts w:ascii="Arial Narrow" w:eastAsia="Calibri" w:hAnsi="Arial Narrow"/>
          <w:sz w:val="22"/>
          <w:szCs w:val="22"/>
          <w:lang w:eastAsia="en-US"/>
        </w:rPr>
        <w:t>, no vývoj administratívnych poplatkov ŠVaPS SR ukazuje, že nemusia byť splnené. Na základe vývoja v príjmove</w:t>
      </w:r>
      <w:r w:rsidR="008830F2" w:rsidRPr="00C65CAA">
        <w:rPr>
          <w:rFonts w:ascii="Arial Narrow" w:eastAsia="Calibri" w:hAnsi="Arial Narrow"/>
          <w:sz w:val="22"/>
          <w:szCs w:val="22"/>
          <w:lang w:eastAsia="en-US"/>
        </w:rPr>
        <w:t>j oblasti možno konštatovať, že </w:t>
      </w:r>
      <w:r w:rsidRPr="00C65CAA">
        <w:rPr>
          <w:rFonts w:ascii="Arial Narrow" w:eastAsia="Calibri" w:hAnsi="Arial Narrow"/>
          <w:sz w:val="22"/>
          <w:szCs w:val="22"/>
          <w:lang w:eastAsia="en-US"/>
        </w:rPr>
        <w:t xml:space="preserve">navrhovaný rozpočet je ambiciózny a kapitola ho v roku 2019 </w:t>
      </w:r>
      <w:r w:rsidR="00095372" w:rsidRPr="00C65CAA">
        <w:rPr>
          <w:rFonts w:ascii="Arial Narrow" w:eastAsia="Calibri" w:hAnsi="Arial Narrow"/>
          <w:sz w:val="22"/>
          <w:szCs w:val="22"/>
          <w:lang w:eastAsia="en-US"/>
        </w:rPr>
        <w:t>n</w:t>
      </w:r>
      <w:r w:rsidRPr="00C65CAA">
        <w:rPr>
          <w:rFonts w:ascii="Arial Narrow" w:eastAsia="Calibri" w:hAnsi="Arial Narrow"/>
          <w:sz w:val="22"/>
          <w:szCs w:val="22"/>
          <w:lang w:eastAsia="en-US"/>
        </w:rPr>
        <w:t>emusí splniť.</w:t>
      </w:r>
    </w:p>
    <w:p w:rsidR="00EB59B2" w:rsidRPr="00C65CAA" w:rsidRDefault="00EB59B2" w:rsidP="007809C2">
      <w:pPr>
        <w:spacing w:before="120" w:after="120"/>
        <w:ind w:firstLine="709"/>
        <w:jc w:val="both"/>
        <w:rPr>
          <w:rFonts w:ascii="Arial Narrow" w:eastAsia="Calibri" w:hAnsi="Arial Narrow"/>
          <w:sz w:val="22"/>
          <w:szCs w:val="22"/>
          <w:lang w:eastAsia="en-US"/>
        </w:rPr>
      </w:pPr>
      <w:r w:rsidRPr="00C65CAA">
        <w:rPr>
          <w:rFonts w:ascii="Arial Narrow" w:hAnsi="Arial Narrow"/>
          <w:sz w:val="22"/>
          <w:szCs w:val="22"/>
        </w:rPr>
        <w:t>Za posledné roky v rámci kontroly</w:t>
      </w:r>
      <w:r w:rsidR="008830F2" w:rsidRPr="00C65CAA">
        <w:rPr>
          <w:rFonts w:ascii="Arial Narrow" w:hAnsi="Arial Narrow"/>
          <w:sz w:val="22"/>
          <w:szCs w:val="22"/>
        </w:rPr>
        <w:t xml:space="preserve"> podmienok predaja potravín bolo</w:t>
      </w:r>
      <w:r w:rsidRPr="00C65CAA">
        <w:rPr>
          <w:rFonts w:ascii="Arial Narrow" w:hAnsi="Arial Narrow"/>
          <w:sz w:val="22"/>
          <w:szCs w:val="22"/>
        </w:rPr>
        <w:t xml:space="preserve">  </w:t>
      </w:r>
      <w:r w:rsidRPr="00C65CAA">
        <w:rPr>
          <w:rFonts w:ascii="Arial Narrow" w:eastAsia="Calibri" w:hAnsi="Arial Narrow"/>
          <w:sz w:val="22"/>
          <w:szCs w:val="22"/>
          <w:lang w:eastAsia="en-US"/>
        </w:rPr>
        <w:t xml:space="preserve">ŠVaPS SR udelených niekoľko </w:t>
      </w:r>
      <w:r w:rsidR="008830F2" w:rsidRPr="00C65CAA">
        <w:rPr>
          <w:rFonts w:ascii="Arial Narrow" w:eastAsia="Calibri" w:hAnsi="Arial Narrow"/>
          <w:sz w:val="22"/>
          <w:szCs w:val="22"/>
          <w:lang w:eastAsia="en-US"/>
        </w:rPr>
        <w:t xml:space="preserve">pokút, v hodnote viac ako milión eur. </w:t>
      </w:r>
      <w:r w:rsidRPr="00C65CAA">
        <w:rPr>
          <w:rFonts w:ascii="Arial Narrow" w:eastAsia="Calibri" w:hAnsi="Arial Narrow"/>
          <w:sz w:val="22"/>
          <w:szCs w:val="22"/>
          <w:lang w:eastAsia="en-US"/>
        </w:rPr>
        <w:t xml:space="preserve">Až na jednu výnimku nebola ani jedna z nich uhradená. O všetky sa vedú spory na rôznych úrovniach </w:t>
      </w:r>
      <w:r w:rsidR="00095372" w:rsidRPr="00C65CAA">
        <w:rPr>
          <w:rFonts w:ascii="Arial Narrow" w:eastAsia="Calibri" w:hAnsi="Arial Narrow"/>
          <w:sz w:val="22"/>
          <w:szCs w:val="22"/>
          <w:lang w:eastAsia="en-US"/>
        </w:rPr>
        <w:t xml:space="preserve">súdov. </w:t>
      </w:r>
    </w:p>
    <w:p w:rsidR="00EB59B2" w:rsidRPr="00C65CAA" w:rsidRDefault="00EB59B2" w:rsidP="007809C2">
      <w:pPr>
        <w:spacing w:before="120" w:after="120"/>
        <w:ind w:firstLine="709"/>
        <w:jc w:val="both"/>
        <w:rPr>
          <w:rFonts w:ascii="Arial Narrow" w:eastAsia="Calibri" w:hAnsi="Arial Narrow"/>
          <w:sz w:val="22"/>
          <w:szCs w:val="22"/>
          <w:lang w:eastAsia="en-US"/>
        </w:rPr>
      </w:pPr>
      <w:r w:rsidRPr="00C65CAA">
        <w:rPr>
          <w:rFonts w:ascii="Arial Narrow" w:eastAsia="Calibri" w:hAnsi="Arial Narrow"/>
          <w:sz w:val="22"/>
          <w:szCs w:val="22"/>
          <w:lang w:eastAsia="en-US"/>
        </w:rPr>
        <w:t xml:space="preserve">Súčasťou plánovaných príjmov a následne výdavkov sú aj príjmy zo zákona o osobitnom odvode obchodných reťazcov. Prímy a výdavky v predpokladanom objeme </w:t>
      </w:r>
      <w:r w:rsidR="00BF31E8" w:rsidRPr="00C65CAA">
        <w:rPr>
          <w:rFonts w:ascii="Arial Narrow" w:eastAsia="Calibri" w:hAnsi="Arial Narrow"/>
          <w:color w:val="000000"/>
          <w:sz w:val="22"/>
          <w:szCs w:val="22"/>
        </w:rPr>
        <w:t xml:space="preserve">118 504 </w:t>
      </w:r>
      <w:r w:rsidRPr="00C65CAA">
        <w:rPr>
          <w:rFonts w:ascii="Arial Narrow" w:eastAsia="Calibri" w:hAnsi="Arial Narrow"/>
          <w:sz w:val="22"/>
          <w:szCs w:val="22"/>
          <w:lang w:eastAsia="en-US"/>
        </w:rPr>
        <w:t>tis. eur, sú už rozpočtované v návrhu RVS na rok 2019, pričom konečná legislatí</w:t>
      </w:r>
      <w:r w:rsidR="00095372" w:rsidRPr="00C65CAA">
        <w:rPr>
          <w:rFonts w:ascii="Arial Narrow" w:eastAsia="Calibri" w:hAnsi="Arial Narrow"/>
          <w:sz w:val="22"/>
          <w:szCs w:val="22"/>
          <w:lang w:eastAsia="en-US"/>
        </w:rPr>
        <w:t>vna podoba zákona nie je známa.</w:t>
      </w:r>
      <w:r w:rsidRPr="00C65CAA">
        <w:rPr>
          <w:rFonts w:ascii="Arial Narrow" w:eastAsia="Calibri" w:hAnsi="Arial Narrow"/>
          <w:sz w:val="22"/>
          <w:szCs w:val="22"/>
          <w:lang w:eastAsia="en-US"/>
        </w:rPr>
        <w:t xml:space="preserve"> V návrhu zákona chýba dopadová štúdia, či sa o</w:t>
      </w:r>
      <w:r w:rsidR="00095372" w:rsidRPr="00C65CAA">
        <w:rPr>
          <w:rFonts w:ascii="Arial Narrow" w:eastAsia="Calibri" w:hAnsi="Arial Narrow"/>
          <w:sz w:val="22"/>
          <w:szCs w:val="22"/>
          <w:lang w:eastAsia="en-US"/>
        </w:rPr>
        <w:t>dvod premietne do cien potravín</w:t>
      </w:r>
      <w:r w:rsidRPr="00C65CAA">
        <w:rPr>
          <w:rFonts w:ascii="Arial Narrow" w:eastAsia="Calibri" w:hAnsi="Arial Narrow"/>
          <w:sz w:val="22"/>
          <w:szCs w:val="22"/>
          <w:lang w:eastAsia="en-US"/>
        </w:rPr>
        <w:t>, alebo nie. Časť odvodu si ponechá MF SR, a zníži sa o to daňová povinnosť z</w:t>
      </w:r>
      <w:r w:rsidR="00095372" w:rsidRPr="00C65CAA">
        <w:rPr>
          <w:rFonts w:ascii="Arial Narrow" w:eastAsia="Calibri" w:hAnsi="Arial Narrow"/>
          <w:sz w:val="22"/>
          <w:szCs w:val="22"/>
          <w:lang w:eastAsia="en-US"/>
        </w:rPr>
        <w:t> </w:t>
      </w:r>
      <w:r w:rsidRPr="00C65CAA">
        <w:rPr>
          <w:rFonts w:ascii="Arial Narrow" w:eastAsia="Calibri" w:hAnsi="Arial Narrow"/>
          <w:sz w:val="22"/>
          <w:szCs w:val="22"/>
          <w:lang w:eastAsia="en-US"/>
        </w:rPr>
        <w:t>DPPO</w:t>
      </w:r>
      <w:r w:rsidR="00095372" w:rsidRPr="00C65CAA">
        <w:rPr>
          <w:rFonts w:ascii="Arial Narrow" w:eastAsia="Calibri" w:hAnsi="Arial Narrow"/>
          <w:sz w:val="22"/>
          <w:szCs w:val="22"/>
          <w:lang w:eastAsia="en-US"/>
        </w:rPr>
        <w:t xml:space="preserve"> obchodných</w:t>
      </w:r>
      <w:r w:rsidRPr="00C65CAA">
        <w:rPr>
          <w:rFonts w:ascii="Arial Narrow" w:eastAsia="Calibri" w:hAnsi="Arial Narrow"/>
          <w:sz w:val="22"/>
          <w:szCs w:val="22"/>
          <w:lang w:eastAsia="en-US"/>
        </w:rPr>
        <w:t xml:space="preserve"> reťazcov. Na strane výdavkov sa plánuje využitie prostriedkov na širokú podporu slovenských producentov poľnohospodárskych produktov. Rezort plánuje zároveň zriadiť rizikový fond, z ktorého by sa hradili straty farmárov z ťažko poistiteľných a nepoistiteľných rizík v poľnohospodárstve.</w:t>
      </w:r>
    </w:p>
    <w:p w:rsidR="00EB59B2" w:rsidRPr="00C65CAA" w:rsidRDefault="00EB59B2" w:rsidP="007809C2">
      <w:pPr>
        <w:spacing w:before="120" w:after="120"/>
        <w:ind w:firstLine="709"/>
        <w:jc w:val="both"/>
        <w:rPr>
          <w:rFonts w:ascii="Arial Narrow" w:hAnsi="Arial Narrow"/>
          <w:b/>
          <w:sz w:val="22"/>
          <w:szCs w:val="22"/>
        </w:rPr>
      </w:pPr>
      <w:r w:rsidRPr="00C65CAA">
        <w:rPr>
          <w:rFonts w:ascii="Arial Narrow" w:hAnsi="Arial Narrow"/>
          <w:b/>
          <w:sz w:val="22"/>
          <w:szCs w:val="22"/>
        </w:rPr>
        <w:t>NKÚ SR konštatuje</w:t>
      </w:r>
      <w:r w:rsidR="008830F2" w:rsidRPr="00C65CAA">
        <w:rPr>
          <w:rFonts w:ascii="Arial Narrow" w:hAnsi="Arial Narrow"/>
          <w:b/>
          <w:sz w:val="22"/>
          <w:szCs w:val="22"/>
        </w:rPr>
        <w:t>,</w:t>
      </w:r>
      <w:r w:rsidRPr="00C65CAA">
        <w:rPr>
          <w:rFonts w:ascii="Arial Narrow" w:hAnsi="Arial Narrow"/>
          <w:b/>
          <w:sz w:val="22"/>
          <w:szCs w:val="22"/>
        </w:rPr>
        <w:t xml:space="preserve"> že pri návrhu zákona nebola vypracovaná dostatočná analýza, akú časť nákladov na daň prenesú reťazce na konečných spotrebiteľov. Návrh zákona zakladá na strane výdavkov možnosti pridelenia prostriedkov – dotácií, bez jasných kritérií, pre výber poberateľov štátnej </w:t>
      </w:r>
      <w:r w:rsidR="00095372" w:rsidRPr="00C65CAA">
        <w:rPr>
          <w:rFonts w:ascii="Arial Narrow" w:hAnsi="Arial Narrow"/>
          <w:b/>
          <w:sz w:val="22"/>
          <w:szCs w:val="22"/>
        </w:rPr>
        <w:t>podpory.</w:t>
      </w:r>
    </w:p>
    <w:p w:rsidR="00EB59B2" w:rsidRPr="00C65CAA" w:rsidRDefault="00EB59B2" w:rsidP="007809C2">
      <w:pPr>
        <w:spacing w:before="120" w:after="120"/>
        <w:ind w:firstLine="709"/>
        <w:jc w:val="both"/>
        <w:rPr>
          <w:rFonts w:ascii="Arial Narrow" w:eastAsia="Calibri" w:hAnsi="Arial Narrow"/>
          <w:sz w:val="22"/>
          <w:szCs w:val="22"/>
          <w:lang w:eastAsia="en-US"/>
        </w:rPr>
      </w:pPr>
      <w:r w:rsidRPr="00C65CAA">
        <w:rPr>
          <w:rFonts w:ascii="Arial Narrow" w:eastAsia="Calibri" w:hAnsi="Arial Narrow"/>
          <w:sz w:val="22"/>
          <w:szCs w:val="22"/>
          <w:lang w:eastAsia="en-US"/>
        </w:rPr>
        <w:t>S účinnosťou od 1. 7. 2018 bo</w:t>
      </w:r>
      <w:r w:rsidR="00C24AD1" w:rsidRPr="00C65CAA">
        <w:rPr>
          <w:rFonts w:ascii="Arial Narrow" w:eastAsia="Calibri" w:hAnsi="Arial Narrow"/>
          <w:sz w:val="22"/>
          <w:szCs w:val="22"/>
          <w:lang w:eastAsia="en-US"/>
        </w:rPr>
        <w:t>la zriadená Slovenská lesnícko-</w:t>
      </w:r>
      <w:r w:rsidRPr="00C65CAA">
        <w:rPr>
          <w:rFonts w:ascii="Arial Narrow" w:eastAsia="Calibri" w:hAnsi="Arial Narrow"/>
          <w:sz w:val="22"/>
          <w:szCs w:val="22"/>
          <w:lang w:eastAsia="en-US"/>
        </w:rPr>
        <w:t xml:space="preserve">drevárska inšpekcia, ktorá zabezpečuje kontrolovanie domácich fyzických a právnických osôb, ktoré uvádzajú drevo a výrobky z dreva na trh, dovozcov, obchodníkov a prepravcov dreva, a to na celom území SR. MPRV SR požadovalo na realizáciu kontroly zvýšenie limitu na 20 zamestnancov, po dohode s </w:t>
      </w:r>
      <w:r w:rsidR="00623B3F" w:rsidRPr="00C65CAA">
        <w:rPr>
          <w:rFonts w:ascii="Arial Narrow" w:eastAsia="Calibri" w:hAnsi="Arial Narrow"/>
          <w:sz w:val="22"/>
          <w:szCs w:val="22"/>
          <w:lang w:eastAsia="en-US"/>
        </w:rPr>
        <w:t>MF SR</w:t>
      </w:r>
      <w:r w:rsidRPr="00C65CAA">
        <w:rPr>
          <w:rFonts w:ascii="Arial Narrow" w:eastAsia="Calibri" w:hAnsi="Arial Narrow"/>
          <w:sz w:val="22"/>
          <w:szCs w:val="22"/>
          <w:lang w:eastAsia="en-US"/>
        </w:rPr>
        <w:t xml:space="preserve"> boli schválené prostriedky len pre 12 zamestnancov. Objem predpokladaných výdavkov je 419,9 tis. eur, zároveň sa predpokladá, že tú istú sumu vyberie re</w:t>
      </w:r>
      <w:r w:rsidR="00623B3F" w:rsidRPr="00C65CAA">
        <w:rPr>
          <w:rFonts w:ascii="Arial Narrow" w:eastAsia="Calibri" w:hAnsi="Arial Narrow"/>
          <w:sz w:val="22"/>
          <w:szCs w:val="22"/>
          <w:lang w:eastAsia="en-US"/>
        </w:rPr>
        <w:t>zort v rámci činnosti inšpekcie</w:t>
      </w:r>
      <w:r w:rsidRPr="00C65CAA">
        <w:rPr>
          <w:rFonts w:ascii="Arial Narrow" w:eastAsia="Calibri" w:hAnsi="Arial Narrow"/>
          <w:sz w:val="22"/>
          <w:szCs w:val="22"/>
          <w:lang w:eastAsia="en-US"/>
        </w:rPr>
        <w:t xml:space="preserve"> na pokutách. V návrhu RVS 2019 je plánovaný príjem znížený na 92 tis. eur. Z výsledkov činnosti inšpekcie sa ukazuje, že je nedostatočne personálne zabezpečená, a nedokáže realizovať kontrolu obchodu s nelegálne vyťaženým drevom, zároveň tak vzniká predpoklad</w:t>
      </w:r>
      <w:r w:rsidR="00623B3F" w:rsidRPr="00C65CAA">
        <w:rPr>
          <w:rFonts w:ascii="Arial Narrow" w:eastAsia="Calibri" w:hAnsi="Arial Narrow"/>
          <w:sz w:val="22"/>
          <w:szCs w:val="22"/>
          <w:lang w:eastAsia="en-US"/>
        </w:rPr>
        <w:t>,</w:t>
      </w:r>
      <w:r w:rsidRPr="00C65CAA">
        <w:rPr>
          <w:rFonts w:ascii="Arial Narrow" w:eastAsia="Calibri" w:hAnsi="Arial Narrow"/>
          <w:sz w:val="22"/>
          <w:szCs w:val="22"/>
          <w:lang w:eastAsia="en-US"/>
        </w:rPr>
        <w:t xml:space="preserve"> že prí</w:t>
      </w:r>
      <w:r w:rsidR="00540827" w:rsidRPr="00C65CAA">
        <w:rPr>
          <w:rFonts w:ascii="Arial Narrow" w:eastAsia="Calibri" w:hAnsi="Arial Narrow"/>
          <w:sz w:val="22"/>
          <w:szCs w:val="22"/>
          <w:lang w:eastAsia="en-US"/>
        </w:rPr>
        <w:t>j</w:t>
      </w:r>
      <w:r w:rsidRPr="00C65CAA">
        <w:rPr>
          <w:rFonts w:ascii="Arial Narrow" w:eastAsia="Calibri" w:hAnsi="Arial Narrow"/>
          <w:sz w:val="22"/>
          <w:szCs w:val="22"/>
          <w:lang w:eastAsia="en-US"/>
        </w:rPr>
        <w:t xml:space="preserve">my nebudú naplnené. </w:t>
      </w:r>
    </w:p>
    <w:p w:rsidR="00EB59B2" w:rsidRPr="00C65CAA" w:rsidRDefault="00EB59B2" w:rsidP="007809C2">
      <w:pPr>
        <w:spacing w:before="120" w:after="120"/>
        <w:ind w:firstLine="709"/>
        <w:jc w:val="both"/>
        <w:rPr>
          <w:rFonts w:ascii="Arial Narrow" w:eastAsia="Calibri" w:hAnsi="Arial Narrow"/>
          <w:b/>
          <w:sz w:val="22"/>
          <w:szCs w:val="22"/>
          <w:lang w:eastAsia="en-US"/>
        </w:rPr>
      </w:pPr>
      <w:r w:rsidRPr="00C65CAA">
        <w:rPr>
          <w:rFonts w:ascii="Arial Narrow" w:hAnsi="Arial Narrow"/>
          <w:sz w:val="22"/>
          <w:szCs w:val="22"/>
        </w:rPr>
        <w:t xml:space="preserve">Pri zostavovaní rozpočtu nedošlo k navýšeniu prostriedkov na IT systémy, pričom tento problém nebol riešený ani v návrhu RVS 2018. </w:t>
      </w:r>
      <w:r w:rsidRPr="00C65CAA">
        <w:rPr>
          <w:rFonts w:ascii="Arial Narrow" w:hAnsi="Arial Narrow"/>
          <w:b/>
          <w:sz w:val="22"/>
          <w:szCs w:val="22"/>
        </w:rPr>
        <w:t>Ide o finančné prostriedky pre PPA z dôvodu legislatívnych nariadení EÚ na zabezpečenie technologickej platformy, IS Geopriestorová žiadosť o podporu a centrálne riešenie</w:t>
      </w:r>
      <w:r w:rsidR="00095372" w:rsidRPr="00C65CAA">
        <w:rPr>
          <w:rFonts w:ascii="Arial Narrow" w:hAnsi="Arial Narrow"/>
          <w:b/>
          <w:sz w:val="22"/>
          <w:szCs w:val="22"/>
        </w:rPr>
        <w:t xml:space="preserve"> a IS </w:t>
      </w:r>
      <w:r w:rsidRPr="00C65CAA">
        <w:rPr>
          <w:rFonts w:ascii="Arial Narrow" w:hAnsi="Arial Narrow"/>
          <w:b/>
          <w:sz w:val="22"/>
          <w:szCs w:val="22"/>
        </w:rPr>
        <w:t>Správa registratúry.</w:t>
      </w:r>
      <w:r w:rsidRPr="00C65CAA">
        <w:rPr>
          <w:rFonts w:ascii="Arial Narrow" w:hAnsi="Arial Narrow"/>
          <w:sz w:val="22"/>
          <w:szCs w:val="22"/>
        </w:rPr>
        <w:t xml:space="preserve"> PPA zatiaľ nemá vyvinutý systém na elektronické podávanie žiadostí, pričom situácia je alarmujúca, </w:t>
      </w:r>
      <w:r w:rsidR="009E20E8" w:rsidRPr="00C65CAA">
        <w:rPr>
          <w:rFonts w:ascii="Arial Narrow" w:hAnsi="Arial Narrow"/>
          <w:sz w:val="22"/>
          <w:szCs w:val="22"/>
        </w:rPr>
        <w:t>pretože</w:t>
      </w:r>
      <w:r w:rsidRPr="00C65CAA">
        <w:rPr>
          <w:rFonts w:ascii="Arial Narrow" w:hAnsi="Arial Narrow"/>
          <w:sz w:val="22"/>
          <w:szCs w:val="22"/>
        </w:rPr>
        <w:t xml:space="preserve"> prevažná väčšina členských krajín EÚ túto možnosť využíva. Návrh na realizáciu bol schválený Úradom podpredsedu vlády SR pre investície a informatizáciu, financovanie doteraz nebolo</w:t>
      </w:r>
      <w:r w:rsidR="009E20E8" w:rsidRPr="00C65CAA">
        <w:rPr>
          <w:rFonts w:ascii="Arial Narrow" w:hAnsi="Arial Narrow"/>
          <w:sz w:val="22"/>
          <w:szCs w:val="22"/>
        </w:rPr>
        <w:t xml:space="preserve"> schválené (</w:t>
      </w:r>
      <w:r w:rsidRPr="00C65CAA">
        <w:rPr>
          <w:rFonts w:ascii="Arial Narrow" w:hAnsi="Arial Narrow"/>
          <w:sz w:val="22"/>
          <w:szCs w:val="22"/>
        </w:rPr>
        <w:t>predložené rozpočtové opat</w:t>
      </w:r>
      <w:r w:rsidR="008830F2" w:rsidRPr="00C65CAA">
        <w:rPr>
          <w:rFonts w:ascii="Arial Narrow" w:hAnsi="Arial Narrow"/>
          <w:sz w:val="22"/>
          <w:szCs w:val="22"/>
        </w:rPr>
        <w:t>renie nebolo schválené MF SR), p</w:t>
      </w:r>
      <w:r w:rsidRPr="00C65CAA">
        <w:rPr>
          <w:rFonts w:ascii="Arial Narrow" w:hAnsi="Arial Narrow"/>
          <w:sz w:val="22"/>
          <w:szCs w:val="22"/>
        </w:rPr>
        <w:t>ričom PPA administruje prostriedky z</w:t>
      </w:r>
      <w:r w:rsidR="008830F2" w:rsidRPr="00C65CAA">
        <w:rPr>
          <w:rFonts w:ascii="Arial Narrow" w:hAnsi="Arial Narrow"/>
          <w:sz w:val="22"/>
          <w:szCs w:val="22"/>
        </w:rPr>
        <w:t xml:space="preserve"> EÚ </w:t>
      </w:r>
      <w:r w:rsidRPr="00C65CAA">
        <w:rPr>
          <w:rFonts w:ascii="Arial Narrow" w:hAnsi="Arial Narrow"/>
          <w:sz w:val="22"/>
          <w:szCs w:val="22"/>
        </w:rPr>
        <w:t>fondov v objeme 5 226 463 tis. eur. Na to, aby PPA spĺňala prísne akreditačné kritériá a mohla naďalej vykonávať svoje kompetencie, je potrebné uskutočniť koncepčné zmeny, ktoré sú zosúladené s cieľmi informatizácie verejnej správy a legislatívnymi požiadavkami EÚ a SR.</w:t>
      </w:r>
      <w:r w:rsidR="00095372" w:rsidRPr="00C65CAA">
        <w:rPr>
          <w:rFonts w:ascii="Arial Narrow" w:hAnsi="Arial Narrow"/>
          <w:sz w:val="22"/>
          <w:szCs w:val="22"/>
        </w:rPr>
        <w:t xml:space="preserve"> </w:t>
      </w:r>
      <w:r w:rsidRPr="00C65CAA">
        <w:rPr>
          <w:rFonts w:ascii="Arial Narrow" w:hAnsi="Arial Narrow"/>
          <w:b/>
          <w:sz w:val="22"/>
          <w:szCs w:val="22"/>
        </w:rPr>
        <w:t>Z pohľadu NKÚ SR tak vzniká riziko, že bez zabezpečenia finančných prostriedkov pre PPA nebude agentúre udelená certifikácia a bude pozastavená možnosť vyplácania podpôr pre poľnohospodárov objeme 800 000 tis eur ročne.</w:t>
      </w:r>
    </w:p>
    <w:p w:rsidR="00226A8F" w:rsidRPr="00C65CAA" w:rsidRDefault="00226A8F" w:rsidP="007809C2">
      <w:pPr>
        <w:spacing w:before="120" w:after="120"/>
        <w:ind w:firstLine="709"/>
        <w:jc w:val="both"/>
        <w:rPr>
          <w:rFonts w:ascii="Arial Narrow" w:eastAsia="Calibri" w:hAnsi="Arial Narrow" w:cs="Calibri"/>
          <w:sz w:val="22"/>
          <w:szCs w:val="22"/>
          <w:lang w:eastAsia="en-US"/>
        </w:rPr>
      </w:pPr>
      <w:r w:rsidRPr="00C65CAA">
        <w:rPr>
          <w:rFonts w:ascii="Arial Narrow" w:eastAsia="Calibri" w:hAnsi="Arial Narrow" w:cs="Calibri"/>
          <w:sz w:val="22"/>
          <w:szCs w:val="22"/>
          <w:lang w:eastAsia="en-US"/>
        </w:rPr>
        <w:t xml:space="preserve">V programe </w:t>
      </w:r>
      <w:r w:rsidRPr="00C65CAA">
        <w:rPr>
          <w:rFonts w:ascii="Arial Narrow" w:eastAsia="Calibri" w:hAnsi="Arial Narrow" w:cs="Calibri"/>
          <w:b/>
          <w:bCs/>
          <w:sz w:val="22"/>
          <w:szCs w:val="22"/>
          <w:lang w:eastAsia="en-US"/>
        </w:rPr>
        <w:t>OP Rybné hospodárstvo 2014 – 2020</w:t>
      </w:r>
      <w:r w:rsidRPr="00C65CAA">
        <w:rPr>
          <w:rFonts w:ascii="Arial Narrow" w:eastAsia="Calibri" w:hAnsi="Arial Narrow" w:cs="Calibri"/>
          <w:sz w:val="22"/>
          <w:szCs w:val="22"/>
          <w:lang w:eastAsia="en-US"/>
        </w:rPr>
        <w:t xml:space="preserve"> sú na rok 2019 navrhnuté výdavky pre rok 2019 v objeme  4 068 tis. eur. Oproti roku 2018 je to nárast o 2 854 tis. eur (335</w:t>
      </w:r>
      <w:r w:rsidR="009E20E8" w:rsidRPr="00C65CAA">
        <w:rPr>
          <w:rFonts w:ascii="Arial Narrow" w:eastAsia="Calibri" w:hAnsi="Arial Narrow" w:cs="Calibri"/>
          <w:sz w:val="22"/>
          <w:szCs w:val="22"/>
          <w:lang w:eastAsia="en-US"/>
        </w:rPr>
        <w:t xml:space="preserve"> </w:t>
      </w:r>
      <w:r w:rsidRPr="00C65CAA">
        <w:rPr>
          <w:rFonts w:ascii="Arial Narrow" w:eastAsia="Calibri" w:hAnsi="Arial Narrow" w:cs="Calibri"/>
          <w:sz w:val="22"/>
          <w:szCs w:val="22"/>
          <w:lang w:eastAsia="en-US"/>
        </w:rPr>
        <w:t>%). Finančné prostriedky by sa mali použiť na modernizáciu existujúcich rybníkov, resp. dobudovanie a obstarávanie chýbajúcich technológií, infraštruktúry, zvyšovaním produkcie lososovitých druhov rýb a iných výrobných objektov. V súčasnosti tvoria kontrahované finančné prostriedky 3,61</w:t>
      </w:r>
      <w:r w:rsidR="009E20E8" w:rsidRPr="00C65CAA">
        <w:rPr>
          <w:rFonts w:ascii="Arial Narrow" w:eastAsia="Calibri" w:hAnsi="Arial Narrow" w:cs="Calibri"/>
          <w:sz w:val="22"/>
          <w:szCs w:val="22"/>
          <w:lang w:eastAsia="en-US"/>
        </w:rPr>
        <w:t xml:space="preserve"> </w:t>
      </w:r>
      <w:r w:rsidRPr="00C65CAA">
        <w:rPr>
          <w:rFonts w:ascii="Arial Narrow" w:eastAsia="Calibri" w:hAnsi="Arial Narrow" w:cs="Calibri"/>
          <w:sz w:val="22"/>
          <w:szCs w:val="22"/>
          <w:lang w:eastAsia="en-US"/>
        </w:rPr>
        <w:t>% a čerpanie je na úrovni 0,61</w:t>
      </w:r>
      <w:r w:rsidR="009E20E8" w:rsidRPr="00C65CAA">
        <w:rPr>
          <w:rFonts w:ascii="Arial Narrow" w:eastAsia="Calibri" w:hAnsi="Arial Narrow" w:cs="Calibri"/>
          <w:sz w:val="22"/>
          <w:szCs w:val="22"/>
          <w:lang w:eastAsia="en-US"/>
        </w:rPr>
        <w:t xml:space="preserve"> </w:t>
      </w:r>
      <w:r w:rsidRPr="00C65CAA">
        <w:rPr>
          <w:rFonts w:ascii="Arial Narrow" w:eastAsia="Calibri" w:hAnsi="Arial Narrow" w:cs="Calibri"/>
          <w:sz w:val="22"/>
          <w:szCs w:val="22"/>
          <w:lang w:eastAsia="en-US"/>
        </w:rPr>
        <w:t>%. NKÚ SR upozorňuje</w:t>
      </w:r>
      <w:r w:rsidR="009E20E8" w:rsidRPr="00C65CAA">
        <w:rPr>
          <w:rFonts w:ascii="Arial Narrow" w:eastAsia="Calibri" w:hAnsi="Arial Narrow" w:cs="Calibri"/>
          <w:sz w:val="22"/>
          <w:szCs w:val="22"/>
          <w:lang w:eastAsia="en-US"/>
        </w:rPr>
        <w:t>,</w:t>
      </w:r>
      <w:r w:rsidRPr="00C65CAA">
        <w:rPr>
          <w:rFonts w:ascii="Arial Narrow" w:eastAsia="Calibri" w:hAnsi="Arial Narrow" w:cs="Calibri"/>
          <w:sz w:val="22"/>
          <w:szCs w:val="22"/>
          <w:lang w:eastAsia="en-US"/>
        </w:rPr>
        <w:t xml:space="preserve"> že vzhľadom </w:t>
      </w:r>
      <w:r w:rsidR="009E20E8" w:rsidRPr="00C65CAA">
        <w:rPr>
          <w:rFonts w:ascii="Arial Narrow" w:eastAsia="Calibri" w:hAnsi="Arial Narrow" w:cs="Calibri"/>
          <w:sz w:val="22"/>
          <w:szCs w:val="22"/>
          <w:lang w:eastAsia="en-US"/>
        </w:rPr>
        <w:t>na problém</w:t>
      </w:r>
      <w:r w:rsidRPr="00C65CAA">
        <w:rPr>
          <w:rFonts w:ascii="Arial Narrow" w:eastAsia="Calibri" w:hAnsi="Arial Narrow" w:cs="Calibri"/>
          <w:sz w:val="22"/>
          <w:szCs w:val="22"/>
          <w:lang w:eastAsia="en-US"/>
        </w:rPr>
        <w:t>  s čerpaním OP rybné hospodárstvo 2007 – 2013</w:t>
      </w:r>
      <w:r w:rsidR="009E20E8" w:rsidRPr="00C65CAA">
        <w:rPr>
          <w:rFonts w:ascii="Arial Narrow" w:eastAsia="Calibri" w:hAnsi="Arial Narrow" w:cs="Calibri"/>
          <w:sz w:val="22"/>
          <w:szCs w:val="22"/>
          <w:lang w:eastAsia="en-US"/>
        </w:rPr>
        <w:t>,</w:t>
      </w:r>
      <w:r w:rsidRPr="00C65CAA">
        <w:rPr>
          <w:rFonts w:ascii="Arial Narrow" w:eastAsia="Calibri" w:hAnsi="Arial Narrow" w:cs="Calibri"/>
          <w:sz w:val="22"/>
          <w:szCs w:val="22"/>
          <w:lang w:eastAsia="en-US"/>
        </w:rPr>
        <w:t xml:space="preserve"> kedy sa podporovalo zakladanie rybochovných zariadení sú stanovené ciele OP Rybné hospodárstvo 2014 – 2020 ťažko dosiahnuteľné</w:t>
      </w:r>
      <w:r w:rsidR="009E20E8" w:rsidRPr="00C65CAA">
        <w:rPr>
          <w:rFonts w:ascii="Arial Narrow" w:eastAsia="Calibri" w:hAnsi="Arial Narrow" w:cs="Calibri"/>
          <w:sz w:val="22"/>
          <w:szCs w:val="22"/>
          <w:lang w:eastAsia="en-US"/>
        </w:rPr>
        <w:t>, a to</w:t>
      </w:r>
      <w:r w:rsidRPr="00C65CAA">
        <w:rPr>
          <w:rFonts w:ascii="Arial Narrow" w:eastAsia="Calibri" w:hAnsi="Arial Narrow" w:cs="Calibri"/>
          <w:sz w:val="22"/>
          <w:szCs w:val="22"/>
          <w:lang w:eastAsia="en-US"/>
        </w:rPr>
        <w:t xml:space="preserve"> najmä kvôli malej základni potenciálnych prijímateľov. Implementácia programu prebehla s oneskorením a stanovené ciele v predchádzajúcich rokoch sa nepodarilo dosiahnuť</w:t>
      </w:r>
      <w:r w:rsidR="009E20E8" w:rsidRPr="00C65CAA">
        <w:rPr>
          <w:rFonts w:ascii="Arial Narrow" w:eastAsia="Calibri" w:hAnsi="Arial Narrow" w:cs="Calibri"/>
          <w:sz w:val="22"/>
          <w:szCs w:val="22"/>
          <w:lang w:eastAsia="en-US"/>
        </w:rPr>
        <w:t>,</w:t>
      </w:r>
      <w:r w:rsidRPr="00C65CAA">
        <w:rPr>
          <w:rFonts w:ascii="Arial Narrow" w:eastAsia="Calibri" w:hAnsi="Arial Narrow" w:cs="Calibri"/>
          <w:sz w:val="22"/>
          <w:szCs w:val="22"/>
          <w:lang w:eastAsia="en-US"/>
        </w:rPr>
        <w:t xml:space="preserve"> a s</w:t>
      </w:r>
      <w:r w:rsidR="009E20E8" w:rsidRPr="00C65CAA">
        <w:rPr>
          <w:rFonts w:ascii="Arial Narrow" w:eastAsia="Calibri" w:hAnsi="Arial Narrow" w:cs="Calibri"/>
          <w:sz w:val="22"/>
          <w:szCs w:val="22"/>
          <w:lang w:eastAsia="en-US"/>
        </w:rPr>
        <w:t> </w:t>
      </w:r>
      <w:r w:rsidRPr="00C65CAA">
        <w:rPr>
          <w:rFonts w:ascii="Arial Narrow" w:eastAsia="Calibri" w:hAnsi="Arial Narrow" w:cs="Calibri"/>
          <w:sz w:val="22"/>
          <w:szCs w:val="22"/>
          <w:lang w:eastAsia="en-US"/>
        </w:rPr>
        <w:t>tým</w:t>
      </w:r>
      <w:r w:rsidR="009E20E8" w:rsidRPr="00C65CAA">
        <w:rPr>
          <w:rFonts w:ascii="Arial Narrow" w:eastAsia="Calibri" w:hAnsi="Arial Narrow" w:cs="Calibri"/>
          <w:sz w:val="22"/>
          <w:szCs w:val="22"/>
          <w:lang w:eastAsia="en-US"/>
        </w:rPr>
        <w:t>, samozrejme,</w:t>
      </w:r>
      <w:r w:rsidRPr="00C65CAA">
        <w:rPr>
          <w:rFonts w:ascii="Arial Narrow" w:eastAsia="Calibri" w:hAnsi="Arial Narrow" w:cs="Calibri"/>
          <w:sz w:val="22"/>
          <w:szCs w:val="22"/>
          <w:lang w:eastAsia="en-US"/>
        </w:rPr>
        <w:t xml:space="preserve"> súvisí aj riziko nevyčerpania finančných prostriedkov a nesplnenie stanovených cieľov. </w:t>
      </w:r>
    </w:p>
    <w:p w:rsidR="00EB59B2" w:rsidRPr="00C65CAA" w:rsidRDefault="00EB59B2" w:rsidP="007809C2">
      <w:pPr>
        <w:spacing w:before="120" w:after="120"/>
        <w:ind w:firstLine="708"/>
        <w:jc w:val="both"/>
        <w:rPr>
          <w:rFonts w:ascii="Arial Narrow" w:hAnsi="Arial Narrow"/>
          <w:sz w:val="22"/>
          <w:szCs w:val="22"/>
        </w:rPr>
      </w:pPr>
      <w:r w:rsidRPr="00C65CAA">
        <w:rPr>
          <w:rFonts w:ascii="Arial Narrow" w:hAnsi="Arial Narrow"/>
          <w:b/>
          <w:sz w:val="22"/>
          <w:szCs w:val="22"/>
        </w:rPr>
        <w:t>Integrovaný regionálny operačný program 2014 – 2020</w:t>
      </w:r>
      <w:r w:rsidRPr="00C65CAA">
        <w:rPr>
          <w:rFonts w:ascii="Arial Narrow" w:hAnsi="Arial Narrow"/>
          <w:sz w:val="22"/>
          <w:szCs w:val="22"/>
        </w:rPr>
        <w:t xml:space="preserve"> v rámci Európskeho fondu regionálneho rozvoja vychádza zo stratégie Európa 2020</w:t>
      </w:r>
      <w:r w:rsidR="00540827" w:rsidRPr="00C65CAA">
        <w:rPr>
          <w:rFonts w:ascii="Arial Narrow" w:hAnsi="Arial Narrow"/>
          <w:sz w:val="22"/>
          <w:szCs w:val="22"/>
        </w:rPr>
        <w:t>. G</w:t>
      </w:r>
      <w:r w:rsidRPr="00C65CAA">
        <w:rPr>
          <w:rFonts w:ascii="Arial Narrow" w:hAnsi="Arial Narrow"/>
          <w:sz w:val="22"/>
          <w:szCs w:val="22"/>
        </w:rPr>
        <w:t>lobálnym cieľom je zlepšenie kvality života a podpora udržateľného poskytovania verejných služieb s dopadom na vyvážený a udržateľný územný rozvoj. V Návrhu RVS 2019 sú rozpočtované výdavky v objeme 139 660,7 tis. eur</w:t>
      </w:r>
      <w:r w:rsidR="008830F2" w:rsidRPr="00C65CAA">
        <w:rPr>
          <w:rFonts w:ascii="Arial Narrow" w:hAnsi="Arial Narrow"/>
          <w:sz w:val="22"/>
          <w:szCs w:val="22"/>
        </w:rPr>
        <w:t>,</w:t>
      </w:r>
      <w:r w:rsidRPr="00C65CAA">
        <w:rPr>
          <w:rFonts w:ascii="Arial Narrow" w:hAnsi="Arial Narrow"/>
          <w:sz w:val="22"/>
          <w:szCs w:val="22"/>
        </w:rPr>
        <w:t xml:space="preserve"> čo je v porovnaní s rokom 2018 pokles o 70 600 tis. eur. Podpora je sús</w:t>
      </w:r>
      <w:r w:rsidR="008830F2" w:rsidRPr="00C65CAA">
        <w:rPr>
          <w:rFonts w:ascii="Arial Narrow" w:hAnsi="Arial Narrow"/>
          <w:sz w:val="22"/>
          <w:szCs w:val="22"/>
        </w:rPr>
        <w:t>tredená do nasledovných oblastí</w:t>
      </w:r>
      <w:r w:rsidRPr="00C65CAA">
        <w:rPr>
          <w:rFonts w:ascii="Arial Narrow" w:hAnsi="Arial Narrow"/>
          <w:sz w:val="22"/>
          <w:szCs w:val="22"/>
        </w:rPr>
        <w:t xml:space="preserve">: modernizácia regionálnych ciest II. a III. triedy, rozvoj verejnej </w:t>
      </w:r>
      <w:r w:rsidRPr="00C65CAA">
        <w:rPr>
          <w:rFonts w:ascii="Arial Narrow" w:hAnsi="Arial Narrow"/>
          <w:sz w:val="22"/>
          <w:szCs w:val="22"/>
        </w:rPr>
        <w:lastRenderedPageBreak/>
        <w:t>osobnej dopravy a cyklodopravy, bezpečná a ekologická doprava v regiónoch, lepší prístup k sociálnym službám, podpora energetickej efektívnosti v sektore bývania. NKÚ SR konštatuje že čerpani</w:t>
      </w:r>
      <w:r w:rsidR="008830F2" w:rsidRPr="00C65CAA">
        <w:rPr>
          <w:rFonts w:ascii="Arial Narrow" w:hAnsi="Arial Narrow"/>
          <w:sz w:val="22"/>
          <w:szCs w:val="22"/>
        </w:rPr>
        <w:t xml:space="preserve">e finančných prostriedkov </w:t>
      </w:r>
      <w:r w:rsidR="00E94E13" w:rsidRPr="00C65CAA">
        <w:rPr>
          <w:rFonts w:ascii="Arial Narrow" w:hAnsi="Arial Narrow"/>
          <w:sz w:val="22"/>
          <w:szCs w:val="22"/>
        </w:rPr>
        <w:t xml:space="preserve">k 20. októbru 2018 </w:t>
      </w:r>
      <w:r w:rsidR="008830F2" w:rsidRPr="00C65CAA">
        <w:rPr>
          <w:rFonts w:ascii="Arial Narrow" w:hAnsi="Arial Narrow"/>
          <w:sz w:val="22"/>
          <w:szCs w:val="22"/>
        </w:rPr>
        <w:t>je na </w:t>
      </w:r>
      <w:r w:rsidRPr="00C65CAA">
        <w:rPr>
          <w:rFonts w:ascii="Arial Narrow" w:hAnsi="Arial Narrow"/>
          <w:sz w:val="22"/>
          <w:szCs w:val="22"/>
        </w:rPr>
        <w:t>úrovni 7,2 % z plánovaného objemu v roku 2018</w:t>
      </w:r>
      <w:r w:rsidR="008830F2" w:rsidRPr="00C65CAA">
        <w:rPr>
          <w:rFonts w:ascii="Arial Narrow" w:hAnsi="Arial Narrow"/>
          <w:sz w:val="22"/>
          <w:szCs w:val="22"/>
        </w:rPr>
        <w:t>,</w:t>
      </w:r>
      <w:r w:rsidRPr="00C65CAA">
        <w:rPr>
          <w:rFonts w:ascii="Arial Narrow" w:hAnsi="Arial Narrow"/>
          <w:sz w:val="22"/>
          <w:szCs w:val="22"/>
        </w:rPr>
        <w:t xml:space="preserve"> čo vytvára riziko nevyčer</w:t>
      </w:r>
      <w:r w:rsidR="008830F2" w:rsidRPr="00C65CAA">
        <w:rPr>
          <w:rFonts w:ascii="Arial Narrow" w:hAnsi="Arial Narrow"/>
          <w:sz w:val="22"/>
          <w:szCs w:val="22"/>
        </w:rPr>
        <w:t>pania finančných prostriedkov a </w:t>
      </w:r>
      <w:r w:rsidRPr="00C65CAA">
        <w:rPr>
          <w:rFonts w:ascii="Arial Narrow" w:hAnsi="Arial Narrow"/>
          <w:sz w:val="22"/>
          <w:szCs w:val="22"/>
        </w:rPr>
        <w:t xml:space="preserve">nesplnenia stanovených cieľov. </w:t>
      </w:r>
    </w:p>
    <w:p w:rsidR="00D23611" w:rsidRPr="00C65CAA" w:rsidRDefault="00D23611" w:rsidP="007809C2">
      <w:pPr>
        <w:pStyle w:val="Nadpis3"/>
        <w:spacing w:before="120" w:after="120"/>
        <w:rPr>
          <w:szCs w:val="22"/>
        </w:rPr>
      </w:pPr>
      <w:bookmarkStart w:id="39" w:name="_Toc529507607"/>
      <w:r w:rsidRPr="00C65CAA">
        <w:rPr>
          <w:szCs w:val="22"/>
        </w:rPr>
        <w:t>Ministerstvo dopravy a výstavby SR</w:t>
      </w:r>
      <w:bookmarkEnd w:id="39"/>
    </w:p>
    <w:p w:rsidR="00DB18D2" w:rsidRPr="00C65CAA" w:rsidRDefault="00DB18D2" w:rsidP="007809C2">
      <w:pPr>
        <w:spacing w:before="120" w:after="120"/>
        <w:ind w:firstLine="709"/>
        <w:jc w:val="both"/>
        <w:rPr>
          <w:rFonts w:ascii="Arial Narrow" w:eastAsiaTheme="minorHAnsi" w:hAnsi="Arial Narrow" w:cstheme="minorBidi"/>
          <w:color w:val="000000"/>
          <w:sz w:val="22"/>
          <w:szCs w:val="22"/>
        </w:rPr>
      </w:pPr>
      <w:r w:rsidRPr="00C65CAA">
        <w:rPr>
          <w:rFonts w:ascii="Arial Narrow" w:eastAsiaTheme="minorHAnsi" w:hAnsi="Arial Narrow" w:cstheme="minorBidi"/>
          <w:color w:val="000000"/>
          <w:sz w:val="22"/>
          <w:szCs w:val="22"/>
        </w:rPr>
        <w:t>Rozpočet rezortu dopravy patrí každoročne k najsledovanejším a najviac diskutova</w:t>
      </w:r>
      <w:r w:rsidR="008830F2" w:rsidRPr="00C65CAA">
        <w:rPr>
          <w:rFonts w:ascii="Arial Narrow" w:eastAsiaTheme="minorHAnsi" w:hAnsi="Arial Narrow" w:cstheme="minorBidi"/>
          <w:color w:val="000000"/>
          <w:sz w:val="22"/>
          <w:szCs w:val="22"/>
        </w:rPr>
        <w:t>ným</w:t>
      </w:r>
      <w:r w:rsidRPr="00C65CAA">
        <w:rPr>
          <w:rFonts w:ascii="Arial Narrow" w:eastAsiaTheme="minorHAnsi" w:hAnsi="Arial Narrow" w:cstheme="minorBidi"/>
          <w:color w:val="000000"/>
          <w:sz w:val="22"/>
          <w:szCs w:val="22"/>
        </w:rPr>
        <w:t>. Napriek avizovaným pozitívnym správam o výške zazmluvnených prostriedkov z OPII (94 %), vníma NKÚ SR isté riziká na základe problémov, ktoré sa každoročne v rozpočte kapitoly objavujú. Najviac výdavkov MDV SR má byť v roku 2019 použitých na financovanie cestnej a železničnej infraštruktúry.</w:t>
      </w: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DB18D2" w:rsidRPr="00C65CAA" w:rsidTr="00EB05EC">
        <w:trPr>
          <w:trHeight w:val="189"/>
        </w:trPr>
        <w:tc>
          <w:tcPr>
            <w:tcW w:w="5000" w:type="pct"/>
            <w:tcBorders>
              <w:top w:val="single" w:sz="4" w:space="0" w:color="auto"/>
              <w:left w:val="nil"/>
              <w:bottom w:val="single" w:sz="4" w:space="0" w:color="auto"/>
              <w:right w:val="nil"/>
            </w:tcBorders>
            <w:shd w:val="clear" w:color="auto" w:fill="0070C0"/>
            <w:hideMark/>
          </w:tcPr>
          <w:p w:rsidR="00DB18D2" w:rsidRPr="00C65CAA" w:rsidRDefault="00DE3443" w:rsidP="00C8633E">
            <w:pPr>
              <w:jc w:val="both"/>
              <w:rPr>
                <w:rFonts w:ascii="Arial Narrow" w:hAnsi="Arial Narrow"/>
                <w:b/>
                <w:color w:val="FFFFFF" w:themeColor="background1"/>
                <w:lang w:eastAsia="en-US"/>
              </w:rPr>
            </w:pPr>
            <w:r w:rsidRPr="00C65CAA">
              <w:rPr>
                <w:rFonts w:ascii="Arial Narrow" w:hAnsi="Arial Narrow"/>
                <w:b/>
                <w:color w:val="FFFFFF" w:themeColor="background1"/>
              </w:rPr>
              <w:t>Oblasti alokovaných výdavkov (v tis. eur)</w:t>
            </w:r>
          </w:p>
        </w:tc>
      </w:tr>
      <w:tr w:rsidR="00DB18D2" w:rsidRPr="00C65CAA" w:rsidTr="00DE3443">
        <w:tblPrEx>
          <w:tblCellMar>
            <w:left w:w="70" w:type="dxa"/>
            <w:right w:w="70" w:type="dxa"/>
          </w:tblCellMar>
        </w:tblPrEx>
        <w:trPr>
          <w:trHeight w:val="2381"/>
        </w:trPr>
        <w:tc>
          <w:tcPr>
            <w:tcW w:w="5000" w:type="pct"/>
            <w:tcBorders>
              <w:top w:val="single" w:sz="4" w:space="0" w:color="auto"/>
              <w:left w:val="nil"/>
              <w:bottom w:val="single" w:sz="4" w:space="0" w:color="auto"/>
              <w:right w:val="nil"/>
            </w:tcBorders>
            <w:hideMark/>
          </w:tcPr>
          <w:p w:rsidR="00DB18D2" w:rsidRPr="00C65CAA" w:rsidRDefault="00DE3443" w:rsidP="00C8633E">
            <w:pPr>
              <w:jc w:val="both"/>
              <w:rPr>
                <w:rFonts w:ascii="Arial Narrow" w:hAnsi="Arial Narrow"/>
                <w:lang w:eastAsia="en-US"/>
              </w:rPr>
            </w:pPr>
            <w:r w:rsidRPr="00C65CAA">
              <w:rPr>
                <w:rFonts w:ascii="Arial Narrow" w:hAnsi="Arial Narrow"/>
                <w:noProof/>
              </w:rPr>
              <w:drawing>
                <wp:inline distT="0" distB="0" distL="0" distR="0" wp14:anchorId="6A26B0FC" wp14:editId="69609E18">
                  <wp:extent cx="5761355" cy="1844703"/>
                  <wp:effectExtent l="0" t="0" r="0" b="3175"/>
                  <wp:docPr id="30" name="Graf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rsidR="00DE3443" w:rsidRPr="00C65CAA" w:rsidRDefault="00DE3443" w:rsidP="00C8633E">
      <w:pPr>
        <w:spacing w:after="100"/>
        <w:jc w:val="both"/>
        <w:rPr>
          <w:rFonts w:ascii="Arial Narrow" w:hAnsi="Arial Narrow"/>
          <w:sz w:val="20"/>
          <w:szCs w:val="20"/>
        </w:rPr>
      </w:pPr>
      <w:r w:rsidRPr="00C65CAA">
        <w:rPr>
          <w:rFonts w:ascii="Arial Narrow" w:hAnsi="Arial Narrow"/>
          <w:sz w:val="20"/>
          <w:szCs w:val="20"/>
        </w:rPr>
        <w:t>Zdroj: Návrh RVS na roky 2019 až 2021</w:t>
      </w:r>
    </w:p>
    <w:p w:rsidR="00DB18D2" w:rsidRPr="00C65CAA" w:rsidRDefault="00540827" w:rsidP="00563718">
      <w:pPr>
        <w:spacing w:before="120" w:after="120"/>
        <w:ind w:firstLine="709"/>
        <w:jc w:val="both"/>
        <w:rPr>
          <w:rFonts w:ascii="Arial Narrow" w:eastAsiaTheme="minorHAnsi" w:hAnsi="Arial Narrow" w:cstheme="minorBidi"/>
          <w:color w:val="000000"/>
          <w:sz w:val="22"/>
          <w:szCs w:val="22"/>
        </w:rPr>
      </w:pPr>
      <w:r w:rsidRPr="00C65CAA">
        <w:rPr>
          <w:rFonts w:ascii="Arial Narrow" w:eastAsiaTheme="minorHAnsi" w:hAnsi="Arial Narrow" w:cstheme="minorBidi"/>
          <w:color w:val="000000"/>
          <w:sz w:val="22"/>
          <w:szCs w:val="22"/>
        </w:rPr>
        <w:t>Celkové v</w:t>
      </w:r>
      <w:r w:rsidR="00DB18D2" w:rsidRPr="00C65CAA">
        <w:rPr>
          <w:rFonts w:ascii="Arial Narrow" w:eastAsiaTheme="minorHAnsi" w:hAnsi="Arial Narrow" w:cstheme="minorBidi"/>
          <w:color w:val="000000"/>
          <w:sz w:val="22"/>
          <w:szCs w:val="22"/>
        </w:rPr>
        <w:t>ýdavky kapitoly majú medzir</w:t>
      </w:r>
      <w:r w:rsidRPr="00C65CAA">
        <w:rPr>
          <w:rFonts w:ascii="Arial Narrow" w:eastAsiaTheme="minorHAnsi" w:hAnsi="Arial Narrow" w:cstheme="minorBidi"/>
          <w:color w:val="000000"/>
          <w:sz w:val="22"/>
          <w:szCs w:val="22"/>
        </w:rPr>
        <w:t>očne klesnúť o 22 354 tis. eur, predovšetkým z dôvodu poklesu kapitálových výdavkov. Výdavky zo zdrojov EÚ medziročne rastú o 35 485 tis. eur</w:t>
      </w:r>
      <w:r w:rsidR="00DB18D2" w:rsidRPr="00C65CAA">
        <w:rPr>
          <w:rFonts w:ascii="Arial Narrow" w:eastAsiaTheme="minorHAnsi" w:hAnsi="Arial Narrow" w:cstheme="minorBidi"/>
          <w:color w:val="000000"/>
          <w:sz w:val="22"/>
          <w:szCs w:val="22"/>
        </w:rPr>
        <w:t xml:space="preserve">, ale iba z dôvodu, že v rozpočte na rok 2018 neboli alokované vôbec. Za posledných 8 rokov mal rezort dopravy </w:t>
      </w:r>
      <w:r w:rsidR="00C448C8" w:rsidRPr="00C65CAA">
        <w:rPr>
          <w:rFonts w:ascii="Arial Narrow" w:eastAsiaTheme="minorHAnsi" w:hAnsi="Arial Narrow" w:cstheme="minorBidi"/>
          <w:color w:val="000000"/>
          <w:sz w:val="22"/>
          <w:szCs w:val="22"/>
        </w:rPr>
        <w:t>až 6-</w:t>
      </w:r>
      <w:r w:rsidRPr="00C65CAA">
        <w:rPr>
          <w:rFonts w:ascii="Arial Narrow" w:eastAsiaTheme="minorHAnsi" w:hAnsi="Arial Narrow" w:cstheme="minorBidi"/>
          <w:color w:val="000000"/>
          <w:sz w:val="22"/>
          <w:szCs w:val="22"/>
        </w:rPr>
        <w:t xml:space="preserve">krát </w:t>
      </w:r>
      <w:r w:rsidR="00DB18D2" w:rsidRPr="00C65CAA">
        <w:rPr>
          <w:rFonts w:ascii="Arial Narrow" w:eastAsiaTheme="minorHAnsi" w:hAnsi="Arial Narrow" w:cstheme="minorBidi"/>
          <w:color w:val="000000"/>
          <w:sz w:val="22"/>
          <w:szCs w:val="22"/>
        </w:rPr>
        <w:t xml:space="preserve">najvyšší presun nevyčerpaných prostriedkov spomedzi všetkých kapitol </w:t>
      </w:r>
      <w:r w:rsidRPr="00C65CAA">
        <w:rPr>
          <w:rFonts w:ascii="Arial Narrow" w:eastAsiaTheme="minorHAnsi" w:hAnsi="Arial Narrow" w:cstheme="minorBidi"/>
          <w:color w:val="000000"/>
          <w:sz w:val="22"/>
          <w:szCs w:val="22"/>
        </w:rPr>
        <w:t>ŠR. V</w:t>
      </w:r>
      <w:r w:rsidR="00DB18D2" w:rsidRPr="00C65CAA">
        <w:rPr>
          <w:rFonts w:ascii="Arial Narrow" w:eastAsiaTheme="minorHAnsi" w:hAnsi="Arial Narrow" w:cstheme="minorBidi"/>
          <w:color w:val="000000"/>
          <w:sz w:val="22"/>
          <w:szCs w:val="22"/>
        </w:rPr>
        <w:t> roku 2018, predstavoval tento presun najvyššiu hodnotu v histórii, viac ako 1,5 mld. eur. Pri pohľade na čerpanie výdavkov v aktuálnom roku, tak možno opäť očakávať presun veľkej časti nevyčerpaných prostriedkov</w:t>
      </w:r>
      <w:r w:rsidR="00C24AD1" w:rsidRPr="00C65CAA">
        <w:rPr>
          <w:rFonts w:ascii="Arial Narrow" w:eastAsiaTheme="minorHAnsi" w:hAnsi="Arial Narrow" w:cstheme="minorBidi"/>
          <w:color w:val="000000"/>
          <w:sz w:val="22"/>
          <w:szCs w:val="22"/>
        </w:rPr>
        <w:t>(najmä eurofondových)</w:t>
      </w:r>
      <w:r w:rsidR="00DB18D2" w:rsidRPr="00C65CAA">
        <w:rPr>
          <w:rFonts w:ascii="Arial Narrow" w:eastAsiaTheme="minorHAnsi" w:hAnsi="Arial Narrow" w:cstheme="minorBidi"/>
          <w:color w:val="000000"/>
          <w:sz w:val="22"/>
          <w:szCs w:val="22"/>
        </w:rPr>
        <w:t xml:space="preserve"> z minulých rokov aj začiatkom roku 2019.</w:t>
      </w:r>
    </w:p>
    <w:p w:rsidR="00DB18D2" w:rsidRPr="00C65CAA" w:rsidRDefault="00957A55" w:rsidP="00563718">
      <w:pPr>
        <w:spacing w:before="120" w:after="120"/>
        <w:ind w:firstLine="709"/>
        <w:jc w:val="both"/>
        <w:rPr>
          <w:rFonts w:ascii="Arial Narrow" w:eastAsiaTheme="minorHAnsi" w:hAnsi="Arial Narrow" w:cstheme="minorBidi"/>
          <w:color w:val="000000"/>
          <w:sz w:val="22"/>
          <w:szCs w:val="22"/>
        </w:rPr>
      </w:pPr>
      <w:r w:rsidRPr="00C65CAA">
        <w:rPr>
          <w:rFonts w:ascii="Arial Narrow" w:eastAsiaTheme="minorHAnsi" w:hAnsi="Arial Narrow" w:cstheme="minorBidi"/>
          <w:color w:val="000000"/>
          <w:sz w:val="22"/>
          <w:szCs w:val="22"/>
        </w:rPr>
        <w:t>G</w:t>
      </w:r>
      <w:r w:rsidR="00DB18D2" w:rsidRPr="00C65CAA">
        <w:rPr>
          <w:rFonts w:ascii="Arial Narrow" w:eastAsiaTheme="minorHAnsi" w:hAnsi="Arial Narrow" w:cstheme="minorBidi"/>
          <w:color w:val="000000"/>
          <w:sz w:val="22"/>
          <w:szCs w:val="22"/>
        </w:rPr>
        <w:t>raf zobrazuje na koľko percent sa skutočne vyčerpal schválený rozpočet pros</w:t>
      </w:r>
      <w:r w:rsidR="00540827" w:rsidRPr="00C65CAA">
        <w:rPr>
          <w:rFonts w:ascii="Arial Narrow" w:eastAsiaTheme="minorHAnsi" w:hAnsi="Arial Narrow" w:cstheme="minorBidi"/>
          <w:color w:val="000000"/>
          <w:sz w:val="22"/>
          <w:szCs w:val="22"/>
        </w:rPr>
        <w:t>triedkov z EÚ v kapitole MDV SR od roku 2010.</w:t>
      </w: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DB18D2" w:rsidRPr="00C65CAA" w:rsidTr="00EB05EC">
        <w:trPr>
          <w:trHeight w:val="189"/>
        </w:trPr>
        <w:tc>
          <w:tcPr>
            <w:tcW w:w="5000" w:type="pct"/>
            <w:tcBorders>
              <w:top w:val="single" w:sz="4" w:space="0" w:color="auto"/>
              <w:left w:val="nil"/>
              <w:bottom w:val="single" w:sz="4" w:space="0" w:color="auto"/>
              <w:right w:val="nil"/>
            </w:tcBorders>
            <w:shd w:val="clear" w:color="auto" w:fill="0070C0"/>
            <w:hideMark/>
          </w:tcPr>
          <w:p w:rsidR="00DB18D2" w:rsidRPr="00C65CAA" w:rsidRDefault="00DB18D2" w:rsidP="00C8633E">
            <w:pPr>
              <w:jc w:val="both"/>
              <w:rPr>
                <w:rFonts w:ascii="Arial Narrow" w:hAnsi="Arial Narrow"/>
                <w:b/>
                <w:color w:val="FFFFFF" w:themeColor="background1"/>
                <w:lang w:eastAsia="en-US"/>
              </w:rPr>
            </w:pPr>
            <w:r w:rsidRPr="00C65CAA">
              <w:rPr>
                <w:rFonts w:ascii="Arial Narrow" w:hAnsi="Arial Narrow"/>
                <w:b/>
                <w:color w:val="FFFFFF" w:themeColor="background1"/>
                <w:lang w:eastAsia="en-US"/>
              </w:rPr>
              <w:t>Percentuálne plnenie skutočne vyčerpaných výdavkov z EÚ oproti schválenému rozpočtu</w:t>
            </w:r>
          </w:p>
        </w:tc>
      </w:tr>
      <w:tr w:rsidR="00DB18D2" w:rsidRPr="00C65CAA" w:rsidTr="002026D7">
        <w:tblPrEx>
          <w:tblCellMar>
            <w:left w:w="70" w:type="dxa"/>
            <w:right w:w="70" w:type="dxa"/>
          </w:tblCellMar>
        </w:tblPrEx>
        <w:trPr>
          <w:trHeight w:val="1984"/>
        </w:trPr>
        <w:tc>
          <w:tcPr>
            <w:tcW w:w="5000" w:type="pct"/>
            <w:tcBorders>
              <w:top w:val="single" w:sz="4" w:space="0" w:color="auto"/>
              <w:left w:val="nil"/>
              <w:bottom w:val="single" w:sz="4" w:space="0" w:color="auto"/>
              <w:right w:val="nil"/>
            </w:tcBorders>
            <w:hideMark/>
          </w:tcPr>
          <w:p w:rsidR="00DB18D2" w:rsidRPr="00C65CAA" w:rsidRDefault="00DB18D2" w:rsidP="00C8633E">
            <w:pPr>
              <w:jc w:val="both"/>
              <w:rPr>
                <w:rFonts w:ascii="Arial Narrow" w:hAnsi="Arial Narrow"/>
                <w:lang w:eastAsia="en-US"/>
              </w:rPr>
            </w:pPr>
            <w:r w:rsidRPr="00C65CAA">
              <w:rPr>
                <w:rFonts w:ascii="Arial Narrow" w:hAnsi="Arial Narrow"/>
                <w:noProof/>
              </w:rPr>
              <w:drawing>
                <wp:inline distT="0" distB="0" distL="0" distR="0" wp14:anchorId="3A9DE3CC" wp14:editId="5638E439">
                  <wp:extent cx="5730240" cy="1204754"/>
                  <wp:effectExtent l="0" t="0" r="3810" b="0"/>
                  <wp:docPr id="17" name="Graf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rsidR="00DB18D2" w:rsidRPr="00C65CAA" w:rsidRDefault="00DB18D2" w:rsidP="00011F12">
      <w:pPr>
        <w:spacing w:after="100"/>
        <w:jc w:val="both"/>
        <w:rPr>
          <w:rFonts w:ascii="Arial Narrow" w:eastAsiaTheme="minorHAnsi" w:hAnsi="Arial Narrow" w:cstheme="minorBidi"/>
          <w:color w:val="000000"/>
          <w:sz w:val="20"/>
          <w:szCs w:val="20"/>
        </w:rPr>
      </w:pPr>
      <w:r w:rsidRPr="00C65CAA">
        <w:rPr>
          <w:rFonts w:ascii="Arial Narrow" w:eastAsiaTheme="minorHAnsi" w:hAnsi="Arial Narrow" w:cstheme="minorBidi"/>
          <w:color w:val="000000"/>
          <w:sz w:val="20"/>
          <w:szCs w:val="20"/>
        </w:rPr>
        <w:t>Zdroj: Záverečné účty MDV SR 2010 - 2017</w:t>
      </w:r>
    </w:p>
    <w:p w:rsidR="00DB18D2" w:rsidRDefault="00DB18D2" w:rsidP="00563718">
      <w:pPr>
        <w:spacing w:before="120" w:after="120"/>
        <w:ind w:firstLine="709"/>
        <w:jc w:val="both"/>
        <w:rPr>
          <w:rFonts w:ascii="Arial Narrow" w:eastAsiaTheme="minorHAnsi" w:hAnsi="Arial Narrow" w:cstheme="minorBidi"/>
          <w:color w:val="000000"/>
          <w:sz w:val="22"/>
          <w:szCs w:val="22"/>
        </w:rPr>
      </w:pPr>
      <w:r w:rsidRPr="00C65CAA">
        <w:rPr>
          <w:rFonts w:ascii="Arial Narrow" w:eastAsiaTheme="minorHAnsi" w:hAnsi="Arial Narrow" w:cstheme="minorBidi"/>
          <w:color w:val="000000"/>
          <w:sz w:val="22"/>
          <w:szCs w:val="22"/>
        </w:rPr>
        <w:t>NKÚ SR dlhodobo upozorňuje na značné rozdiely medzi schváleným rozpočtom a skutočným čerpaním v oblasti prostriedkov EÚ. Z grafu vyššie je evidentné, že od roku 2010 bolo skutočné čerpanie oproti plánu vyššie iba v roku 2015, kedy sa končilo 2. programové obdobie, v ostatných rokoch bolo</w:t>
      </w:r>
      <w:r w:rsidR="0013540D" w:rsidRPr="00C65CAA">
        <w:rPr>
          <w:rFonts w:ascii="Arial Narrow" w:eastAsiaTheme="minorHAnsi" w:hAnsi="Arial Narrow" w:cstheme="minorBidi"/>
          <w:color w:val="000000"/>
          <w:sz w:val="22"/>
          <w:szCs w:val="22"/>
        </w:rPr>
        <w:t xml:space="preserve"> čerpanie okolo</w:t>
      </w:r>
      <w:r w:rsidRPr="00C65CAA">
        <w:rPr>
          <w:rFonts w:ascii="Arial Narrow" w:eastAsiaTheme="minorHAnsi" w:hAnsi="Arial Narrow" w:cstheme="minorBidi"/>
          <w:color w:val="000000"/>
          <w:sz w:val="22"/>
          <w:szCs w:val="22"/>
        </w:rPr>
        <w:t xml:space="preserve"> 50 %. </w:t>
      </w:r>
    </w:p>
    <w:p w:rsidR="007809C2" w:rsidRDefault="007809C2" w:rsidP="00563718">
      <w:pPr>
        <w:spacing w:before="120" w:after="120"/>
        <w:ind w:firstLine="709"/>
        <w:jc w:val="both"/>
        <w:rPr>
          <w:rFonts w:ascii="Arial Narrow" w:eastAsiaTheme="minorHAnsi" w:hAnsi="Arial Narrow" w:cstheme="minorBidi"/>
          <w:color w:val="000000"/>
          <w:sz w:val="22"/>
          <w:szCs w:val="22"/>
        </w:rPr>
      </w:pPr>
    </w:p>
    <w:p w:rsidR="007809C2" w:rsidRDefault="007809C2" w:rsidP="00563718">
      <w:pPr>
        <w:spacing w:before="120" w:after="120"/>
        <w:ind w:firstLine="709"/>
        <w:jc w:val="both"/>
        <w:rPr>
          <w:rFonts w:ascii="Arial Narrow" w:eastAsiaTheme="minorHAnsi" w:hAnsi="Arial Narrow" w:cstheme="minorBidi"/>
          <w:color w:val="000000"/>
          <w:sz w:val="22"/>
          <w:szCs w:val="22"/>
        </w:rPr>
      </w:pPr>
    </w:p>
    <w:p w:rsidR="007809C2" w:rsidRDefault="007809C2" w:rsidP="00563718">
      <w:pPr>
        <w:spacing w:before="120" w:after="120"/>
        <w:ind w:firstLine="709"/>
        <w:jc w:val="both"/>
        <w:rPr>
          <w:rFonts w:ascii="Arial Narrow" w:eastAsiaTheme="minorHAnsi" w:hAnsi="Arial Narrow" w:cstheme="minorBidi"/>
          <w:color w:val="000000"/>
          <w:sz w:val="22"/>
          <w:szCs w:val="22"/>
        </w:rPr>
      </w:pPr>
    </w:p>
    <w:p w:rsidR="007809C2" w:rsidRDefault="007809C2" w:rsidP="00563718">
      <w:pPr>
        <w:spacing w:before="120" w:after="120"/>
        <w:ind w:firstLine="709"/>
        <w:jc w:val="both"/>
        <w:rPr>
          <w:rFonts w:ascii="Arial Narrow" w:eastAsiaTheme="minorHAnsi" w:hAnsi="Arial Narrow" w:cstheme="minorBidi"/>
          <w:color w:val="000000"/>
          <w:sz w:val="22"/>
          <w:szCs w:val="22"/>
        </w:rPr>
      </w:pPr>
    </w:p>
    <w:p w:rsidR="007809C2" w:rsidRDefault="007809C2" w:rsidP="00563718">
      <w:pPr>
        <w:spacing w:before="120" w:after="120"/>
        <w:ind w:firstLine="709"/>
        <w:jc w:val="both"/>
        <w:rPr>
          <w:rFonts w:ascii="Arial Narrow" w:eastAsiaTheme="minorHAnsi" w:hAnsi="Arial Narrow" w:cstheme="minorBidi"/>
          <w:color w:val="000000"/>
          <w:sz w:val="22"/>
          <w:szCs w:val="22"/>
        </w:rPr>
      </w:pPr>
    </w:p>
    <w:p w:rsidR="007809C2" w:rsidRPr="00C65CAA" w:rsidRDefault="007809C2" w:rsidP="00563718">
      <w:pPr>
        <w:spacing w:before="120" w:after="120"/>
        <w:ind w:firstLine="709"/>
        <w:jc w:val="both"/>
        <w:rPr>
          <w:rFonts w:ascii="Arial Narrow" w:eastAsiaTheme="minorHAnsi" w:hAnsi="Arial Narrow" w:cstheme="minorBidi"/>
          <w:color w:val="000000"/>
          <w:sz w:val="22"/>
          <w:szCs w:val="22"/>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DB18D2" w:rsidRPr="00C65CAA" w:rsidTr="00EB05EC">
        <w:trPr>
          <w:trHeight w:val="189"/>
        </w:trPr>
        <w:tc>
          <w:tcPr>
            <w:tcW w:w="5000" w:type="pct"/>
            <w:tcBorders>
              <w:top w:val="single" w:sz="4" w:space="0" w:color="auto"/>
              <w:left w:val="nil"/>
              <w:bottom w:val="single" w:sz="4" w:space="0" w:color="auto"/>
              <w:right w:val="nil"/>
            </w:tcBorders>
            <w:shd w:val="clear" w:color="auto" w:fill="0070C0"/>
            <w:hideMark/>
          </w:tcPr>
          <w:p w:rsidR="00DB18D2" w:rsidRPr="00C65CAA" w:rsidRDefault="00DB18D2" w:rsidP="00C8633E">
            <w:pPr>
              <w:jc w:val="both"/>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Porovnanie celkovej alokácie (vrátane spolufinancovania) a stavu čerpania (k 30.</w:t>
            </w:r>
            <w:r w:rsidR="00C448C8" w:rsidRPr="00C65CAA">
              <w:rPr>
                <w:rFonts w:ascii="Arial Narrow" w:hAnsi="Arial Narrow"/>
                <w:b/>
                <w:color w:val="FFFFFF" w:themeColor="background1"/>
                <w:sz w:val="20"/>
                <w:szCs w:val="20"/>
                <w:lang w:eastAsia="en-US"/>
              </w:rPr>
              <w:t xml:space="preserve"> </w:t>
            </w:r>
            <w:r w:rsidRPr="00C65CAA">
              <w:rPr>
                <w:rFonts w:ascii="Arial Narrow" w:hAnsi="Arial Narrow"/>
                <w:b/>
                <w:color w:val="FFFFFF" w:themeColor="background1"/>
                <w:sz w:val="20"/>
                <w:szCs w:val="20"/>
                <w:lang w:eastAsia="en-US"/>
              </w:rPr>
              <w:t>9.</w:t>
            </w:r>
            <w:r w:rsidR="00C448C8" w:rsidRPr="00C65CAA">
              <w:rPr>
                <w:rFonts w:ascii="Arial Narrow" w:hAnsi="Arial Narrow"/>
                <w:b/>
                <w:color w:val="FFFFFF" w:themeColor="background1"/>
                <w:sz w:val="20"/>
                <w:szCs w:val="20"/>
                <w:lang w:eastAsia="en-US"/>
              </w:rPr>
              <w:t xml:space="preserve"> 2018), OPII 2014 –</w:t>
            </w:r>
            <w:r w:rsidRPr="00C65CAA">
              <w:rPr>
                <w:rFonts w:ascii="Arial Narrow" w:hAnsi="Arial Narrow"/>
                <w:b/>
                <w:color w:val="FFFFFF" w:themeColor="background1"/>
                <w:sz w:val="20"/>
                <w:szCs w:val="20"/>
                <w:lang w:eastAsia="en-US"/>
              </w:rPr>
              <w:t xml:space="preserve"> 2020, v tis. eur</w:t>
            </w:r>
          </w:p>
        </w:tc>
      </w:tr>
      <w:tr w:rsidR="00DB18D2" w:rsidRPr="00C65CAA" w:rsidTr="00EB05EC">
        <w:tblPrEx>
          <w:tblCellMar>
            <w:left w:w="70" w:type="dxa"/>
            <w:right w:w="70" w:type="dxa"/>
          </w:tblCellMar>
        </w:tblPrEx>
        <w:trPr>
          <w:trHeight w:val="2381"/>
        </w:trPr>
        <w:tc>
          <w:tcPr>
            <w:tcW w:w="5000" w:type="pct"/>
            <w:tcBorders>
              <w:top w:val="single" w:sz="4" w:space="0" w:color="auto"/>
              <w:left w:val="nil"/>
              <w:bottom w:val="single" w:sz="4" w:space="0" w:color="auto"/>
              <w:right w:val="nil"/>
            </w:tcBorders>
            <w:hideMark/>
          </w:tcPr>
          <w:p w:rsidR="00DB18D2" w:rsidRPr="00C65CAA" w:rsidRDefault="00DB18D2" w:rsidP="00C8633E">
            <w:pPr>
              <w:jc w:val="both"/>
              <w:rPr>
                <w:rFonts w:ascii="Arial Narrow" w:hAnsi="Arial Narrow"/>
                <w:lang w:eastAsia="en-US"/>
              </w:rPr>
            </w:pPr>
            <w:r w:rsidRPr="00C65CAA">
              <w:rPr>
                <w:rFonts w:ascii="Arial Narrow" w:hAnsi="Arial Narrow"/>
                <w:noProof/>
              </w:rPr>
              <w:drawing>
                <wp:inline distT="0" distB="0" distL="0" distR="0" wp14:anchorId="5F9833C0" wp14:editId="6D062CCE">
                  <wp:extent cx="5654040" cy="2409825"/>
                  <wp:effectExtent l="0" t="0" r="0" b="0"/>
                  <wp:docPr id="18" name="Graf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rsidR="00DB18D2" w:rsidRPr="00C65CAA" w:rsidRDefault="00DB18D2" w:rsidP="00011F12">
      <w:pPr>
        <w:spacing w:after="100"/>
        <w:jc w:val="both"/>
        <w:rPr>
          <w:rFonts w:ascii="Arial Narrow" w:hAnsi="Arial Narrow"/>
          <w:color w:val="000000"/>
          <w:sz w:val="20"/>
          <w:szCs w:val="20"/>
        </w:rPr>
      </w:pPr>
      <w:r w:rsidRPr="00C65CAA">
        <w:rPr>
          <w:rFonts w:ascii="Arial Narrow" w:hAnsi="Arial Narrow"/>
          <w:color w:val="000000"/>
          <w:sz w:val="20"/>
          <w:szCs w:val="20"/>
        </w:rPr>
        <w:t>Zdroj: MF SR</w:t>
      </w:r>
    </w:p>
    <w:p w:rsidR="00DB18D2" w:rsidRPr="00C65CAA" w:rsidRDefault="00DB18D2" w:rsidP="00563718">
      <w:pPr>
        <w:spacing w:before="120" w:after="120"/>
        <w:ind w:firstLine="709"/>
        <w:jc w:val="both"/>
        <w:rPr>
          <w:rFonts w:ascii="Arial Narrow" w:eastAsiaTheme="minorHAnsi" w:hAnsi="Arial Narrow" w:cstheme="minorBidi"/>
          <w:color w:val="000000"/>
          <w:sz w:val="22"/>
          <w:szCs w:val="22"/>
        </w:rPr>
      </w:pPr>
      <w:r w:rsidRPr="00C65CAA">
        <w:rPr>
          <w:rFonts w:ascii="Arial Narrow" w:eastAsiaTheme="minorHAnsi" w:hAnsi="Arial Narrow" w:cstheme="minorBidi"/>
          <w:color w:val="000000"/>
          <w:sz w:val="22"/>
          <w:szCs w:val="22"/>
        </w:rPr>
        <w:t xml:space="preserve">Pri pohľade na jednotlivé prioritné osi v rámci OPII vykazujú uspokojivé čerpanie iba prioritné osi </w:t>
      </w:r>
      <w:r w:rsidR="00C448C8" w:rsidRPr="00C65CAA">
        <w:rPr>
          <w:rFonts w:ascii="Arial Narrow" w:hAnsi="Arial Narrow"/>
          <w:sz w:val="22"/>
          <w:szCs w:val="22"/>
        </w:rPr>
        <w:t xml:space="preserve">– </w:t>
      </w:r>
      <w:r w:rsidRPr="00C65CAA">
        <w:rPr>
          <w:rFonts w:ascii="Arial Narrow" w:eastAsiaTheme="minorHAnsi" w:hAnsi="Arial Narrow" w:cstheme="minorBidi"/>
          <w:color w:val="000000"/>
          <w:sz w:val="22"/>
          <w:szCs w:val="22"/>
        </w:rPr>
        <w:t>Cest</w:t>
      </w:r>
      <w:r w:rsidR="00C448C8" w:rsidRPr="00C65CAA">
        <w:rPr>
          <w:rFonts w:ascii="Arial Narrow" w:eastAsiaTheme="minorHAnsi" w:hAnsi="Arial Narrow" w:cstheme="minorBidi"/>
          <w:color w:val="000000"/>
          <w:sz w:val="22"/>
          <w:szCs w:val="22"/>
        </w:rPr>
        <w:t>ná infraštruktúra TEN-T (45,41-percentné</w:t>
      </w:r>
      <w:r w:rsidRPr="00C65CAA">
        <w:rPr>
          <w:rFonts w:ascii="Arial Narrow" w:eastAsiaTheme="minorHAnsi" w:hAnsi="Arial Narrow" w:cstheme="minorBidi"/>
          <w:color w:val="000000"/>
          <w:sz w:val="22"/>
          <w:szCs w:val="22"/>
        </w:rPr>
        <w:t xml:space="preserve">  čerpanie),</w:t>
      </w:r>
      <w:r w:rsidR="00C448C8" w:rsidRPr="00C65CAA">
        <w:rPr>
          <w:rFonts w:ascii="Arial Narrow" w:eastAsiaTheme="minorHAnsi" w:hAnsi="Arial Narrow" w:cstheme="minorBidi"/>
          <w:color w:val="000000"/>
          <w:sz w:val="22"/>
          <w:szCs w:val="22"/>
        </w:rPr>
        <w:t xml:space="preserve"> Verejná osobná doprava (34,96-percentné</w:t>
      </w:r>
      <w:r w:rsidRPr="00C65CAA">
        <w:rPr>
          <w:rFonts w:ascii="Arial Narrow" w:eastAsiaTheme="minorHAnsi" w:hAnsi="Arial Narrow" w:cstheme="minorBidi"/>
          <w:color w:val="000000"/>
          <w:sz w:val="22"/>
          <w:szCs w:val="22"/>
        </w:rPr>
        <w:t xml:space="preserve"> čerpanie) a Cestná infraštruktúra mimo TEN-T (22,9</w:t>
      </w:r>
      <w:r w:rsidR="00C448C8" w:rsidRPr="00C65CAA">
        <w:rPr>
          <w:rFonts w:ascii="Arial Narrow" w:eastAsiaTheme="minorHAnsi" w:hAnsi="Arial Narrow" w:cstheme="minorBidi"/>
          <w:color w:val="000000"/>
          <w:sz w:val="22"/>
          <w:szCs w:val="22"/>
        </w:rPr>
        <w:t>-percentné</w:t>
      </w:r>
      <w:r w:rsidRPr="00C65CAA">
        <w:rPr>
          <w:rFonts w:ascii="Arial Narrow" w:eastAsiaTheme="minorHAnsi" w:hAnsi="Arial Narrow" w:cstheme="minorBidi"/>
          <w:color w:val="000000"/>
          <w:sz w:val="22"/>
          <w:szCs w:val="22"/>
        </w:rPr>
        <w:t xml:space="preserve"> čerpanie). Na druhej strane sa nedostatočné čerpanie prejavuje na prioritných osiach zameraných na železni</w:t>
      </w:r>
      <w:r w:rsidR="00C448C8" w:rsidRPr="00C65CAA">
        <w:rPr>
          <w:rFonts w:ascii="Arial Narrow" w:eastAsiaTheme="minorHAnsi" w:hAnsi="Arial Narrow" w:cstheme="minorBidi"/>
          <w:color w:val="000000"/>
          <w:sz w:val="22"/>
          <w:szCs w:val="22"/>
        </w:rPr>
        <w:t>čnú infraštruktúru TEN-T (8,98-percentné</w:t>
      </w:r>
      <w:r w:rsidRPr="00C65CAA">
        <w:rPr>
          <w:rFonts w:ascii="Arial Narrow" w:eastAsiaTheme="minorHAnsi" w:hAnsi="Arial Narrow" w:cstheme="minorBidi"/>
          <w:color w:val="000000"/>
          <w:sz w:val="22"/>
          <w:szCs w:val="22"/>
        </w:rPr>
        <w:t xml:space="preserve"> čerpanie) a mimo TEN-T (0,3</w:t>
      </w:r>
      <w:r w:rsidR="00840C0C" w:rsidRPr="00C65CAA">
        <w:rPr>
          <w:rFonts w:ascii="Arial Narrow" w:eastAsiaTheme="minorHAnsi" w:hAnsi="Arial Narrow" w:cstheme="minorBidi"/>
          <w:color w:val="000000"/>
          <w:sz w:val="22"/>
          <w:szCs w:val="22"/>
        </w:rPr>
        <w:t>-percentné</w:t>
      </w:r>
      <w:r w:rsidRPr="00C65CAA">
        <w:rPr>
          <w:rFonts w:ascii="Arial Narrow" w:eastAsiaTheme="minorHAnsi" w:hAnsi="Arial Narrow" w:cstheme="minorBidi"/>
          <w:color w:val="000000"/>
          <w:sz w:val="22"/>
          <w:szCs w:val="22"/>
        </w:rPr>
        <w:t xml:space="preserve"> čerpanie) a vodnú doprav</w:t>
      </w:r>
      <w:r w:rsidR="00840C0C" w:rsidRPr="00C65CAA">
        <w:rPr>
          <w:rFonts w:ascii="Arial Narrow" w:eastAsiaTheme="minorHAnsi" w:hAnsi="Arial Narrow" w:cstheme="minorBidi"/>
          <w:color w:val="000000"/>
          <w:sz w:val="22"/>
          <w:szCs w:val="22"/>
        </w:rPr>
        <w:t>u cestnej infraštruktúry (0,02-percentné</w:t>
      </w:r>
      <w:r w:rsidRPr="00C65CAA">
        <w:rPr>
          <w:rFonts w:ascii="Arial Narrow" w:eastAsiaTheme="minorHAnsi" w:hAnsi="Arial Narrow" w:cstheme="minorBidi"/>
          <w:color w:val="000000"/>
          <w:sz w:val="22"/>
          <w:szCs w:val="22"/>
        </w:rPr>
        <w:t xml:space="preserve"> čerpanie). </w:t>
      </w:r>
    </w:p>
    <w:p w:rsidR="00DB18D2" w:rsidRPr="00C65CAA" w:rsidRDefault="00DB18D2" w:rsidP="00563718">
      <w:pPr>
        <w:spacing w:before="120" w:after="120"/>
        <w:ind w:firstLine="709"/>
        <w:jc w:val="both"/>
        <w:rPr>
          <w:rFonts w:ascii="Arial Narrow" w:eastAsiaTheme="minorHAnsi" w:hAnsi="Arial Narrow" w:cstheme="minorBidi"/>
          <w:color w:val="000000"/>
          <w:sz w:val="22"/>
          <w:szCs w:val="22"/>
        </w:rPr>
      </w:pPr>
      <w:r w:rsidRPr="00C65CAA">
        <w:rPr>
          <w:rFonts w:ascii="Arial Narrow" w:eastAsiaTheme="minorHAnsi" w:hAnsi="Arial Narrow" w:cstheme="minorBidi"/>
          <w:color w:val="000000"/>
          <w:sz w:val="22"/>
          <w:szCs w:val="22"/>
        </w:rPr>
        <w:t>Výstavba diaľnic na kľúčových úsekoch D1 sa každoročne odďaľuje. Dôležitý úsek Lietavská Lúčka – Dubná Skala s tunelom Višňové naberá meškanie kvôli problémom zhotoviteľa, pričom sa očak</w:t>
      </w:r>
      <w:r w:rsidR="00E34F74" w:rsidRPr="00C65CAA">
        <w:rPr>
          <w:rFonts w:ascii="Arial Narrow" w:eastAsiaTheme="minorHAnsi" w:hAnsi="Arial Narrow" w:cstheme="minorBidi"/>
          <w:color w:val="000000"/>
          <w:sz w:val="22"/>
          <w:szCs w:val="22"/>
        </w:rPr>
        <w:t>áv</w:t>
      </w:r>
      <w:r w:rsidR="00840C0C" w:rsidRPr="00C65CAA">
        <w:rPr>
          <w:rFonts w:ascii="Arial Narrow" w:eastAsiaTheme="minorHAnsi" w:hAnsi="Arial Narrow" w:cstheme="minorBidi"/>
          <w:color w:val="000000"/>
          <w:sz w:val="22"/>
          <w:szCs w:val="22"/>
        </w:rPr>
        <w:t>a, že pôvodne dohodnutý termín,</w:t>
      </w:r>
      <w:r w:rsidRPr="00C65CAA">
        <w:rPr>
          <w:rFonts w:ascii="Arial Narrow" w:eastAsiaTheme="minorHAnsi" w:hAnsi="Arial Narrow" w:cstheme="minorBidi"/>
          <w:color w:val="000000"/>
          <w:sz w:val="22"/>
          <w:szCs w:val="22"/>
        </w:rPr>
        <w:t xml:space="preserve"> koniec roka 2019</w:t>
      </w:r>
      <w:r w:rsidR="00840C0C" w:rsidRPr="00C65CAA">
        <w:rPr>
          <w:rFonts w:ascii="Arial Narrow" w:eastAsiaTheme="minorHAnsi" w:hAnsi="Arial Narrow" w:cstheme="minorBidi"/>
          <w:color w:val="000000"/>
          <w:sz w:val="22"/>
          <w:szCs w:val="22"/>
        </w:rPr>
        <w:t>,</w:t>
      </w:r>
      <w:r w:rsidRPr="00C65CAA">
        <w:rPr>
          <w:rFonts w:ascii="Arial Narrow" w:eastAsiaTheme="minorHAnsi" w:hAnsi="Arial Narrow" w:cstheme="minorBidi"/>
          <w:color w:val="000000"/>
          <w:sz w:val="22"/>
          <w:szCs w:val="22"/>
        </w:rPr>
        <w:t xml:space="preserve"> nebude dodržaný. Pesimistické odhady hovoria o otvorení </w:t>
      </w:r>
      <w:r w:rsidR="0013540D" w:rsidRPr="00C65CAA">
        <w:rPr>
          <w:rFonts w:ascii="Arial Narrow" w:eastAsiaTheme="minorHAnsi" w:hAnsi="Arial Narrow" w:cstheme="minorBidi"/>
          <w:color w:val="000000"/>
          <w:sz w:val="22"/>
          <w:szCs w:val="22"/>
        </w:rPr>
        <w:t xml:space="preserve">až </w:t>
      </w:r>
      <w:r w:rsidRPr="00C65CAA">
        <w:rPr>
          <w:rFonts w:ascii="Arial Narrow" w:eastAsiaTheme="minorHAnsi" w:hAnsi="Arial Narrow" w:cstheme="minorBidi"/>
          <w:color w:val="000000"/>
          <w:sz w:val="22"/>
          <w:szCs w:val="22"/>
        </w:rPr>
        <w:t>v roku 2022. V prípade ďalších nepredvídaných komplikácií hrozí riziko neukončenia stavby do roku 2023, čím by sa ohrozilo spol</w:t>
      </w:r>
      <w:r w:rsidR="00840C0C" w:rsidRPr="00C65CAA">
        <w:rPr>
          <w:rFonts w:ascii="Arial Narrow" w:eastAsiaTheme="minorHAnsi" w:hAnsi="Arial Narrow" w:cstheme="minorBidi"/>
          <w:color w:val="000000"/>
          <w:sz w:val="22"/>
          <w:szCs w:val="22"/>
        </w:rPr>
        <w:t>ufinancovanie tohto úseku z </w:t>
      </w:r>
      <w:r w:rsidRPr="00C65CAA">
        <w:rPr>
          <w:rFonts w:ascii="Arial Narrow" w:eastAsiaTheme="minorHAnsi" w:hAnsi="Arial Narrow" w:cstheme="minorBidi"/>
          <w:color w:val="000000"/>
          <w:sz w:val="22"/>
          <w:szCs w:val="22"/>
        </w:rPr>
        <w:t>fondov</w:t>
      </w:r>
      <w:r w:rsidR="00840C0C" w:rsidRPr="00C65CAA">
        <w:rPr>
          <w:rFonts w:ascii="Arial Narrow" w:eastAsiaTheme="minorHAnsi" w:hAnsi="Arial Narrow" w:cstheme="minorBidi"/>
          <w:color w:val="000000"/>
          <w:sz w:val="22"/>
          <w:szCs w:val="22"/>
        </w:rPr>
        <w:t xml:space="preserve"> EÚ</w:t>
      </w:r>
      <w:r w:rsidRPr="00C65CAA">
        <w:rPr>
          <w:rFonts w:ascii="Arial Narrow" w:eastAsiaTheme="minorHAnsi" w:hAnsi="Arial Narrow" w:cstheme="minorBidi"/>
          <w:color w:val="000000"/>
          <w:sz w:val="22"/>
          <w:szCs w:val="22"/>
        </w:rPr>
        <w:t>. Podobné riziko hrozí aj na ďalšo</w:t>
      </w:r>
      <w:r w:rsidR="00E34F74" w:rsidRPr="00C65CAA">
        <w:rPr>
          <w:rFonts w:ascii="Arial Narrow" w:eastAsiaTheme="minorHAnsi" w:hAnsi="Arial Narrow" w:cstheme="minorBidi"/>
          <w:color w:val="000000"/>
          <w:sz w:val="22"/>
          <w:szCs w:val="22"/>
        </w:rPr>
        <w:t>m komplikovanom úseku D1</w:t>
      </w:r>
      <w:r w:rsidR="00840C0C" w:rsidRPr="00C65CAA">
        <w:rPr>
          <w:rFonts w:ascii="Arial Narrow" w:eastAsiaTheme="minorHAnsi" w:hAnsi="Arial Narrow" w:cstheme="minorBidi"/>
          <w:color w:val="000000"/>
          <w:sz w:val="22"/>
          <w:szCs w:val="22"/>
        </w:rPr>
        <w:t>,</w:t>
      </w:r>
      <w:r w:rsidR="00E34F74" w:rsidRPr="00C65CAA">
        <w:rPr>
          <w:rFonts w:ascii="Arial Narrow" w:eastAsiaTheme="minorHAnsi" w:hAnsi="Arial Narrow" w:cstheme="minorBidi"/>
          <w:color w:val="000000"/>
          <w:sz w:val="22"/>
          <w:szCs w:val="22"/>
        </w:rPr>
        <w:t> Hubová </w:t>
      </w:r>
      <w:r w:rsidRPr="00C65CAA">
        <w:rPr>
          <w:rFonts w:ascii="Arial Narrow" w:eastAsiaTheme="minorHAnsi" w:hAnsi="Arial Narrow" w:cstheme="minorBidi"/>
          <w:color w:val="000000"/>
          <w:sz w:val="22"/>
          <w:szCs w:val="22"/>
        </w:rPr>
        <w:t>– Ivachnová, kde je zmluvný</w:t>
      </w:r>
      <w:r w:rsidR="00840C0C" w:rsidRPr="00C65CAA">
        <w:rPr>
          <w:rFonts w:ascii="Arial Narrow" w:eastAsiaTheme="minorHAnsi" w:hAnsi="Arial Narrow" w:cstheme="minorBidi"/>
          <w:color w:val="000000"/>
          <w:sz w:val="22"/>
          <w:szCs w:val="22"/>
        </w:rPr>
        <w:t>m</w:t>
      </w:r>
      <w:r w:rsidRPr="00C65CAA">
        <w:rPr>
          <w:rFonts w:ascii="Arial Narrow" w:eastAsiaTheme="minorHAnsi" w:hAnsi="Arial Narrow" w:cstheme="minorBidi"/>
          <w:color w:val="000000"/>
          <w:sz w:val="22"/>
          <w:szCs w:val="22"/>
        </w:rPr>
        <w:t xml:space="preserve"> termín</w:t>
      </w:r>
      <w:r w:rsidR="00840C0C" w:rsidRPr="00C65CAA">
        <w:rPr>
          <w:rFonts w:ascii="Arial Narrow" w:eastAsiaTheme="minorHAnsi" w:hAnsi="Arial Narrow" w:cstheme="minorBidi"/>
          <w:color w:val="000000"/>
          <w:sz w:val="22"/>
          <w:szCs w:val="22"/>
        </w:rPr>
        <w:t>om</w:t>
      </w:r>
      <w:r w:rsidR="0013540D" w:rsidRPr="00C65CAA">
        <w:rPr>
          <w:rFonts w:ascii="Arial Narrow" w:eastAsiaTheme="minorHAnsi" w:hAnsi="Arial Narrow" w:cstheme="minorBidi"/>
          <w:color w:val="000000"/>
          <w:sz w:val="22"/>
          <w:szCs w:val="22"/>
        </w:rPr>
        <w:t xml:space="preserve"> ukončenia stavby</w:t>
      </w:r>
      <w:r w:rsidR="00840C0C" w:rsidRPr="00C65CAA">
        <w:rPr>
          <w:rFonts w:ascii="Arial Narrow" w:eastAsiaTheme="minorHAnsi" w:hAnsi="Arial Narrow" w:cstheme="minorBidi"/>
          <w:color w:val="000000"/>
          <w:sz w:val="22"/>
          <w:szCs w:val="22"/>
        </w:rPr>
        <w:t xml:space="preserve"> júl</w:t>
      </w:r>
      <w:r w:rsidRPr="00C65CAA">
        <w:rPr>
          <w:rFonts w:ascii="Arial Narrow" w:eastAsiaTheme="minorHAnsi" w:hAnsi="Arial Narrow" w:cstheme="minorBidi"/>
          <w:color w:val="000000"/>
          <w:sz w:val="22"/>
          <w:szCs w:val="22"/>
        </w:rPr>
        <w:t xml:space="preserve"> 2022</w:t>
      </w:r>
      <w:r w:rsidR="00840C0C" w:rsidRPr="00C65CAA">
        <w:rPr>
          <w:rFonts w:ascii="Arial Narrow" w:eastAsiaTheme="minorHAnsi" w:hAnsi="Arial Narrow" w:cstheme="minorBidi"/>
          <w:color w:val="000000"/>
          <w:sz w:val="22"/>
          <w:szCs w:val="22"/>
        </w:rPr>
        <w:t>,</w:t>
      </w:r>
      <w:r w:rsidRPr="00C65CAA">
        <w:rPr>
          <w:rFonts w:ascii="Arial Narrow" w:eastAsiaTheme="minorHAnsi" w:hAnsi="Arial Narrow" w:cstheme="minorBidi"/>
          <w:color w:val="000000"/>
          <w:sz w:val="22"/>
          <w:szCs w:val="22"/>
        </w:rPr>
        <w:t xml:space="preserve"> a taktiež spolufinancovanie z fondov EÚ.  </w:t>
      </w:r>
    </w:p>
    <w:p w:rsidR="00DB18D2" w:rsidRPr="00C65CAA" w:rsidRDefault="00DB18D2" w:rsidP="00563718">
      <w:pPr>
        <w:spacing w:before="120" w:after="120"/>
        <w:ind w:firstLine="709"/>
        <w:jc w:val="both"/>
        <w:rPr>
          <w:rFonts w:ascii="Arial Narrow" w:eastAsiaTheme="minorHAnsi" w:hAnsi="Arial Narrow" w:cstheme="minorBidi"/>
          <w:color w:val="000000"/>
          <w:sz w:val="22"/>
          <w:szCs w:val="22"/>
        </w:rPr>
      </w:pPr>
      <w:r w:rsidRPr="00C65CAA">
        <w:rPr>
          <w:rFonts w:ascii="Arial Narrow" w:eastAsiaTheme="minorHAnsi" w:hAnsi="Arial Narrow" w:cstheme="minorBidi"/>
          <w:b/>
          <w:color w:val="000000"/>
          <w:sz w:val="22"/>
          <w:szCs w:val="22"/>
        </w:rPr>
        <w:t>Prostriedky na údržbu a opravy ciest I. triedy zo štátneho rozpočtu</w:t>
      </w:r>
      <w:r w:rsidR="00840C0C" w:rsidRPr="00C65CAA">
        <w:rPr>
          <w:rFonts w:ascii="Arial Narrow" w:eastAsiaTheme="minorHAnsi" w:hAnsi="Arial Narrow" w:cstheme="minorBidi"/>
          <w:b/>
          <w:color w:val="000000"/>
          <w:sz w:val="22"/>
          <w:szCs w:val="22"/>
        </w:rPr>
        <w:t>,</w:t>
      </w:r>
      <w:r w:rsidRPr="00C65CAA">
        <w:rPr>
          <w:rFonts w:ascii="Arial Narrow" w:eastAsiaTheme="minorHAnsi" w:hAnsi="Arial Narrow" w:cstheme="minorBidi"/>
          <w:b/>
          <w:color w:val="000000"/>
          <w:sz w:val="22"/>
          <w:szCs w:val="22"/>
        </w:rPr>
        <w:t xml:space="preserve"> určené pre SSC</w:t>
      </w:r>
      <w:r w:rsidR="00840C0C" w:rsidRPr="00C65CAA">
        <w:rPr>
          <w:rFonts w:ascii="Arial Narrow" w:eastAsiaTheme="minorHAnsi" w:hAnsi="Arial Narrow" w:cstheme="minorBidi"/>
          <w:b/>
          <w:color w:val="000000"/>
          <w:sz w:val="22"/>
          <w:szCs w:val="22"/>
        </w:rPr>
        <w:t>,</w:t>
      </w:r>
      <w:r w:rsidRPr="00C65CAA">
        <w:rPr>
          <w:rFonts w:ascii="Arial Narrow" w:eastAsiaTheme="minorHAnsi" w:hAnsi="Arial Narrow" w:cstheme="minorBidi"/>
          <w:b/>
          <w:color w:val="000000"/>
          <w:sz w:val="22"/>
          <w:szCs w:val="22"/>
        </w:rPr>
        <w:t xml:space="preserve"> sa medziročne nemenia (40 529 tis. eur), avšak počet kilometrov ciest v nevyhovujúcom a havarijnom stave rastie. V roku 2017 sa medziročne zvýšil počet ciest v nevyhovujúcom stave o 124 km (na 1</w:t>
      </w:r>
      <w:r w:rsidR="00E34F74" w:rsidRPr="00C65CAA">
        <w:rPr>
          <w:rFonts w:ascii="Arial Narrow" w:eastAsiaTheme="minorHAnsi" w:hAnsi="Arial Narrow" w:cstheme="minorBidi"/>
          <w:b/>
          <w:color w:val="000000"/>
          <w:sz w:val="22"/>
          <w:szCs w:val="22"/>
        </w:rPr>
        <w:t xml:space="preserve"> </w:t>
      </w:r>
      <w:r w:rsidRPr="00C65CAA">
        <w:rPr>
          <w:rFonts w:ascii="Arial Narrow" w:eastAsiaTheme="minorHAnsi" w:hAnsi="Arial Narrow" w:cstheme="minorBidi"/>
          <w:b/>
          <w:color w:val="000000"/>
          <w:sz w:val="22"/>
          <w:szCs w:val="22"/>
        </w:rPr>
        <w:t>004 km) a v havarijnom stave o 51,6 km (na 269 km).</w:t>
      </w:r>
      <w:r w:rsidR="00840C0C" w:rsidRPr="00C65CAA">
        <w:rPr>
          <w:rFonts w:ascii="Arial Narrow" w:eastAsiaTheme="minorHAnsi" w:hAnsi="Arial Narrow" w:cstheme="minorBidi"/>
          <w:color w:val="000000"/>
          <w:sz w:val="22"/>
          <w:szCs w:val="22"/>
        </w:rPr>
        <w:t xml:space="preserve"> Navrhovaným rozpočtom nemožno</w:t>
      </w:r>
      <w:r w:rsidRPr="00C65CAA">
        <w:rPr>
          <w:rFonts w:ascii="Arial Narrow" w:eastAsiaTheme="minorHAnsi" w:hAnsi="Arial Narrow" w:cstheme="minorBidi"/>
          <w:color w:val="000000"/>
          <w:sz w:val="22"/>
          <w:szCs w:val="22"/>
        </w:rPr>
        <w:t xml:space="preserve"> zabezpečiť štandard údržby a opráv ciest I. triedy, čo bude mať negatívny do</w:t>
      </w:r>
      <w:r w:rsidR="00840C0C" w:rsidRPr="00C65CAA">
        <w:rPr>
          <w:rFonts w:ascii="Arial Narrow" w:eastAsiaTheme="minorHAnsi" w:hAnsi="Arial Narrow" w:cstheme="minorBidi"/>
          <w:color w:val="000000"/>
          <w:sz w:val="22"/>
          <w:szCs w:val="22"/>
        </w:rPr>
        <w:t>sah</w:t>
      </w:r>
      <w:r w:rsidRPr="00C65CAA">
        <w:rPr>
          <w:rFonts w:ascii="Arial Narrow" w:eastAsiaTheme="minorHAnsi" w:hAnsi="Arial Narrow" w:cstheme="minorBidi"/>
          <w:color w:val="000000"/>
          <w:sz w:val="22"/>
          <w:szCs w:val="22"/>
        </w:rPr>
        <w:t xml:space="preserve"> na udržanie prevádzkyschopnosti ciest a bezpečnosť na cestách. Dlhodobo poddimenzovanou údržbou zhoršený stavebno-technický stav vozoviek bude nutné následne riešiť rekonštrukciami z kapitálových výdavkov. </w:t>
      </w:r>
    </w:p>
    <w:p w:rsidR="00DB18D2" w:rsidRPr="00C65CAA" w:rsidRDefault="00DB18D2" w:rsidP="00563718">
      <w:pPr>
        <w:spacing w:before="120" w:after="120"/>
        <w:ind w:firstLine="709"/>
        <w:jc w:val="both"/>
        <w:rPr>
          <w:rFonts w:ascii="Arial Narrow" w:eastAsiaTheme="minorHAnsi" w:hAnsi="Arial Narrow" w:cstheme="minorBidi"/>
          <w:color w:val="000000"/>
          <w:sz w:val="22"/>
          <w:szCs w:val="22"/>
        </w:rPr>
      </w:pPr>
      <w:r w:rsidRPr="00C65CAA">
        <w:rPr>
          <w:rFonts w:ascii="Arial Narrow" w:eastAsiaTheme="minorHAnsi" w:hAnsi="Arial Narrow" w:cstheme="minorBidi"/>
          <w:color w:val="000000"/>
          <w:sz w:val="22"/>
          <w:szCs w:val="22"/>
        </w:rPr>
        <w:t xml:space="preserve">NKÚ SR vníma riziko v nedostatočnom rozpočtovaní výdavkov pre ZSSK v rámci zmluvy o dopravných službách vo verejnom záujme, kde nie sú započítané úhrady nekrytej straty.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7"/>
        <w:gridCol w:w="1895"/>
        <w:gridCol w:w="1824"/>
        <w:gridCol w:w="1593"/>
        <w:gridCol w:w="1593"/>
        <w:gridCol w:w="1651"/>
      </w:tblGrid>
      <w:tr w:rsidR="0002246A" w:rsidRPr="00C65CAA" w:rsidTr="00095372">
        <w:trPr>
          <w:trHeight w:val="57"/>
          <w:tblHeader/>
        </w:trPr>
        <w:tc>
          <w:tcPr>
            <w:tcW w:w="279" w:type="pct"/>
            <w:tcBorders>
              <w:right w:val="single" w:sz="4" w:space="0" w:color="FFFFFF"/>
            </w:tcBorders>
            <w:shd w:val="clear" w:color="auto" w:fill="0070C0"/>
            <w:vAlign w:val="center"/>
          </w:tcPr>
          <w:p w:rsidR="0002246A" w:rsidRPr="00C65CAA" w:rsidRDefault="0002246A" w:rsidP="00011F12">
            <w:pPr>
              <w:jc w:val="center"/>
              <w:rPr>
                <w:rFonts w:ascii="Arial Narrow" w:eastAsia="Calibri" w:hAnsi="Arial Narrow"/>
                <w:b/>
                <w:bCs/>
                <w:color w:val="FFFFFF"/>
                <w:sz w:val="20"/>
                <w:szCs w:val="20"/>
              </w:rPr>
            </w:pPr>
            <w:r w:rsidRPr="00C65CAA">
              <w:rPr>
                <w:rFonts w:ascii="Arial Narrow" w:eastAsia="Calibri" w:hAnsi="Arial Narrow"/>
                <w:b/>
                <w:bCs/>
                <w:color w:val="FFFFFF"/>
                <w:sz w:val="20"/>
                <w:szCs w:val="20"/>
              </w:rPr>
              <w:t>Rok</w:t>
            </w:r>
          </w:p>
        </w:tc>
        <w:tc>
          <w:tcPr>
            <w:tcW w:w="1045" w:type="pct"/>
            <w:tcBorders>
              <w:left w:val="single" w:sz="4" w:space="0" w:color="FFFFFF"/>
              <w:right w:val="single" w:sz="4" w:space="0" w:color="FFFFFF"/>
            </w:tcBorders>
            <w:shd w:val="clear" w:color="auto" w:fill="0070C0"/>
            <w:vAlign w:val="center"/>
          </w:tcPr>
          <w:p w:rsidR="0002246A" w:rsidRPr="00C65CAA" w:rsidRDefault="0002246A" w:rsidP="00011F12">
            <w:pPr>
              <w:jc w:val="center"/>
              <w:rPr>
                <w:rFonts w:ascii="Arial Narrow" w:eastAsia="Calibri" w:hAnsi="Arial Narrow"/>
                <w:b/>
                <w:bCs/>
                <w:color w:val="FFFFFF"/>
                <w:sz w:val="20"/>
                <w:szCs w:val="20"/>
              </w:rPr>
            </w:pPr>
            <w:r w:rsidRPr="00C65CAA">
              <w:rPr>
                <w:rFonts w:ascii="Arial Narrow" w:eastAsia="Calibri" w:hAnsi="Arial Narrow"/>
                <w:b/>
                <w:bCs/>
                <w:color w:val="FFFFFF"/>
                <w:sz w:val="20"/>
                <w:szCs w:val="20"/>
              </w:rPr>
              <w:t>Objednané vlakové kilometre (v mil. km)</w:t>
            </w:r>
          </w:p>
        </w:tc>
        <w:tc>
          <w:tcPr>
            <w:tcW w:w="1006" w:type="pct"/>
            <w:tcBorders>
              <w:left w:val="single" w:sz="4" w:space="0" w:color="FFFFFF"/>
              <w:right w:val="single" w:sz="4" w:space="0" w:color="FFFFFF"/>
            </w:tcBorders>
            <w:shd w:val="clear" w:color="auto" w:fill="0070C0"/>
            <w:vAlign w:val="center"/>
          </w:tcPr>
          <w:p w:rsidR="0002246A" w:rsidRPr="00C65CAA" w:rsidRDefault="0002246A" w:rsidP="00011F12">
            <w:pPr>
              <w:jc w:val="center"/>
              <w:rPr>
                <w:rFonts w:ascii="Arial Narrow" w:eastAsia="Calibri" w:hAnsi="Arial Narrow"/>
                <w:b/>
                <w:bCs/>
                <w:color w:val="FFFFFF"/>
                <w:sz w:val="20"/>
                <w:szCs w:val="20"/>
              </w:rPr>
            </w:pPr>
            <w:r w:rsidRPr="00C65CAA">
              <w:rPr>
                <w:rFonts w:ascii="Arial Narrow" w:eastAsia="Calibri" w:hAnsi="Arial Narrow"/>
                <w:b/>
                <w:bCs/>
                <w:color w:val="FFFFFF"/>
                <w:sz w:val="20"/>
                <w:szCs w:val="20"/>
              </w:rPr>
              <w:t>Skutočné vlakové kilometre (v mil. km)</w:t>
            </w:r>
          </w:p>
        </w:tc>
        <w:tc>
          <w:tcPr>
            <w:tcW w:w="879" w:type="pct"/>
            <w:tcBorders>
              <w:left w:val="single" w:sz="4" w:space="0" w:color="FFFFFF"/>
              <w:right w:val="single" w:sz="4" w:space="0" w:color="FFFFFF"/>
            </w:tcBorders>
            <w:shd w:val="clear" w:color="auto" w:fill="0070C0"/>
            <w:vAlign w:val="center"/>
          </w:tcPr>
          <w:p w:rsidR="0002246A" w:rsidRPr="00C65CAA" w:rsidRDefault="0002246A" w:rsidP="00011F12">
            <w:pPr>
              <w:jc w:val="center"/>
              <w:rPr>
                <w:rFonts w:ascii="Arial Narrow" w:eastAsia="Calibri" w:hAnsi="Arial Narrow"/>
                <w:b/>
                <w:bCs/>
                <w:color w:val="FFFFFF"/>
                <w:sz w:val="20"/>
                <w:szCs w:val="20"/>
              </w:rPr>
            </w:pPr>
            <w:r w:rsidRPr="00C65CAA">
              <w:rPr>
                <w:rFonts w:ascii="Arial Narrow" w:eastAsia="Calibri" w:hAnsi="Arial Narrow"/>
                <w:b/>
                <w:bCs/>
                <w:color w:val="FFFFFF"/>
                <w:sz w:val="20"/>
                <w:szCs w:val="20"/>
              </w:rPr>
              <w:t>Cestujúci</w:t>
            </w:r>
          </w:p>
          <w:p w:rsidR="0002246A" w:rsidRPr="00C65CAA" w:rsidRDefault="0002246A" w:rsidP="00011F12">
            <w:pPr>
              <w:jc w:val="center"/>
              <w:rPr>
                <w:rFonts w:ascii="Arial Narrow" w:eastAsia="Calibri" w:hAnsi="Arial Narrow"/>
                <w:b/>
                <w:bCs/>
                <w:color w:val="FFFFFF"/>
                <w:sz w:val="20"/>
                <w:szCs w:val="20"/>
              </w:rPr>
            </w:pPr>
            <w:r w:rsidRPr="00C65CAA">
              <w:rPr>
                <w:rFonts w:ascii="Arial Narrow" w:eastAsia="Calibri" w:hAnsi="Arial Narrow"/>
                <w:b/>
                <w:bCs/>
                <w:color w:val="FFFFFF"/>
                <w:sz w:val="20"/>
                <w:szCs w:val="20"/>
              </w:rPr>
              <w:t>(v mil. osôb)</w:t>
            </w:r>
          </w:p>
        </w:tc>
        <w:tc>
          <w:tcPr>
            <w:tcW w:w="879" w:type="pct"/>
            <w:tcBorders>
              <w:left w:val="single" w:sz="4" w:space="0" w:color="FFFFFF"/>
              <w:right w:val="single" w:sz="4" w:space="0" w:color="FFFFFF"/>
            </w:tcBorders>
            <w:shd w:val="clear" w:color="auto" w:fill="0070C0"/>
            <w:vAlign w:val="center"/>
          </w:tcPr>
          <w:p w:rsidR="0002246A" w:rsidRPr="00C65CAA" w:rsidRDefault="0002246A" w:rsidP="00011F12">
            <w:pPr>
              <w:jc w:val="center"/>
              <w:rPr>
                <w:rFonts w:ascii="Arial Narrow" w:eastAsia="Calibri" w:hAnsi="Arial Narrow"/>
                <w:b/>
                <w:bCs/>
                <w:color w:val="FFFFFF"/>
                <w:sz w:val="20"/>
                <w:szCs w:val="20"/>
              </w:rPr>
            </w:pPr>
            <w:r w:rsidRPr="00C65CAA">
              <w:rPr>
                <w:rFonts w:ascii="Arial Narrow" w:eastAsia="Calibri" w:hAnsi="Arial Narrow"/>
                <w:b/>
                <w:bCs/>
                <w:color w:val="FFFFFF"/>
                <w:sz w:val="20"/>
                <w:szCs w:val="20"/>
              </w:rPr>
              <w:t xml:space="preserve">Výška úhrady </w:t>
            </w:r>
            <w:r w:rsidRPr="00C65CAA">
              <w:rPr>
                <w:rFonts w:ascii="Arial Narrow" w:eastAsia="Calibri" w:hAnsi="Arial Narrow"/>
                <w:b/>
                <w:bCs/>
                <w:color w:val="FFFFFF"/>
                <w:sz w:val="20"/>
                <w:szCs w:val="20"/>
              </w:rPr>
              <w:br/>
              <w:t>(v tis. eur)</w:t>
            </w:r>
          </w:p>
        </w:tc>
        <w:tc>
          <w:tcPr>
            <w:tcW w:w="911" w:type="pct"/>
            <w:tcBorders>
              <w:left w:val="single" w:sz="4" w:space="0" w:color="FFFFFF"/>
            </w:tcBorders>
            <w:shd w:val="clear" w:color="auto" w:fill="0070C0"/>
            <w:vAlign w:val="center"/>
          </w:tcPr>
          <w:p w:rsidR="0002246A" w:rsidRPr="00C65CAA" w:rsidRDefault="0002246A" w:rsidP="00011F12">
            <w:pPr>
              <w:jc w:val="center"/>
              <w:rPr>
                <w:rFonts w:ascii="Arial Narrow" w:eastAsia="Calibri" w:hAnsi="Arial Narrow"/>
                <w:b/>
                <w:bCs/>
                <w:color w:val="FFFFFF"/>
                <w:sz w:val="20"/>
                <w:szCs w:val="20"/>
              </w:rPr>
            </w:pPr>
            <w:r w:rsidRPr="00C65CAA">
              <w:rPr>
                <w:rFonts w:ascii="Arial Narrow" w:eastAsia="Calibri" w:hAnsi="Arial Narrow"/>
                <w:b/>
                <w:bCs/>
                <w:color w:val="FFFFFF"/>
                <w:sz w:val="20"/>
                <w:szCs w:val="20"/>
              </w:rPr>
              <w:t xml:space="preserve">Výška nekrytej straty </w:t>
            </w:r>
            <w:r w:rsidRPr="00C65CAA">
              <w:rPr>
                <w:rFonts w:ascii="Arial Narrow" w:eastAsia="Calibri" w:hAnsi="Arial Narrow"/>
                <w:b/>
                <w:bCs/>
                <w:color w:val="FFFFFF"/>
                <w:sz w:val="20"/>
                <w:szCs w:val="20"/>
              </w:rPr>
              <w:br/>
              <w:t>(v tis. eur)</w:t>
            </w:r>
          </w:p>
        </w:tc>
      </w:tr>
      <w:tr w:rsidR="0002246A" w:rsidRPr="00C65CAA" w:rsidTr="00095372">
        <w:trPr>
          <w:trHeight w:val="57"/>
        </w:trPr>
        <w:tc>
          <w:tcPr>
            <w:tcW w:w="279" w:type="pct"/>
            <w:shd w:val="clear" w:color="000000" w:fill="FFFFFF"/>
            <w:vAlign w:val="center"/>
          </w:tcPr>
          <w:p w:rsidR="0002246A" w:rsidRPr="00C65CAA" w:rsidRDefault="0002246A" w:rsidP="00011F12">
            <w:pPr>
              <w:jc w:val="both"/>
              <w:rPr>
                <w:rFonts w:ascii="Arial Narrow" w:eastAsia="Calibri" w:hAnsi="Arial Narrow"/>
                <w:color w:val="000000"/>
                <w:sz w:val="20"/>
                <w:szCs w:val="20"/>
              </w:rPr>
            </w:pPr>
            <w:r w:rsidRPr="00C65CAA">
              <w:rPr>
                <w:rFonts w:ascii="Arial Narrow" w:eastAsia="Calibri" w:hAnsi="Arial Narrow"/>
                <w:bCs/>
                <w:color w:val="000000"/>
                <w:sz w:val="20"/>
                <w:szCs w:val="20"/>
              </w:rPr>
              <w:t>2011</w:t>
            </w:r>
          </w:p>
        </w:tc>
        <w:tc>
          <w:tcPr>
            <w:tcW w:w="1045" w:type="pct"/>
            <w:shd w:val="clear" w:color="000000" w:fill="FFFFFF"/>
            <w:vAlign w:val="center"/>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31,4</w:t>
            </w:r>
          </w:p>
        </w:tc>
        <w:tc>
          <w:tcPr>
            <w:tcW w:w="1006" w:type="pct"/>
            <w:shd w:val="clear" w:color="000000" w:fill="FFFFFF"/>
            <w:vAlign w:val="center"/>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31,331</w:t>
            </w:r>
          </w:p>
        </w:tc>
        <w:tc>
          <w:tcPr>
            <w:tcW w:w="879" w:type="pct"/>
            <w:shd w:val="clear" w:color="000000" w:fill="FFFFFF"/>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45,959</w:t>
            </w:r>
          </w:p>
        </w:tc>
        <w:tc>
          <w:tcPr>
            <w:tcW w:w="879" w:type="pct"/>
            <w:shd w:val="clear" w:color="000000" w:fill="FFFFFF"/>
            <w:vAlign w:val="center"/>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204 999</w:t>
            </w:r>
          </w:p>
        </w:tc>
        <w:tc>
          <w:tcPr>
            <w:tcW w:w="911" w:type="pct"/>
            <w:shd w:val="clear" w:color="000000" w:fill="FFFFFF"/>
            <w:vAlign w:val="center"/>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15 741</w:t>
            </w:r>
          </w:p>
        </w:tc>
      </w:tr>
      <w:tr w:rsidR="0002246A" w:rsidRPr="00C65CAA" w:rsidTr="00095372">
        <w:trPr>
          <w:trHeight w:val="57"/>
        </w:trPr>
        <w:tc>
          <w:tcPr>
            <w:tcW w:w="279" w:type="pct"/>
            <w:shd w:val="clear" w:color="000000" w:fill="FFFFFF"/>
            <w:vAlign w:val="center"/>
          </w:tcPr>
          <w:p w:rsidR="0002246A" w:rsidRPr="00C65CAA" w:rsidRDefault="0002246A" w:rsidP="00011F12">
            <w:pPr>
              <w:jc w:val="both"/>
              <w:rPr>
                <w:rFonts w:ascii="Arial Narrow" w:eastAsia="Calibri" w:hAnsi="Arial Narrow"/>
                <w:color w:val="000000"/>
                <w:sz w:val="20"/>
                <w:szCs w:val="20"/>
              </w:rPr>
            </w:pPr>
            <w:r w:rsidRPr="00C65CAA">
              <w:rPr>
                <w:rFonts w:ascii="Arial Narrow" w:eastAsia="Calibri" w:hAnsi="Arial Narrow"/>
                <w:bCs/>
                <w:color w:val="000000"/>
                <w:sz w:val="20"/>
                <w:szCs w:val="20"/>
              </w:rPr>
              <w:t>2012</w:t>
            </w:r>
          </w:p>
        </w:tc>
        <w:tc>
          <w:tcPr>
            <w:tcW w:w="1045" w:type="pct"/>
            <w:shd w:val="clear" w:color="000000" w:fill="FFFFFF"/>
            <w:vAlign w:val="center"/>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29,35</w:t>
            </w:r>
          </w:p>
        </w:tc>
        <w:tc>
          <w:tcPr>
            <w:tcW w:w="1006" w:type="pct"/>
            <w:shd w:val="clear" w:color="000000" w:fill="FFFFFF"/>
            <w:vAlign w:val="center"/>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30,559</w:t>
            </w:r>
          </w:p>
        </w:tc>
        <w:tc>
          <w:tcPr>
            <w:tcW w:w="879" w:type="pct"/>
            <w:shd w:val="clear" w:color="000000" w:fill="FFFFFF"/>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43,445</w:t>
            </w:r>
          </w:p>
        </w:tc>
        <w:tc>
          <w:tcPr>
            <w:tcW w:w="879" w:type="pct"/>
            <w:shd w:val="clear" w:color="000000" w:fill="FFFFFF"/>
            <w:vAlign w:val="center"/>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199 342</w:t>
            </w:r>
          </w:p>
        </w:tc>
        <w:tc>
          <w:tcPr>
            <w:tcW w:w="911" w:type="pct"/>
            <w:shd w:val="clear" w:color="000000" w:fill="FFFFFF"/>
            <w:vAlign w:val="center"/>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29 296</w:t>
            </w:r>
          </w:p>
        </w:tc>
      </w:tr>
      <w:tr w:rsidR="0002246A" w:rsidRPr="00C65CAA" w:rsidTr="00095372">
        <w:trPr>
          <w:trHeight w:val="57"/>
        </w:trPr>
        <w:tc>
          <w:tcPr>
            <w:tcW w:w="279" w:type="pct"/>
            <w:shd w:val="clear" w:color="000000" w:fill="FFFFFF"/>
            <w:vAlign w:val="center"/>
          </w:tcPr>
          <w:p w:rsidR="0002246A" w:rsidRPr="00C65CAA" w:rsidRDefault="0002246A" w:rsidP="00011F12">
            <w:pPr>
              <w:jc w:val="both"/>
              <w:rPr>
                <w:rFonts w:ascii="Arial Narrow" w:eastAsia="Calibri" w:hAnsi="Arial Narrow"/>
                <w:color w:val="000000"/>
                <w:sz w:val="20"/>
                <w:szCs w:val="20"/>
              </w:rPr>
            </w:pPr>
            <w:r w:rsidRPr="00C65CAA">
              <w:rPr>
                <w:rFonts w:ascii="Arial Narrow" w:eastAsia="Calibri" w:hAnsi="Arial Narrow"/>
                <w:color w:val="000000"/>
                <w:sz w:val="20"/>
                <w:szCs w:val="20"/>
              </w:rPr>
              <w:t>2013</w:t>
            </w:r>
          </w:p>
        </w:tc>
        <w:tc>
          <w:tcPr>
            <w:tcW w:w="1045" w:type="pct"/>
            <w:shd w:val="clear" w:color="000000" w:fill="FFFFFF"/>
            <w:vAlign w:val="center"/>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29,104</w:t>
            </w:r>
          </w:p>
        </w:tc>
        <w:tc>
          <w:tcPr>
            <w:tcW w:w="1006" w:type="pct"/>
            <w:shd w:val="clear" w:color="000000" w:fill="FFFFFF"/>
            <w:vAlign w:val="center"/>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30,438</w:t>
            </w:r>
          </w:p>
        </w:tc>
        <w:tc>
          <w:tcPr>
            <w:tcW w:w="879" w:type="pct"/>
            <w:shd w:val="clear" w:color="000000" w:fill="FFFFFF"/>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44,287</w:t>
            </w:r>
          </w:p>
        </w:tc>
        <w:tc>
          <w:tcPr>
            <w:tcW w:w="879" w:type="pct"/>
            <w:shd w:val="clear" w:color="000000" w:fill="FFFFFF"/>
            <w:vAlign w:val="center"/>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197 559</w:t>
            </w:r>
          </w:p>
        </w:tc>
        <w:tc>
          <w:tcPr>
            <w:tcW w:w="911" w:type="pct"/>
            <w:shd w:val="clear" w:color="000000" w:fill="FFFFFF"/>
            <w:vAlign w:val="center"/>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15 070</w:t>
            </w:r>
          </w:p>
        </w:tc>
      </w:tr>
      <w:tr w:rsidR="0002246A" w:rsidRPr="00C65CAA" w:rsidTr="00095372">
        <w:trPr>
          <w:trHeight w:val="57"/>
        </w:trPr>
        <w:tc>
          <w:tcPr>
            <w:tcW w:w="279" w:type="pct"/>
            <w:shd w:val="clear" w:color="000000" w:fill="FFFFFF"/>
            <w:vAlign w:val="center"/>
          </w:tcPr>
          <w:p w:rsidR="0002246A" w:rsidRPr="00C65CAA" w:rsidRDefault="0002246A" w:rsidP="00011F12">
            <w:pPr>
              <w:jc w:val="both"/>
              <w:rPr>
                <w:rFonts w:ascii="Arial Narrow" w:eastAsia="Calibri" w:hAnsi="Arial Narrow"/>
                <w:color w:val="000000"/>
                <w:sz w:val="20"/>
                <w:szCs w:val="20"/>
              </w:rPr>
            </w:pPr>
            <w:r w:rsidRPr="00C65CAA">
              <w:rPr>
                <w:rFonts w:ascii="Arial Narrow" w:eastAsia="Calibri" w:hAnsi="Arial Narrow"/>
                <w:bCs/>
                <w:color w:val="000000"/>
                <w:sz w:val="20"/>
                <w:szCs w:val="20"/>
              </w:rPr>
              <w:t>2014</w:t>
            </w:r>
          </w:p>
        </w:tc>
        <w:tc>
          <w:tcPr>
            <w:tcW w:w="1045" w:type="pct"/>
            <w:shd w:val="clear" w:color="000000" w:fill="FFFFFF"/>
            <w:vAlign w:val="center"/>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29,604</w:t>
            </w:r>
          </w:p>
        </w:tc>
        <w:tc>
          <w:tcPr>
            <w:tcW w:w="1006" w:type="pct"/>
            <w:shd w:val="clear" w:color="000000" w:fill="FFFFFF"/>
            <w:vAlign w:val="center"/>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30,791</w:t>
            </w:r>
          </w:p>
        </w:tc>
        <w:tc>
          <w:tcPr>
            <w:tcW w:w="879" w:type="pct"/>
            <w:shd w:val="clear" w:color="000000" w:fill="FFFFFF"/>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47,286</w:t>
            </w:r>
          </w:p>
        </w:tc>
        <w:tc>
          <w:tcPr>
            <w:tcW w:w="879" w:type="pct"/>
            <w:shd w:val="clear" w:color="000000" w:fill="FFFFFF"/>
            <w:vAlign w:val="center"/>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197 559</w:t>
            </w:r>
          </w:p>
        </w:tc>
        <w:tc>
          <w:tcPr>
            <w:tcW w:w="911" w:type="pct"/>
            <w:shd w:val="clear" w:color="000000" w:fill="FFFFFF"/>
            <w:vAlign w:val="center"/>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15 620</w:t>
            </w:r>
          </w:p>
        </w:tc>
      </w:tr>
      <w:tr w:rsidR="0002246A" w:rsidRPr="00C65CAA" w:rsidTr="00095372">
        <w:trPr>
          <w:trHeight w:val="57"/>
        </w:trPr>
        <w:tc>
          <w:tcPr>
            <w:tcW w:w="279" w:type="pct"/>
            <w:shd w:val="clear" w:color="000000" w:fill="FFFFFF"/>
            <w:vAlign w:val="center"/>
          </w:tcPr>
          <w:p w:rsidR="0002246A" w:rsidRPr="00C65CAA" w:rsidRDefault="0002246A" w:rsidP="00011F12">
            <w:pPr>
              <w:jc w:val="both"/>
              <w:rPr>
                <w:rFonts w:ascii="Arial Narrow" w:eastAsia="Calibri" w:hAnsi="Arial Narrow"/>
                <w:bCs/>
                <w:color w:val="000000"/>
                <w:sz w:val="20"/>
                <w:szCs w:val="20"/>
              </w:rPr>
            </w:pPr>
            <w:r w:rsidRPr="00C65CAA">
              <w:rPr>
                <w:rFonts w:ascii="Arial Narrow" w:eastAsia="Calibri" w:hAnsi="Arial Narrow"/>
                <w:bCs/>
                <w:color w:val="000000"/>
                <w:sz w:val="20"/>
                <w:szCs w:val="20"/>
              </w:rPr>
              <w:t>2015</w:t>
            </w:r>
          </w:p>
        </w:tc>
        <w:tc>
          <w:tcPr>
            <w:tcW w:w="1045" w:type="pct"/>
            <w:shd w:val="clear" w:color="000000" w:fill="FFFFFF"/>
            <w:vAlign w:val="center"/>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31,304</w:t>
            </w:r>
          </w:p>
        </w:tc>
        <w:tc>
          <w:tcPr>
            <w:tcW w:w="1006" w:type="pct"/>
            <w:shd w:val="clear" w:color="000000" w:fill="FFFFFF"/>
            <w:vAlign w:val="center"/>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31,856</w:t>
            </w:r>
          </w:p>
        </w:tc>
        <w:tc>
          <w:tcPr>
            <w:tcW w:w="879" w:type="pct"/>
            <w:shd w:val="clear" w:color="000000" w:fill="FFFFFF"/>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57,275</w:t>
            </w:r>
          </w:p>
        </w:tc>
        <w:tc>
          <w:tcPr>
            <w:tcW w:w="879" w:type="pct"/>
            <w:shd w:val="clear" w:color="000000" w:fill="FFFFFF"/>
            <w:vAlign w:val="center"/>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210 169</w:t>
            </w:r>
          </w:p>
        </w:tc>
        <w:tc>
          <w:tcPr>
            <w:tcW w:w="911" w:type="pct"/>
            <w:shd w:val="clear" w:color="000000" w:fill="FFFFFF"/>
            <w:vAlign w:val="center"/>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28 747</w:t>
            </w:r>
          </w:p>
        </w:tc>
      </w:tr>
      <w:tr w:rsidR="0002246A" w:rsidRPr="00C65CAA" w:rsidTr="00095372">
        <w:trPr>
          <w:trHeight w:val="57"/>
        </w:trPr>
        <w:tc>
          <w:tcPr>
            <w:tcW w:w="279" w:type="pct"/>
            <w:shd w:val="clear" w:color="000000" w:fill="FFFFFF"/>
            <w:vAlign w:val="center"/>
          </w:tcPr>
          <w:p w:rsidR="0002246A" w:rsidRPr="00C65CAA" w:rsidRDefault="0002246A" w:rsidP="00011F12">
            <w:pPr>
              <w:jc w:val="both"/>
              <w:rPr>
                <w:rFonts w:ascii="Arial Narrow" w:eastAsia="Calibri" w:hAnsi="Arial Narrow"/>
                <w:bCs/>
                <w:color w:val="000000"/>
                <w:sz w:val="20"/>
                <w:szCs w:val="20"/>
              </w:rPr>
            </w:pPr>
            <w:r w:rsidRPr="00C65CAA">
              <w:rPr>
                <w:rFonts w:ascii="Arial Narrow" w:eastAsia="Calibri" w:hAnsi="Arial Narrow"/>
                <w:bCs/>
                <w:color w:val="000000"/>
                <w:sz w:val="20"/>
                <w:szCs w:val="20"/>
              </w:rPr>
              <w:t>2016</w:t>
            </w:r>
          </w:p>
        </w:tc>
        <w:tc>
          <w:tcPr>
            <w:tcW w:w="1045" w:type="pct"/>
            <w:shd w:val="clear" w:color="000000" w:fill="FFFFFF"/>
            <w:vAlign w:val="center"/>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31,304</w:t>
            </w:r>
          </w:p>
        </w:tc>
        <w:tc>
          <w:tcPr>
            <w:tcW w:w="1006" w:type="pct"/>
            <w:shd w:val="clear" w:color="000000" w:fill="FFFFFF"/>
            <w:vAlign w:val="center"/>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31,477</w:t>
            </w:r>
          </w:p>
        </w:tc>
        <w:tc>
          <w:tcPr>
            <w:tcW w:w="879" w:type="pct"/>
            <w:shd w:val="clear" w:color="000000" w:fill="FFFFFF"/>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65,606</w:t>
            </w:r>
          </w:p>
        </w:tc>
        <w:tc>
          <w:tcPr>
            <w:tcW w:w="879" w:type="pct"/>
            <w:shd w:val="clear" w:color="000000" w:fill="FFFFFF"/>
            <w:vAlign w:val="center"/>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209 559</w:t>
            </w:r>
          </w:p>
        </w:tc>
        <w:tc>
          <w:tcPr>
            <w:tcW w:w="911" w:type="pct"/>
            <w:shd w:val="clear" w:color="000000" w:fill="FFFFFF"/>
            <w:vAlign w:val="center"/>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34 390</w:t>
            </w:r>
          </w:p>
        </w:tc>
      </w:tr>
      <w:tr w:rsidR="0002246A" w:rsidRPr="00C65CAA" w:rsidTr="00095372">
        <w:trPr>
          <w:trHeight w:val="57"/>
        </w:trPr>
        <w:tc>
          <w:tcPr>
            <w:tcW w:w="279" w:type="pct"/>
            <w:shd w:val="clear" w:color="000000" w:fill="FFFFFF"/>
            <w:vAlign w:val="center"/>
          </w:tcPr>
          <w:p w:rsidR="0002246A" w:rsidRPr="00C65CAA" w:rsidRDefault="0002246A" w:rsidP="00011F12">
            <w:pPr>
              <w:jc w:val="both"/>
              <w:rPr>
                <w:rFonts w:ascii="Arial Narrow" w:eastAsia="Calibri" w:hAnsi="Arial Narrow"/>
                <w:bCs/>
                <w:color w:val="000000"/>
                <w:sz w:val="20"/>
                <w:szCs w:val="20"/>
              </w:rPr>
            </w:pPr>
            <w:r w:rsidRPr="00C65CAA">
              <w:rPr>
                <w:rFonts w:ascii="Arial Narrow" w:eastAsia="Calibri" w:hAnsi="Arial Narrow"/>
                <w:bCs/>
                <w:color w:val="000000"/>
                <w:sz w:val="20"/>
                <w:szCs w:val="20"/>
              </w:rPr>
              <w:t>2017</w:t>
            </w:r>
          </w:p>
        </w:tc>
        <w:tc>
          <w:tcPr>
            <w:tcW w:w="1045" w:type="pct"/>
            <w:shd w:val="clear" w:color="000000" w:fill="FFFFFF"/>
            <w:vAlign w:val="center"/>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31,304</w:t>
            </w:r>
          </w:p>
        </w:tc>
        <w:tc>
          <w:tcPr>
            <w:tcW w:w="1006" w:type="pct"/>
            <w:shd w:val="clear" w:color="000000" w:fill="FFFFFF"/>
            <w:vAlign w:val="center"/>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32,641</w:t>
            </w:r>
          </w:p>
        </w:tc>
        <w:tc>
          <w:tcPr>
            <w:tcW w:w="879" w:type="pct"/>
            <w:shd w:val="clear" w:color="000000" w:fill="FFFFFF"/>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72,473</w:t>
            </w:r>
          </w:p>
        </w:tc>
        <w:tc>
          <w:tcPr>
            <w:tcW w:w="879" w:type="pct"/>
            <w:shd w:val="clear" w:color="000000" w:fill="FFFFFF"/>
            <w:vAlign w:val="center"/>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209 559</w:t>
            </w:r>
          </w:p>
        </w:tc>
        <w:tc>
          <w:tcPr>
            <w:tcW w:w="911" w:type="pct"/>
            <w:shd w:val="clear" w:color="000000" w:fill="FFFFFF"/>
            <w:vAlign w:val="center"/>
          </w:tcPr>
          <w:p w:rsidR="0002246A" w:rsidRPr="00C65CAA" w:rsidRDefault="0002246A" w:rsidP="00011F12">
            <w:pPr>
              <w:jc w:val="center"/>
              <w:rPr>
                <w:rFonts w:ascii="Arial Narrow" w:eastAsia="Calibri" w:hAnsi="Arial Narrow"/>
                <w:color w:val="000000"/>
                <w:sz w:val="20"/>
                <w:szCs w:val="20"/>
              </w:rPr>
            </w:pPr>
            <w:r w:rsidRPr="00C65CAA">
              <w:rPr>
                <w:rFonts w:ascii="Arial Narrow" w:eastAsia="Calibri" w:hAnsi="Arial Narrow"/>
                <w:color w:val="000000"/>
                <w:sz w:val="20"/>
                <w:szCs w:val="20"/>
              </w:rPr>
              <w:t>-</w:t>
            </w:r>
          </w:p>
        </w:tc>
      </w:tr>
      <w:tr w:rsidR="0002246A" w:rsidRPr="00C65CAA" w:rsidTr="00095372">
        <w:trPr>
          <w:trHeight w:val="57"/>
        </w:trPr>
        <w:tc>
          <w:tcPr>
            <w:tcW w:w="279" w:type="pct"/>
            <w:shd w:val="clear" w:color="000000" w:fill="FFFFFF"/>
            <w:vAlign w:val="center"/>
          </w:tcPr>
          <w:p w:rsidR="0002246A" w:rsidRPr="00C65CAA" w:rsidRDefault="0002246A" w:rsidP="00011F12">
            <w:pPr>
              <w:jc w:val="both"/>
              <w:rPr>
                <w:rFonts w:ascii="Arial Narrow" w:eastAsia="Calibri" w:hAnsi="Arial Narrow"/>
                <w:bCs/>
                <w:color w:val="000000"/>
                <w:sz w:val="20"/>
                <w:szCs w:val="20"/>
              </w:rPr>
            </w:pPr>
            <w:r w:rsidRPr="00C65CAA">
              <w:rPr>
                <w:rFonts w:ascii="Arial Narrow" w:eastAsia="Calibri" w:hAnsi="Arial Narrow"/>
                <w:bCs/>
                <w:color w:val="000000"/>
                <w:sz w:val="20"/>
                <w:szCs w:val="20"/>
              </w:rPr>
              <w:t>2018</w:t>
            </w:r>
          </w:p>
        </w:tc>
        <w:tc>
          <w:tcPr>
            <w:tcW w:w="1045" w:type="pct"/>
            <w:shd w:val="clear" w:color="000000" w:fill="FFFFFF"/>
            <w:vAlign w:val="center"/>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32,37</w:t>
            </w:r>
          </w:p>
        </w:tc>
        <w:tc>
          <w:tcPr>
            <w:tcW w:w="1006" w:type="pct"/>
            <w:shd w:val="clear" w:color="000000" w:fill="FFFFFF"/>
            <w:vAlign w:val="center"/>
          </w:tcPr>
          <w:p w:rsidR="0002246A" w:rsidRPr="00C65CAA" w:rsidRDefault="0002246A" w:rsidP="00011F12">
            <w:pPr>
              <w:jc w:val="center"/>
              <w:rPr>
                <w:rFonts w:ascii="Arial Narrow" w:eastAsia="Calibri" w:hAnsi="Arial Narrow"/>
                <w:color w:val="000000"/>
                <w:sz w:val="20"/>
                <w:szCs w:val="20"/>
              </w:rPr>
            </w:pPr>
            <w:r w:rsidRPr="00C65CAA">
              <w:rPr>
                <w:rFonts w:ascii="Arial Narrow" w:eastAsia="Calibri" w:hAnsi="Arial Narrow"/>
                <w:color w:val="000000"/>
                <w:sz w:val="20"/>
                <w:szCs w:val="20"/>
              </w:rPr>
              <w:t>-</w:t>
            </w:r>
          </w:p>
        </w:tc>
        <w:tc>
          <w:tcPr>
            <w:tcW w:w="879" w:type="pct"/>
            <w:shd w:val="clear" w:color="000000" w:fill="FFFFFF"/>
            <w:vAlign w:val="center"/>
          </w:tcPr>
          <w:p w:rsidR="0002246A" w:rsidRPr="00C65CAA" w:rsidRDefault="0002246A" w:rsidP="00011F12">
            <w:pPr>
              <w:jc w:val="center"/>
              <w:rPr>
                <w:rFonts w:ascii="Arial Narrow" w:eastAsia="Calibri" w:hAnsi="Arial Narrow"/>
                <w:color w:val="000000"/>
                <w:sz w:val="20"/>
                <w:szCs w:val="20"/>
              </w:rPr>
            </w:pPr>
            <w:r w:rsidRPr="00C65CAA">
              <w:rPr>
                <w:rFonts w:ascii="Arial Narrow" w:eastAsia="Calibri" w:hAnsi="Arial Narrow"/>
                <w:color w:val="000000"/>
                <w:sz w:val="20"/>
                <w:szCs w:val="20"/>
              </w:rPr>
              <w:t>-</w:t>
            </w:r>
          </w:p>
        </w:tc>
        <w:tc>
          <w:tcPr>
            <w:tcW w:w="879" w:type="pct"/>
            <w:shd w:val="clear" w:color="000000" w:fill="FFFFFF"/>
            <w:vAlign w:val="center"/>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209 559</w:t>
            </w:r>
          </w:p>
        </w:tc>
        <w:tc>
          <w:tcPr>
            <w:tcW w:w="911" w:type="pct"/>
            <w:shd w:val="clear" w:color="000000" w:fill="FFFFFF"/>
            <w:vAlign w:val="center"/>
          </w:tcPr>
          <w:p w:rsidR="0002246A" w:rsidRPr="00C65CAA" w:rsidRDefault="0002246A" w:rsidP="00011F12">
            <w:pPr>
              <w:jc w:val="center"/>
              <w:rPr>
                <w:rFonts w:ascii="Arial Narrow" w:eastAsia="Calibri" w:hAnsi="Arial Narrow"/>
                <w:color w:val="000000"/>
                <w:sz w:val="20"/>
                <w:szCs w:val="20"/>
              </w:rPr>
            </w:pPr>
            <w:r w:rsidRPr="00C65CAA">
              <w:rPr>
                <w:rFonts w:ascii="Arial Narrow" w:eastAsia="Calibri" w:hAnsi="Arial Narrow"/>
                <w:color w:val="000000"/>
                <w:sz w:val="20"/>
                <w:szCs w:val="20"/>
              </w:rPr>
              <w:t>-</w:t>
            </w:r>
          </w:p>
        </w:tc>
      </w:tr>
      <w:tr w:rsidR="0002246A" w:rsidRPr="00C65CAA" w:rsidTr="00095372">
        <w:trPr>
          <w:trHeight w:val="57"/>
        </w:trPr>
        <w:tc>
          <w:tcPr>
            <w:tcW w:w="279" w:type="pct"/>
            <w:shd w:val="clear" w:color="000000" w:fill="FFFFFF"/>
            <w:vAlign w:val="center"/>
          </w:tcPr>
          <w:p w:rsidR="0002246A" w:rsidRPr="00C65CAA" w:rsidRDefault="0002246A" w:rsidP="00011F12">
            <w:pPr>
              <w:jc w:val="both"/>
              <w:rPr>
                <w:rFonts w:ascii="Arial Narrow" w:eastAsia="Calibri" w:hAnsi="Arial Narrow"/>
                <w:bCs/>
                <w:color w:val="000000"/>
                <w:sz w:val="20"/>
                <w:szCs w:val="20"/>
              </w:rPr>
            </w:pPr>
            <w:r w:rsidRPr="00C65CAA">
              <w:rPr>
                <w:rFonts w:ascii="Arial Narrow" w:eastAsia="Calibri" w:hAnsi="Arial Narrow"/>
                <w:bCs/>
                <w:color w:val="000000"/>
                <w:sz w:val="20"/>
                <w:szCs w:val="20"/>
              </w:rPr>
              <w:t>2019</w:t>
            </w:r>
          </w:p>
        </w:tc>
        <w:tc>
          <w:tcPr>
            <w:tcW w:w="1045" w:type="pct"/>
            <w:shd w:val="clear" w:color="000000" w:fill="FFFFFF"/>
            <w:vAlign w:val="center"/>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33,99</w:t>
            </w:r>
          </w:p>
        </w:tc>
        <w:tc>
          <w:tcPr>
            <w:tcW w:w="1006" w:type="pct"/>
            <w:shd w:val="clear" w:color="000000" w:fill="FFFFFF"/>
            <w:vAlign w:val="center"/>
          </w:tcPr>
          <w:p w:rsidR="0002246A" w:rsidRPr="00C65CAA" w:rsidRDefault="0002246A" w:rsidP="00011F12">
            <w:pPr>
              <w:jc w:val="center"/>
              <w:rPr>
                <w:rFonts w:ascii="Arial Narrow" w:eastAsia="Calibri" w:hAnsi="Arial Narrow"/>
                <w:color w:val="000000"/>
                <w:sz w:val="20"/>
                <w:szCs w:val="20"/>
              </w:rPr>
            </w:pPr>
            <w:r w:rsidRPr="00C65CAA">
              <w:rPr>
                <w:rFonts w:ascii="Arial Narrow" w:eastAsia="Calibri" w:hAnsi="Arial Narrow"/>
                <w:color w:val="000000"/>
                <w:sz w:val="20"/>
                <w:szCs w:val="20"/>
              </w:rPr>
              <w:t>-</w:t>
            </w:r>
          </w:p>
        </w:tc>
        <w:tc>
          <w:tcPr>
            <w:tcW w:w="879" w:type="pct"/>
            <w:shd w:val="clear" w:color="000000" w:fill="FFFFFF"/>
            <w:vAlign w:val="center"/>
          </w:tcPr>
          <w:p w:rsidR="0002246A" w:rsidRPr="00C65CAA" w:rsidRDefault="0002246A" w:rsidP="00011F12">
            <w:pPr>
              <w:jc w:val="center"/>
              <w:rPr>
                <w:rFonts w:ascii="Arial Narrow" w:eastAsia="Calibri" w:hAnsi="Arial Narrow"/>
                <w:color w:val="000000"/>
                <w:sz w:val="20"/>
                <w:szCs w:val="20"/>
              </w:rPr>
            </w:pPr>
            <w:r w:rsidRPr="00C65CAA">
              <w:rPr>
                <w:rFonts w:ascii="Arial Narrow" w:eastAsia="Calibri" w:hAnsi="Arial Narrow"/>
                <w:color w:val="000000"/>
                <w:sz w:val="20"/>
                <w:szCs w:val="20"/>
              </w:rPr>
              <w:t>-</w:t>
            </w:r>
          </w:p>
        </w:tc>
        <w:tc>
          <w:tcPr>
            <w:tcW w:w="879" w:type="pct"/>
            <w:shd w:val="clear" w:color="000000" w:fill="FFFFFF"/>
            <w:vAlign w:val="center"/>
          </w:tcPr>
          <w:p w:rsidR="0002246A" w:rsidRPr="00C65CAA" w:rsidRDefault="0002246A" w:rsidP="00011F12">
            <w:pPr>
              <w:jc w:val="right"/>
              <w:rPr>
                <w:rFonts w:ascii="Arial Narrow" w:eastAsia="Calibri" w:hAnsi="Arial Narrow"/>
                <w:color w:val="000000"/>
                <w:sz w:val="20"/>
                <w:szCs w:val="20"/>
              </w:rPr>
            </w:pPr>
            <w:r w:rsidRPr="00C65CAA">
              <w:rPr>
                <w:rFonts w:ascii="Arial Narrow" w:eastAsia="Calibri" w:hAnsi="Arial Narrow"/>
                <w:color w:val="000000"/>
                <w:sz w:val="20"/>
                <w:szCs w:val="20"/>
              </w:rPr>
              <w:t>218 709</w:t>
            </w:r>
          </w:p>
        </w:tc>
        <w:tc>
          <w:tcPr>
            <w:tcW w:w="911" w:type="pct"/>
            <w:shd w:val="clear" w:color="000000" w:fill="FFFFFF"/>
            <w:vAlign w:val="center"/>
          </w:tcPr>
          <w:p w:rsidR="0002246A" w:rsidRPr="00C65CAA" w:rsidRDefault="0002246A" w:rsidP="00011F12">
            <w:pPr>
              <w:jc w:val="center"/>
              <w:rPr>
                <w:rFonts w:ascii="Arial Narrow" w:eastAsia="Calibri" w:hAnsi="Arial Narrow"/>
                <w:color w:val="000000"/>
                <w:sz w:val="20"/>
                <w:szCs w:val="20"/>
              </w:rPr>
            </w:pPr>
            <w:r w:rsidRPr="00C65CAA">
              <w:rPr>
                <w:rFonts w:ascii="Arial Narrow" w:eastAsia="Calibri" w:hAnsi="Arial Narrow"/>
                <w:color w:val="000000"/>
                <w:sz w:val="20"/>
                <w:szCs w:val="20"/>
              </w:rPr>
              <w:t>-</w:t>
            </w:r>
          </w:p>
        </w:tc>
      </w:tr>
    </w:tbl>
    <w:p w:rsidR="00DB18D2" w:rsidRPr="00C65CAA" w:rsidRDefault="00DB18D2" w:rsidP="00011F12">
      <w:pPr>
        <w:spacing w:after="100"/>
        <w:jc w:val="both"/>
        <w:rPr>
          <w:rFonts w:ascii="Arial Narrow" w:eastAsiaTheme="minorHAnsi" w:hAnsi="Arial Narrow" w:cstheme="minorBidi"/>
          <w:color w:val="000000"/>
          <w:sz w:val="20"/>
          <w:szCs w:val="20"/>
        </w:rPr>
      </w:pPr>
      <w:r w:rsidRPr="00C65CAA">
        <w:rPr>
          <w:rFonts w:ascii="Arial Narrow" w:eastAsiaTheme="minorHAnsi" w:hAnsi="Arial Narrow" w:cstheme="minorBidi"/>
          <w:color w:val="000000"/>
          <w:sz w:val="20"/>
          <w:szCs w:val="20"/>
        </w:rPr>
        <w:t>Zdroj: Centrálny register zmlúv, MDV SR</w:t>
      </w:r>
      <w:r w:rsidR="0002246A" w:rsidRPr="00C65CAA">
        <w:rPr>
          <w:rFonts w:ascii="Arial Narrow" w:eastAsiaTheme="minorHAnsi" w:hAnsi="Arial Narrow" w:cstheme="minorBidi"/>
          <w:color w:val="000000"/>
          <w:sz w:val="20"/>
          <w:szCs w:val="20"/>
        </w:rPr>
        <w:t>, ZSSK</w:t>
      </w:r>
    </w:p>
    <w:p w:rsidR="00DB18D2" w:rsidRPr="00C65CAA" w:rsidRDefault="00DB18D2" w:rsidP="00563718">
      <w:pPr>
        <w:spacing w:before="120" w:after="120"/>
        <w:ind w:firstLine="708"/>
        <w:jc w:val="both"/>
        <w:rPr>
          <w:rFonts w:ascii="Arial Narrow" w:eastAsiaTheme="minorHAnsi" w:hAnsi="Arial Narrow" w:cstheme="minorBidi"/>
          <w:color w:val="000000"/>
          <w:sz w:val="22"/>
          <w:szCs w:val="22"/>
        </w:rPr>
      </w:pPr>
      <w:r w:rsidRPr="00C65CAA">
        <w:rPr>
          <w:rFonts w:ascii="Arial Narrow" w:eastAsiaTheme="minorHAnsi" w:hAnsi="Arial Narrow" w:cstheme="minorBidi"/>
          <w:color w:val="000000"/>
          <w:sz w:val="22"/>
          <w:szCs w:val="22"/>
        </w:rPr>
        <w:lastRenderedPageBreak/>
        <w:t xml:space="preserve">NKÚ SR pozitívne hodnotí navýšenie výdavkov na úhradu výkonov vo verejnom záujme, medziročne o 9 150 tis. eur, aj vzhľadom </w:t>
      </w:r>
      <w:r w:rsidR="00840C0C" w:rsidRPr="00C65CAA">
        <w:rPr>
          <w:rFonts w:ascii="Arial Narrow" w:eastAsiaTheme="minorHAnsi" w:hAnsi="Arial Narrow" w:cstheme="minorBidi"/>
          <w:color w:val="000000"/>
          <w:sz w:val="22"/>
          <w:szCs w:val="22"/>
        </w:rPr>
        <w:t>na to</w:t>
      </w:r>
      <w:r w:rsidRPr="00C65CAA">
        <w:rPr>
          <w:rFonts w:ascii="Arial Narrow" w:eastAsiaTheme="minorHAnsi" w:hAnsi="Arial Narrow" w:cstheme="minorBidi"/>
          <w:color w:val="000000"/>
          <w:sz w:val="22"/>
          <w:szCs w:val="22"/>
        </w:rPr>
        <w:t>, že objednané výkony sa každoročne navyš</w:t>
      </w:r>
      <w:r w:rsidR="00E34F74" w:rsidRPr="00C65CAA">
        <w:rPr>
          <w:rFonts w:ascii="Arial Narrow" w:eastAsiaTheme="minorHAnsi" w:hAnsi="Arial Narrow" w:cstheme="minorBidi"/>
          <w:color w:val="000000"/>
          <w:sz w:val="22"/>
          <w:szCs w:val="22"/>
        </w:rPr>
        <w:t>ujú. Zároveň však upozorňuje na </w:t>
      </w:r>
      <w:r w:rsidRPr="00C65CAA">
        <w:rPr>
          <w:rFonts w:ascii="Arial Narrow" w:eastAsiaTheme="minorHAnsi" w:hAnsi="Arial Narrow" w:cstheme="minorBidi"/>
          <w:color w:val="000000"/>
          <w:sz w:val="22"/>
          <w:szCs w:val="22"/>
        </w:rPr>
        <w:t>riziko, ktoré hrozí v rozpočte na rok 2019 v súvislosti s úhradou nekrytej straty zo Zmluvy o dopravných službách vo verejnom záujme, ktorá v rozpočte kapitoly nebola započítaná. Táto úhrada sa vždy platí v roku n + 2, to zn.</w:t>
      </w:r>
      <w:r w:rsidR="00E34F74" w:rsidRPr="00C65CAA">
        <w:rPr>
          <w:rFonts w:ascii="Arial Narrow" w:eastAsiaTheme="minorHAnsi" w:hAnsi="Arial Narrow" w:cstheme="minorBidi"/>
          <w:color w:val="000000"/>
          <w:sz w:val="22"/>
          <w:szCs w:val="22"/>
        </w:rPr>
        <w:t>, že </w:t>
      </w:r>
      <w:r w:rsidRPr="00C65CAA">
        <w:rPr>
          <w:rFonts w:ascii="Arial Narrow" w:eastAsiaTheme="minorHAnsi" w:hAnsi="Arial Narrow" w:cstheme="minorBidi"/>
          <w:color w:val="000000"/>
          <w:sz w:val="22"/>
          <w:szCs w:val="22"/>
        </w:rPr>
        <w:t>v roku 2019 bude táto suma pokrývať stratu za rok 2017 a</w:t>
      </w:r>
      <w:r w:rsidR="00840C0C" w:rsidRPr="00C65CAA">
        <w:rPr>
          <w:rFonts w:ascii="Arial Narrow" w:eastAsiaTheme="minorHAnsi" w:hAnsi="Arial Narrow" w:cstheme="minorBidi"/>
          <w:color w:val="000000"/>
          <w:sz w:val="22"/>
          <w:szCs w:val="22"/>
        </w:rPr>
        <w:t> tá je. podľa predpokladáov,</w:t>
      </w:r>
      <w:r w:rsidRPr="00C65CAA">
        <w:rPr>
          <w:rFonts w:ascii="Arial Narrow" w:eastAsiaTheme="minorHAnsi" w:hAnsi="Arial Narrow" w:cstheme="minorBidi"/>
          <w:color w:val="000000"/>
          <w:sz w:val="22"/>
          <w:szCs w:val="22"/>
        </w:rPr>
        <w:t xml:space="preserve"> vo výške 38 120 tis. eur. Suma nekrytej straty sa každoročne zvyšuje a predstavuje riziko pre rozpočet, keďže </w:t>
      </w:r>
      <w:r w:rsidR="0013540D" w:rsidRPr="00C65CAA">
        <w:rPr>
          <w:rFonts w:ascii="Arial Narrow" w:eastAsiaTheme="minorHAnsi" w:hAnsi="Arial Narrow" w:cstheme="minorBidi"/>
          <w:color w:val="000000"/>
          <w:sz w:val="22"/>
          <w:szCs w:val="22"/>
        </w:rPr>
        <w:t xml:space="preserve">sa </w:t>
      </w:r>
      <w:r w:rsidRPr="00C65CAA">
        <w:rPr>
          <w:rFonts w:ascii="Arial Narrow" w:eastAsiaTheme="minorHAnsi" w:hAnsi="Arial Narrow" w:cstheme="minorBidi"/>
          <w:color w:val="000000"/>
          <w:sz w:val="22"/>
          <w:szCs w:val="22"/>
        </w:rPr>
        <w:t>tieto prostriedky posielajú v priebehu roka prostredníctvom rozpočtového opatrenia z kapitoly VPS. Od roku 2011 tak spolu došlo k úhrade strát pre ZSSK vo výške 138 864 tis. eur.</w:t>
      </w:r>
    </w:p>
    <w:p w:rsidR="006C0F0E" w:rsidRPr="00C65CAA" w:rsidRDefault="006C0F0E" w:rsidP="00563718">
      <w:pPr>
        <w:spacing w:before="120" w:after="120"/>
        <w:ind w:firstLine="708"/>
        <w:jc w:val="both"/>
        <w:rPr>
          <w:rFonts w:ascii="Arial Narrow" w:eastAsia="Calibri" w:hAnsi="Arial Narrow" w:cs="Calibri"/>
          <w:color w:val="000000"/>
          <w:sz w:val="22"/>
          <w:szCs w:val="22"/>
        </w:rPr>
      </w:pPr>
      <w:r w:rsidRPr="00C65CAA">
        <w:rPr>
          <w:rFonts w:ascii="Arial Narrow" w:eastAsia="Calibri" w:hAnsi="Arial Narrow" w:cs="Calibri"/>
          <w:color w:val="000000"/>
          <w:sz w:val="22"/>
          <w:szCs w:val="22"/>
        </w:rPr>
        <w:t xml:space="preserve">V prípade ŽSR sa výdavky v rámci zmluvy o prevádzke železničnej infraštruktúry medziročne nemenia (272 500 tis. eur). Vzhľadom </w:t>
      </w:r>
      <w:r w:rsidR="00840C0C" w:rsidRPr="00C65CAA">
        <w:rPr>
          <w:rFonts w:ascii="Arial Narrow" w:eastAsia="Calibri" w:hAnsi="Arial Narrow" w:cs="Calibri"/>
          <w:color w:val="000000"/>
          <w:sz w:val="22"/>
          <w:szCs w:val="22"/>
        </w:rPr>
        <w:t>na predpokladané navýšenie</w:t>
      </w:r>
      <w:r w:rsidRPr="00C65CAA">
        <w:rPr>
          <w:rFonts w:ascii="Arial Narrow" w:eastAsia="Calibri" w:hAnsi="Arial Narrow" w:cs="Calibri"/>
          <w:color w:val="000000"/>
          <w:sz w:val="22"/>
          <w:szCs w:val="22"/>
        </w:rPr>
        <w:t xml:space="preserve"> objednaných vlakových kilometro</w:t>
      </w:r>
      <w:r w:rsidR="00840C0C" w:rsidRPr="00C65CAA">
        <w:rPr>
          <w:rFonts w:ascii="Arial Narrow" w:eastAsia="Calibri" w:hAnsi="Arial Narrow" w:cs="Calibri"/>
          <w:color w:val="000000"/>
          <w:sz w:val="22"/>
          <w:szCs w:val="22"/>
        </w:rPr>
        <w:t>v</w:t>
      </w:r>
      <w:r w:rsidRPr="00C65CAA">
        <w:rPr>
          <w:rFonts w:ascii="Arial Narrow" w:eastAsia="Calibri" w:hAnsi="Arial Narrow" w:cs="Calibri"/>
          <w:color w:val="000000"/>
          <w:sz w:val="22"/>
          <w:szCs w:val="22"/>
        </w:rPr>
        <w:t xml:space="preserve"> (zo strany štátu pre ZSSK) na rok 2019</w:t>
      </w:r>
      <w:r w:rsidR="00840C0C" w:rsidRPr="00C65CAA">
        <w:rPr>
          <w:rFonts w:ascii="Arial Narrow" w:eastAsia="Calibri" w:hAnsi="Arial Narrow" w:cs="Calibri"/>
          <w:color w:val="000000"/>
          <w:sz w:val="22"/>
          <w:szCs w:val="22"/>
        </w:rPr>
        <w:t>,</w:t>
      </w:r>
      <w:r w:rsidRPr="00C65CAA">
        <w:rPr>
          <w:rFonts w:ascii="Arial Narrow" w:eastAsia="Calibri" w:hAnsi="Arial Narrow" w:cs="Calibri"/>
          <w:color w:val="000000"/>
          <w:sz w:val="22"/>
          <w:szCs w:val="22"/>
        </w:rPr>
        <w:t xml:space="preserve"> a teda zvýšen</w:t>
      </w:r>
      <w:r w:rsidR="00840C0C" w:rsidRPr="00C65CAA">
        <w:rPr>
          <w:rFonts w:ascii="Arial Narrow" w:eastAsia="Calibri" w:hAnsi="Arial Narrow" w:cs="Calibri"/>
          <w:color w:val="000000"/>
          <w:sz w:val="22"/>
          <w:szCs w:val="22"/>
        </w:rPr>
        <w:t>ú</w:t>
      </w:r>
      <w:r w:rsidRPr="00C65CAA">
        <w:rPr>
          <w:rFonts w:ascii="Arial Narrow" w:eastAsia="Calibri" w:hAnsi="Arial Narrow" w:cs="Calibri"/>
          <w:color w:val="000000"/>
          <w:sz w:val="22"/>
          <w:szCs w:val="22"/>
        </w:rPr>
        <w:t xml:space="preserve"> vyťaženos</w:t>
      </w:r>
      <w:r w:rsidR="00840C0C" w:rsidRPr="00C65CAA">
        <w:rPr>
          <w:rFonts w:ascii="Arial Narrow" w:eastAsia="Calibri" w:hAnsi="Arial Narrow" w:cs="Calibri"/>
          <w:color w:val="000000"/>
          <w:sz w:val="22"/>
          <w:szCs w:val="22"/>
        </w:rPr>
        <w:t>ť</w:t>
      </w:r>
      <w:r w:rsidRPr="00C65CAA">
        <w:rPr>
          <w:rFonts w:ascii="Arial Narrow" w:eastAsia="Calibri" w:hAnsi="Arial Narrow" w:cs="Calibri"/>
          <w:color w:val="000000"/>
          <w:sz w:val="22"/>
          <w:szCs w:val="22"/>
        </w:rPr>
        <w:t xml:space="preserve"> na železničných tratiach</w:t>
      </w:r>
      <w:r w:rsidR="0013540D" w:rsidRPr="00C65CAA">
        <w:rPr>
          <w:rFonts w:ascii="Arial Narrow" w:eastAsia="Calibri" w:hAnsi="Arial Narrow" w:cs="Calibri"/>
          <w:color w:val="000000"/>
          <w:sz w:val="22"/>
          <w:szCs w:val="22"/>
        </w:rPr>
        <w:t>,</w:t>
      </w:r>
      <w:r w:rsidRPr="00C65CAA">
        <w:rPr>
          <w:rFonts w:ascii="Arial Narrow" w:eastAsia="Calibri" w:hAnsi="Arial Narrow" w:cs="Calibri"/>
          <w:color w:val="000000"/>
          <w:sz w:val="22"/>
          <w:szCs w:val="22"/>
        </w:rPr>
        <w:t xml:space="preserve"> sú tieto výdavky nepostačujúce. Taktiež sa nemenia výdavky na výstavbu a obnovu železničnej siete (rovnako ako v roku 2018 sa predpokladajú výdavky vo výške 8 320 tis eur, určené na modernizáciu trate na úseku Liptovský Mikuláš – Poprad). Ďalej je z rozpočtu MDV SR vyčlenený pre ŽSR kapitálový transfer vo výške 36 000 tis. eur. MDV SR však okrem týchto prostriedkov plánuje vyčleniť pre ŽSR aj prostriedky v rámci implementácie rezortný</w:t>
      </w:r>
      <w:r w:rsidR="00E34F74" w:rsidRPr="00C65CAA">
        <w:rPr>
          <w:rFonts w:ascii="Arial Narrow" w:eastAsia="Calibri" w:hAnsi="Arial Narrow" w:cs="Calibri"/>
          <w:color w:val="000000"/>
          <w:sz w:val="22"/>
          <w:szCs w:val="22"/>
        </w:rPr>
        <w:t>ch politík vo výške 20 000 tis. </w:t>
      </w:r>
      <w:r w:rsidRPr="00C65CAA">
        <w:rPr>
          <w:rFonts w:ascii="Arial Narrow" w:eastAsia="Calibri" w:hAnsi="Arial Narrow" w:cs="Calibri"/>
          <w:color w:val="000000"/>
          <w:sz w:val="22"/>
          <w:szCs w:val="22"/>
        </w:rPr>
        <w:t>eur na opravu, údržbu a prevádzku železničnej infraštruktúry. NKÚ SR h</w:t>
      </w:r>
      <w:r w:rsidR="00E34F74" w:rsidRPr="00C65CAA">
        <w:rPr>
          <w:rFonts w:ascii="Arial Narrow" w:eastAsia="Calibri" w:hAnsi="Arial Narrow" w:cs="Calibri"/>
          <w:color w:val="000000"/>
          <w:sz w:val="22"/>
          <w:szCs w:val="22"/>
        </w:rPr>
        <w:t>odnotí pozitívne tento krok, ale </w:t>
      </w:r>
      <w:r w:rsidRPr="00C65CAA">
        <w:rPr>
          <w:rFonts w:ascii="Arial Narrow" w:eastAsia="Calibri" w:hAnsi="Arial Narrow" w:cs="Calibri"/>
          <w:color w:val="000000"/>
          <w:sz w:val="22"/>
          <w:szCs w:val="22"/>
        </w:rPr>
        <w:t>zároveň podotýka, že v rámci zachovania prehľadnosti rozpočtu kapitoly by výdavky s takto jasne zadefinovaným určením mali byť rozpočtované v rámci programu železničná doprava priamo na prvku tomu určenom a nie v rámci programu tvorba a implementácia politík. NKÚ SR zároveň poukazuje na veľké množstvo nevyčerpaných prostriedkov z OPII, určených na rozvoj železničnej infraštruktúry</w:t>
      </w:r>
      <w:r w:rsidR="00840C0C" w:rsidRPr="00C65CAA">
        <w:rPr>
          <w:rFonts w:ascii="Arial Narrow" w:eastAsia="Calibri" w:hAnsi="Arial Narrow" w:cs="Calibri"/>
          <w:color w:val="000000"/>
          <w:sz w:val="22"/>
          <w:szCs w:val="22"/>
        </w:rPr>
        <w:t>,</w:t>
      </w:r>
      <w:r w:rsidRPr="00C65CAA">
        <w:rPr>
          <w:rFonts w:ascii="Arial Narrow" w:eastAsia="Calibri" w:hAnsi="Arial Narrow" w:cs="Calibri"/>
          <w:color w:val="000000"/>
          <w:sz w:val="22"/>
          <w:szCs w:val="22"/>
        </w:rPr>
        <w:t xml:space="preserve"> a s tým súvisiace dodržanie naplánovaných cieľov, ktoré v rámci programovej štruktúry k </w:t>
      </w:r>
      <w:r w:rsidR="0013540D" w:rsidRPr="00C65CAA">
        <w:rPr>
          <w:rFonts w:ascii="Arial Narrow" w:eastAsia="Calibri" w:hAnsi="Arial Narrow" w:cs="Calibri"/>
          <w:color w:val="000000"/>
          <w:sz w:val="22"/>
          <w:szCs w:val="22"/>
        </w:rPr>
        <w:t>týmto prostriedkom prislúchajú. N</w:t>
      </w:r>
      <w:r w:rsidRPr="00C65CAA">
        <w:rPr>
          <w:rFonts w:ascii="Arial Narrow" w:eastAsia="Calibri" w:hAnsi="Arial Narrow" w:cs="Calibri"/>
          <w:color w:val="000000"/>
          <w:sz w:val="22"/>
          <w:szCs w:val="22"/>
        </w:rPr>
        <w:t>a rok 2019 sú v rámci PO Železničná infraštruktúra – mimo TEN-T CORE</w:t>
      </w:r>
      <w:r w:rsidR="00840C0C" w:rsidRPr="00C65CAA">
        <w:rPr>
          <w:rFonts w:ascii="Arial Narrow" w:eastAsia="Calibri" w:hAnsi="Arial Narrow" w:cs="Calibri"/>
          <w:color w:val="000000"/>
          <w:sz w:val="22"/>
          <w:szCs w:val="22"/>
        </w:rPr>
        <w:t xml:space="preserve"> </w:t>
      </w:r>
      <w:r w:rsidR="00840C0C" w:rsidRPr="00C65CAA">
        <w:rPr>
          <w:rFonts w:ascii="Arial Narrow" w:hAnsi="Arial Narrow"/>
          <w:sz w:val="22"/>
          <w:szCs w:val="22"/>
        </w:rPr>
        <w:t>–</w:t>
      </w:r>
      <w:r w:rsidRPr="00C65CAA">
        <w:rPr>
          <w:rFonts w:ascii="Arial Narrow" w:eastAsia="Calibri" w:hAnsi="Arial Narrow" w:cs="Calibri"/>
          <w:color w:val="000000"/>
          <w:sz w:val="22"/>
          <w:szCs w:val="22"/>
        </w:rPr>
        <w:t xml:space="preserve"> naplánované výdavky z prostriedkov EÚ a spolufinancovania vo výške 27 014 </w:t>
      </w:r>
      <w:r w:rsidR="0013540D" w:rsidRPr="00C65CAA">
        <w:rPr>
          <w:rFonts w:ascii="Arial Narrow" w:eastAsia="Calibri" w:hAnsi="Arial Narrow" w:cs="Calibri"/>
          <w:color w:val="000000"/>
          <w:sz w:val="22"/>
          <w:szCs w:val="22"/>
        </w:rPr>
        <w:t>tis. eur</w:t>
      </w:r>
      <w:r w:rsidRPr="00C65CAA">
        <w:rPr>
          <w:rFonts w:ascii="Arial Narrow" w:eastAsia="Calibri" w:hAnsi="Arial Narrow" w:cs="Calibri"/>
          <w:color w:val="000000"/>
          <w:sz w:val="22"/>
          <w:szCs w:val="22"/>
        </w:rPr>
        <w:t>.</w:t>
      </w:r>
    </w:p>
    <w:p w:rsidR="00DB18D2" w:rsidRPr="00C65CAA" w:rsidRDefault="00DB18D2" w:rsidP="00563718">
      <w:pPr>
        <w:spacing w:before="120" w:after="120"/>
        <w:ind w:firstLine="708"/>
        <w:jc w:val="both"/>
        <w:rPr>
          <w:rFonts w:ascii="Arial Narrow" w:eastAsiaTheme="minorHAnsi" w:hAnsi="Arial Narrow" w:cstheme="minorBidi"/>
          <w:color w:val="000000"/>
          <w:sz w:val="22"/>
          <w:szCs w:val="22"/>
          <w:highlight w:val="yellow"/>
        </w:rPr>
      </w:pPr>
      <w:r w:rsidRPr="00C65CAA">
        <w:rPr>
          <w:rFonts w:ascii="Arial Narrow" w:eastAsiaTheme="minorHAnsi" w:hAnsi="Arial Narrow" w:cstheme="minorBidi"/>
          <w:color w:val="000000"/>
          <w:sz w:val="22"/>
          <w:szCs w:val="22"/>
        </w:rPr>
        <w:t>V rámci výdavkov na podporu rozvoja bývania sa výdavky znižujú v súvislos</w:t>
      </w:r>
      <w:r w:rsidR="00E34F74" w:rsidRPr="00C65CAA">
        <w:rPr>
          <w:rFonts w:ascii="Arial Narrow" w:eastAsiaTheme="minorHAnsi" w:hAnsi="Arial Narrow" w:cstheme="minorBidi"/>
          <w:color w:val="000000"/>
          <w:sz w:val="22"/>
          <w:szCs w:val="22"/>
        </w:rPr>
        <w:t>ti so zmenami pri štátnej prémii</w:t>
      </w:r>
      <w:r w:rsidRPr="00C65CAA">
        <w:rPr>
          <w:rFonts w:ascii="Arial Narrow" w:eastAsiaTheme="minorHAnsi" w:hAnsi="Arial Narrow" w:cstheme="minorBidi"/>
          <w:color w:val="000000"/>
          <w:sz w:val="22"/>
          <w:szCs w:val="22"/>
        </w:rPr>
        <w:t xml:space="preserve"> v stavebnom sporení (pokles o 2 000 tis. eur)</w:t>
      </w:r>
      <w:r w:rsidR="00E34F74" w:rsidRPr="00C65CAA">
        <w:rPr>
          <w:rFonts w:ascii="Arial Narrow" w:eastAsiaTheme="minorHAnsi" w:hAnsi="Arial Narrow" w:cstheme="minorBidi"/>
          <w:color w:val="000000"/>
          <w:sz w:val="22"/>
          <w:szCs w:val="22"/>
        </w:rPr>
        <w:t>,</w:t>
      </w:r>
      <w:r w:rsidRPr="00C65CAA">
        <w:rPr>
          <w:rFonts w:ascii="Arial Narrow" w:eastAsiaTheme="minorHAnsi" w:hAnsi="Arial Narrow" w:cstheme="minorBidi"/>
          <w:color w:val="000000"/>
          <w:sz w:val="22"/>
          <w:szCs w:val="22"/>
        </w:rPr>
        <w:t xml:space="preserve"> ale najmä v súvislosti so zmenou štátnej podpory pre mla</w:t>
      </w:r>
      <w:r w:rsidR="00E34F74" w:rsidRPr="00C65CAA">
        <w:rPr>
          <w:rFonts w:ascii="Arial Narrow" w:eastAsiaTheme="minorHAnsi" w:hAnsi="Arial Narrow" w:cstheme="minorBidi"/>
          <w:color w:val="000000"/>
          <w:sz w:val="22"/>
          <w:szCs w:val="22"/>
        </w:rPr>
        <w:t>dých k hypotekárnym úverom, keď</w:t>
      </w:r>
      <w:r w:rsidRPr="00C65CAA">
        <w:rPr>
          <w:rFonts w:ascii="Arial Narrow" w:eastAsiaTheme="minorHAnsi" w:hAnsi="Arial Narrow" w:cstheme="minorBidi"/>
          <w:color w:val="000000"/>
          <w:sz w:val="22"/>
          <w:szCs w:val="22"/>
        </w:rPr>
        <w:t xml:space="preserve"> dochádza medziročne k poklesu o 7 654 tis. eur. Aj vývoj na ďalšie roky predpokladá klesajúci trend. NKÚ SR aj na základe nedávno vykonane</w:t>
      </w:r>
      <w:r w:rsidR="00E34F74" w:rsidRPr="00C65CAA">
        <w:rPr>
          <w:rFonts w:ascii="Arial Narrow" w:eastAsiaTheme="minorHAnsi" w:hAnsi="Arial Narrow" w:cstheme="minorBidi"/>
          <w:color w:val="000000"/>
          <w:sz w:val="22"/>
          <w:szCs w:val="22"/>
        </w:rPr>
        <w:t>j analýzy</w:t>
      </w:r>
      <w:r w:rsidRPr="00C65CAA">
        <w:rPr>
          <w:rFonts w:ascii="Arial Narrow" w:eastAsiaTheme="minorHAnsi" w:hAnsi="Arial Narrow" w:cstheme="minorBidi"/>
          <w:color w:val="000000"/>
          <w:sz w:val="22"/>
          <w:szCs w:val="22"/>
        </w:rPr>
        <w:t xml:space="preserve"> odporúča u</w:t>
      </w:r>
      <w:r w:rsidR="00E34F74" w:rsidRPr="00C65CAA">
        <w:rPr>
          <w:rFonts w:ascii="Arial Narrow" w:eastAsiaTheme="minorHAnsi" w:hAnsi="Arial Narrow" w:cstheme="minorBidi"/>
          <w:color w:val="000000"/>
          <w:sz w:val="22"/>
          <w:szCs w:val="22"/>
        </w:rPr>
        <w:t>šetrené prostriedky vyčleniť na </w:t>
      </w:r>
      <w:r w:rsidRPr="00C65CAA">
        <w:rPr>
          <w:rFonts w:ascii="Arial Narrow" w:eastAsiaTheme="minorHAnsi" w:hAnsi="Arial Narrow" w:cstheme="minorBidi"/>
          <w:color w:val="000000"/>
          <w:sz w:val="22"/>
          <w:szCs w:val="22"/>
        </w:rPr>
        <w:t>podporu a rozvoj nájomného bývania. Práve táto oblasť podľa záverov analýzy na Slovensku výrazne zaostáva (prístup k nájomnému bývaniu v SR je len na úrovni 6 %) a nepriaznivo tak vplýva na možnosti mobility pracovnej sily, n</w:t>
      </w:r>
      <w:r w:rsidR="00E34F74" w:rsidRPr="00C65CAA">
        <w:rPr>
          <w:rFonts w:ascii="Arial Narrow" w:eastAsiaTheme="minorHAnsi" w:hAnsi="Arial Narrow" w:cstheme="minorBidi"/>
          <w:color w:val="000000"/>
          <w:sz w:val="22"/>
          <w:szCs w:val="22"/>
        </w:rPr>
        <w:t>a podporu bývania mladých rodín</w:t>
      </w:r>
      <w:r w:rsidRPr="00C65CAA">
        <w:rPr>
          <w:rFonts w:ascii="Arial Narrow" w:eastAsiaTheme="minorHAnsi" w:hAnsi="Arial Narrow" w:cstheme="minorBidi"/>
          <w:color w:val="000000"/>
          <w:sz w:val="22"/>
          <w:szCs w:val="22"/>
        </w:rPr>
        <w:t xml:space="preserve"> či hendikepovaných občanov.</w:t>
      </w:r>
    </w:p>
    <w:p w:rsidR="002B5822" w:rsidRPr="00C65CAA" w:rsidRDefault="002B5822" w:rsidP="00563718">
      <w:pPr>
        <w:spacing w:before="120" w:after="120"/>
        <w:rPr>
          <w:rFonts w:ascii="Arial Narrow" w:hAnsi="Arial Narrow"/>
          <w:sz w:val="22"/>
          <w:szCs w:val="22"/>
        </w:rPr>
      </w:pPr>
    </w:p>
    <w:p w:rsidR="00D23611" w:rsidRPr="00C65CAA" w:rsidRDefault="00D23611" w:rsidP="00563718">
      <w:pPr>
        <w:pStyle w:val="Nadpis1"/>
        <w:numPr>
          <w:ilvl w:val="0"/>
          <w:numId w:val="92"/>
        </w:numPr>
        <w:spacing w:before="120" w:after="120"/>
        <w:rPr>
          <w:rFonts w:ascii="Arial Narrow" w:eastAsiaTheme="minorHAnsi" w:hAnsi="Arial Narrow"/>
          <w:lang w:eastAsia="en-US"/>
        </w:rPr>
      </w:pPr>
      <w:bookmarkStart w:id="40" w:name="_Toc495316434"/>
      <w:bookmarkStart w:id="41" w:name="_Toc529507608"/>
      <w:r w:rsidRPr="00C65CAA">
        <w:rPr>
          <w:rFonts w:ascii="Arial Narrow" w:eastAsiaTheme="minorHAnsi" w:hAnsi="Arial Narrow"/>
          <w:lang w:eastAsia="en-US"/>
        </w:rPr>
        <w:t>Stanovisko k rozpočtovým vzťahom SR a EÚ na rok 201</w:t>
      </w:r>
      <w:bookmarkEnd w:id="40"/>
      <w:r w:rsidR="005E6FE7" w:rsidRPr="00C65CAA">
        <w:rPr>
          <w:rFonts w:ascii="Arial Narrow" w:eastAsiaTheme="minorHAnsi" w:hAnsi="Arial Narrow"/>
          <w:lang w:eastAsia="en-US"/>
        </w:rPr>
        <w:t>9</w:t>
      </w:r>
      <w:bookmarkEnd w:id="41"/>
    </w:p>
    <w:p w:rsidR="00EB59B2" w:rsidRPr="00C65CAA" w:rsidRDefault="00EB59B2" w:rsidP="00563718">
      <w:pPr>
        <w:spacing w:before="120" w:after="120"/>
        <w:ind w:firstLine="709"/>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Predmetom stanoviska k rozpočtovým vzťahom S</w:t>
      </w:r>
      <w:r w:rsidR="00155EEE" w:rsidRPr="00C65CAA">
        <w:rPr>
          <w:rFonts w:ascii="Arial Narrow" w:eastAsiaTheme="minorHAnsi" w:hAnsi="Arial Narrow" w:cstheme="minorBidi"/>
          <w:sz w:val="22"/>
          <w:szCs w:val="22"/>
          <w:lang w:eastAsia="en-US"/>
        </w:rPr>
        <w:t xml:space="preserve">R </w:t>
      </w:r>
      <w:r w:rsidRPr="00C65CAA">
        <w:rPr>
          <w:rFonts w:ascii="Arial Narrow" w:eastAsiaTheme="minorHAnsi" w:hAnsi="Arial Narrow" w:cstheme="minorBidi"/>
          <w:sz w:val="22"/>
          <w:szCs w:val="22"/>
          <w:lang w:eastAsia="en-US"/>
        </w:rPr>
        <w:t>a</w:t>
      </w:r>
      <w:r w:rsidR="00155EEE" w:rsidRPr="00C65CAA">
        <w:rPr>
          <w:rFonts w:ascii="Arial Narrow" w:eastAsiaTheme="minorHAnsi" w:hAnsi="Arial Narrow" w:cstheme="minorBidi"/>
          <w:sz w:val="22"/>
          <w:szCs w:val="22"/>
          <w:lang w:eastAsia="en-US"/>
        </w:rPr>
        <w:t> </w:t>
      </w:r>
      <w:r w:rsidRPr="00C65CAA">
        <w:rPr>
          <w:rFonts w:ascii="Arial Narrow" w:eastAsiaTheme="minorHAnsi" w:hAnsi="Arial Narrow" w:cstheme="minorBidi"/>
          <w:sz w:val="22"/>
          <w:szCs w:val="22"/>
          <w:lang w:eastAsia="en-US"/>
        </w:rPr>
        <w:t>E</w:t>
      </w:r>
      <w:r w:rsidR="00155EEE" w:rsidRPr="00C65CAA">
        <w:rPr>
          <w:rFonts w:ascii="Arial Narrow" w:eastAsiaTheme="minorHAnsi" w:hAnsi="Arial Narrow" w:cstheme="minorBidi"/>
          <w:sz w:val="22"/>
          <w:szCs w:val="22"/>
          <w:lang w:eastAsia="en-US"/>
        </w:rPr>
        <w:t xml:space="preserve">Ú </w:t>
      </w:r>
      <w:r w:rsidRPr="00C65CAA">
        <w:rPr>
          <w:rFonts w:ascii="Arial Narrow" w:eastAsiaTheme="minorHAnsi" w:hAnsi="Arial Narrow" w:cstheme="minorBidi"/>
          <w:sz w:val="22"/>
          <w:szCs w:val="22"/>
          <w:lang w:eastAsia="en-US"/>
        </w:rPr>
        <w:t>je finančný rok</w:t>
      </w:r>
      <w:r w:rsidR="00E34F74" w:rsidRPr="00C65CAA">
        <w:rPr>
          <w:rFonts w:ascii="Arial Narrow" w:eastAsiaTheme="minorHAnsi" w:hAnsi="Arial Narrow" w:cstheme="minorBidi"/>
          <w:sz w:val="22"/>
          <w:szCs w:val="22"/>
          <w:lang w:eastAsia="en-US"/>
        </w:rPr>
        <w:t xml:space="preserve"> 2019, ktorý je vymedzený od </w:t>
      </w:r>
      <w:r w:rsidR="00155EEE" w:rsidRPr="00C65CAA">
        <w:rPr>
          <w:rFonts w:ascii="Arial Narrow" w:eastAsiaTheme="minorHAnsi" w:hAnsi="Arial Narrow" w:cstheme="minorBidi"/>
          <w:sz w:val="22"/>
          <w:szCs w:val="22"/>
          <w:lang w:eastAsia="en-US"/>
        </w:rPr>
        <w:t>1. </w:t>
      </w:r>
      <w:r w:rsidRPr="00C65CAA">
        <w:rPr>
          <w:rFonts w:ascii="Arial Narrow" w:eastAsiaTheme="minorHAnsi" w:hAnsi="Arial Narrow" w:cstheme="minorBidi"/>
          <w:sz w:val="22"/>
          <w:szCs w:val="22"/>
          <w:lang w:eastAsia="en-US"/>
        </w:rPr>
        <w:t>januára do 31. decemb</w:t>
      </w:r>
      <w:r w:rsidR="00840C0C" w:rsidRPr="00C65CAA">
        <w:rPr>
          <w:rFonts w:ascii="Arial Narrow" w:eastAsiaTheme="minorHAnsi" w:hAnsi="Arial Narrow" w:cstheme="minorBidi"/>
          <w:sz w:val="22"/>
          <w:szCs w:val="22"/>
          <w:lang w:eastAsia="en-US"/>
        </w:rPr>
        <w:t>ra 2019. Ročný rozpočet EÚ zabezpeč</w:t>
      </w:r>
      <w:r w:rsidRPr="00C65CAA">
        <w:rPr>
          <w:rFonts w:ascii="Arial Narrow" w:eastAsiaTheme="minorHAnsi" w:hAnsi="Arial Narrow" w:cstheme="minorBidi"/>
          <w:sz w:val="22"/>
          <w:szCs w:val="22"/>
          <w:lang w:eastAsia="en-US"/>
        </w:rPr>
        <w:t>uje, aby mali všetky jej politiky zabezpečené financovanie. Pravidlá rozpočtu EÚ neumožňujú deficitné hospodárenie, čo znamená, že musí byť z hľadiska svojich príjmov a výdavkov vyrovnaný.</w:t>
      </w:r>
    </w:p>
    <w:p w:rsidR="00EB59B2" w:rsidRPr="00C65CAA" w:rsidRDefault="00EB59B2" w:rsidP="00563718">
      <w:pPr>
        <w:spacing w:before="120" w:after="12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Finančné príspevky členských krajín EÚ do jej rozpočtu každoročne závisia od ich možností a ekonomickej situácie,</w:t>
      </w:r>
      <w:r w:rsidR="00840C0C" w:rsidRPr="00C65CAA">
        <w:rPr>
          <w:rFonts w:ascii="Arial Narrow" w:eastAsiaTheme="minorHAnsi" w:hAnsi="Arial Narrow" w:cstheme="minorBidi"/>
          <w:sz w:val="22"/>
          <w:szCs w:val="22"/>
          <w:lang w:eastAsia="en-US"/>
        </w:rPr>
        <w:t xml:space="preserve"> a to</w:t>
      </w:r>
      <w:r w:rsidRPr="00C65CAA">
        <w:rPr>
          <w:rFonts w:ascii="Arial Narrow" w:eastAsiaTheme="minorHAnsi" w:hAnsi="Arial Narrow" w:cstheme="minorBidi"/>
          <w:sz w:val="22"/>
          <w:szCs w:val="22"/>
          <w:lang w:eastAsia="en-US"/>
        </w:rPr>
        <w:t xml:space="preserve"> tak</w:t>
      </w:r>
      <w:r w:rsidR="00840C0C"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aby bolo finančné prostredie EÚ tvorené spravodlivo. Rozdiel medzi finančným príspevkom štátu a výškou prijatých prostriedkov z EÚ sa nazýva čistá finančná pozícia. Medzi hlavné faktory, od ktorých sa odvíja, patrí hospodársky rast a objem vyčerpaných prostriedkov z rozpočtu EÚ. Kým výška transferu do rozpočtu EÚ sa spravidla nemení významným tempom, čistá finančná pozícia SR v danom roku najviac závisí od schopností a kapacít subjektov čerpať finančné prostriedky z fondov EÚ.</w:t>
      </w:r>
    </w:p>
    <w:p w:rsidR="00EB59B2" w:rsidRPr="00C65CAA" w:rsidRDefault="00E34F74" w:rsidP="00563718">
      <w:pPr>
        <w:spacing w:before="120" w:after="12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O</w:t>
      </w:r>
      <w:r w:rsidR="00EB59B2" w:rsidRPr="00C65CAA">
        <w:rPr>
          <w:rFonts w:ascii="Arial Narrow" w:eastAsiaTheme="minorHAnsi" w:hAnsi="Arial Narrow" w:cstheme="minorBidi"/>
          <w:sz w:val="22"/>
          <w:szCs w:val="22"/>
          <w:lang w:eastAsia="en-US"/>
        </w:rPr>
        <w:t xml:space="preserve">dvody a príspevky SR do rozpočtu EÚ za rok 2017, </w:t>
      </w:r>
      <w:r w:rsidR="00957A55" w:rsidRPr="00C65CAA">
        <w:rPr>
          <w:rFonts w:ascii="Arial Narrow" w:eastAsiaTheme="minorHAnsi" w:hAnsi="Arial Narrow" w:cstheme="minorBidi"/>
          <w:sz w:val="22"/>
          <w:szCs w:val="22"/>
          <w:lang w:eastAsia="en-US"/>
        </w:rPr>
        <w:t>schválený rozpočet na rok 2018,</w:t>
      </w:r>
      <w:r w:rsidR="00EB59B2" w:rsidRPr="00C65CAA">
        <w:rPr>
          <w:rFonts w:ascii="Arial Narrow" w:eastAsiaTheme="minorHAnsi" w:hAnsi="Arial Narrow" w:cstheme="minorBidi"/>
          <w:sz w:val="22"/>
          <w:szCs w:val="22"/>
          <w:lang w:eastAsia="en-US"/>
        </w:rPr>
        <w:t xml:space="preserve"> návrh </w:t>
      </w:r>
      <w:r w:rsidR="00957A55" w:rsidRPr="00C65CAA">
        <w:rPr>
          <w:rFonts w:ascii="Arial Narrow" w:eastAsiaTheme="minorHAnsi" w:hAnsi="Arial Narrow" w:cstheme="minorBidi"/>
          <w:sz w:val="22"/>
          <w:szCs w:val="22"/>
          <w:lang w:eastAsia="en-US"/>
        </w:rPr>
        <w:t>rozpočtu na rok 2019 a čistá finančná pozícia</w:t>
      </w:r>
      <w:r w:rsidRPr="00C65CAA">
        <w:rPr>
          <w:rFonts w:ascii="Arial Narrow" w:eastAsiaTheme="minorHAnsi" w:hAnsi="Arial Narrow" w:cstheme="minorBidi"/>
          <w:sz w:val="22"/>
          <w:szCs w:val="22"/>
          <w:lang w:eastAsia="en-US"/>
        </w:rPr>
        <w:t>:</w:t>
      </w:r>
    </w:p>
    <w:tbl>
      <w:tblPr>
        <w:tblW w:w="5052" w:type="pct"/>
        <w:tblCellMar>
          <w:left w:w="70" w:type="dxa"/>
          <w:right w:w="70" w:type="dxa"/>
        </w:tblCellMar>
        <w:tblLook w:val="04A0" w:firstRow="1" w:lastRow="0" w:firstColumn="1" w:lastColumn="0" w:noHBand="0" w:noVBand="1"/>
      </w:tblPr>
      <w:tblGrid>
        <w:gridCol w:w="3254"/>
        <w:gridCol w:w="1198"/>
        <w:gridCol w:w="1167"/>
        <w:gridCol w:w="1181"/>
        <w:gridCol w:w="1181"/>
        <w:gridCol w:w="1176"/>
      </w:tblGrid>
      <w:tr w:rsidR="00EB59B2" w:rsidRPr="00C65CAA" w:rsidTr="00EB59B2">
        <w:trPr>
          <w:trHeight w:val="383"/>
          <w:tblHeader/>
        </w:trPr>
        <w:tc>
          <w:tcPr>
            <w:tcW w:w="1777" w:type="pct"/>
            <w:vMerge w:val="restart"/>
            <w:tcBorders>
              <w:top w:val="single" w:sz="4" w:space="0" w:color="auto"/>
              <w:left w:val="single" w:sz="4" w:space="0" w:color="auto"/>
              <w:bottom w:val="single" w:sz="4" w:space="0" w:color="FFFFFF"/>
              <w:right w:val="single" w:sz="4" w:space="0" w:color="FFFFFF"/>
            </w:tcBorders>
            <w:shd w:val="clear" w:color="000000" w:fill="2F75B5"/>
            <w:vAlign w:val="center"/>
            <w:hideMark/>
          </w:tcPr>
          <w:p w:rsidR="00EB59B2" w:rsidRPr="00C65CAA" w:rsidRDefault="00EB59B2" w:rsidP="00011F12">
            <w:pPr>
              <w:jc w:val="center"/>
              <w:rPr>
                <w:rFonts w:ascii="Arial Narrow" w:hAnsi="Arial Narrow"/>
                <w:b/>
                <w:bCs/>
                <w:color w:val="FFFFFF"/>
                <w:sz w:val="20"/>
                <w:szCs w:val="20"/>
              </w:rPr>
            </w:pPr>
            <w:r w:rsidRPr="00C65CAA">
              <w:rPr>
                <w:rFonts w:ascii="Arial Narrow" w:hAnsi="Arial Narrow"/>
                <w:b/>
                <w:bCs/>
                <w:color w:val="FFFFFF"/>
                <w:sz w:val="20"/>
                <w:szCs w:val="20"/>
              </w:rPr>
              <w:t>Ukazovateľ (v tis. eur)</w:t>
            </w:r>
          </w:p>
        </w:tc>
        <w:tc>
          <w:tcPr>
            <w:tcW w:w="654" w:type="pct"/>
            <w:vMerge w:val="restart"/>
            <w:tcBorders>
              <w:top w:val="single" w:sz="4" w:space="0" w:color="auto"/>
              <w:left w:val="single" w:sz="4" w:space="0" w:color="FFFFFF"/>
              <w:bottom w:val="single" w:sz="4" w:space="0" w:color="FFFFFF"/>
              <w:right w:val="single" w:sz="4" w:space="0" w:color="FFFFFF"/>
            </w:tcBorders>
            <w:shd w:val="clear" w:color="000000" w:fill="2F75B5"/>
            <w:vAlign w:val="center"/>
            <w:hideMark/>
          </w:tcPr>
          <w:p w:rsidR="00EB59B2" w:rsidRPr="00C65CAA" w:rsidRDefault="00EB59B2" w:rsidP="00011F12">
            <w:pPr>
              <w:jc w:val="center"/>
              <w:rPr>
                <w:rFonts w:ascii="Arial Narrow" w:hAnsi="Arial Narrow"/>
                <w:b/>
                <w:bCs/>
                <w:color w:val="FFFFFF"/>
                <w:sz w:val="20"/>
                <w:szCs w:val="20"/>
              </w:rPr>
            </w:pPr>
            <w:r w:rsidRPr="00C65CAA">
              <w:rPr>
                <w:rFonts w:ascii="Arial Narrow" w:hAnsi="Arial Narrow"/>
                <w:b/>
                <w:bCs/>
                <w:color w:val="FFFFFF"/>
                <w:sz w:val="20"/>
                <w:szCs w:val="20"/>
              </w:rPr>
              <w:t>Skutočnosť 2017</w:t>
            </w:r>
          </w:p>
        </w:tc>
        <w:tc>
          <w:tcPr>
            <w:tcW w:w="1282" w:type="pct"/>
            <w:gridSpan w:val="2"/>
            <w:tcBorders>
              <w:top w:val="single" w:sz="4" w:space="0" w:color="auto"/>
              <w:left w:val="single" w:sz="4" w:space="0" w:color="FFFFFF"/>
              <w:bottom w:val="single" w:sz="4" w:space="0" w:color="FFFFFF"/>
              <w:right w:val="single" w:sz="4" w:space="0" w:color="FFFFFF"/>
            </w:tcBorders>
            <w:shd w:val="clear" w:color="000000" w:fill="2F75B5"/>
            <w:vAlign w:val="center"/>
            <w:hideMark/>
          </w:tcPr>
          <w:p w:rsidR="00EB59B2" w:rsidRPr="00C65CAA" w:rsidRDefault="00EB59B2" w:rsidP="00011F12">
            <w:pPr>
              <w:jc w:val="center"/>
              <w:rPr>
                <w:rFonts w:ascii="Arial Narrow" w:hAnsi="Arial Narrow"/>
                <w:b/>
                <w:bCs/>
                <w:color w:val="FFFFFF"/>
                <w:sz w:val="20"/>
                <w:szCs w:val="20"/>
              </w:rPr>
            </w:pPr>
            <w:r w:rsidRPr="00C65CAA">
              <w:rPr>
                <w:rFonts w:ascii="Arial Narrow" w:hAnsi="Arial Narrow"/>
                <w:b/>
                <w:bCs/>
                <w:color w:val="FFFFFF"/>
                <w:sz w:val="20"/>
                <w:szCs w:val="20"/>
              </w:rPr>
              <w:t xml:space="preserve">Rozpočet </w:t>
            </w:r>
          </w:p>
        </w:tc>
        <w:tc>
          <w:tcPr>
            <w:tcW w:w="645" w:type="pct"/>
            <w:vMerge w:val="restart"/>
            <w:tcBorders>
              <w:top w:val="single" w:sz="4" w:space="0" w:color="auto"/>
              <w:left w:val="single" w:sz="4" w:space="0" w:color="FFFFFF"/>
              <w:bottom w:val="single" w:sz="4" w:space="0" w:color="FFFFFF"/>
              <w:right w:val="single" w:sz="4" w:space="0" w:color="FFFFFF"/>
            </w:tcBorders>
            <w:shd w:val="clear" w:color="000000" w:fill="2F75B5"/>
            <w:vAlign w:val="center"/>
            <w:hideMark/>
          </w:tcPr>
          <w:p w:rsidR="00EB59B2" w:rsidRPr="00C65CAA" w:rsidRDefault="00EB59B2" w:rsidP="00011F12">
            <w:pPr>
              <w:jc w:val="center"/>
              <w:rPr>
                <w:rFonts w:ascii="Arial Narrow" w:hAnsi="Arial Narrow"/>
                <w:b/>
                <w:bCs/>
                <w:color w:val="FFFFFF"/>
                <w:sz w:val="20"/>
                <w:szCs w:val="20"/>
              </w:rPr>
            </w:pPr>
            <w:r w:rsidRPr="00C65CAA">
              <w:rPr>
                <w:rFonts w:ascii="Arial Narrow" w:hAnsi="Arial Narrow"/>
                <w:b/>
                <w:bCs/>
                <w:color w:val="FFFFFF"/>
                <w:sz w:val="20"/>
                <w:szCs w:val="20"/>
              </w:rPr>
              <w:t>Rozdiel</w:t>
            </w:r>
          </w:p>
        </w:tc>
        <w:tc>
          <w:tcPr>
            <w:tcW w:w="643" w:type="pct"/>
            <w:vMerge w:val="restart"/>
            <w:tcBorders>
              <w:top w:val="single" w:sz="4" w:space="0" w:color="auto"/>
              <w:left w:val="single" w:sz="4" w:space="0" w:color="FFFFFF"/>
              <w:bottom w:val="single" w:sz="4" w:space="0" w:color="FFFFFF"/>
              <w:right w:val="single" w:sz="4" w:space="0" w:color="auto"/>
            </w:tcBorders>
            <w:shd w:val="clear" w:color="000000" w:fill="2F75B5"/>
            <w:vAlign w:val="center"/>
            <w:hideMark/>
          </w:tcPr>
          <w:p w:rsidR="00EB59B2" w:rsidRPr="00C65CAA" w:rsidRDefault="00EB59B2" w:rsidP="00011F12">
            <w:pPr>
              <w:jc w:val="center"/>
              <w:rPr>
                <w:rFonts w:ascii="Arial Narrow" w:hAnsi="Arial Narrow"/>
                <w:b/>
                <w:bCs/>
                <w:color w:val="FFFFFF"/>
                <w:sz w:val="20"/>
                <w:szCs w:val="20"/>
              </w:rPr>
            </w:pPr>
            <w:r w:rsidRPr="00C65CAA">
              <w:rPr>
                <w:rFonts w:ascii="Arial Narrow" w:hAnsi="Arial Narrow"/>
                <w:b/>
                <w:bCs/>
                <w:color w:val="FFFFFF"/>
                <w:sz w:val="20"/>
                <w:szCs w:val="20"/>
              </w:rPr>
              <w:t>Podiel                      (v  %)</w:t>
            </w:r>
          </w:p>
        </w:tc>
      </w:tr>
      <w:tr w:rsidR="00EB59B2" w:rsidRPr="00C65CAA" w:rsidTr="00EB59B2">
        <w:trPr>
          <w:trHeight w:val="289"/>
          <w:tblHeader/>
        </w:trPr>
        <w:tc>
          <w:tcPr>
            <w:tcW w:w="1777" w:type="pct"/>
            <w:vMerge/>
            <w:tcBorders>
              <w:top w:val="single" w:sz="4" w:space="0" w:color="FFFFFF"/>
              <w:left w:val="single" w:sz="4" w:space="0" w:color="auto"/>
              <w:bottom w:val="single" w:sz="4" w:space="0" w:color="auto"/>
              <w:right w:val="single" w:sz="4" w:space="0" w:color="FFFFFF"/>
            </w:tcBorders>
            <w:vAlign w:val="center"/>
            <w:hideMark/>
          </w:tcPr>
          <w:p w:rsidR="00EB59B2" w:rsidRPr="00C65CAA" w:rsidRDefault="00EB59B2" w:rsidP="00011F12">
            <w:pPr>
              <w:rPr>
                <w:rFonts w:ascii="Arial Narrow" w:hAnsi="Arial Narrow"/>
                <w:b/>
                <w:bCs/>
                <w:color w:val="FFFFFF"/>
                <w:sz w:val="20"/>
                <w:szCs w:val="20"/>
              </w:rPr>
            </w:pPr>
          </w:p>
        </w:tc>
        <w:tc>
          <w:tcPr>
            <w:tcW w:w="654" w:type="pct"/>
            <w:vMerge/>
            <w:tcBorders>
              <w:top w:val="single" w:sz="4" w:space="0" w:color="FFFFFF"/>
              <w:left w:val="single" w:sz="4" w:space="0" w:color="FFFFFF"/>
              <w:bottom w:val="single" w:sz="4" w:space="0" w:color="auto"/>
              <w:right w:val="single" w:sz="4" w:space="0" w:color="FFFFFF"/>
            </w:tcBorders>
            <w:vAlign w:val="center"/>
            <w:hideMark/>
          </w:tcPr>
          <w:p w:rsidR="00EB59B2" w:rsidRPr="00C65CAA" w:rsidRDefault="00EB59B2" w:rsidP="00011F12">
            <w:pPr>
              <w:rPr>
                <w:rFonts w:ascii="Arial Narrow" w:hAnsi="Arial Narrow"/>
                <w:b/>
                <w:bCs/>
                <w:color w:val="FFFFFF"/>
                <w:sz w:val="20"/>
                <w:szCs w:val="20"/>
              </w:rPr>
            </w:pPr>
          </w:p>
        </w:tc>
        <w:tc>
          <w:tcPr>
            <w:tcW w:w="637" w:type="pct"/>
            <w:tcBorders>
              <w:top w:val="single" w:sz="4" w:space="0" w:color="FFFFFF"/>
              <w:left w:val="single" w:sz="4" w:space="0" w:color="FFFFFF"/>
              <w:bottom w:val="single" w:sz="4" w:space="0" w:color="auto"/>
              <w:right w:val="single" w:sz="4" w:space="0" w:color="FFFFFF"/>
            </w:tcBorders>
            <w:shd w:val="clear" w:color="000000" w:fill="2F75B5"/>
            <w:vAlign w:val="center"/>
            <w:hideMark/>
          </w:tcPr>
          <w:p w:rsidR="00EB59B2" w:rsidRPr="00C65CAA" w:rsidRDefault="00EB59B2" w:rsidP="00011F12">
            <w:pPr>
              <w:jc w:val="center"/>
              <w:rPr>
                <w:rFonts w:ascii="Arial Narrow" w:hAnsi="Arial Narrow"/>
                <w:b/>
                <w:bCs/>
                <w:color w:val="FFFFFF"/>
                <w:sz w:val="20"/>
                <w:szCs w:val="20"/>
              </w:rPr>
            </w:pPr>
            <w:r w:rsidRPr="00C65CAA">
              <w:rPr>
                <w:rFonts w:ascii="Arial Narrow" w:hAnsi="Arial Narrow"/>
                <w:b/>
                <w:bCs/>
                <w:color w:val="FFFFFF"/>
                <w:sz w:val="20"/>
                <w:szCs w:val="20"/>
              </w:rPr>
              <w:t>2018</w:t>
            </w:r>
          </w:p>
        </w:tc>
        <w:tc>
          <w:tcPr>
            <w:tcW w:w="645" w:type="pct"/>
            <w:tcBorders>
              <w:top w:val="single" w:sz="4" w:space="0" w:color="FFFFFF"/>
              <w:left w:val="single" w:sz="4" w:space="0" w:color="FFFFFF"/>
              <w:bottom w:val="single" w:sz="4" w:space="0" w:color="auto"/>
              <w:right w:val="single" w:sz="4" w:space="0" w:color="FFFFFF"/>
            </w:tcBorders>
            <w:shd w:val="clear" w:color="000000" w:fill="2F75B5"/>
            <w:vAlign w:val="center"/>
            <w:hideMark/>
          </w:tcPr>
          <w:p w:rsidR="00EB59B2" w:rsidRPr="00C65CAA" w:rsidRDefault="00EB59B2" w:rsidP="00011F12">
            <w:pPr>
              <w:jc w:val="center"/>
              <w:rPr>
                <w:rFonts w:ascii="Arial Narrow" w:hAnsi="Arial Narrow"/>
                <w:b/>
                <w:bCs/>
                <w:color w:val="FFFFFF"/>
                <w:sz w:val="20"/>
                <w:szCs w:val="20"/>
              </w:rPr>
            </w:pPr>
            <w:r w:rsidRPr="00C65CAA">
              <w:rPr>
                <w:rFonts w:ascii="Arial Narrow" w:hAnsi="Arial Narrow"/>
                <w:b/>
                <w:bCs/>
                <w:color w:val="FFFFFF"/>
                <w:sz w:val="20"/>
                <w:szCs w:val="20"/>
              </w:rPr>
              <w:t>2019</w:t>
            </w:r>
          </w:p>
        </w:tc>
        <w:tc>
          <w:tcPr>
            <w:tcW w:w="645" w:type="pct"/>
            <w:vMerge/>
            <w:tcBorders>
              <w:top w:val="single" w:sz="4" w:space="0" w:color="FFFFFF"/>
              <w:left w:val="single" w:sz="4" w:space="0" w:color="FFFFFF"/>
              <w:bottom w:val="single" w:sz="4" w:space="0" w:color="auto"/>
              <w:right w:val="single" w:sz="4" w:space="0" w:color="FFFFFF"/>
            </w:tcBorders>
            <w:vAlign w:val="center"/>
            <w:hideMark/>
          </w:tcPr>
          <w:p w:rsidR="00EB59B2" w:rsidRPr="00C65CAA" w:rsidRDefault="00EB59B2" w:rsidP="00011F12">
            <w:pPr>
              <w:rPr>
                <w:rFonts w:ascii="Arial Narrow" w:hAnsi="Arial Narrow"/>
                <w:b/>
                <w:bCs/>
                <w:color w:val="FFFFFF"/>
                <w:sz w:val="20"/>
                <w:szCs w:val="20"/>
              </w:rPr>
            </w:pPr>
          </w:p>
        </w:tc>
        <w:tc>
          <w:tcPr>
            <w:tcW w:w="643" w:type="pct"/>
            <w:vMerge/>
            <w:tcBorders>
              <w:top w:val="single" w:sz="4" w:space="0" w:color="FFFFFF"/>
              <w:left w:val="single" w:sz="4" w:space="0" w:color="FFFFFF"/>
              <w:bottom w:val="single" w:sz="4" w:space="0" w:color="auto"/>
              <w:right w:val="single" w:sz="4" w:space="0" w:color="auto"/>
            </w:tcBorders>
            <w:vAlign w:val="center"/>
            <w:hideMark/>
          </w:tcPr>
          <w:p w:rsidR="00EB59B2" w:rsidRPr="00C65CAA" w:rsidRDefault="00EB59B2" w:rsidP="00011F12">
            <w:pPr>
              <w:rPr>
                <w:rFonts w:ascii="Arial Narrow" w:hAnsi="Arial Narrow"/>
                <w:b/>
                <w:bCs/>
                <w:color w:val="FFFFFF"/>
                <w:sz w:val="20"/>
                <w:szCs w:val="20"/>
              </w:rPr>
            </w:pPr>
          </w:p>
        </w:tc>
      </w:tr>
      <w:tr w:rsidR="00EB59B2" w:rsidRPr="00C65CAA" w:rsidTr="00EB59B2">
        <w:trPr>
          <w:trHeight w:val="237"/>
          <w:tblHeader/>
        </w:trPr>
        <w:tc>
          <w:tcPr>
            <w:tcW w:w="1777" w:type="pct"/>
            <w:tcBorders>
              <w:top w:val="nil"/>
              <w:left w:val="single" w:sz="4" w:space="0" w:color="auto"/>
              <w:bottom w:val="single" w:sz="4" w:space="0" w:color="auto"/>
              <w:right w:val="single" w:sz="4" w:space="0" w:color="auto"/>
            </w:tcBorders>
            <w:shd w:val="clear" w:color="auto" w:fill="auto"/>
            <w:noWrap/>
            <w:vAlign w:val="center"/>
            <w:hideMark/>
          </w:tcPr>
          <w:p w:rsidR="00EB59B2" w:rsidRPr="00C65CAA" w:rsidRDefault="00EB59B2" w:rsidP="00011F12">
            <w:pPr>
              <w:jc w:val="center"/>
              <w:rPr>
                <w:rFonts w:ascii="Arial Narrow" w:hAnsi="Arial Narrow"/>
                <w:sz w:val="20"/>
                <w:szCs w:val="20"/>
              </w:rPr>
            </w:pPr>
            <w:r w:rsidRPr="00C65CAA">
              <w:rPr>
                <w:rFonts w:ascii="Arial Narrow" w:hAnsi="Arial Narrow"/>
                <w:sz w:val="20"/>
                <w:szCs w:val="20"/>
              </w:rPr>
              <w:t>a</w:t>
            </w:r>
          </w:p>
        </w:tc>
        <w:tc>
          <w:tcPr>
            <w:tcW w:w="654" w:type="pct"/>
            <w:tcBorders>
              <w:top w:val="nil"/>
              <w:left w:val="nil"/>
              <w:bottom w:val="single" w:sz="4" w:space="0" w:color="auto"/>
              <w:right w:val="single" w:sz="4" w:space="0" w:color="auto"/>
            </w:tcBorders>
            <w:shd w:val="clear" w:color="auto" w:fill="auto"/>
            <w:noWrap/>
            <w:vAlign w:val="center"/>
            <w:hideMark/>
          </w:tcPr>
          <w:p w:rsidR="00EB59B2" w:rsidRPr="00C65CAA" w:rsidRDefault="00EB59B2" w:rsidP="00011F12">
            <w:pPr>
              <w:jc w:val="center"/>
              <w:rPr>
                <w:rFonts w:ascii="Arial Narrow" w:hAnsi="Arial Narrow"/>
                <w:sz w:val="20"/>
                <w:szCs w:val="20"/>
              </w:rPr>
            </w:pPr>
            <w:r w:rsidRPr="00C65CAA">
              <w:rPr>
                <w:rFonts w:ascii="Arial Narrow" w:hAnsi="Arial Narrow"/>
                <w:sz w:val="20"/>
                <w:szCs w:val="20"/>
              </w:rPr>
              <w:t>1</w:t>
            </w:r>
          </w:p>
        </w:tc>
        <w:tc>
          <w:tcPr>
            <w:tcW w:w="637" w:type="pct"/>
            <w:tcBorders>
              <w:top w:val="nil"/>
              <w:left w:val="nil"/>
              <w:bottom w:val="single" w:sz="4" w:space="0" w:color="auto"/>
              <w:right w:val="single" w:sz="4" w:space="0" w:color="auto"/>
            </w:tcBorders>
            <w:shd w:val="clear" w:color="auto" w:fill="auto"/>
            <w:noWrap/>
            <w:vAlign w:val="center"/>
            <w:hideMark/>
          </w:tcPr>
          <w:p w:rsidR="00EB59B2" w:rsidRPr="00C65CAA" w:rsidRDefault="00EB59B2" w:rsidP="00011F12">
            <w:pPr>
              <w:jc w:val="center"/>
              <w:rPr>
                <w:rFonts w:ascii="Arial Narrow" w:hAnsi="Arial Narrow"/>
                <w:sz w:val="20"/>
                <w:szCs w:val="20"/>
              </w:rPr>
            </w:pPr>
            <w:r w:rsidRPr="00C65CAA">
              <w:rPr>
                <w:rFonts w:ascii="Arial Narrow" w:hAnsi="Arial Narrow"/>
                <w:sz w:val="20"/>
                <w:szCs w:val="20"/>
              </w:rPr>
              <w:t>2</w:t>
            </w:r>
          </w:p>
        </w:tc>
        <w:tc>
          <w:tcPr>
            <w:tcW w:w="645" w:type="pct"/>
            <w:tcBorders>
              <w:top w:val="nil"/>
              <w:left w:val="nil"/>
              <w:bottom w:val="single" w:sz="4" w:space="0" w:color="auto"/>
              <w:right w:val="single" w:sz="4" w:space="0" w:color="auto"/>
            </w:tcBorders>
            <w:shd w:val="clear" w:color="auto" w:fill="auto"/>
            <w:noWrap/>
            <w:vAlign w:val="center"/>
            <w:hideMark/>
          </w:tcPr>
          <w:p w:rsidR="00EB59B2" w:rsidRPr="00C65CAA" w:rsidRDefault="00EB59B2" w:rsidP="00011F12">
            <w:pPr>
              <w:jc w:val="center"/>
              <w:rPr>
                <w:rFonts w:ascii="Arial Narrow" w:hAnsi="Arial Narrow"/>
                <w:sz w:val="20"/>
                <w:szCs w:val="20"/>
              </w:rPr>
            </w:pPr>
            <w:r w:rsidRPr="00C65CAA">
              <w:rPr>
                <w:rFonts w:ascii="Arial Narrow" w:hAnsi="Arial Narrow"/>
                <w:sz w:val="20"/>
                <w:szCs w:val="20"/>
              </w:rPr>
              <w:t>3</w:t>
            </w:r>
          </w:p>
        </w:tc>
        <w:tc>
          <w:tcPr>
            <w:tcW w:w="645" w:type="pct"/>
            <w:tcBorders>
              <w:top w:val="nil"/>
              <w:left w:val="nil"/>
              <w:bottom w:val="single" w:sz="4" w:space="0" w:color="auto"/>
              <w:right w:val="single" w:sz="4" w:space="0" w:color="auto"/>
            </w:tcBorders>
            <w:shd w:val="clear" w:color="auto" w:fill="auto"/>
            <w:noWrap/>
            <w:vAlign w:val="center"/>
            <w:hideMark/>
          </w:tcPr>
          <w:p w:rsidR="00EB59B2" w:rsidRPr="00C65CAA" w:rsidRDefault="00EB59B2" w:rsidP="00011F12">
            <w:pPr>
              <w:jc w:val="center"/>
              <w:rPr>
                <w:rFonts w:ascii="Arial Narrow" w:hAnsi="Arial Narrow"/>
                <w:sz w:val="20"/>
                <w:szCs w:val="20"/>
              </w:rPr>
            </w:pPr>
            <w:r w:rsidRPr="00C65CAA">
              <w:rPr>
                <w:rFonts w:ascii="Arial Narrow" w:hAnsi="Arial Narrow"/>
                <w:sz w:val="20"/>
                <w:szCs w:val="20"/>
              </w:rPr>
              <w:t>4=3-2</w:t>
            </w:r>
          </w:p>
        </w:tc>
        <w:tc>
          <w:tcPr>
            <w:tcW w:w="643" w:type="pct"/>
            <w:tcBorders>
              <w:top w:val="nil"/>
              <w:left w:val="nil"/>
              <w:bottom w:val="single" w:sz="4" w:space="0" w:color="auto"/>
              <w:right w:val="single" w:sz="4" w:space="0" w:color="auto"/>
            </w:tcBorders>
            <w:shd w:val="clear" w:color="auto" w:fill="auto"/>
            <w:vAlign w:val="center"/>
            <w:hideMark/>
          </w:tcPr>
          <w:p w:rsidR="00EB59B2" w:rsidRPr="00C65CAA" w:rsidRDefault="00EB59B2" w:rsidP="00011F12">
            <w:pPr>
              <w:jc w:val="center"/>
              <w:rPr>
                <w:rFonts w:ascii="Arial Narrow" w:hAnsi="Arial Narrow"/>
                <w:sz w:val="20"/>
                <w:szCs w:val="20"/>
              </w:rPr>
            </w:pPr>
            <w:r w:rsidRPr="00C65CAA">
              <w:rPr>
                <w:rFonts w:ascii="Arial Narrow" w:hAnsi="Arial Narrow"/>
                <w:sz w:val="20"/>
                <w:szCs w:val="20"/>
              </w:rPr>
              <w:t>5=3/2 *100</w:t>
            </w:r>
          </w:p>
        </w:tc>
      </w:tr>
      <w:tr w:rsidR="00EB59B2" w:rsidRPr="00C65CAA" w:rsidTr="00EB59B2">
        <w:trPr>
          <w:trHeight w:val="289"/>
        </w:trPr>
        <w:tc>
          <w:tcPr>
            <w:tcW w:w="1777" w:type="pct"/>
            <w:tcBorders>
              <w:top w:val="nil"/>
              <w:left w:val="single" w:sz="4" w:space="0" w:color="auto"/>
              <w:bottom w:val="single" w:sz="4" w:space="0" w:color="auto"/>
              <w:right w:val="single" w:sz="4" w:space="0" w:color="auto"/>
            </w:tcBorders>
            <w:shd w:val="clear" w:color="auto" w:fill="auto"/>
            <w:vAlign w:val="center"/>
            <w:hideMark/>
          </w:tcPr>
          <w:p w:rsidR="00EB59B2" w:rsidRPr="00C65CAA" w:rsidRDefault="00EB59B2" w:rsidP="00011F12">
            <w:pPr>
              <w:rPr>
                <w:rFonts w:ascii="Arial Narrow" w:hAnsi="Arial Narrow"/>
                <w:color w:val="000000"/>
                <w:sz w:val="20"/>
                <w:szCs w:val="20"/>
              </w:rPr>
            </w:pPr>
            <w:r w:rsidRPr="00C65CAA">
              <w:rPr>
                <w:rFonts w:ascii="Arial Narrow" w:hAnsi="Arial Narrow"/>
                <w:color w:val="000000"/>
                <w:sz w:val="20"/>
                <w:szCs w:val="20"/>
              </w:rPr>
              <w:t>Príjmy za prostriedky EÚ - zahraničné transfery</w:t>
            </w:r>
          </w:p>
        </w:tc>
        <w:tc>
          <w:tcPr>
            <w:tcW w:w="654" w:type="pct"/>
            <w:tcBorders>
              <w:top w:val="nil"/>
              <w:left w:val="nil"/>
              <w:bottom w:val="single" w:sz="4" w:space="0" w:color="auto"/>
              <w:right w:val="single" w:sz="4" w:space="0" w:color="auto"/>
            </w:tcBorders>
            <w:shd w:val="clear" w:color="auto" w:fill="auto"/>
            <w:vAlign w:val="center"/>
            <w:hideMark/>
          </w:tcPr>
          <w:p w:rsidR="00EB59B2" w:rsidRPr="00C65CAA" w:rsidRDefault="00EB59B2" w:rsidP="00011F12">
            <w:pPr>
              <w:jc w:val="right"/>
              <w:rPr>
                <w:rFonts w:ascii="Arial Narrow" w:hAnsi="Arial Narrow"/>
                <w:color w:val="000000"/>
                <w:sz w:val="20"/>
                <w:szCs w:val="20"/>
              </w:rPr>
            </w:pPr>
            <w:r w:rsidRPr="00C65CAA">
              <w:rPr>
                <w:rFonts w:ascii="Arial Narrow" w:hAnsi="Arial Narrow"/>
                <w:color w:val="000000"/>
                <w:sz w:val="20"/>
                <w:szCs w:val="20"/>
              </w:rPr>
              <w:t>1 422 488</w:t>
            </w:r>
          </w:p>
        </w:tc>
        <w:tc>
          <w:tcPr>
            <w:tcW w:w="637" w:type="pct"/>
            <w:tcBorders>
              <w:top w:val="nil"/>
              <w:left w:val="nil"/>
              <w:bottom w:val="single" w:sz="4" w:space="0" w:color="auto"/>
              <w:right w:val="single" w:sz="4" w:space="0" w:color="auto"/>
            </w:tcBorders>
            <w:shd w:val="clear" w:color="auto" w:fill="auto"/>
            <w:vAlign w:val="center"/>
            <w:hideMark/>
          </w:tcPr>
          <w:p w:rsidR="00EB59B2" w:rsidRPr="00C65CAA" w:rsidRDefault="00EB59B2" w:rsidP="00011F12">
            <w:pPr>
              <w:jc w:val="right"/>
              <w:rPr>
                <w:rFonts w:ascii="Arial Narrow" w:hAnsi="Arial Narrow"/>
                <w:color w:val="000000"/>
                <w:sz w:val="20"/>
                <w:szCs w:val="20"/>
              </w:rPr>
            </w:pPr>
            <w:r w:rsidRPr="00C65CAA">
              <w:rPr>
                <w:rFonts w:ascii="Arial Narrow" w:hAnsi="Arial Narrow"/>
                <w:color w:val="000000"/>
                <w:sz w:val="20"/>
                <w:szCs w:val="20"/>
              </w:rPr>
              <w:t>1 378 419</w:t>
            </w:r>
          </w:p>
        </w:tc>
        <w:tc>
          <w:tcPr>
            <w:tcW w:w="645" w:type="pct"/>
            <w:tcBorders>
              <w:top w:val="nil"/>
              <w:left w:val="nil"/>
              <w:bottom w:val="single" w:sz="4" w:space="0" w:color="auto"/>
              <w:right w:val="single" w:sz="4" w:space="0" w:color="auto"/>
            </w:tcBorders>
            <w:shd w:val="clear" w:color="auto" w:fill="auto"/>
            <w:vAlign w:val="center"/>
            <w:hideMark/>
          </w:tcPr>
          <w:p w:rsidR="00EB59B2" w:rsidRPr="00C65CAA" w:rsidRDefault="00EB59B2" w:rsidP="00011F12">
            <w:pPr>
              <w:jc w:val="right"/>
              <w:rPr>
                <w:rFonts w:ascii="Arial Narrow" w:hAnsi="Arial Narrow"/>
                <w:sz w:val="20"/>
                <w:szCs w:val="20"/>
              </w:rPr>
            </w:pPr>
            <w:r w:rsidRPr="00C65CAA">
              <w:rPr>
                <w:rFonts w:ascii="Arial Narrow" w:hAnsi="Arial Narrow"/>
                <w:sz w:val="20"/>
                <w:szCs w:val="20"/>
              </w:rPr>
              <w:t>1 665 041</w:t>
            </w:r>
          </w:p>
        </w:tc>
        <w:tc>
          <w:tcPr>
            <w:tcW w:w="645" w:type="pct"/>
            <w:tcBorders>
              <w:top w:val="nil"/>
              <w:left w:val="nil"/>
              <w:bottom w:val="single" w:sz="4" w:space="0" w:color="auto"/>
              <w:right w:val="single" w:sz="4" w:space="0" w:color="auto"/>
            </w:tcBorders>
            <w:shd w:val="clear" w:color="auto" w:fill="auto"/>
            <w:vAlign w:val="center"/>
            <w:hideMark/>
          </w:tcPr>
          <w:p w:rsidR="00EB59B2" w:rsidRPr="00C65CAA" w:rsidRDefault="00EB59B2" w:rsidP="00011F12">
            <w:pPr>
              <w:jc w:val="right"/>
              <w:rPr>
                <w:rFonts w:ascii="Arial Narrow" w:hAnsi="Arial Narrow"/>
                <w:color w:val="000000"/>
                <w:sz w:val="20"/>
                <w:szCs w:val="20"/>
              </w:rPr>
            </w:pPr>
            <w:r w:rsidRPr="00C65CAA">
              <w:rPr>
                <w:rFonts w:ascii="Arial Narrow" w:hAnsi="Arial Narrow"/>
                <w:color w:val="000000"/>
                <w:sz w:val="20"/>
                <w:szCs w:val="20"/>
              </w:rPr>
              <w:t>286 622</w:t>
            </w:r>
          </w:p>
        </w:tc>
        <w:tc>
          <w:tcPr>
            <w:tcW w:w="643" w:type="pct"/>
            <w:tcBorders>
              <w:top w:val="nil"/>
              <w:left w:val="nil"/>
              <w:bottom w:val="single" w:sz="4" w:space="0" w:color="auto"/>
              <w:right w:val="single" w:sz="4" w:space="0" w:color="auto"/>
            </w:tcBorders>
            <w:shd w:val="clear" w:color="auto" w:fill="auto"/>
            <w:vAlign w:val="center"/>
            <w:hideMark/>
          </w:tcPr>
          <w:p w:rsidR="00EB59B2" w:rsidRPr="00C65CAA" w:rsidRDefault="00EB59B2" w:rsidP="00011F12">
            <w:pPr>
              <w:jc w:val="center"/>
              <w:rPr>
                <w:rFonts w:ascii="Arial Narrow" w:hAnsi="Arial Narrow"/>
                <w:color w:val="000000"/>
                <w:sz w:val="20"/>
                <w:szCs w:val="20"/>
              </w:rPr>
            </w:pPr>
            <w:r w:rsidRPr="00C65CAA">
              <w:rPr>
                <w:rFonts w:ascii="Arial Narrow" w:hAnsi="Arial Narrow"/>
                <w:color w:val="000000"/>
                <w:sz w:val="20"/>
                <w:szCs w:val="20"/>
              </w:rPr>
              <w:t>120,8%</w:t>
            </w:r>
          </w:p>
        </w:tc>
      </w:tr>
      <w:tr w:rsidR="00EB59B2" w:rsidRPr="00C65CAA" w:rsidTr="00EB59B2">
        <w:trPr>
          <w:trHeight w:val="289"/>
        </w:trPr>
        <w:tc>
          <w:tcPr>
            <w:tcW w:w="1777" w:type="pct"/>
            <w:tcBorders>
              <w:top w:val="nil"/>
              <w:left w:val="single" w:sz="4" w:space="0" w:color="auto"/>
              <w:bottom w:val="single" w:sz="4" w:space="0" w:color="auto"/>
              <w:right w:val="single" w:sz="4" w:space="0" w:color="auto"/>
            </w:tcBorders>
            <w:shd w:val="clear" w:color="auto" w:fill="auto"/>
            <w:vAlign w:val="center"/>
            <w:hideMark/>
          </w:tcPr>
          <w:p w:rsidR="00EB59B2" w:rsidRPr="00C65CAA" w:rsidRDefault="00EB59B2" w:rsidP="00011F12">
            <w:pPr>
              <w:rPr>
                <w:rFonts w:ascii="Arial Narrow" w:hAnsi="Arial Narrow"/>
                <w:color w:val="000000"/>
                <w:sz w:val="20"/>
                <w:szCs w:val="20"/>
              </w:rPr>
            </w:pPr>
            <w:r w:rsidRPr="00C65CAA">
              <w:rPr>
                <w:rFonts w:ascii="Arial Narrow" w:hAnsi="Arial Narrow"/>
                <w:color w:val="000000"/>
                <w:sz w:val="20"/>
                <w:szCs w:val="20"/>
              </w:rPr>
              <w:t>Zahraničné granty z rozpočtu EÚ</w:t>
            </w:r>
          </w:p>
        </w:tc>
        <w:tc>
          <w:tcPr>
            <w:tcW w:w="654" w:type="pct"/>
            <w:tcBorders>
              <w:top w:val="nil"/>
              <w:left w:val="nil"/>
              <w:bottom w:val="single" w:sz="4" w:space="0" w:color="auto"/>
              <w:right w:val="single" w:sz="4" w:space="0" w:color="auto"/>
            </w:tcBorders>
            <w:shd w:val="clear" w:color="auto" w:fill="auto"/>
            <w:vAlign w:val="center"/>
            <w:hideMark/>
          </w:tcPr>
          <w:p w:rsidR="00EB59B2" w:rsidRPr="00C65CAA" w:rsidRDefault="00EB59B2" w:rsidP="00011F12">
            <w:pPr>
              <w:jc w:val="right"/>
              <w:rPr>
                <w:rFonts w:ascii="Arial Narrow" w:hAnsi="Arial Narrow"/>
                <w:color w:val="000000"/>
                <w:sz w:val="20"/>
                <w:szCs w:val="20"/>
              </w:rPr>
            </w:pPr>
            <w:r w:rsidRPr="00C65CAA">
              <w:rPr>
                <w:rFonts w:ascii="Arial Narrow" w:hAnsi="Arial Narrow"/>
                <w:color w:val="000000"/>
                <w:sz w:val="20"/>
                <w:szCs w:val="20"/>
              </w:rPr>
              <w:t>3 084</w:t>
            </w:r>
          </w:p>
        </w:tc>
        <w:tc>
          <w:tcPr>
            <w:tcW w:w="637" w:type="pct"/>
            <w:tcBorders>
              <w:top w:val="nil"/>
              <w:left w:val="nil"/>
              <w:bottom w:val="single" w:sz="4" w:space="0" w:color="auto"/>
              <w:right w:val="single" w:sz="4" w:space="0" w:color="auto"/>
            </w:tcBorders>
            <w:shd w:val="clear" w:color="auto" w:fill="auto"/>
            <w:vAlign w:val="center"/>
            <w:hideMark/>
          </w:tcPr>
          <w:p w:rsidR="00EB59B2" w:rsidRPr="00C65CAA" w:rsidRDefault="00EB59B2" w:rsidP="00011F12">
            <w:pPr>
              <w:jc w:val="right"/>
              <w:rPr>
                <w:rFonts w:ascii="Arial Narrow" w:hAnsi="Arial Narrow"/>
                <w:color w:val="000000"/>
                <w:sz w:val="20"/>
                <w:szCs w:val="20"/>
              </w:rPr>
            </w:pPr>
            <w:r w:rsidRPr="00C65CAA">
              <w:rPr>
                <w:rFonts w:ascii="Arial Narrow" w:hAnsi="Arial Narrow"/>
                <w:color w:val="000000"/>
                <w:sz w:val="20"/>
                <w:szCs w:val="20"/>
              </w:rPr>
              <w:t>83 542</w:t>
            </w:r>
          </w:p>
        </w:tc>
        <w:tc>
          <w:tcPr>
            <w:tcW w:w="645" w:type="pct"/>
            <w:tcBorders>
              <w:top w:val="nil"/>
              <w:left w:val="nil"/>
              <w:bottom w:val="single" w:sz="4" w:space="0" w:color="auto"/>
              <w:right w:val="single" w:sz="4" w:space="0" w:color="auto"/>
            </w:tcBorders>
            <w:shd w:val="clear" w:color="auto" w:fill="auto"/>
            <w:vAlign w:val="center"/>
            <w:hideMark/>
          </w:tcPr>
          <w:p w:rsidR="00EB59B2" w:rsidRPr="00C65CAA" w:rsidRDefault="00EB59B2" w:rsidP="00011F12">
            <w:pPr>
              <w:jc w:val="right"/>
              <w:rPr>
                <w:rFonts w:ascii="Arial Narrow" w:hAnsi="Arial Narrow"/>
                <w:sz w:val="20"/>
                <w:szCs w:val="20"/>
              </w:rPr>
            </w:pPr>
            <w:r w:rsidRPr="00C65CAA">
              <w:rPr>
                <w:rFonts w:ascii="Arial Narrow" w:hAnsi="Arial Narrow"/>
                <w:sz w:val="20"/>
                <w:szCs w:val="20"/>
              </w:rPr>
              <w:t>107 462</w:t>
            </w:r>
          </w:p>
        </w:tc>
        <w:tc>
          <w:tcPr>
            <w:tcW w:w="645" w:type="pct"/>
            <w:tcBorders>
              <w:top w:val="nil"/>
              <w:left w:val="nil"/>
              <w:bottom w:val="single" w:sz="4" w:space="0" w:color="auto"/>
              <w:right w:val="single" w:sz="4" w:space="0" w:color="auto"/>
            </w:tcBorders>
            <w:shd w:val="clear" w:color="auto" w:fill="auto"/>
            <w:vAlign w:val="center"/>
            <w:hideMark/>
          </w:tcPr>
          <w:p w:rsidR="00EB59B2" w:rsidRPr="00C65CAA" w:rsidRDefault="00EB59B2" w:rsidP="00011F12">
            <w:pPr>
              <w:jc w:val="right"/>
              <w:rPr>
                <w:rFonts w:ascii="Arial Narrow" w:hAnsi="Arial Narrow"/>
                <w:color w:val="000000"/>
                <w:sz w:val="20"/>
                <w:szCs w:val="20"/>
              </w:rPr>
            </w:pPr>
            <w:r w:rsidRPr="00C65CAA">
              <w:rPr>
                <w:rFonts w:ascii="Arial Narrow" w:hAnsi="Arial Narrow"/>
                <w:color w:val="000000"/>
                <w:sz w:val="20"/>
                <w:szCs w:val="20"/>
              </w:rPr>
              <w:t>23 920</w:t>
            </w:r>
          </w:p>
        </w:tc>
        <w:tc>
          <w:tcPr>
            <w:tcW w:w="643" w:type="pct"/>
            <w:tcBorders>
              <w:top w:val="nil"/>
              <w:left w:val="nil"/>
              <w:bottom w:val="single" w:sz="4" w:space="0" w:color="auto"/>
              <w:right w:val="single" w:sz="4" w:space="0" w:color="auto"/>
            </w:tcBorders>
            <w:shd w:val="clear" w:color="auto" w:fill="auto"/>
            <w:vAlign w:val="center"/>
            <w:hideMark/>
          </w:tcPr>
          <w:p w:rsidR="00EB59B2" w:rsidRPr="00C65CAA" w:rsidRDefault="00EB59B2" w:rsidP="00011F12">
            <w:pPr>
              <w:jc w:val="center"/>
              <w:rPr>
                <w:rFonts w:ascii="Arial Narrow" w:hAnsi="Arial Narrow"/>
                <w:color w:val="000000"/>
                <w:sz w:val="20"/>
                <w:szCs w:val="20"/>
              </w:rPr>
            </w:pPr>
            <w:r w:rsidRPr="00C65CAA">
              <w:rPr>
                <w:rFonts w:ascii="Arial Narrow" w:hAnsi="Arial Narrow"/>
                <w:color w:val="000000"/>
                <w:sz w:val="20"/>
                <w:szCs w:val="20"/>
              </w:rPr>
              <w:t>128,6%</w:t>
            </w:r>
          </w:p>
        </w:tc>
      </w:tr>
      <w:tr w:rsidR="00EB59B2" w:rsidRPr="00C65CAA" w:rsidTr="00EB59B2">
        <w:trPr>
          <w:trHeight w:val="289"/>
        </w:trPr>
        <w:tc>
          <w:tcPr>
            <w:tcW w:w="1777" w:type="pct"/>
            <w:tcBorders>
              <w:top w:val="nil"/>
              <w:left w:val="single" w:sz="4" w:space="0" w:color="auto"/>
              <w:bottom w:val="single" w:sz="4" w:space="0" w:color="auto"/>
              <w:right w:val="single" w:sz="4" w:space="0" w:color="auto"/>
            </w:tcBorders>
            <w:shd w:val="clear" w:color="000000" w:fill="D9E1F2"/>
            <w:vAlign w:val="center"/>
            <w:hideMark/>
          </w:tcPr>
          <w:p w:rsidR="00EB59B2" w:rsidRPr="00C65CAA" w:rsidRDefault="00EB59B2" w:rsidP="00011F12">
            <w:pPr>
              <w:rPr>
                <w:rFonts w:ascii="Arial Narrow" w:hAnsi="Arial Narrow"/>
                <w:b/>
                <w:bCs/>
                <w:color w:val="000000"/>
                <w:sz w:val="20"/>
                <w:szCs w:val="20"/>
              </w:rPr>
            </w:pPr>
            <w:r w:rsidRPr="00C65CAA">
              <w:rPr>
                <w:rFonts w:ascii="Arial Narrow" w:hAnsi="Arial Narrow"/>
                <w:b/>
                <w:bCs/>
                <w:color w:val="000000"/>
                <w:sz w:val="20"/>
                <w:szCs w:val="20"/>
              </w:rPr>
              <w:t>Spolu príjmy z rozpočtu EÚ</w:t>
            </w:r>
          </w:p>
        </w:tc>
        <w:tc>
          <w:tcPr>
            <w:tcW w:w="654" w:type="pct"/>
            <w:tcBorders>
              <w:top w:val="nil"/>
              <w:left w:val="nil"/>
              <w:bottom w:val="single" w:sz="4" w:space="0" w:color="auto"/>
              <w:right w:val="single" w:sz="4" w:space="0" w:color="auto"/>
            </w:tcBorders>
            <w:shd w:val="clear" w:color="000000" w:fill="D9E1F2"/>
            <w:vAlign w:val="center"/>
            <w:hideMark/>
          </w:tcPr>
          <w:p w:rsidR="00EB59B2" w:rsidRPr="00C65CAA" w:rsidRDefault="00EB59B2" w:rsidP="00011F12">
            <w:pPr>
              <w:jc w:val="right"/>
              <w:rPr>
                <w:rFonts w:ascii="Arial Narrow" w:hAnsi="Arial Narrow"/>
                <w:b/>
                <w:bCs/>
                <w:color w:val="000000"/>
                <w:sz w:val="20"/>
                <w:szCs w:val="20"/>
              </w:rPr>
            </w:pPr>
            <w:r w:rsidRPr="00C65CAA">
              <w:rPr>
                <w:rFonts w:ascii="Arial Narrow" w:hAnsi="Arial Narrow"/>
                <w:b/>
                <w:bCs/>
                <w:color w:val="000000"/>
                <w:sz w:val="20"/>
                <w:szCs w:val="20"/>
              </w:rPr>
              <w:t>1 425 572</w:t>
            </w:r>
          </w:p>
        </w:tc>
        <w:tc>
          <w:tcPr>
            <w:tcW w:w="637" w:type="pct"/>
            <w:tcBorders>
              <w:top w:val="nil"/>
              <w:left w:val="nil"/>
              <w:bottom w:val="single" w:sz="4" w:space="0" w:color="auto"/>
              <w:right w:val="single" w:sz="4" w:space="0" w:color="auto"/>
            </w:tcBorders>
            <w:shd w:val="clear" w:color="000000" w:fill="D9E1F2"/>
            <w:vAlign w:val="center"/>
            <w:hideMark/>
          </w:tcPr>
          <w:p w:rsidR="00EB59B2" w:rsidRPr="00C65CAA" w:rsidRDefault="00EB59B2" w:rsidP="00011F12">
            <w:pPr>
              <w:jc w:val="right"/>
              <w:rPr>
                <w:rFonts w:ascii="Arial Narrow" w:hAnsi="Arial Narrow"/>
                <w:b/>
                <w:bCs/>
                <w:color w:val="000000"/>
                <w:sz w:val="20"/>
                <w:szCs w:val="20"/>
              </w:rPr>
            </w:pPr>
            <w:r w:rsidRPr="00C65CAA">
              <w:rPr>
                <w:rFonts w:ascii="Arial Narrow" w:hAnsi="Arial Narrow"/>
                <w:b/>
                <w:bCs/>
                <w:color w:val="000000"/>
                <w:sz w:val="20"/>
                <w:szCs w:val="20"/>
              </w:rPr>
              <w:t>1 461 961</w:t>
            </w:r>
          </w:p>
        </w:tc>
        <w:tc>
          <w:tcPr>
            <w:tcW w:w="645" w:type="pct"/>
            <w:tcBorders>
              <w:top w:val="nil"/>
              <w:left w:val="nil"/>
              <w:bottom w:val="single" w:sz="4" w:space="0" w:color="auto"/>
              <w:right w:val="single" w:sz="4" w:space="0" w:color="auto"/>
            </w:tcBorders>
            <w:shd w:val="clear" w:color="000000" w:fill="D9E1F2"/>
            <w:vAlign w:val="center"/>
            <w:hideMark/>
          </w:tcPr>
          <w:p w:rsidR="00EB59B2" w:rsidRPr="00C65CAA" w:rsidRDefault="00EB59B2" w:rsidP="00011F12">
            <w:pPr>
              <w:jc w:val="right"/>
              <w:rPr>
                <w:rFonts w:ascii="Arial Narrow" w:hAnsi="Arial Narrow"/>
                <w:b/>
                <w:bCs/>
                <w:color w:val="000000"/>
                <w:sz w:val="20"/>
                <w:szCs w:val="20"/>
              </w:rPr>
            </w:pPr>
            <w:r w:rsidRPr="00C65CAA">
              <w:rPr>
                <w:rFonts w:ascii="Arial Narrow" w:hAnsi="Arial Narrow"/>
                <w:b/>
                <w:bCs/>
                <w:color w:val="000000"/>
                <w:sz w:val="20"/>
                <w:szCs w:val="20"/>
              </w:rPr>
              <w:t>1 772 503</w:t>
            </w:r>
          </w:p>
        </w:tc>
        <w:tc>
          <w:tcPr>
            <w:tcW w:w="645" w:type="pct"/>
            <w:tcBorders>
              <w:top w:val="nil"/>
              <w:left w:val="nil"/>
              <w:bottom w:val="single" w:sz="4" w:space="0" w:color="auto"/>
              <w:right w:val="single" w:sz="4" w:space="0" w:color="auto"/>
            </w:tcBorders>
            <w:shd w:val="clear" w:color="000000" w:fill="D9E1F2"/>
            <w:vAlign w:val="center"/>
            <w:hideMark/>
          </w:tcPr>
          <w:p w:rsidR="00EB59B2" w:rsidRPr="00C65CAA" w:rsidRDefault="00EB59B2" w:rsidP="00011F12">
            <w:pPr>
              <w:jc w:val="right"/>
              <w:rPr>
                <w:rFonts w:ascii="Arial Narrow" w:hAnsi="Arial Narrow"/>
                <w:b/>
                <w:bCs/>
                <w:color w:val="000000"/>
                <w:sz w:val="20"/>
                <w:szCs w:val="20"/>
              </w:rPr>
            </w:pPr>
            <w:r w:rsidRPr="00C65CAA">
              <w:rPr>
                <w:rFonts w:ascii="Arial Narrow" w:hAnsi="Arial Narrow"/>
                <w:b/>
                <w:bCs/>
                <w:color w:val="000000"/>
                <w:sz w:val="20"/>
                <w:szCs w:val="20"/>
              </w:rPr>
              <w:t>310 542</w:t>
            </w:r>
          </w:p>
        </w:tc>
        <w:tc>
          <w:tcPr>
            <w:tcW w:w="643" w:type="pct"/>
            <w:tcBorders>
              <w:top w:val="nil"/>
              <w:left w:val="nil"/>
              <w:bottom w:val="single" w:sz="4" w:space="0" w:color="auto"/>
              <w:right w:val="single" w:sz="4" w:space="0" w:color="auto"/>
            </w:tcBorders>
            <w:shd w:val="clear" w:color="000000" w:fill="D9E1F2"/>
            <w:vAlign w:val="center"/>
            <w:hideMark/>
          </w:tcPr>
          <w:p w:rsidR="00EB59B2" w:rsidRPr="00C65CAA" w:rsidRDefault="00EB59B2" w:rsidP="00011F12">
            <w:pPr>
              <w:jc w:val="center"/>
              <w:rPr>
                <w:rFonts w:ascii="Arial Narrow" w:hAnsi="Arial Narrow"/>
                <w:b/>
                <w:bCs/>
                <w:color w:val="000000"/>
                <w:sz w:val="20"/>
                <w:szCs w:val="20"/>
              </w:rPr>
            </w:pPr>
            <w:r w:rsidRPr="00C65CAA">
              <w:rPr>
                <w:rFonts w:ascii="Arial Narrow" w:hAnsi="Arial Narrow"/>
                <w:b/>
                <w:bCs/>
                <w:color w:val="000000"/>
                <w:sz w:val="20"/>
                <w:szCs w:val="20"/>
              </w:rPr>
              <w:t>121,2%</w:t>
            </w:r>
          </w:p>
        </w:tc>
      </w:tr>
      <w:tr w:rsidR="00EB59B2" w:rsidRPr="00C65CAA" w:rsidTr="00EB59B2">
        <w:trPr>
          <w:trHeight w:val="289"/>
        </w:trPr>
        <w:tc>
          <w:tcPr>
            <w:tcW w:w="1777" w:type="pct"/>
            <w:tcBorders>
              <w:top w:val="nil"/>
              <w:left w:val="single" w:sz="4" w:space="0" w:color="auto"/>
              <w:bottom w:val="single" w:sz="4" w:space="0" w:color="auto"/>
              <w:right w:val="single" w:sz="4" w:space="0" w:color="auto"/>
            </w:tcBorders>
            <w:shd w:val="clear" w:color="000000" w:fill="FFFFFF"/>
            <w:vAlign w:val="center"/>
            <w:hideMark/>
          </w:tcPr>
          <w:p w:rsidR="00EB59B2" w:rsidRPr="00C65CAA" w:rsidRDefault="00EB59B2" w:rsidP="00011F12">
            <w:pPr>
              <w:rPr>
                <w:rFonts w:ascii="Arial Narrow" w:hAnsi="Arial Narrow"/>
                <w:color w:val="000000"/>
                <w:sz w:val="20"/>
                <w:szCs w:val="20"/>
              </w:rPr>
            </w:pPr>
            <w:r w:rsidRPr="00C65CAA">
              <w:rPr>
                <w:rFonts w:ascii="Arial Narrow" w:hAnsi="Arial Narrow"/>
                <w:color w:val="000000"/>
                <w:sz w:val="20"/>
                <w:szCs w:val="20"/>
              </w:rPr>
              <w:lastRenderedPageBreak/>
              <w:t>Odvody SR spolu bez tradičných vlastných zdrojov</w:t>
            </w:r>
          </w:p>
        </w:tc>
        <w:tc>
          <w:tcPr>
            <w:tcW w:w="654" w:type="pct"/>
            <w:tcBorders>
              <w:top w:val="nil"/>
              <w:left w:val="nil"/>
              <w:bottom w:val="single" w:sz="4" w:space="0" w:color="auto"/>
              <w:right w:val="single" w:sz="4" w:space="0" w:color="auto"/>
            </w:tcBorders>
            <w:shd w:val="clear" w:color="000000" w:fill="FFFFFF"/>
            <w:vAlign w:val="center"/>
            <w:hideMark/>
          </w:tcPr>
          <w:p w:rsidR="00EB59B2" w:rsidRPr="00C65CAA" w:rsidRDefault="00EB59B2" w:rsidP="00011F12">
            <w:pPr>
              <w:jc w:val="right"/>
              <w:rPr>
                <w:rFonts w:ascii="Arial Narrow" w:hAnsi="Arial Narrow"/>
                <w:color w:val="000000"/>
                <w:sz w:val="20"/>
                <w:szCs w:val="20"/>
              </w:rPr>
            </w:pPr>
            <w:r w:rsidRPr="00C65CAA">
              <w:rPr>
                <w:rFonts w:ascii="Arial Narrow" w:hAnsi="Arial Narrow"/>
                <w:color w:val="000000"/>
                <w:sz w:val="20"/>
                <w:szCs w:val="20"/>
              </w:rPr>
              <w:t>634 172</w:t>
            </w:r>
          </w:p>
        </w:tc>
        <w:tc>
          <w:tcPr>
            <w:tcW w:w="637" w:type="pct"/>
            <w:tcBorders>
              <w:top w:val="nil"/>
              <w:left w:val="nil"/>
              <w:bottom w:val="single" w:sz="4" w:space="0" w:color="auto"/>
              <w:right w:val="single" w:sz="4" w:space="0" w:color="auto"/>
            </w:tcBorders>
            <w:shd w:val="clear" w:color="000000" w:fill="FFFFFF"/>
            <w:vAlign w:val="center"/>
            <w:hideMark/>
          </w:tcPr>
          <w:p w:rsidR="00EB59B2" w:rsidRPr="00C65CAA" w:rsidRDefault="00EB59B2" w:rsidP="00011F12">
            <w:pPr>
              <w:jc w:val="right"/>
              <w:rPr>
                <w:rFonts w:ascii="Arial Narrow" w:hAnsi="Arial Narrow"/>
                <w:color w:val="000000"/>
                <w:sz w:val="20"/>
                <w:szCs w:val="20"/>
              </w:rPr>
            </w:pPr>
            <w:r w:rsidRPr="00C65CAA">
              <w:rPr>
                <w:rFonts w:ascii="Arial Narrow" w:hAnsi="Arial Narrow"/>
                <w:color w:val="000000"/>
                <w:sz w:val="20"/>
                <w:szCs w:val="20"/>
              </w:rPr>
              <w:t>768 122</w:t>
            </w:r>
          </w:p>
        </w:tc>
        <w:tc>
          <w:tcPr>
            <w:tcW w:w="645" w:type="pct"/>
            <w:tcBorders>
              <w:top w:val="nil"/>
              <w:left w:val="nil"/>
              <w:bottom w:val="single" w:sz="4" w:space="0" w:color="auto"/>
              <w:right w:val="single" w:sz="4" w:space="0" w:color="auto"/>
            </w:tcBorders>
            <w:shd w:val="clear" w:color="000000" w:fill="FFFFFF"/>
            <w:vAlign w:val="center"/>
            <w:hideMark/>
          </w:tcPr>
          <w:p w:rsidR="00EB59B2" w:rsidRPr="00C65CAA" w:rsidRDefault="00EB59B2" w:rsidP="00011F12">
            <w:pPr>
              <w:jc w:val="right"/>
              <w:rPr>
                <w:rFonts w:ascii="Arial Narrow" w:hAnsi="Arial Narrow"/>
                <w:color w:val="000000"/>
                <w:sz w:val="20"/>
                <w:szCs w:val="20"/>
              </w:rPr>
            </w:pPr>
            <w:r w:rsidRPr="00C65CAA">
              <w:rPr>
                <w:rFonts w:ascii="Arial Narrow" w:hAnsi="Arial Narrow"/>
                <w:color w:val="000000"/>
                <w:sz w:val="20"/>
                <w:szCs w:val="20"/>
              </w:rPr>
              <w:t>839 668</w:t>
            </w:r>
          </w:p>
        </w:tc>
        <w:tc>
          <w:tcPr>
            <w:tcW w:w="645" w:type="pct"/>
            <w:tcBorders>
              <w:top w:val="nil"/>
              <w:left w:val="nil"/>
              <w:bottom w:val="single" w:sz="4" w:space="0" w:color="auto"/>
              <w:right w:val="single" w:sz="4" w:space="0" w:color="auto"/>
            </w:tcBorders>
            <w:shd w:val="clear" w:color="000000" w:fill="FFFFFF"/>
            <w:vAlign w:val="center"/>
            <w:hideMark/>
          </w:tcPr>
          <w:p w:rsidR="00EB59B2" w:rsidRPr="00C65CAA" w:rsidRDefault="00EB59B2" w:rsidP="00011F12">
            <w:pPr>
              <w:jc w:val="right"/>
              <w:rPr>
                <w:rFonts w:ascii="Arial Narrow" w:hAnsi="Arial Narrow"/>
                <w:color w:val="000000"/>
                <w:sz w:val="20"/>
                <w:szCs w:val="20"/>
              </w:rPr>
            </w:pPr>
            <w:r w:rsidRPr="00C65CAA">
              <w:rPr>
                <w:rFonts w:ascii="Arial Narrow" w:hAnsi="Arial Narrow"/>
                <w:color w:val="000000"/>
                <w:sz w:val="20"/>
                <w:szCs w:val="20"/>
              </w:rPr>
              <w:t>71 546</w:t>
            </w:r>
          </w:p>
        </w:tc>
        <w:tc>
          <w:tcPr>
            <w:tcW w:w="643" w:type="pct"/>
            <w:tcBorders>
              <w:top w:val="nil"/>
              <w:left w:val="nil"/>
              <w:bottom w:val="single" w:sz="4" w:space="0" w:color="auto"/>
              <w:right w:val="single" w:sz="4" w:space="0" w:color="auto"/>
            </w:tcBorders>
            <w:shd w:val="clear" w:color="000000" w:fill="FFFFFF"/>
            <w:vAlign w:val="center"/>
            <w:hideMark/>
          </w:tcPr>
          <w:p w:rsidR="00EB59B2" w:rsidRPr="00C65CAA" w:rsidRDefault="00EB59B2" w:rsidP="00011F12">
            <w:pPr>
              <w:jc w:val="center"/>
              <w:rPr>
                <w:rFonts w:ascii="Arial Narrow" w:hAnsi="Arial Narrow"/>
                <w:color w:val="000000"/>
                <w:sz w:val="20"/>
                <w:szCs w:val="20"/>
              </w:rPr>
            </w:pPr>
            <w:r w:rsidRPr="00C65CAA">
              <w:rPr>
                <w:rFonts w:ascii="Arial Narrow" w:hAnsi="Arial Narrow"/>
                <w:color w:val="000000"/>
                <w:sz w:val="20"/>
                <w:szCs w:val="20"/>
              </w:rPr>
              <w:t>109,3%</w:t>
            </w:r>
          </w:p>
        </w:tc>
      </w:tr>
      <w:tr w:rsidR="00EB59B2" w:rsidRPr="00C65CAA" w:rsidTr="00EB59B2">
        <w:trPr>
          <w:trHeight w:val="289"/>
        </w:trPr>
        <w:tc>
          <w:tcPr>
            <w:tcW w:w="1777" w:type="pct"/>
            <w:tcBorders>
              <w:top w:val="nil"/>
              <w:left w:val="single" w:sz="4" w:space="0" w:color="auto"/>
              <w:bottom w:val="single" w:sz="4" w:space="0" w:color="auto"/>
              <w:right w:val="single" w:sz="4" w:space="0" w:color="auto"/>
            </w:tcBorders>
            <w:shd w:val="clear" w:color="000000" w:fill="FFFFFF"/>
            <w:vAlign w:val="center"/>
            <w:hideMark/>
          </w:tcPr>
          <w:p w:rsidR="00EB59B2" w:rsidRPr="00C65CAA" w:rsidRDefault="00EB59B2" w:rsidP="00011F12">
            <w:pPr>
              <w:rPr>
                <w:rFonts w:ascii="Arial Narrow" w:hAnsi="Arial Narrow"/>
                <w:color w:val="000000"/>
                <w:sz w:val="20"/>
                <w:szCs w:val="20"/>
              </w:rPr>
            </w:pPr>
            <w:r w:rsidRPr="00C65CAA">
              <w:rPr>
                <w:rFonts w:ascii="Arial Narrow" w:hAnsi="Arial Narrow"/>
                <w:color w:val="000000"/>
                <w:sz w:val="20"/>
                <w:szCs w:val="20"/>
              </w:rPr>
              <w:t>Tradičné vlastné zdroje</w:t>
            </w:r>
          </w:p>
        </w:tc>
        <w:tc>
          <w:tcPr>
            <w:tcW w:w="654" w:type="pct"/>
            <w:tcBorders>
              <w:top w:val="nil"/>
              <w:left w:val="nil"/>
              <w:bottom w:val="single" w:sz="4" w:space="0" w:color="auto"/>
              <w:right w:val="single" w:sz="4" w:space="0" w:color="auto"/>
            </w:tcBorders>
            <w:shd w:val="clear" w:color="000000" w:fill="FFFFFF"/>
            <w:vAlign w:val="center"/>
            <w:hideMark/>
          </w:tcPr>
          <w:p w:rsidR="00EB59B2" w:rsidRPr="00C65CAA" w:rsidRDefault="00EB59B2" w:rsidP="00011F12">
            <w:pPr>
              <w:jc w:val="right"/>
              <w:rPr>
                <w:rFonts w:ascii="Arial Narrow" w:hAnsi="Arial Narrow"/>
                <w:color w:val="000000"/>
                <w:sz w:val="20"/>
                <w:szCs w:val="20"/>
              </w:rPr>
            </w:pPr>
            <w:r w:rsidRPr="00C65CAA">
              <w:rPr>
                <w:rFonts w:ascii="Arial Narrow" w:hAnsi="Arial Narrow"/>
                <w:color w:val="000000"/>
                <w:sz w:val="20"/>
                <w:szCs w:val="20"/>
              </w:rPr>
              <w:t>91 270</w:t>
            </w:r>
          </w:p>
        </w:tc>
        <w:tc>
          <w:tcPr>
            <w:tcW w:w="637" w:type="pct"/>
            <w:tcBorders>
              <w:top w:val="nil"/>
              <w:left w:val="nil"/>
              <w:bottom w:val="single" w:sz="4" w:space="0" w:color="auto"/>
              <w:right w:val="single" w:sz="4" w:space="0" w:color="auto"/>
            </w:tcBorders>
            <w:shd w:val="clear" w:color="000000" w:fill="FFFFFF"/>
            <w:vAlign w:val="center"/>
            <w:hideMark/>
          </w:tcPr>
          <w:p w:rsidR="00EB59B2" w:rsidRPr="00C65CAA" w:rsidRDefault="00EB59B2" w:rsidP="00011F12">
            <w:pPr>
              <w:jc w:val="right"/>
              <w:rPr>
                <w:rFonts w:ascii="Arial Narrow" w:hAnsi="Arial Narrow"/>
                <w:color w:val="000000"/>
                <w:sz w:val="20"/>
                <w:szCs w:val="20"/>
              </w:rPr>
            </w:pPr>
            <w:r w:rsidRPr="00C65CAA">
              <w:rPr>
                <w:rFonts w:ascii="Arial Narrow" w:hAnsi="Arial Narrow"/>
                <w:color w:val="000000"/>
                <w:sz w:val="20"/>
                <w:szCs w:val="20"/>
              </w:rPr>
              <w:t>105 300</w:t>
            </w:r>
          </w:p>
        </w:tc>
        <w:tc>
          <w:tcPr>
            <w:tcW w:w="645" w:type="pct"/>
            <w:tcBorders>
              <w:top w:val="nil"/>
              <w:left w:val="nil"/>
              <w:bottom w:val="single" w:sz="4" w:space="0" w:color="auto"/>
              <w:right w:val="single" w:sz="4" w:space="0" w:color="auto"/>
            </w:tcBorders>
            <w:shd w:val="clear" w:color="000000" w:fill="FFFFFF"/>
            <w:vAlign w:val="center"/>
            <w:hideMark/>
          </w:tcPr>
          <w:p w:rsidR="00EB59B2" w:rsidRPr="00C65CAA" w:rsidRDefault="00EB59B2" w:rsidP="00011F12">
            <w:pPr>
              <w:jc w:val="right"/>
              <w:rPr>
                <w:rFonts w:ascii="Arial Narrow" w:hAnsi="Arial Narrow"/>
                <w:color w:val="000000"/>
                <w:sz w:val="20"/>
                <w:szCs w:val="20"/>
              </w:rPr>
            </w:pPr>
            <w:r w:rsidRPr="00C65CAA">
              <w:rPr>
                <w:rFonts w:ascii="Arial Narrow" w:hAnsi="Arial Narrow"/>
                <w:color w:val="000000"/>
                <w:sz w:val="20"/>
                <w:szCs w:val="20"/>
              </w:rPr>
              <w:t>96 311</w:t>
            </w:r>
          </w:p>
        </w:tc>
        <w:tc>
          <w:tcPr>
            <w:tcW w:w="645" w:type="pct"/>
            <w:tcBorders>
              <w:top w:val="nil"/>
              <w:left w:val="nil"/>
              <w:bottom w:val="single" w:sz="4" w:space="0" w:color="auto"/>
              <w:right w:val="single" w:sz="4" w:space="0" w:color="auto"/>
            </w:tcBorders>
            <w:shd w:val="clear" w:color="000000" w:fill="FFFFFF"/>
            <w:vAlign w:val="center"/>
            <w:hideMark/>
          </w:tcPr>
          <w:p w:rsidR="00EB59B2" w:rsidRPr="00C65CAA" w:rsidRDefault="00EB59B2" w:rsidP="00011F12">
            <w:pPr>
              <w:jc w:val="right"/>
              <w:rPr>
                <w:rFonts w:ascii="Arial Narrow" w:hAnsi="Arial Narrow"/>
                <w:color w:val="000000"/>
                <w:sz w:val="20"/>
                <w:szCs w:val="20"/>
              </w:rPr>
            </w:pPr>
            <w:r w:rsidRPr="00C65CAA">
              <w:rPr>
                <w:rFonts w:ascii="Arial Narrow" w:hAnsi="Arial Narrow"/>
                <w:color w:val="000000"/>
                <w:sz w:val="20"/>
                <w:szCs w:val="20"/>
              </w:rPr>
              <w:t>-8 989</w:t>
            </w:r>
          </w:p>
        </w:tc>
        <w:tc>
          <w:tcPr>
            <w:tcW w:w="643" w:type="pct"/>
            <w:tcBorders>
              <w:top w:val="nil"/>
              <w:left w:val="nil"/>
              <w:bottom w:val="single" w:sz="4" w:space="0" w:color="auto"/>
              <w:right w:val="single" w:sz="4" w:space="0" w:color="auto"/>
            </w:tcBorders>
            <w:shd w:val="clear" w:color="000000" w:fill="FFFFFF"/>
            <w:vAlign w:val="center"/>
            <w:hideMark/>
          </w:tcPr>
          <w:p w:rsidR="00EB59B2" w:rsidRPr="00C65CAA" w:rsidRDefault="00EB59B2" w:rsidP="00011F12">
            <w:pPr>
              <w:jc w:val="center"/>
              <w:rPr>
                <w:rFonts w:ascii="Arial Narrow" w:hAnsi="Arial Narrow"/>
                <w:color w:val="000000"/>
                <w:sz w:val="20"/>
                <w:szCs w:val="20"/>
              </w:rPr>
            </w:pPr>
            <w:r w:rsidRPr="00C65CAA">
              <w:rPr>
                <w:rFonts w:ascii="Arial Narrow" w:hAnsi="Arial Narrow"/>
                <w:color w:val="000000"/>
                <w:sz w:val="20"/>
                <w:szCs w:val="20"/>
              </w:rPr>
              <w:t>91,5%</w:t>
            </w:r>
          </w:p>
        </w:tc>
      </w:tr>
      <w:tr w:rsidR="00EB59B2" w:rsidRPr="00C65CAA" w:rsidTr="00EB59B2">
        <w:trPr>
          <w:trHeight w:val="302"/>
        </w:trPr>
        <w:tc>
          <w:tcPr>
            <w:tcW w:w="1777" w:type="pct"/>
            <w:tcBorders>
              <w:top w:val="nil"/>
              <w:left w:val="single" w:sz="4" w:space="0" w:color="auto"/>
              <w:bottom w:val="single" w:sz="4" w:space="0" w:color="auto"/>
              <w:right w:val="single" w:sz="4" w:space="0" w:color="auto"/>
            </w:tcBorders>
            <w:shd w:val="clear" w:color="000000" w:fill="EDEDED"/>
            <w:vAlign w:val="center"/>
            <w:hideMark/>
          </w:tcPr>
          <w:p w:rsidR="00EB59B2" w:rsidRPr="00C65CAA" w:rsidRDefault="00EB59B2" w:rsidP="00011F12">
            <w:pPr>
              <w:rPr>
                <w:rFonts w:ascii="Arial Narrow" w:hAnsi="Arial Narrow"/>
                <w:b/>
                <w:bCs/>
                <w:i/>
                <w:iCs/>
                <w:color w:val="000000"/>
                <w:sz w:val="20"/>
                <w:szCs w:val="20"/>
              </w:rPr>
            </w:pPr>
            <w:r w:rsidRPr="00C65CAA">
              <w:rPr>
                <w:rFonts w:ascii="Arial Narrow" w:hAnsi="Arial Narrow"/>
                <w:b/>
                <w:bCs/>
                <w:i/>
                <w:iCs/>
                <w:color w:val="000000"/>
                <w:sz w:val="20"/>
                <w:szCs w:val="20"/>
              </w:rPr>
              <w:t>Odvody do rozpočtu EÚ spolu</w:t>
            </w:r>
          </w:p>
        </w:tc>
        <w:tc>
          <w:tcPr>
            <w:tcW w:w="654" w:type="pct"/>
            <w:tcBorders>
              <w:top w:val="nil"/>
              <w:left w:val="nil"/>
              <w:bottom w:val="single" w:sz="4" w:space="0" w:color="auto"/>
              <w:right w:val="single" w:sz="4" w:space="0" w:color="auto"/>
            </w:tcBorders>
            <w:shd w:val="clear" w:color="000000" w:fill="EDEDED"/>
            <w:vAlign w:val="center"/>
            <w:hideMark/>
          </w:tcPr>
          <w:p w:rsidR="00EB59B2" w:rsidRPr="00C65CAA" w:rsidRDefault="00EB59B2" w:rsidP="00011F12">
            <w:pPr>
              <w:jc w:val="right"/>
              <w:rPr>
                <w:rFonts w:ascii="Arial Narrow" w:hAnsi="Arial Narrow"/>
                <w:b/>
                <w:bCs/>
                <w:i/>
                <w:iCs/>
                <w:color w:val="000000"/>
                <w:sz w:val="20"/>
                <w:szCs w:val="20"/>
              </w:rPr>
            </w:pPr>
            <w:r w:rsidRPr="00C65CAA">
              <w:rPr>
                <w:rFonts w:ascii="Arial Narrow" w:hAnsi="Arial Narrow"/>
                <w:b/>
                <w:bCs/>
                <w:i/>
                <w:iCs/>
                <w:color w:val="000000"/>
                <w:sz w:val="20"/>
                <w:szCs w:val="20"/>
              </w:rPr>
              <w:t>725 442</w:t>
            </w:r>
          </w:p>
        </w:tc>
        <w:tc>
          <w:tcPr>
            <w:tcW w:w="637" w:type="pct"/>
            <w:tcBorders>
              <w:top w:val="nil"/>
              <w:left w:val="nil"/>
              <w:bottom w:val="single" w:sz="4" w:space="0" w:color="auto"/>
              <w:right w:val="single" w:sz="4" w:space="0" w:color="auto"/>
            </w:tcBorders>
            <w:shd w:val="clear" w:color="000000" w:fill="EDEDED"/>
            <w:vAlign w:val="center"/>
            <w:hideMark/>
          </w:tcPr>
          <w:p w:rsidR="00EB59B2" w:rsidRPr="00C65CAA" w:rsidRDefault="00EB59B2" w:rsidP="00011F12">
            <w:pPr>
              <w:jc w:val="right"/>
              <w:rPr>
                <w:rFonts w:ascii="Arial Narrow" w:hAnsi="Arial Narrow"/>
                <w:b/>
                <w:bCs/>
                <w:i/>
                <w:iCs/>
                <w:color w:val="000000"/>
                <w:sz w:val="20"/>
                <w:szCs w:val="20"/>
              </w:rPr>
            </w:pPr>
            <w:r w:rsidRPr="00C65CAA">
              <w:rPr>
                <w:rFonts w:ascii="Arial Narrow" w:hAnsi="Arial Narrow"/>
                <w:b/>
                <w:bCs/>
                <w:i/>
                <w:iCs/>
                <w:color w:val="000000"/>
                <w:sz w:val="20"/>
                <w:szCs w:val="20"/>
              </w:rPr>
              <w:t>873 422</w:t>
            </w:r>
          </w:p>
        </w:tc>
        <w:tc>
          <w:tcPr>
            <w:tcW w:w="645" w:type="pct"/>
            <w:tcBorders>
              <w:top w:val="nil"/>
              <w:left w:val="nil"/>
              <w:bottom w:val="single" w:sz="4" w:space="0" w:color="auto"/>
              <w:right w:val="single" w:sz="4" w:space="0" w:color="auto"/>
            </w:tcBorders>
            <w:shd w:val="clear" w:color="000000" w:fill="EDEDED"/>
            <w:vAlign w:val="center"/>
            <w:hideMark/>
          </w:tcPr>
          <w:p w:rsidR="00EB59B2" w:rsidRPr="00C65CAA" w:rsidRDefault="00EB59B2" w:rsidP="00011F12">
            <w:pPr>
              <w:jc w:val="right"/>
              <w:rPr>
                <w:rFonts w:ascii="Arial Narrow" w:hAnsi="Arial Narrow"/>
                <w:b/>
                <w:bCs/>
                <w:i/>
                <w:iCs/>
                <w:color w:val="000000"/>
                <w:sz w:val="20"/>
                <w:szCs w:val="20"/>
              </w:rPr>
            </w:pPr>
            <w:r w:rsidRPr="00C65CAA">
              <w:rPr>
                <w:rFonts w:ascii="Arial Narrow" w:hAnsi="Arial Narrow"/>
                <w:b/>
                <w:bCs/>
                <w:i/>
                <w:iCs/>
                <w:color w:val="000000"/>
                <w:sz w:val="20"/>
                <w:szCs w:val="20"/>
              </w:rPr>
              <w:t>935 979</w:t>
            </w:r>
          </w:p>
        </w:tc>
        <w:tc>
          <w:tcPr>
            <w:tcW w:w="645" w:type="pct"/>
            <w:tcBorders>
              <w:top w:val="nil"/>
              <w:left w:val="nil"/>
              <w:bottom w:val="single" w:sz="4" w:space="0" w:color="auto"/>
              <w:right w:val="single" w:sz="4" w:space="0" w:color="auto"/>
            </w:tcBorders>
            <w:shd w:val="clear" w:color="000000" w:fill="EDEDED"/>
            <w:vAlign w:val="center"/>
            <w:hideMark/>
          </w:tcPr>
          <w:p w:rsidR="00EB59B2" w:rsidRPr="00C65CAA" w:rsidRDefault="00EB59B2" w:rsidP="00011F12">
            <w:pPr>
              <w:jc w:val="right"/>
              <w:rPr>
                <w:rFonts w:ascii="Arial Narrow" w:hAnsi="Arial Narrow"/>
                <w:b/>
                <w:bCs/>
                <w:i/>
                <w:iCs/>
                <w:color w:val="000000"/>
                <w:sz w:val="20"/>
                <w:szCs w:val="20"/>
              </w:rPr>
            </w:pPr>
            <w:r w:rsidRPr="00C65CAA">
              <w:rPr>
                <w:rFonts w:ascii="Arial Narrow" w:hAnsi="Arial Narrow"/>
                <w:b/>
                <w:bCs/>
                <w:i/>
                <w:iCs/>
                <w:color w:val="000000"/>
                <w:sz w:val="20"/>
                <w:szCs w:val="20"/>
              </w:rPr>
              <w:t>62 557</w:t>
            </w:r>
          </w:p>
        </w:tc>
        <w:tc>
          <w:tcPr>
            <w:tcW w:w="643" w:type="pct"/>
            <w:tcBorders>
              <w:top w:val="nil"/>
              <w:left w:val="nil"/>
              <w:bottom w:val="single" w:sz="4" w:space="0" w:color="auto"/>
              <w:right w:val="single" w:sz="4" w:space="0" w:color="auto"/>
            </w:tcBorders>
            <w:shd w:val="clear" w:color="000000" w:fill="EDEDED"/>
            <w:vAlign w:val="center"/>
            <w:hideMark/>
          </w:tcPr>
          <w:p w:rsidR="00EB59B2" w:rsidRPr="00C65CAA" w:rsidRDefault="00EB59B2" w:rsidP="00011F12">
            <w:pPr>
              <w:jc w:val="center"/>
              <w:rPr>
                <w:rFonts w:ascii="Arial Narrow" w:hAnsi="Arial Narrow"/>
                <w:b/>
                <w:bCs/>
                <w:i/>
                <w:iCs/>
                <w:color w:val="000000"/>
                <w:sz w:val="20"/>
                <w:szCs w:val="20"/>
              </w:rPr>
            </w:pPr>
            <w:r w:rsidRPr="00C65CAA">
              <w:rPr>
                <w:rFonts w:ascii="Arial Narrow" w:hAnsi="Arial Narrow"/>
                <w:b/>
                <w:bCs/>
                <w:i/>
                <w:iCs/>
                <w:color w:val="000000"/>
                <w:sz w:val="20"/>
                <w:szCs w:val="20"/>
              </w:rPr>
              <w:t>107,2%</w:t>
            </w:r>
          </w:p>
        </w:tc>
      </w:tr>
      <w:tr w:rsidR="00EB59B2" w:rsidRPr="00C65CAA" w:rsidTr="00EB59B2">
        <w:trPr>
          <w:trHeight w:val="289"/>
        </w:trPr>
        <w:tc>
          <w:tcPr>
            <w:tcW w:w="1777" w:type="pct"/>
            <w:tcBorders>
              <w:top w:val="nil"/>
              <w:left w:val="single" w:sz="4" w:space="0" w:color="auto"/>
              <w:bottom w:val="single" w:sz="4" w:space="0" w:color="auto"/>
              <w:right w:val="single" w:sz="4" w:space="0" w:color="auto"/>
            </w:tcBorders>
            <w:shd w:val="clear" w:color="000000" w:fill="EDEDED"/>
            <w:vAlign w:val="center"/>
            <w:hideMark/>
          </w:tcPr>
          <w:p w:rsidR="00EB59B2" w:rsidRPr="00C65CAA" w:rsidRDefault="00EB59B2" w:rsidP="00011F12">
            <w:pPr>
              <w:rPr>
                <w:rFonts w:ascii="Arial Narrow" w:hAnsi="Arial Narrow"/>
                <w:b/>
                <w:bCs/>
                <w:i/>
                <w:iCs/>
                <w:color w:val="000000"/>
                <w:sz w:val="20"/>
                <w:szCs w:val="20"/>
              </w:rPr>
            </w:pPr>
            <w:r w:rsidRPr="00C65CAA">
              <w:rPr>
                <w:rFonts w:ascii="Arial Narrow" w:hAnsi="Arial Narrow"/>
                <w:b/>
                <w:bCs/>
                <w:i/>
                <w:iCs/>
                <w:color w:val="000000"/>
                <w:sz w:val="20"/>
                <w:szCs w:val="20"/>
              </w:rPr>
              <w:t>Príspevky SR do Európskeho rozvojového fondu</w:t>
            </w:r>
          </w:p>
        </w:tc>
        <w:tc>
          <w:tcPr>
            <w:tcW w:w="654" w:type="pct"/>
            <w:tcBorders>
              <w:top w:val="nil"/>
              <w:left w:val="nil"/>
              <w:bottom w:val="single" w:sz="4" w:space="0" w:color="auto"/>
              <w:right w:val="single" w:sz="4" w:space="0" w:color="auto"/>
            </w:tcBorders>
            <w:shd w:val="clear" w:color="000000" w:fill="EDEDED"/>
            <w:vAlign w:val="center"/>
            <w:hideMark/>
          </w:tcPr>
          <w:p w:rsidR="00EB59B2" w:rsidRPr="00C65CAA" w:rsidRDefault="00EB59B2" w:rsidP="00011F12">
            <w:pPr>
              <w:jc w:val="right"/>
              <w:rPr>
                <w:rFonts w:ascii="Arial Narrow" w:hAnsi="Arial Narrow"/>
                <w:b/>
                <w:bCs/>
                <w:i/>
                <w:iCs/>
                <w:color w:val="000000"/>
                <w:sz w:val="20"/>
                <w:szCs w:val="20"/>
              </w:rPr>
            </w:pPr>
            <w:r w:rsidRPr="00C65CAA">
              <w:rPr>
                <w:rFonts w:ascii="Arial Narrow" w:hAnsi="Arial Narrow"/>
                <w:b/>
                <w:bCs/>
                <w:i/>
                <w:iCs/>
                <w:color w:val="000000"/>
                <w:sz w:val="20"/>
                <w:szCs w:val="20"/>
              </w:rPr>
              <w:t>12 603</w:t>
            </w:r>
          </w:p>
        </w:tc>
        <w:tc>
          <w:tcPr>
            <w:tcW w:w="637" w:type="pct"/>
            <w:tcBorders>
              <w:top w:val="nil"/>
              <w:left w:val="nil"/>
              <w:bottom w:val="single" w:sz="4" w:space="0" w:color="auto"/>
              <w:right w:val="single" w:sz="4" w:space="0" w:color="auto"/>
            </w:tcBorders>
            <w:shd w:val="clear" w:color="000000" w:fill="EDEDED"/>
            <w:vAlign w:val="center"/>
            <w:hideMark/>
          </w:tcPr>
          <w:p w:rsidR="00EB59B2" w:rsidRPr="00C65CAA" w:rsidRDefault="00EB59B2" w:rsidP="00011F12">
            <w:pPr>
              <w:jc w:val="right"/>
              <w:rPr>
                <w:rFonts w:ascii="Arial Narrow" w:hAnsi="Arial Narrow"/>
                <w:b/>
                <w:bCs/>
                <w:i/>
                <w:iCs/>
                <w:color w:val="000000"/>
                <w:sz w:val="20"/>
                <w:szCs w:val="20"/>
              </w:rPr>
            </w:pPr>
            <w:r w:rsidRPr="00C65CAA">
              <w:rPr>
                <w:rFonts w:ascii="Arial Narrow" w:hAnsi="Arial Narrow"/>
                <w:b/>
                <w:bCs/>
                <w:i/>
                <w:iCs/>
                <w:color w:val="000000"/>
                <w:sz w:val="20"/>
                <w:szCs w:val="20"/>
              </w:rPr>
              <w:t>17 641</w:t>
            </w:r>
          </w:p>
        </w:tc>
        <w:tc>
          <w:tcPr>
            <w:tcW w:w="645" w:type="pct"/>
            <w:tcBorders>
              <w:top w:val="nil"/>
              <w:left w:val="nil"/>
              <w:bottom w:val="single" w:sz="4" w:space="0" w:color="auto"/>
              <w:right w:val="single" w:sz="4" w:space="0" w:color="auto"/>
            </w:tcBorders>
            <w:shd w:val="clear" w:color="000000" w:fill="EDEDED"/>
            <w:vAlign w:val="center"/>
            <w:hideMark/>
          </w:tcPr>
          <w:p w:rsidR="00EB59B2" w:rsidRPr="00C65CAA" w:rsidRDefault="00EB59B2" w:rsidP="00011F12">
            <w:pPr>
              <w:jc w:val="right"/>
              <w:rPr>
                <w:rFonts w:ascii="Arial Narrow" w:hAnsi="Arial Narrow"/>
                <w:b/>
                <w:bCs/>
                <w:i/>
                <w:iCs/>
                <w:color w:val="000000"/>
                <w:sz w:val="20"/>
                <w:szCs w:val="20"/>
              </w:rPr>
            </w:pPr>
            <w:r w:rsidRPr="00C65CAA">
              <w:rPr>
                <w:rFonts w:ascii="Arial Narrow" w:hAnsi="Arial Narrow"/>
                <w:b/>
                <w:bCs/>
                <w:i/>
                <w:iCs/>
                <w:color w:val="000000"/>
                <w:sz w:val="20"/>
                <w:szCs w:val="20"/>
              </w:rPr>
              <w:t>17 934</w:t>
            </w:r>
          </w:p>
        </w:tc>
        <w:tc>
          <w:tcPr>
            <w:tcW w:w="645" w:type="pct"/>
            <w:tcBorders>
              <w:top w:val="nil"/>
              <w:left w:val="nil"/>
              <w:bottom w:val="single" w:sz="4" w:space="0" w:color="auto"/>
              <w:right w:val="single" w:sz="4" w:space="0" w:color="auto"/>
            </w:tcBorders>
            <w:shd w:val="clear" w:color="000000" w:fill="EDEDED"/>
            <w:vAlign w:val="center"/>
            <w:hideMark/>
          </w:tcPr>
          <w:p w:rsidR="00EB59B2" w:rsidRPr="00C65CAA" w:rsidRDefault="00EB59B2" w:rsidP="00011F12">
            <w:pPr>
              <w:jc w:val="right"/>
              <w:rPr>
                <w:rFonts w:ascii="Arial Narrow" w:hAnsi="Arial Narrow"/>
                <w:b/>
                <w:bCs/>
                <w:i/>
                <w:iCs/>
                <w:color w:val="000000"/>
                <w:sz w:val="20"/>
                <w:szCs w:val="20"/>
              </w:rPr>
            </w:pPr>
            <w:r w:rsidRPr="00C65CAA">
              <w:rPr>
                <w:rFonts w:ascii="Arial Narrow" w:hAnsi="Arial Narrow"/>
                <w:b/>
                <w:bCs/>
                <w:i/>
                <w:iCs/>
                <w:color w:val="000000"/>
                <w:sz w:val="20"/>
                <w:szCs w:val="20"/>
              </w:rPr>
              <w:t>293</w:t>
            </w:r>
          </w:p>
        </w:tc>
        <w:tc>
          <w:tcPr>
            <w:tcW w:w="643" w:type="pct"/>
            <w:tcBorders>
              <w:top w:val="nil"/>
              <w:left w:val="nil"/>
              <w:bottom w:val="single" w:sz="4" w:space="0" w:color="auto"/>
              <w:right w:val="single" w:sz="4" w:space="0" w:color="auto"/>
            </w:tcBorders>
            <w:shd w:val="clear" w:color="000000" w:fill="EDEDED"/>
            <w:vAlign w:val="center"/>
            <w:hideMark/>
          </w:tcPr>
          <w:p w:rsidR="00EB59B2" w:rsidRPr="00C65CAA" w:rsidRDefault="00EB59B2" w:rsidP="00011F12">
            <w:pPr>
              <w:jc w:val="center"/>
              <w:rPr>
                <w:rFonts w:ascii="Arial Narrow" w:hAnsi="Arial Narrow"/>
                <w:b/>
                <w:bCs/>
                <w:i/>
                <w:iCs/>
                <w:color w:val="000000"/>
                <w:sz w:val="20"/>
                <w:szCs w:val="20"/>
              </w:rPr>
            </w:pPr>
            <w:r w:rsidRPr="00C65CAA">
              <w:rPr>
                <w:rFonts w:ascii="Arial Narrow" w:hAnsi="Arial Narrow"/>
                <w:b/>
                <w:bCs/>
                <w:i/>
                <w:iCs/>
                <w:color w:val="000000"/>
                <w:sz w:val="20"/>
                <w:szCs w:val="20"/>
              </w:rPr>
              <w:t>101,7%</w:t>
            </w:r>
          </w:p>
        </w:tc>
      </w:tr>
      <w:tr w:rsidR="00EB59B2" w:rsidRPr="00C65CAA" w:rsidTr="00EB59B2">
        <w:trPr>
          <w:trHeight w:val="594"/>
        </w:trPr>
        <w:tc>
          <w:tcPr>
            <w:tcW w:w="1777" w:type="pct"/>
            <w:tcBorders>
              <w:top w:val="nil"/>
              <w:left w:val="single" w:sz="4" w:space="0" w:color="auto"/>
              <w:bottom w:val="single" w:sz="4" w:space="0" w:color="auto"/>
              <w:right w:val="single" w:sz="4" w:space="0" w:color="auto"/>
            </w:tcBorders>
            <w:shd w:val="clear" w:color="000000" w:fill="D9E1F2"/>
            <w:vAlign w:val="center"/>
            <w:hideMark/>
          </w:tcPr>
          <w:p w:rsidR="00EB59B2" w:rsidRPr="00C65CAA" w:rsidRDefault="00EB59B2" w:rsidP="00011F12">
            <w:pPr>
              <w:rPr>
                <w:rFonts w:ascii="Arial Narrow" w:hAnsi="Arial Narrow"/>
                <w:b/>
                <w:bCs/>
                <w:color w:val="000000"/>
                <w:sz w:val="20"/>
                <w:szCs w:val="20"/>
              </w:rPr>
            </w:pPr>
            <w:r w:rsidRPr="00C65CAA">
              <w:rPr>
                <w:rFonts w:ascii="Arial Narrow" w:hAnsi="Arial Narrow"/>
                <w:b/>
                <w:bCs/>
                <w:color w:val="000000"/>
                <w:sz w:val="20"/>
                <w:szCs w:val="20"/>
              </w:rPr>
              <w:t xml:space="preserve">Spolu odvody a príspevky SR do všeobecného rozpočtu EÚ </w:t>
            </w:r>
          </w:p>
        </w:tc>
        <w:tc>
          <w:tcPr>
            <w:tcW w:w="654" w:type="pct"/>
            <w:tcBorders>
              <w:top w:val="nil"/>
              <w:left w:val="nil"/>
              <w:bottom w:val="single" w:sz="4" w:space="0" w:color="auto"/>
              <w:right w:val="single" w:sz="4" w:space="0" w:color="auto"/>
            </w:tcBorders>
            <w:shd w:val="clear" w:color="000000" w:fill="D9E1F2"/>
            <w:vAlign w:val="center"/>
            <w:hideMark/>
          </w:tcPr>
          <w:p w:rsidR="00EB59B2" w:rsidRPr="00C65CAA" w:rsidRDefault="00EB59B2" w:rsidP="00011F12">
            <w:pPr>
              <w:jc w:val="right"/>
              <w:rPr>
                <w:rFonts w:ascii="Arial Narrow" w:hAnsi="Arial Narrow"/>
                <w:b/>
                <w:bCs/>
                <w:color w:val="000000"/>
                <w:sz w:val="20"/>
                <w:szCs w:val="20"/>
              </w:rPr>
            </w:pPr>
            <w:r w:rsidRPr="00C65CAA">
              <w:rPr>
                <w:rFonts w:ascii="Arial Narrow" w:hAnsi="Arial Narrow"/>
                <w:b/>
                <w:bCs/>
                <w:color w:val="000000"/>
                <w:sz w:val="20"/>
                <w:szCs w:val="20"/>
              </w:rPr>
              <w:t>738 045</w:t>
            </w:r>
          </w:p>
        </w:tc>
        <w:tc>
          <w:tcPr>
            <w:tcW w:w="637" w:type="pct"/>
            <w:tcBorders>
              <w:top w:val="nil"/>
              <w:left w:val="nil"/>
              <w:bottom w:val="single" w:sz="4" w:space="0" w:color="auto"/>
              <w:right w:val="single" w:sz="4" w:space="0" w:color="auto"/>
            </w:tcBorders>
            <w:shd w:val="clear" w:color="000000" w:fill="D9E1F2"/>
            <w:vAlign w:val="center"/>
            <w:hideMark/>
          </w:tcPr>
          <w:p w:rsidR="00EB59B2" w:rsidRPr="00C65CAA" w:rsidRDefault="00382037" w:rsidP="00011F12">
            <w:pPr>
              <w:jc w:val="right"/>
              <w:rPr>
                <w:rFonts w:ascii="Arial Narrow" w:hAnsi="Arial Narrow"/>
                <w:b/>
                <w:bCs/>
                <w:color w:val="000000"/>
                <w:sz w:val="20"/>
                <w:szCs w:val="20"/>
              </w:rPr>
            </w:pPr>
            <w:r w:rsidRPr="00C65CAA">
              <w:rPr>
                <w:rFonts w:ascii="Arial Narrow" w:hAnsi="Arial Narrow"/>
                <w:b/>
                <w:bCs/>
                <w:color w:val="000000"/>
                <w:sz w:val="20"/>
                <w:szCs w:val="20"/>
              </w:rPr>
              <w:t>891 06</w:t>
            </w:r>
            <w:r w:rsidR="00EB59B2" w:rsidRPr="00C65CAA">
              <w:rPr>
                <w:rFonts w:ascii="Arial Narrow" w:hAnsi="Arial Narrow"/>
                <w:b/>
                <w:bCs/>
                <w:color w:val="000000"/>
                <w:sz w:val="20"/>
                <w:szCs w:val="20"/>
              </w:rPr>
              <w:t>3</w:t>
            </w:r>
          </w:p>
        </w:tc>
        <w:tc>
          <w:tcPr>
            <w:tcW w:w="645" w:type="pct"/>
            <w:tcBorders>
              <w:top w:val="nil"/>
              <w:left w:val="nil"/>
              <w:bottom w:val="single" w:sz="4" w:space="0" w:color="auto"/>
              <w:right w:val="single" w:sz="4" w:space="0" w:color="auto"/>
            </w:tcBorders>
            <w:shd w:val="clear" w:color="000000" w:fill="D9E1F2"/>
            <w:vAlign w:val="center"/>
            <w:hideMark/>
          </w:tcPr>
          <w:p w:rsidR="00EB59B2" w:rsidRPr="00C65CAA" w:rsidRDefault="00EB59B2" w:rsidP="00011F12">
            <w:pPr>
              <w:jc w:val="right"/>
              <w:rPr>
                <w:rFonts w:ascii="Arial Narrow" w:hAnsi="Arial Narrow"/>
                <w:b/>
                <w:bCs/>
                <w:color w:val="000000"/>
                <w:sz w:val="20"/>
                <w:szCs w:val="20"/>
              </w:rPr>
            </w:pPr>
            <w:r w:rsidRPr="00C65CAA">
              <w:rPr>
                <w:rFonts w:ascii="Arial Narrow" w:hAnsi="Arial Narrow"/>
                <w:b/>
                <w:bCs/>
                <w:color w:val="000000"/>
                <w:sz w:val="20"/>
                <w:szCs w:val="20"/>
              </w:rPr>
              <w:t>953 913</w:t>
            </w:r>
          </w:p>
        </w:tc>
        <w:tc>
          <w:tcPr>
            <w:tcW w:w="645" w:type="pct"/>
            <w:tcBorders>
              <w:top w:val="nil"/>
              <w:left w:val="nil"/>
              <w:bottom w:val="single" w:sz="4" w:space="0" w:color="auto"/>
              <w:right w:val="single" w:sz="4" w:space="0" w:color="auto"/>
            </w:tcBorders>
            <w:shd w:val="clear" w:color="000000" w:fill="D9E1F2"/>
            <w:vAlign w:val="center"/>
            <w:hideMark/>
          </w:tcPr>
          <w:p w:rsidR="00EB59B2" w:rsidRPr="00C65CAA" w:rsidRDefault="00EB59B2" w:rsidP="00011F12">
            <w:pPr>
              <w:jc w:val="right"/>
              <w:rPr>
                <w:rFonts w:ascii="Arial Narrow" w:hAnsi="Arial Narrow"/>
                <w:b/>
                <w:bCs/>
                <w:color w:val="000000"/>
                <w:sz w:val="20"/>
                <w:szCs w:val="20"/>
              </w:rPr>
            </w:pPr>
            <w:r w:rsidRPr="00C65CAA">
              <w:rPr>
                <w:rFonts w:ascii="Arial Narrow" w:hAnsi="Arial Narrow"/>
                <w:b/>
                <w:bCs/>
                <w:color w:val="000000"/>
                <w:sz w:val="20"/>
                <w:szCs w:val="20"/>
              </w:rPr>
              <w:t>62 830</w:t>
            </w:r>
          </w:p>
        </w:tc>
        <w:tc>
          <w:tcPr>
            <w:tcW w:w="643" w:type="pct"/>
            <w:tcBorders>
              <w:top w:val="nil"/>
              <w:left w:val="nil"/>
              <w:bottom w:val="single" w:sz="4" w:space="0" w:color="auto"/>
              <w:right w:val="single" w:sz="4" w:space="0" w:color="auto"/>
            </w:tcBorders>
            <w:shd w:val="clear" w:color="000000" w:fill="D9E1F2"/>
            <w:vAlign w:val="center"/>
            <w:hideMark/>
          </w:tcPr>
          <w:p w:rsidR="00EB59B2" w:rsidRPr="00C65CAA" w:rsidRDefault="00EB59B2" w:rsidP="00011F12">
            <w:pPr>
              <w:jc w:val="center"/>
              <w:rPr>
                <w:rFonts w:ascii="Arial Narrow" w:hAnsi="Arial Narrow"/>
                <w:b/>
                <w:bCs/>
                <w:color w:val="000000"/>
                <w:sz w:val="20"/>
                <w:szCs w:val="20"/>
              </w:rPr>
            </w:pPr>
            <w:r w:rsidRPr="00C65CAA">
              <w:rPr>
                <w:rFonts w:ascii="Arial Narrow" w:hAnsi="Arial Narrow"/>
                <w:b/>
                <w:bCs/>
                <w:color w:val="000000"/>
                <w:sz w:val="20"/>
                <w:szCs w:val="20"/>
              </w:rPr>
              <w:t>107,0%</w:t>
            </w:r>
          </w:p>
        </w:tc>
      </w:tr>
      <w:tr w:rsidR="00EB59B2" w:rsidRPr="00C65CAA" w:rsidTr="00EB59B2">
        <w:trPr>
          <w:trHeight w:val="302"/>
        </w:trPr>
        <w:tc>
          <w:tcPr>
            <w:tcW w:w="1777" w:type="pct"/>
            <w:tcBorders>
              <w:top w:val="nil"/>
              <w:left w:val="single" w:sz="4" w:space="0" w:color="auto"/>
              <w:bottom w:val="single" w:sz="4" w:space="0" w:color="auto"/>
              <w:right w:val="single" w:sz="4" w:space="0" w:color="auto"/>
            </w:tcBorders>
            <w:shd w:val="clear" w:color="000000" w:fill="D9D9D9"/>
            <w:vAlign w:val="center"/>
            <w:hideMark/>
          </w:tcPr>
          <w:p w:rsidR="00EB59B2" w:rsidRPr="00C65CAA" w:rsidRDefault="00EB59B2" w:rsidP="00011F12">
            <w:pPr>
              <w:rPr>
                <w:rFonts w:ascii="Arial Narrow" w:hAnsi="Arial Narrow"/>
                <w:b/>
                <w:bCs/>
                <w:color w:val="000000"/>
                <w:sz w:val="20"/>
                <w:szCs w:val="20"/>
              </w:rPr>
            </w:pPr>
            <w:r w:rsidRPr="00C65CAA">
              <w:rPr>
                <w:rFonts w:ascii="Arial Narrow" w:hAnsi="Arial Narrow"/>
                <w:b/>
                <w:bCs/>
                <w:color w:val="000000"/>
                <w:sz w:val="20"/>
                <w:szCs w:val="20"/>
              </w:rPr>
              <w:t>Čistá finančná pozícia</w:t>
            </w:r>
          </w:p>
        </w:tc>
        <w:tc>
          <w:tcPr>
            <w:tcW w:w="654" w:type="pct"/>
            <w:tcBorders>
              <w:top w:val="nil"/>
              <w:left w:val="nil"/>
              <w:bottom w:val="single" w:sz="4" w:space="0" w:color="auto"/>
              <w:right w:val="single" w:sz="4" w:space="0" w:color="auto"/>
            </w:tcBorders>
            <w:shd w:val="clear" w:color="000000" w:fill="D9D9D9"/>
            <w:vAlign w:val="center"/>
            <w:hideMark/>
          </w:tcPr>
          <w:p w:rsidR="00EB59B2" w:rsidRPr="00C65CAA" w:rsidRDefault="00EB59B2" w:rsidP="00011F12">
            <w:pPr>
              <w:jc w:val="right"/>
              <w:rPr>
                <w:rFonts w:ascii="Arial Narrow" w:hAnsi="Arial Narrow"/>
                <w:b/>
                <w:bCs/>
                <w:color w:val="000000"/>
                <w:sz w:val="20"/>
                <w:szCs w:val="20"/>
              </w:rPr>
            </w:pPr>
            <w:r w:rsidRPr="00C65CAA">
              <w:rPr>
                <w:rFonts w:ascii="Arial Narrow" w:hAnsi="Arial Narrow"/>
                <w:b/>
                <w:bCs/>
                <w:color w:val="000000"/>
                <w:sz w:val="20"/>
                <w:szCs w:val="20"/>
              </w:rPr>
              <w:t>687 527</w:t>
            </w:r>
          </w:p>
        </w:tc>
        <w:tc>
          <w:tcPr>
            <w:tcW w:w="637" w:type="pct"/>
            <w:tcBorders>
              <w:top w:val="nil"/>
              <w:left w:val="nil"/>
              <w:bottom w:val="single" w:sz="4" w:space="0" w:color="auto"/>
              <w:right w:val="single" w:sz="4" w:space="0" w:color="auto"/>
            </w:tcBorders>
            <w:shd w:val="clear" w:color="000000" w:fill="D9D9D9"/>
            <w:vAlign w:val="center"/>
            <w:hideMark/>
          </w:tcPr>
          <w:p w:rsidR="00EB59B2" w:rsidRPr="00C65CAA" w:rsidRDefault="00382037" w:rsidP="00011F12">
            <w:pPr>
              <w:jc w:val="right"/>
              <w:rPr>
                <w:rFonts w:ascii="Arial Narrow" w:hAnsi="Arial Narrow"/>
                <w:b/>
                <w:bCs/>
                <w:color w:val="000000"/>
                <w:sz w:val="20"/>
                <w:szCs w:val="20"/>
              </w:rPr>
            </w:pPr>
            <w:r w:rsidRPr="00C65CAA">
              <w:rPr>
                <w:rFonts w:ascii="Arial Narrow" w:hAnsi="Arial Narrow"/>
                <w:b/>
                <w:bCs/>
                <w:color w:val="000000"/>
                <w:sz w:val="20"/>
                <w:szCs w:val="20"/>
              </w:rPr>
              <w:t>570 89</w:t>
            </w:r>
            <w:r w:rsidR="00EB59B2" w:rsidRPr="00C65CAA">
              <w:rPr>
                <w:rFonts w:ascii="Arial Narrow" w:hAnsi="Arial Narrow"/>
                <w:b/>
                <w:bCs/>
                <w:color w:val="000000"/>
                <w:sz w:val="20"/>
                <w:szCs w:val="20"/>
              </w:rPr>
              <w:t>8</w:t>
            </w:r>
          </w:p>
        </w:tc>
        <w:tc>
          <w:tcPr>
            <w:tcW w:w="645" w:type="pct"/>
            <w:tcBorders>
              <w:top w:val="nil"/>
              <w:left w:val="nil"/>
              <w:bottom w:val="single" w:sz="4" w:space="0" w:color="auto"/>
              <w:right w:val="single" w:sz="4" w:space="0" w:color="auto"/>
            </w:tcBorders>
            <w:shd w:val="clear" w:color="000000" w:fill="D9D9D9"/>
            <w:vAlign w:val="center"/>
            <w:hideMark/>
          </w:tcPr>
          <w:p w:rsidR="00EB59B2" w:rsidRPr="00C65CAA" w:rsidRDefault="00EB59B2" w:rsidP="00011F12">
            <w:pPr>
              <w:jc w:val="right"/>
              <w:rPr>
                <w:rFonts w:ascii="Arial Narrow" w:hAnsi="Arial Narrow"/>
                <w:b/>
                <w:bCs/>
                <w:color w:val="000000"/>
                <w:sz w:val="20"/>
                <w:szCs w:val="20"/>
              </w:rPr>
            </w:pPr>
            <w:r w:rsidRPr="00C65CAA">
              <w:rPr>
                <w:rFonts w:ascii="Arial Narrow" w:hAnsi="Arial Narrow"/>
                <w:b/>
                <w:bCs/>
                <w:color w:val="000000"/>
                <w:sz w:val="20"/>
                <w:szCs w:val="20"/>
              </w:rPr>
              <w:t>818 590</w:t>
            </w:r>
          </w:p>
        </w:tc>
        <w:tc>
          <w:tcPr>
            <w:tcW w:w="645" w:type="pct"/>
            <w:tcBorders>
              <w:top w:val="nil"/>
              <w:left w:val="nil"/>
              <w:bottom w:val="single" w:sz="4" w:space="0" w:color="auto"/>
              <w:right w:val="single" w:sz="4" w:space="0" w:color="auto"/>
            </w:tcBorders>
            <w:shd w:val="clear" w:color="000000" w:fill="D9D9D9"/>
            <w:vAlign w:val="center"/>
            <w:hideMark/>
          </w:tcPr>
          <w:p w:rsidR="00EB59B2" w:rsidRPr="00C65CAA" w:rsidRDefault="00EB59B2" w:rsidP="00011F12">
            <w:pPr>
              <w:jc w:val="right"/>
              <w:rPr>
                <w:rFonts w:ascii="Arial Narrow" w:hAnsi="Arial Narrow"/>
                <w:b/>
                <w:bCs/>
                <w:color w:val="000000"/>
                <w:sz w:val="20"/>
                <w:szCs w:val="20"/>
              </w:rPr>
            </w:pPr>
            <w:r w:rsidRPr="00C65CAA">
              <w:rPr>
                <w:rFonts w:ascii="Arial Narrow" w:hAnsi="Arial Narrow"/>
                <w:b/>
                <w:bCs/>
                <w:color w:val="000000"/>
                <w:sz w:val="20"/>
                <w:szCs w:val="20"/>
              </w:rPr>
              <w:t>247 712</w:t>
            </w:r>
          </w:p>
        </w:tc>
        <w:tc>
          <w:tcPr>
            <w:tcW w:w="643" w:type="pct"/>
            <w:tcBorders>
              <w:top w:val="nil"/>
              <w:left w:val="nil"/>
              <w:bottom w:val="single" w:sz="4" w:space="0" w:color="auto"/>
              <w:right w:val="single" w:sz="4" w:space="0" w:color="auto"/>
            </w:tcBorders>
            <w:shd w:val="clear" w:color="000000" w:fill="D9D9D9"/>
            <w:vAlign w:val="center"/>
            <w:hideMark/>
          </w:tcPr>
          <w:p w:rsidR="00EB59B2" w:rsidRPr="00C65CAA" w:rsidRDefault="00EB59B2" w:rsidP="00011F12">
            <w:pPr>
              <w:jc w:val="center"/>
              <w:rPr>
                <w:rFonts w:ascii="Arial Narrow" w:hAnsi="Arial Narrow"/>
                <w:b/>
                <w:bCs/>
                <w:color w:val="000000"/>
                <w:sz w:val="20"/>
                <w:szCs w:val="20"/>
              </w:rPr>
            </w:pPr>
            <w:r w:rsidRPr="00C65CAA">
              <w:rPr>
                <w:rFonts w:ascii="Arial Narrow" w:hAnsi="Arial Narrow"/>
                <w:b/>
                <w:bCs/>
                <w:color w:val="000000"/>
                <w:sz w:val="20"/>
                <w:szCs w:val="20"/>
              </w:rPr>
              <w:t>143,4%</w:t>
            </w:r>
          </w:p>
        </w:tc>
      </w:tr>
    </w:tbl>
    <w:p w:rsidR="00DB18D2" w:rsidRPr="00C65CAA" w:rsidRDefault="00DB18D2" w:rsidP="00011F12">
      <w:pPr>
        <w:autoSpaceDE w:val="0"/>
        <w:autoSpaceDN w:val="0"/>
        <w:adjustRightInd w:val="0"/>
        <w:spacing w:after="100"/>
        <w:jc w:val="both"/>
        <w:rPr>
          <w:rFonts w:ascii="Arial Narrow" w:eastAsiaTheme="minorHAnsi" w:hAnsi="Arial Narrow"/>
          <w:sz w:val="20"/>
          <w:lang w:eastAsia="en-US"/>
        </w:rPr>
      </w:pPr>
      <w:r w:rsidRPr="00C65CAA">
        <w:rPr>
          <w:rFonts w:ascii="Arial Narrow" w:eastAsiaTheme="minorHAnsi" w:hAnsi="Arial Narrow"/>
          <w:sz w:val="20"/>
          <w:lang w:eastAsia="en-US"/>
        </w:rPr>
        <w:t>Zdroj: Návrh RVS na roky 2019 až 2021</w:t>
      </w:r>
    </w:p>
    <w:p w:rsidR="00EB59B2" w:rsidRPr="00C65CAA" w:rsidRDefault="00EB59B2" w:rsidP="00563718">
      <w:pPr>
        <w:spacing w:before="120" w:after="120"/>
        <w:ind w:firstLine="709"/>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 xml:space="preserve">Čistá finančná pozícia SR voči EÚ je na rok 2019 rozpočtovaná v sume 818 590 tis. eur, čo oproti schválenému rozpočtu z roku 2018 </w:t>
      </w:r>
      <w:r w:rsidR="00155EEE" w:rsidRPr="00C65CAA">
        <w:rPr>
          <w:rFonts w:ascii="Arial Narrow" w:eastAsiaTheme="minorHAnsi" w:hAnsi="Arial Narrow" w:cstheme="minorBidi"/>
          <w:sz w:val="22"/>
          <w:szCs w:val="22"/>
          <w:lang w:eastAsia="en-US"/>
        </w:rPr>
        <w:t xml:space="preserve">predstavuje </w:t>
      </w:r>
      <w:r w:rsidRPr="00C65CAA">
        <w:rPr>
          <w:rFonts w:ascii="Arial Narrow" w:eastAsiaTheme="minorHAnsi" w:hAnsi="Arial Narrow" w:cstheme="minorBidi"/>
          <w:sz w:val="22"/>
          <w:szCs w:val="22"/>
          <w:lang w:eastAsia="en-US"/>
        </w:rPr>
        <w:t xml:space="preserve">zvýšenie o 247 712 tis. eur, </w:t>
      </w:r>
      <w:r w:rsidR="00155EEE" w:rsidRPr="00C65CAA">
        <w:rPr>
          <w:rFonts w:ascii="Arial Narrow" w:eastAsiaTheme="minorHAnsi" w:hAnsi="Arial Narrow" w:cstheme="minorBidi"/>
          <w:sz w:val="22"/>
          <w:szCs w:val="22"/>
          <w:lang w:eastAsia="en-US"/>
        </w:rPr>
        <w:t xml:space="preserve">t. j. </w:t>
      </w:r>
      <w:r w:rsidRPr="00C65CAA">
        <w:rPr>
          <w:rFonts w:ascii="Arial Narrow" w:eastAsiaTheme="minorHAnsi" w:hAnsi="Arial Narrow" w:cstheme="minorBidi"/>
          <w:sz w:val="22"/>
          <w:szCs w:val="22"/>
          <w:lang w:eastAsia="en-US"/>
        </w:rPr>
        <w:t>43,4</w:t>
      </w:r>
      <w:r w:rsidR="00E34F74" w:rsidRPr="00C65CAA">
        <w:rPr>
          <w:rFonts w:ascii="Arial Narrow" w:eastAsiaTheme="minorHAnsi" w:hAnsi="Arial Narrow" w:cstheme="minorBidi"/>
          <w:sz w:val="22"/>
          <w:szCs w:val="22"/>
          <w:lang w:eastAsia="en-US"/>
        </w:rPr>
        <w:t xml:space="preserve"> </w:t>
      </w:r>
      <w:r w:rsidRPr="00C65CAA">
        <w:rPr>
          <w:rFonts w:ascii="Arial Narrow" w:eastAsiaTheme="minorHAnsi" w:hAnsi="Arial Narrow" w:cstheme="minorBidi"/>
          <w:sz w:val="22"/>
          <w:szCs w:val="22"/>
          <w:lang w:eastAsia="en-US"/>
        </w:rPr>
        <w:t xml:space="preserve">%. </w:t>
      </w:r>
    </w:p>
    <w:p w:rsidR="00DB18D2" w:rsidRPr="00C65CAA" w:rsidRDefault="00EB59B2" w:rsidP="00563718">
      <w:pPr>
        <w:spacing w:before="120" w:after="120"/>
        <w:ind w:firstLine="709"/>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Nasledujúci graf dokumentuje vývoj príjmov z rozpočtu EÚ, príspevkov a výdavkov do rozpočtu EÚ, ktorých rozdiel vytvára čistú finančnú pozíciu SR voči EÚ od roku 2004 do roku 2017. Údaje v ďalších dvoch stĺpcoch zobrazujú príjmy, príspevky a výdavky za schválený rozpočet v roku 2018 a návrh rozpočtu na rok 2019.</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DB18D2" w:rsidRPr="00C65CAA" w:rsidTr="00DB18D2">
        <w:tc>
          <w:tcPr>
            <w:tcW w:w="9073" w:type="dxa"/>
            <w:tcBorders>
              <w:top w:val="single" w:sz="4" w:space="0" w:color="auto"/>
              <w:bottom w:val="single" w:sz="4" w:space="0" w:color="auto"/>
            </w:tcBorders>
            <w:shd w:val="clear" w:color="auto" w:fill="0070C0"/>
          </w:tcPr>
          <w:p w:rsidR="00DB18D2" w:rsidRPr="00C65CAA" w:rsidRDefault="00DB18D2" w:rsidP="00C8633E">
            <w:pPr>
              <w:rPr>
                <w:rFonts w:ascii="Arial Narrow" w:eastAsiaTheme="minorHAnsi" w:hAnsi="Arial Narrow" w:cstheme="minorBidi"/>
                <w:b/>
                <w:color w:val="FFFFFF" w:themeColor="background1"/>
                <w:sz w:val="20"/>
                <w:szCs w:val="20"/>
                <w:lang w:eastAsia="en-US"/>
              </w:rPr>
            </w:pPr>
            <w:r w:rsidRPr="00C65CAA">
              <w:rPr>
                <w:rFonts w:ascii="Arial Narrow" w:eastAsiaTheme="minorHAnsi" w:hAnsi="Arial Narrow" w:cstheme="minorBidi"/>
                <w:b/>
                <w:bCs/>
                <w:color w:val="FFFFFF" w:themeColor="background1"/>
                <w:sz w:val="20"/>
                <w:szCs w:val="20"/>
                <w:lang w:val="en-US" w:eastAsia="en-US"/>
              </w:rPr>
              <w:t>Čistá finančná pozícia SR v rokoch 2004 -201</w:t>
            </w:r>
            <w:r w:rsidRPr="00C65CAA">
              <w:rPr>
                <w:rFonts w:ascii="Arial Narrow" w:eastAsiaTheme="minorHAnsi" w:hAnsi="Arial Narrow" w:cstheme="minorBidi"/>
                <w:b/>
                <w:bCs/>
                <w:color w:val="FFFFFF" w:themeColor="background1"/>
                <w:sz w:val="20"/>
                <w:szCs w:val="20"/>
                <w:lang w:eastAsia="en-US"/>
              </w:rPr>
              <w:t>8</w:t>
            </w:r>
            <w:r w:rsidRPr="00C65CAA">
              <w:rPr>
                <w:rFonts w:ascii="Arial Narrow" w:eastAsiaTheme="minorHAnsi" w:hAnsi="Arial Narrow" w:cstheme="minorBidi"/>
                <w:b/>
                <w:bCs/>
                <w:color w:val="FFFFFF" w:themeColor="background1"/>
                <w:sz w:val="20"/>
                <w:szCs w:val="20"/>
                <w:lang w:val="en-US" w:eastAsia="en-US"/>
              </w:rPr>
              <w:t xml:space="preserve"> v mil. eur</w:t>
            </w:r>
          </w:p>
        </w:tc>
      </w:tr>
      <w:tr w:rsidR="00DB18D2" w:rsidRPr="00C65CAA" w:rsidTr="00DB18D2">
        <w:tc>
          <w:tcPr>
            <w:tcW w:w="9073" w:type="dxa"/>
            <w:tcBorders>
              <w:top w:val="single" w:sz="4" w:space="0" w:color="auto"/>
              <w:bottom w:val="single" w:sz="4" w:space="0" w:color="auto"/>
            </w:tcBorders>
          </w:tcPr>
          <w:p w:rsidR="00DB18D2" w:rsidRPr="00C65CAA" w:rsidRDefault="00DB18D2" w:rsidP="00C8633E">
            <w:pPr>
              <w:jc w:val="both"/>
              <w:rPr>
                <w:rFonts w:ascii="Arial Narrow" w:eastAsiaTheme="minorHAnsi" w:hAnsi="Arial Narrow" w:cstheme="minorBidi"/>
                <w:lang w:eastAsia="en-US"/>
              </w:rPr>
            </w:pPr>
            <w:r w:rsidRPr="00C65CAA">
              <w:rPr>
                <w:rFonts w:ascii="Arial Narrow" w:eastAsiaTheme="minorHAnsi" w:hAnsi="Arial Narrow" w:cstheme="minorBidi"/>
                <w:noProof/>
              </w:rPr>
              <w:drawing>
                <wp:inline distT="0" distB="0" distL="0" distR="0" wp14:anchorId="20F1D5CC" wp14:editId="78A3A96E">
                  <wp:extent cx="5737860" cy="1959429"/>
                  <wp:effectExtent l="0" t="0" r="0" b="3175"/>
                  <wp:docPr id="1" name="Graf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bl>
    <w:p w:rsidR="00DB18D2" w:rsidRPr="00C65CAA" w:rsidRDefault="00DB18D2" w:rsidP="00011F12">
      <w:pPr>
        <w:autoSpaceDE w:val="0"/>
        <w:autoSpaceDN w:val="0"/>
        <w:adjustRightInd w:val="0"/>
        <w:spacing w:after="100"/>
        <w:jc w:val="both"/>
        <w:rPr>
          <w:rFonts w:ascii="Arial Narrow" w:eastAsiaTheme="minorHAnsi" w:hAnsi="Arial Narrow"/>
          <w:sz w:val="20"/>
          <w:lang w:eastAsia="en-US"/>
        </w:rPr>
      </w:pPr>
      <w:r w:rsidRPr="00C65CAA">
        <w:rPr>
          <w:rFonts w:ascii="Arial Narrow" w:eastAsiaTheme="minorHAnsi" w:hAnsi="Arial Narrow"/>
          <w:sz w:val="20"/>
          <w:lang w:eastAsia="en-US"/>
        </w:rPr>
        <w:t>Zdroj: Návrh RVS na roky 2019 až 2021</w:t>
      </w:r>
    </w:p>
    <w:p w:rsidR="00EB59B2" w:rsidRPr="00C65CAA" w:rsidRDefault="00EB59B2" w:rsidP="00256AF8">
      <w:pPr>
        <w:autoSpaceDE w:val="0"/>
        <w:autoSpaceDN w:val="0"/>
        <w:adjustRightInd w:val="0"/>
        <w:spacing w:before="100" w:after="100"/>
        <w:jc w:val="both"/>
        <w:rPr>
          <w:rFonts w:ascii="Arial Narrow" w:eastAsia="Calibri" w:hAnsi="Arial Narrow"/>
          <w:color w:val="000000"/>
          <w:sz w:val="23"/>
          <w:szCs w:val="23"/>
          <w:lang w:eastAsia="en-US"/>
        </w:rPr>
      </w:pPr>
      <w:r w:rsidRPr="00C65CAA">
        <w:rPr>
          <w:rFonts w:ascii="Arial Narrow" w:eastAsia="Calibri" w:hAnsi="Arial Narrow"/>
          <w:color w:val="000000"/>
          <w:sz w:val="22"/>
          <w:szCs w:val="22"/>
          <w:u w:val="single"/>
          <w:lang w:eastAsia="en-US"/>
        </w:rPr>
        <w:t xml:space="preserve">2. programové obdobie </w:t>
      </w:r>
    </w:p>
    <w:p w:rsidR="00FE57DF" w:rsidRPr="00C65CAA" w:rsidRDefault="00FE57DF" w:rsidP="00256AF8">
      <w:pPr>
        <w:autoSpaceDE w:val="0"/>
        <w:autoSpaceDN w:val="0"/>
        <w:adjustRightInd w:val="0"/>
        <w:spacing w:before="100" w:after="100"/>
        <w:ind w:firstLine="708"/>
        <w:jc w:val="both"/>
        <w:rPr>
          <w:rFonts w:ascii="Arial Narrow" w:eastAsia="Calibri" w:hAnsi="Arial Narrow"/>
          <w:color w:val="000000"/>
          <w:sz w:val="22"/>
          <w:szCs w:val="22"/>
          <w:lang w:eastAsia="en-US"/>
        </w:rPr>
      </w:pPr>
      <w:r w:rsidRPr="00C65CAA">
        <w:rPr>
          <w:rFonts w:ascii="Arial Narrow" w:eastAsia="Calibri" w:hAnsi="Arial Narrow"/>
          <w:color w:val="000000"/>
          <w:sz w:val="22"/>
          <w:szCs w:val="22"/>
          <w:lang w:eastAsia="en-US"/>
        </w:rPr>
        <w:t>Koniec roka 2018</w:t>
      </w:r>
      <w:r w:rsidR="00E34F74" w:rsidRPr="00C65CAA">
        <w:rPr>
          <w:rFonts w:ascii="Arial Narrow" w:eastAsia="Calibri" w:hAnsi="Arial Narrow"/>
          <w:color w:val="000000"/>
          <w:sz w:val="22"/>
          <w:szCs w:val="22"/>
          <w:lang w:eastAsia="en-US"/>
        </w:rPr>
        <w:t>,</w:t>
      </w:r>
      <w:r w:rsidRPr="00C65CAA">
        <w:rPr>
          <w:rFonts w:ascii="Arial Narrow" w:eastAsia="Calibri" w:hAnsi="Arial Narrow"/>
          <w:color w:val="000000"/>
          <w:sz w:val="22"/>
          <w:szCs w:val="22"/>
          <w:lang w:eastAsia="en-US"/>
        </w:rPr>
        <w:t xml:space="preserve"> ako aj nasledujúci rok 2019</w:t>
      </w:r>
      <w:r w:rsidR="00E34F74" w:rsidRPr="00C65CAA">
        <w:rPr>
          <w:rFonts w:ascii="Arial Narrow" w:eastAsia="Calibri" w:hAnsi="Arial Narrow"/>
          <w:color w:val="000000"/>
          <w:sz w:val="22"/>
          <w:szCs w:val="22"/>
          <w:lang w:eastAsia="en-US"/>
        </w:rPr>
        <w:t>,</w:t>
      </w:r>
      <w:r w:rsidRPr="00C65CAA">
        <w:rPr>
          <w:rFonts w:ascii="Arial Narrow" w:eastAsia="Calibri" w:hAnsi="Arial Narrow"/>
          <w:color w:val="000000"/>
          <w:sz w:val="22"/>
          <w:szCs w:val="22"/>
          <w:lang w:eastAsia="en-US"/>
        </w:rPr>
        <w:t xml:space="preserve"> bude poznamenaný procesom </w:t>
      </w:r>
      <w:r w:rsidR="00D5001F" w:rsidRPr="00C65CAA">
        <w:rPr>
          <w:rFonts w:ascii="Arial Narrow" w:eastAsia="Calibri" w:hAnsi="Arial Narrow"/>
          <w:color w:val="000000"/>
          <w:sz w:val="22"/>
          <w:szCs w:val="22"/>
          <w:lang w:eastAsia="en-US"/>
        </w:rPr>
        <w:t>uzatvárania</w:t>
      </w:r>
      <w:r w:rsidRPr="00C65CAA">
        <w:rPr>
          <w:rFonts w:ascii="Arial Narrow" w:eastAsia="Calibri" w:hAnsi="Arial Narrow"/>
          <w:color w:val="000000"/>
          <w:sz w:val="22"/>
          <w:szCs w:val="22"/>
          <w:lang w:eastAsia="en-US"/>
        </w:rPr>
        <w:t xml:space="preserve"> 12 OP</w:t>
      </w:r>
      <w:r w:rsidRPr="00C65CAA">
        <w:rPr>
          <w:rStyle w:val="Odkaznapoznmkupodiarou"/>
          <w:rFonts w:ascii="Arial Narrow" w:eastAsia="Calibri" w:hAnsi="Arial Narrow"/>
          <w:color w:val="000000"/>
          <w:sz w:val="22"/>
          <w:szCs w:val="22"/>
          <w:lang w:eastAsia="en-US"/>
        </w:rPr>
        <w:footnoteReference w:id="6"/>
      </w:r>
      <w:r w:rsidRPr="00C65CAA">
        <w:rPr>
          <w:rFonts w:ascii="Arial Narrow" w:eastAsia="Calibri" w:hAnsi="Arial Narrow"/>
          <w:color w:val="000000"/>
          <w:sz w:val="22"/>
          <w:szCs w:val="22"/>
          <w:lang w:eastAsia="en-US"/>
        </w:rPr>
        <w:t xml:space="preserve"> zo strany EK. V roku 2018 prebiehala komunikácia s príslušnými generálnymi riaditeľstvami EK vo veci záverečných finančných pozícií jednotlivých OP. V tejto súvislosti je potrebné zdôrazniť, že úhrada záver</w:t>
      </w:r>
      <w:r w:rsidR="00D5001F" w:rsidRPr="00C65CAA">
        <w:rPr>
          <w:rFonts w:ascii="Arial Narrow" w:eastAsia="Calibri" w:hAnsi="Arial Narrow"/>
          <w:color w:val="000000"/>
          <w:sz w:val="22"/>
          <w:szCs w:val="22"/>
          <w:lang w:eastAsia="en-US"/>
        </w:rPr>
        <w:t>ečných platieb zo strany EK môže byť</w:t>
      </w:r>
      <w:r w:rsidRPr="00C65CAA">
        <w:rPr>
          <w:rFonts w:ascii="Arial Narrow" w:eastAsia="Calibri" w:hAnsi="Arial Narrow"/>
          <w:color w:val="000000"/>
          <w:sz w:val="22"/>
          <w:szCs w:val="22"/>
          <w:lang w:eastAsia="en-US"/>
        </w:rPr>
        <w:t xml:space="preserve"> nižšia </w:t>
      </w:r>
      <w:r w:rsidR="00D41C9B" w:rsidRPr="00C65CAA">
        <w:rPr>
          <w:rFonts w:ascii="Arial Narrow" w:eastAsia="Calibri" w:hAnsi="Arial Narrow"/>
          <w:color w:val="000000"/>
          <w:sz w:val="22"/>
          <w:szCs w:val="22"/>
          <w:lang w:eastAsia="en-US"/>
        </w:rPr>
        <w:t>než</w:t>
      </w:r>
      <w:r w:rsidRPr="00C65CAA">
        <w:rPr>
          <w:rFonts w:ascii="Arial Narrow" w:eastAsia="Calibri" w:hAnsi="Arial Narrow"/>
          <w:color w:val="000000"/>
          <w:sz w:val="22"/>
          <w:szCs w:val="22"/>
          <w:lang w:eastAsia="en-US"/>
        </w:rPr>
        <w:t xml:space="preserve"> deklarované sumy u</w:t>
      </w:r>
      <w:r w:rsidR="004B0283" w:rsidRPr="00C65CAA">
        <w:rPr>
          <w:rFonts w:ascii="Arial Narrow" w:eastAsia="Calibri" w:hAnsi="Arial Narrow"/>
          <w:color w:val="000000"/>
          <w:sz w:val="22"/>
          <w:szCs w:val="22"/>
          <w:lang w:eastAsia="en-US"/>
        </w:rPr>
        <w:t>vedené</w:t>
      </w:r>
      <w:r w:rsidR="00D5001F" w:rsidRPr="00C65CAA">
        <w:rPr>
          <w:rFonts w:ascii="Arial Narrow" w:eastAsia="Calibri" w:hAnsi="Arial Narrow"/>
          <w:color w:val="000000"/>
          <w:sz w:val="22"/>
          <w:szCs w:val="22"/>
          <w:lang w:eastAsia="en-US"/>
        </w:rPr>
        <w:t xml:space="preserve"> v</w:t>
      </w:r>
      <w:r w:rsidR="004B0283" w:rsidRPr="00C65CAA">
        <w:rPr>
          <w:rFonts w:ascii="Arial Narrow" w:eastAsia="Calibri" w:hAnsi="Arial Narrow"/>
          <w:color w:val="000000"/>
          <w:sz w:val="22"/>
          <w:szCs w:val="22"/>
          <w:lang w:eastAsia="en-US"/>
        </w:rPr>
        <w:t xml:space="preserve"> záverečných žiadostiach</w:t>
      </w:r>
      <w:r w:rsidRPr="00C65CAA">
        <w:rPr>
          <w:rFonts w:ascii="Arial Narrow" w:eastAsia="Calibri" w:hAnsi="Arial Narrow"/>
          <w:color w:val="000000"/>
          <w:sz w:val="22"/>
          <w:szCs w:val="22"/>
          <w:lang w:eastAsia="en-US"/>
        </w:rPr>
        <w:t xml:space="preserve"> o platbu. </w:t>
      </w:r>
      <w:r w:rsidR="00E34F74" w:rsidRPr="00C65CAA">
        <w:rPr>
          <w:rFonts w:ascii="Arial Narrow" w:eastAsia="Calibri" w:hAnsi="Arial Narrow"/>
          <w:color w:val="000000"/>
          <w:sz w:val="22"/>
          <w:szCs w:val="22"/>
          <w:lang w:eastAsia="en-US"/>
        </w:rPr>
        <w:t>NKÚ SR v</w:t>
      </w:r>
      <w:r w:rsidRPr="00C65CAA">
        <w:rPr>
          <w:rFonts w:ascii="Arial Narrow" w:eastAsia="Calibri" w:hAnsi="Arial Narrow"/>
          <w:color w:val="000000"/>
          <w:sz w:val="22"/>
          <w:szCs w:val="22"/>
          <w:lang w:eastAsia="en-US"/>
        </w:rPr>
        <w:t> rámci rozpočtových vzťahov SR a EÚ považuje možnú zápornú b</w:t>
      </w:r>
      <w:r w:rsidR="00D5001F" w:rsidRPr="00C65CAA">
        <w:rPr>
          <w:rFonts w:ascii="Arial Narrow" w:eastAsia="Calibri" w:hAnsi="Arial Narrow"/>
          <w:color w:val="000000"/>
          <w:sz w:val="22"/>
          <w:szCs w:val="22"/>
          <w:lang w:eastAsia="en-US"/>
        </w:rPr>
        <w:t>ilanciu, tzn. že pohľadávka</w:t>
      </w:r>
      <w:r w:rsidRPr="00C65CAA">
        <w:rPr>
          <w:rFonts w:ascii="Arial Narrow" w:eastAsia="Calibri" w:hAnsi="Arial Narrow"/>
          <w:color w:val="000000"/>
          <w:sz w:val="22"/>
          <w:szCs w:val="22"/>
          <w:lang w:eastAsia="en-US"/>
        </w:rPr>
        <w:t xml:space="preserve"> EK bude vyššia ako odsúhlasená výška záverečnej platby, za veľmi významné riziko, ktoré bude dodatočne vytvárať </w:t>
      </w:r>
      <w:r w:rsidR="00D5001F" w:rsidRPr="00C65CAA">
        <w:rPr>
          <w:rFonts w:ascii="Arial Narrow" w:eastAsia="Calibri" w:hAnsi="Arial Narrow"/>
          <w:color w:val="000000"/>
          <w:sz w:val="22"/>
          <w:szCs w:val="22"/>
          <w:lang w:eastAsia="en-US"/>
        </w:rPr>
        <w:t xml:space="preserve">tlak na verejné financie. </w:t>
      </w:r>
      <w:r w:rsidR="00D5001F" w:rsidRPr="00C65CAA">
        <w:rPr>
          <w:rFonts w:ascii="Arial Narrow" w:hAnsi="Arial Narrow"/>
          <w:sz w:val="22"/>
          <w:szCs w:val="22"/>
          <w:lang w:eastAsia="en-US"/>
        </w:rPr>
        <w:t>Prípadná záporná bilancia (t. j. potreba vrátenia prostriedkov EK) v prípade niektorých OP vyplýva z porovnaní</w:t>
      </w:r>
      <w:r w:rsidR="00D41C9B" w:rsidRPr="00C65CAA">
        <w:rPr>
          <w:rFonts w:ascii="Arial Narrow" w:hAnsi="Arial Narrow"/>
          <w:sz w:val="22"/>
          <w:szCs w:val="22"/>
          <w:lang w:eastAsia="en-US"/>
        </w:rPr>
        <w:t xml:space="preserve"> objemov deklarovaných výdavkov</w:t>
      </w:r>
      <w:r w:rsidR="00D5001F" w:rsidRPr="00C65CAA">
        <w:rPr>
          <w:rFonts w:ascii="Arial Narrow" w:hAnsi="Arial Narrow"/>
          <w:sz w:val="22"/>
          <w:szCs w:val="22"/>
          <w:lang w:eastAsia="en-US"/>
        </w:rPr>
        <w:t xml:space="preserve"> a objemov prijatých úhrad z EK formou zálohových platieb na začiatku programového obdobia a úhradou priebežných žiadostí o platbu, t. j. závisí od výšky zúčtovania počiatočných zálohových platieb.</w:t>
      </w:r>
    </w:p>
    <w:p w:rsidR="00EB59B2" w:rsidRPr="00C65CAA" w:rsidRDefault="00EB59B2" w:rsidP="00256AF8">
      <w:pPr>
        <w:autoSpaceDE w:val="0"/>
        <w:autoSpaceDN w:val="0"/>
        <w:adjustRightInd w:val="0"/>
        <w:spacing w:before="100" w:after="100"/>
        <w:jc w:val="both"/>
        <w:rPr>
          <w:rFonts w:ascii="Arial Narrow" w:eastAsia="Calibri" w:hAnsi="Arial Narrow"/>
          <w:color w:val="000000"/>
          <w:sz w:val="22"/>
          <w:szCs w:val="22"/>
          <w:u w:val="single"/>
          <w:lang w:eastAsia="en-US"/>
        </w:rPr>
      </w:pPr>
      <w:r w:rsidRPr="00C65CAA">
        <w:rPr>
          <w:rFonts w:ascii="Arial Narrow" w:eastAsia="Calibri" w:hAnsi="Arial Narrow"/>
          <w:color w:val="000000"/>
          <w:sz w:val="22"/>
          <w:szCs w:val="22"/>
          <w:u w:val="single"/>
          <w:lang w:eastAsia="en-US"/>
        </w:rPr>
        <w:t>3. programové obdobie</w:t>
      </w:r>
    </w:p>
    <w:p w:rsidR="00FE57DF" w:rsidRPr="00C65CAA" w:rsidRDefault="00FE57DF" w:rsidP="00256AF8">
      <w:pPr>
        <w:spacing w:before="100" w:after="100"/>
        <w:ind w:firstLine="708"/>
        <w:jc w:val="both"/>
        <w:rPr>
          <w:rFonts w:ascii="Arial Narrow" w:eastAsia="Calibri" w:hAnsi="Arial Narrow" w:cstheme="minorBidi"/>
          <w:color w:val="000000"/>
          <w:sz w:val="22"/>
          <w:szCs w:val="22"/>
          <w:lang w:eastAsia="en-US"/>
        </w:rPr>
      </w:pPr>
      <w:r w:rsidRPr="00C65CAA">
        <w:rPr>
          <w:rFonts w:ascii="Arial Narrow" w:eastAsiaTheme="minorHAnsi" w:hAnsi="Arial Narrow" w:cstheme="minorBidi"/>
          <w:sz w:val="22"/>
          <w:szCs w:val="22"/>
          <w:lang w:eastAsia="en-US"/>
        </w:rPr>
        <w:t>Čerpanie Európskych štrukturálnych a</w:t>
      </w:r>
      <w:r w:rsidR="0013540D" w:rsidRPr="00C65CAA">
        <w:rPr>
          <w:rFonts w:ascii="Arial Narrow" w:eastAsiaTheme="minorHAnsi" w:hAnsi="Arial Narrow" w:cstheme="minorBidi"/>
          <w:sz w:val="22"/>
          <w:szCs w:val="22"/>
          <w:lang w:eastAsia="en-US"/>
        </w:rPr>
        <w:t> investičných fondov predstavovalo</w:t>
      </w:r>
      <w:r w:rsidR="00D41C9B" w:rsidRPr="00C65CAA">
        <w:rPr>
          <w:rFonts w:ascii="Arial Narrow" w:eastAsiaTheme="minorHAnsi" w:hAnsi="Arial Narrow" w:cstheme="minorBidi"/>
          <w:sz w:val="22"/>
          <w:szCs w:val="22"/>
          <w:lang w:eastAsia="en-US"/>
        </w:rPr>
        <w:t xml:space="preserve"> k 30. </w:t>
      </w:r>
      <w:r w:rsidRPr="00C65CAA">
        <w:rPr>
          <w:rFonts w:ascii="Arial Narrow" w:eastAsiaTheme="minorHAnsi" w:hAnsi="Arial Narrow" w:cstheme="minorBidi"/>
          <w:sz w:val="22"/>
          <w:szCs w:val="22"/>
          <w:lang w:eastAsia="en-US"/>
        </w:rPr>
        <w:t>9.</w:t>
      </w:r>
      <w:r w:rsidR="00D41C9B" w:rsidRPr="00C65CAA">
        <w:rPr>
          <w:rFonts w:ascii="Arial Narrow" w:eastAsiaTheme="minorHAnsi" w:hAnsi="Arial Narrow" w:cstheme="minorBidi"/>
          <w:sz w:val="22"/>
          <w:szCs w:val="22"/>
          <w:lang w:eastAsia="en-US"/>
        </w:rPr>
        <w:t xml:space="preserve"> </w:t>
      </w:r>
      <w:r w:rsidRPr="00C65CAA">
        <w:rPr>
          <w:rFonts w:ascii="Arial Narrow" w:eastAsiaTheme="minorHAnsi" w:hAnsi="Arial Narrow" w:cstheme="minorBidi"/>
          <w:sz w:val="22"/>
          <w:szCs w:val="22"/>
          <w:lang w:eastAsia="en-US"/>
        </w:rPr>
        <w:t>2018 sumu 1 960 391,6 tis. eur, t. j. 14,10</w:t>
      </w:r>
      <w:r w:rsidR="00655839" w:rsidRPr="00C65CAA">
        <w:rPr>
          <w:rFonts w:ascii="Arial Narrow" w:eastAsiaTheme="minorHAnsi" w:hAnsi="Arial Narrow" w:cstheme="minorBidi"/>
          <w:sz w:val="22"/>
          <w:szCs w:val="22"/>
          <w:lang w:eastAsia="en-US"/>
        </w:rPr>
        <w:t xml:space="preserve"> </w:t>
      </w:r>
      <w:r w:rsidRPr="00C65CAA">
        <w:rPr>
          <w:rFonts w:ascii="Arial Narrow" w:eastAsiaTheme="minorHAnsi" w:hAnsi="Arial Narrow" w:cstheme="minorBidi"/>
          <w:sz w:val="22"/>
          <w:szCs w:val="22"/>
          <w:lang w:eastAsia="en-US"/>
        </w:rPr>
        <w:t>% z alokácie dost</w:t>
      </w:r>
      <w:r w:rsidR="00D41C9B" w:rsidRPr="00C65CAA">
        <w:rPr>
          <w:rFonts w:ascii="Arial Narrow" w:eastAsiaTheme="minorHAnsi" w:hAnsi="Arial Narrow" w:cstheme="minorBidi"/>
          <w:sz w:val="22"/>
          <w:szCs w:val="22"/>
          <w:lang w:eastAsia="en-US"/>
        </w:rPr>
        <w:t xml:space="preserve">upnej v programovom období 2014 </w:t>
      </w:r>
      <w:r w:rsidR="00D41C9B" w:rsidRPr="00C65CAA">
        <w:rPr>
          <w:rFonts w:ascii="Arial Narrow" w:hAnsi="Arial Narrow"/>
          <w:sz w:val="22"/>
          <w:szCs w:val="22"/>
        </w:rPr>
        <w:t xml:space="preserve">– </w:t>
      </w:r>
      <w:r w:rsidRPr="00C65CAA">
        <w:rPr>
          <w:rFonts w:ascii="Arial Narrow" w:eastAsiaTheme="minorHAnsi" w:hAnsi="Arial Narrow" w:cstheme="minorBidi"/>
          <w:sz w:val="22"/>
          <w:szCs w:val="22"/>
          <w:lang w:eastAsia="en-US"/>
        </w:rPr>
        <w:t xml:space="preserve">2020 </w:t>
      </w:r>
      <w:r w:rsidRPr="00C65CAA">
        <w:rPr>
          <w:rFonts w:ascii="Arial Narrow" w:eastAsia="Calibri" w:hAnsi="Arial Narrow" w:cstheme="minorBidi"/>
          <w:color w:val="000000"/>
          <w:sz w:val="22"/>
          <w:szCs w:val="22"/>
          <w:lang w:eastAsia="en-US"/>
        </w:rPr>
        <w:t xml:space="preserve">(13 920 691,7 tis. eur). Tento objem finančných prostriedkov je na čerpanie k dispozícii pre 11 OP (bez Programu rozvoja vidieka), ktoré </w:t>
      </w:r>
      <w:r w:rsidRPr="00C65CAA">
        <w:rPr>
          <w:rFonts w:ascii="Arial Narrow" w:eastAsia="Calibri" w:hAnsi="Arial Narrow" w:cstheme="minorBidi"/>
          <w:color w:val="000000"/>
          <w:sz w:val="22"/>
          <w:szCs w:val="22"/>
          <w:lang w:eastAsia="en-US"/>
        </w:rPr>
        <w:lastRenderedPageBreak/>
        <w:t>boli pre SR schválené EK. Oproti rovnakému obdobiu minulého roka (k </w:t>
      </w:r>
      <w:r w:rsidR="00D41C9B" w:rsidRPr="00C65CAA">
        <w:rPr>
          <w:rFonts w:ascii="Arial Narrow" w:eastAsia="Calibri" w:hAnsi="Arial Narrow" w:cstheme="minorBidi"/>
          <w:color w:val="000000"/>
          <w:sz w:val="22"/>
          <w:szCs w:val="22"/>
          <w:lang w:eastAsia="en-US"/>
        </w:rPr>
        <w:t xml:space="preserve">30. </w:t>
      </w:r>
      <w:r w:rsidRPr="00C65CAA">
        <w:rPr>
          <w:rFonts w:ascii="Arial Narrow" w:eastAsia="Calibri" w:hAnsi="Arial Narrow" w:cstheme="minorBidi"/>
          <w:color w:val="000000"/>
          <w:sz w:val="22"/>
          <w:szCs w:val="22"/>
          <w:lang w:eastAsia="en-US"/>
        </w:rPr>
        <w:t>9.</w:t>
      </w:r>
      <w:r w:rsidR="00D41C9B" w:rsidRPr="00C65CAA">
        <w:rPr>
          <w:rFonts w:ascii="Arial Narrow" w:eastAsia="Calibri" w:hAnsi="Arial Narrow" w:cstheme="minorBidi"/>
          <w:color w:val="000000"/>
          <w:sz w:val="22"/>
          <w:szCs w:val="22"/>
          <w:lang w:eastAsia="en-US"/>
        </w:rPr>
        <w:t xml:space="preserve"> </w:t>
      </w:r>
      <w:r w:rsidRPr="00C65CAA">
        <w:rPr>
          <w:rFonts w:ascii="Arial Narrow" w:eastAsia="Calibri" w:hAnsi="Arial Narrow" w:cstheme="minorBidi"/>
          <w:color w:val="000000"/>
          <w:sz w:val="22"/>
          <w:szCs w:val="22"/>
          <w:lang w:eastAsia="en-US"/>
        </w:rPr>
        <w:t>2017) sa čerpanie zvýšilo o  7,29</w:t>
      </w:r>
      <w:r w:rsidR="00655839" w:rsidRPr="00C65CAA">
        <w:rPr>
          <w:rFonts w:ascii="Arial Narrow" w:eastAsia="Calibri" w:hAnsi="Arial Narrow" w:cstheme="minorBidi"/>
          <w:color w:val="000000"/>
          <w:sz w:val="22"/>
          <w:szCs w:val="22"/>
          <w:lang w:eastAsia="en-US"/>
        </w:rPr>
        <w:t xml:space="preserve"> </w:t>
      </w:r>
      <w:r w:rsidRPr="00C65CAA">
        <w:rPr>
          <w:rFonts w:ascii="Arial Narrow" w:eastAsia="Calibri" w:hAnsi="Arial Narrow" w:cstheme="minorBidi"/>
          <w:color w:val="000000"/>
          <w:sz w:val="22"/>
          <w:szCs w:val="22"/>
          <w:lang w:eastAsia="en-US"/>
        </w:rPr>
        <w:t>%, t. j. o 936 881,5 tis. eur.</w:t>
      </w:r>
    </w:p>
    <w:p w:rsidR="00FE57DF" w:rsidRPr="00C65CAA" w:rsidRDefault="00D41C9B" w:rsidP="00256AF8">
      <w:pPr>
        <w:spacing w:before="100" w:after="100"/>
        <w:ind w:firstLine="709"/>
        <w:jc w:val="both"/>
        <w:rPr>
          <w:rFonts w:ascii="Arial Narrow" w:eastAsia="Calibri" w:hAnsi="Arial Narrow" w:cstheme="minorBidi"/>
          <w:color w:val="000000"/>
          <w:sz w:val="22"/>
          <w:szCs w:val="22"/>
          <w:lang w:eastAsia="en-US"/>
        </w:rPr>
      </w:pPr>
      <w:r w:rsidRPr="00C65CAA">
        <w:rPr>
          <w:rFonts w:ascii="Arial Narrow" w:eastAsiaTheme="minorHAnsi" w:hAnsi="Arial Narrow" w:cstheme="minorBidi"/>
          <w:sz w:val="22"/>
          <w:szCs w:val="22"/>
          <w:lang w:eastAsia="en-US"/>
        </w:rPr>
        <w:t xml:space="preserve">Ku dňu 30. </w:t>
      </w:r>
      <w:r w:rsidR="00FE57DF" w:rsidRPr="00C65CAA">
        <w:rPr>
          <w:rFonts w:ascii="Arial Narrow" w:eastAsiaTheme="minorHAnsi" w:hAnsi="Arial Narrow" w:cstheme="minorBidi"/>
          <w:sz w:val="22"/>
          <w:szCs w:val="22"/>
          <w:lang w:eastAsia="en-US"/>
        </w:rPr>
        <w:t>9.</w:t>
      </w:r>
      <w:r w:rsidRPr="00C65CAA">
        <w:rPr>
          <w:rFonts w:ascii="Arial Narrow" w:eastAsiaTheme="minorHAnsi" w:hAnsi="Arial Narrow" w:cstheme="minorBidi"/>
          <w:sz w:val="22"/>
          <w:szCs w:val="22"/>
          <w:lang w:eastAsia="en-US"/>
        </w:rPr>
        <w:t xml:space="preserve"> </w:t>
      </w:r>
      <w:r w:rsidR="00FE57DF" w:rsidRPr="00C65CAA">
        <w:rPr>
          <w:rFonts w:ascii="Arial Narrow" w:eastAsiaTheme="minorHAnsi" w:hAnsi="Arial Narrow" w:cstheme="minorBidi"/>
          <w:sz w:val="22"/>
          <w:szCs w:val="22"/>
          <w:lang w:eastAsia="en-US"/>
        </w:rPr>
        <w:t xml:space="preserve">2018 </w:t>
      </w:r>
      <w:r w:rsidR="00A116A8" w:rsidRPr="00C65CAA">
        <w:rPr>
          <w:rFonts w:ascii="Arial Narrow" w:eastAsiaTheme="minorHAnsi" w:hAnsi="Arial Narrow" w:cstheme="minorBidi"/>
          <w:sz w:val="22"/>
          <w:szCs w:val="22"/>
          <w:lang w:eastAsia="en-US"/>
        </w:rPr>
        <w:t>predstavovalo kontrahovanie (bez Programu rozvoja vidieka) sumu 6</w:t>
      </w:r>
      <w:r w:rsidR="00AC00DC" w:rsidRPr="00C65CAA">
        <w:rPr>
          <w:rFonts w:ascii="Arial Narrow" w:eastAsiaTheme="minorHAnsi" w:hAnsi="Arial Narrow" w:cstheme="minorBidi"/>
          <w:sz w:val="22"/>
          <w:szCs w:val="22"/>
          <w:lang w:eastAsia="en-US"/>
        </w:rPr>
        <w:t> 366 453,9 tis</w:t>
      </w:r>
      <w:r w:rsidR="00FE57DF" w:rsidRPr="00C65CAA">
        <w:rPr>
          <w:rFonts w:ascii="Arial Narrow" w:eastAsiaTheme="minorHAnsi" w:hAnsi="Arial Narrow" w:cstheme="minorBidi"/>
          <w:sz w:val="22"/>
          <w:szCs w:val="22"/>
          <w:lang w:eastAsia="en-US"/>
        </w:rPr>
        <w:t>. eur</w:t>
      </w:r>
      <w:r w:rsidR="001D0D49" w:rsidRPr="00C65CAA">
        <w:rPr>
          <w:rFonts w:ascii="Arial Narrow" w:eastAsiaTheme="minorHAnsi" w:hAnsi="Arial Narrow" w:cstheme="minorBidi"/>
          <w:sz w:val="22"/>
          <w:szCs w:val="22"/>
          <w:lang w:eastAsia="en-US"/>
        </w:rPr>
        <w:t>, čo tvorí 45,73</w:t>
      </w:r>
      <w:r w:rsidR="00FE57DF" w:rsidRPr="00C65CAA">
        <w:rPr>
          <w:rFonts w:ascii="Arial Narrow" w:eastAsiaTheme="minorHAnsi" w:hAnsi="Arial Narrow" w:cstheme="minorBidi"/>
          <w:sz w:val="22"/>
          <w:szCs w:val="22"/>
          <w:lang w:eastAsia="en-US"/>
        </w:rPr>
        <w:t xml:space="preserve"> % z celkovej alokácie.</w:t>
      </w:r>
    </w:p>
    <w:p w:rsidR="00EB59B2" w:rsidRPr="00C65CAA" w:rsidRDefault="00EB59B2" w:rsidP="001D0D49">
      <w:pPr>
        <w:autoSpaceDE w:val="0"/>
        <w:autoSpaceDN w:val="0"/>
        <w:adjustRightInd w:val="0"/>
        <w:spacing w:before="100" w:after="100"/>
        <w:ind w:firstLine="709"/>
        <w:jc w:val="both"/>
        <w:rPr>
          <w:rFonts w:ascii="Arial Narrow" w:eastAsia="Calibri" w:hAnsi="Arial Narrow"/>
          <w:color w:val="000000"/>
          <w:sz w:val="22"/>
          <w:szCs w:val="22"/>
          <w:lang w:eastAsia="en-US"/>
        </w:rPr>
      </w:pPr>
      <w:r w:rsidRPr="00C65CAA">
        <w:rPr>
          <w:rFonts w:ascii="Arial Narrow" w:eastAsia="Calibri" w:hAnsi="Arial Narrow"/>
          <w:color w:val="000000"/>
          <w:sz w:val="22"/>
          <w:szCs w:val="22"/>
          <w:lang w:eastAsia="en-US"/>
        </w:rPr>
        <w:t xml:space="preserve">V roku 2018 nedošlo k prerušeniu platieb niektorej z prioritných osí, resp. </w:t>
      </w:r>
      <w:r w:rsidR="00FE57DF" w:rsidRPr="00C65CAA">
        <w:rPr>
          <w:rFonts w:ascii="Arial Narrow" w:eastAsia="Calibri" w:hAnsi="Arial Narrow"/>
          <w:color w:val="000000"/>
          <w:sz w:val="22"/>
          <w:szCs w:val="22"/>
          <w:lang w:eastAsia="en-US"/>
        </w:rPr>
        <w:t>OP</w:t>
      </w:r>
      <w:r w:rsidR="00BF0CE0" w:rsidRPr="00C65CAA">
        <w:rPr>
          <w:rFonts w:ascii="Arial Narrow" w:eastAsia="Calibri" w:hAnsi="Arial Narrow"/>
          <w:color w:val="000000"/>
          <w:sz w:val="22"/>
          <w:szCs w:val="22"/>
          <w:lang w:eastAsia="en-US"/>
        </w:rPr>
        <w:t xml:space="preserve">, </w:t>
      </w:r>
      <w:r w:rsidR="001D0D49" w:rsidRPr="00C65CAA">
        <w:rPr>
          <w:rFonts w:ascii="Arial Narrow" w:eastAsia="Calibri" w:hAnsi="Arial Narrow"/>
          <w:color w:val="000000"/>
          <w:sz w:val="22"/>
          <w:szCs w:val="22"/>
          <w:lang w:eastAsia="en-US"/>
        </w:rPr>
        <w:t xml:space="preserve">avšak </w:t>
      </w:r>
      <w:r w:rsidR="001D0D49" w:rsidRPr="00C65CAA">
        <w:rPr>
          <w:rFonts w:ascii="Arial Narrow" w:hAnsi="Arial Narrow"/>
          <w:sz w:val="22"/>
          <w:szCs w:val="22"/>
          <w:lang w:eastAsia="en-US"/>
        </w:rPr>
        <w:t xml:space="preserve">za OP VaI nebolo možné deklarovať výdavky za 4 pozastavené výzvy – </w:t>
      </w:r>
      <w:r w:rsidR="00D41C9B" w:rsidRPr="00C65CAA">
        <w:rPr>
          <w:rFonts w:ascii="Arial Narrow" w:hAnsi="Arial Narrow"/>
          <w:sz w:val="22"/>
          <w:szCs w:val="22"/>
          <w:lang w:eastAsia="en-US"/>
        </w:rPr>
        <w:t xml:space="preserve">ide o </w:t>
      </w:r>
      <w:r w:rsidR="001D0D49" w:rsidRPr="00C65CAA">
        <w:rPr>
          <w:rFonts w:ascii="Arial Narrow" w:hAnsi="Arial Narrow"/>
          <w:sz w:val="22"/>
          <w:szCs w:val="22"/>
          <w:lang w:eastAsia="en-US"/>
        </w:rPr>
        <w:t>prerušenie pretrvávajúce až do októbra 2018.</w:t>
      </w:r>
    </w:p>
    <w:p w:rsidR="00EB59B2" w:rsidRPr="00C65CAA" w:rsidRDefault="001D0D49" w:rsidP="00256AF8">
      <w:pPr>
        <w:autoSpaceDE w:val="0"/>
        <w:autoSpaceDN w:val="0"/>
        <w:adjustRightInd w:val="0"/>
        <w:spacing w:before="100" w:after="100"/>
        <w:ind w:firstLine="709"/>
        <w:jc w:val="both"/>
        <w:rPr>
          <w:rFonts w:ascii="Arial Narrow" w:eastAsia="Calibri" w:hAnsi="Arial Narrow"/>
          <w:color w:val="000000"/>
          <w:sz w:val="22"/>
          <w:szCs w:val="22"/>
          <w:lang w:eastAsia="en-US"/>
        </w:rPr>
      </w:pPr>
      <w:r w:rsidRPr="00C65CAA">
        <w:rPr>
          <w:rFonts w:ascii="Arial Narrow" w:eastAsia="Calibri" w:hAnsi="Arial Narrow"/>
          <w:color w:val="000000"/>
          <w:sz w:val="22"/>
          <w:szCs w:val="22"/>
          <w:lang w:eastAsia="en-US"/>
        </w:rPr>
        <w:t>Z dôvodu</w:t>
      </w:r>
      <w:r w:rsidR="00EB59B2" w:rsidRPr="00C65CAA">
        <w:rPr>
          <w:rFonts w:ascii="Arial Narrow" w:eastAsia="Calibri" w:hAnsi="Arial Narrow"/>
          <w:color w:val="000000"/>
          <w:sz w:val="22"/>
          <w:szCs w:val="22"/>
          <w:lang w:eastAsia="en-US"/>
        </w:rPr>
        <w:t>, že pretrváva trend nízkeho čerpania, NKÚ SR naďalej hodnotí riziko neplnenia čiastkových cieľov výkonnostného rámca ku koncu roka 2018 ako významné. V prípade neplnenia čiastkových cieľov v požadovanej miere dôjde k prerozdeleniu zostávajúcej výšky 6 % výkonnostnej rezervy z nedostatočne výkonných prioritných osí programov do efektívnych prioritných osí v rámci OP, resp. na iné OP, v rámci ktorých boli dosiahnuté čiastkové ciele. Vyňatých 6 % z alokácie operačných programov</w:t>
      </w:r>
      <w:r w:rsidR="00EB59B2" w:rsidRPr="00C65CAA">
        <w:rPr>
          <w:rFonts w:ascii="Arial Narrow" w:eastAsia="Calibri" w:hAnsi="Arial Narrow"/>
          <w:color w:val="000000"/>
          <w:sz w:val="22"/>
          <w:szCs w:val="22"/>
          <w:vertAlign w:val="superscript"/>
          <w:lang w:eastAsia="en-US"/>
        </w:rPr>
        <w:footnoteReference w:id="7"/>
      </w:r>
      <w:r w:rsidR="00EB59B2" w:rsidRPr="00C65CAA">
        <w:rPr>
          <w:rFonts w:ascii="Arial Narrow" w:eastAsia="Calibri" w:hAnsi="Arial Narrow"/>
          <w:color w:val="000000"/>
          <w:sz w:val="22"/>
          <w:szCs w:val="22"/>
          <w:lang w:eastAsia="en-US"/>
        </w:rPr>
        <w:t xml:space="preserve"> </w:t>
      </w:r>
      <w:r w:rsidR="00D41C9B" w:rsidRPr="00C65CAA">
        <w:rPr>
          <w:rFonts w:ascii="Arial Narrow" w:eastAsia="Calibri" w:hAnsi="Arial Narrow"/>
          <w:color w:val="000000"/>
          <w:sz w:val="22"/>
          <w:szCs w:val="22"/>
          <w:lang w:eastAsia="en-US"/>
        </w:rPr>
        <w:t xml:space="preserve">pridelí EK </w:t>
      </w:r>
      <w:r w:rsidR="00EB59B2" w:rsidRPr="00C65CAA">
        <w:rPr>
          <w:rFonts w:ascii="Arial Narrow" w:eastAsia="Calibri" w:hAnsi="Arial Narrow"/>
          <w:color w:val="000000"/>
          <w:sz w:val="22"/>
          <w:szCs w:val="22"/>
          <w:lang w:eastAsia="en-US"/>
        </w:rPr>
        <w:t>až po preskúmaní výkonnosti OP na základe plnenia čiastkových cieľov na jednotlivé prioritné osi k 31.</w:t>
      </w:r>
      <w:r w:rsidR="00D41C9B" w:rsidRPr="00C65CAA">
        <w:rPr>
          <w:rFonts w:ascii="Arial Narrow" w:eastAsia="Calibri" w:hAnsi="Arial Narrow"/>
          <w:color w:val="000000"/>
          <w:sz w:val="22"/>
          <w:szCs w:val="22"/>
          <w:lang w:eastAsia="en-US"/>
        </w:rPr>
        <w:t xml:space="preserve"> </w:t>
      </w:r>
      <w:r w:rsidR="00EB59B2" w:rsidRPr="00C65CAA">
        <w:rPr>
          <w:rFonts w:ascii="Arial Narrow" w:eastAsia="Calibri" w:hAnsi="Arial Narrow"/>
          <w:color w:val="000000"/>
          <w:sz w:val="22"/>
          <w:szCs w:val="22"/>
          <w:lang w:eastAsia="en-US"/>
        </w:rPr>
        <w:t>12.</w:t>
      </w:r>
      <w:r w:rsidR="00D41C9B" w:rsidRPr="00C65CAA">
        <w:rPr>
          <w:rFonts w:ascii="Arial Narrow" w:eastAsia="Calibri" w:hAnsi="Arial Narrow"/>
          <w:color w:val="000000"/>
          <w:sz w:val="22"/>
          <w:szCs w:val="22"/>
          <w:lang w:eastAsia="en-US"/>
        </w:rPr>
        <w:t xml:space="preserve"> </w:t>
      </w:r>
      <w:r w:rsidR="00EB59B2" w:rsidRPr="00C65CAA">
        <w:rPr>
          <w:rFonts w:ascii="Arial Narrow" w:eastAsia="Calibri" w:hAnsi="Arial Narrow"/>
          <w:color w:val="000000"/>
          <w:sz w:val="22"/>
          <w:szCs w:val="22"/>
          <w:lang w:eastAsia="en-US"/>
        </w:rPr>
        <w:t xml:space="preserve">2018, ktoré jednotlivé rezorty zdokumentujú v roku 2019 v rámci výročnej správy o vykonávaní OP. Je preto zrejmé, že v 3. programovom období je potrebné vyvíjať väčšie úsilie a zabezpečiť dynamické priebežné napĺňanie ukazovateľov výkonnostného rámca, keďže od výsledkov dosiahnutých ku koncu roka 2018 závisí, akú časť z balíka potenciálnych finančných zdrojov zahrnutých v rámci 6 % výkonnostnej rezervy v objeme celkom 811 255 tis. eur (bez Programu rozvoja vidieka) EK prerozdelí na financovanie iných prioritných osí alebo programov. </w:t>
      </w:r>
    </w:p>
    <w:p w:rsidR="00EB59B2" w:rsidRPr="00C65CAA" w:rsidRDefault="00EB59B2" w:rsidP="00256AF8">
      <w:pPr>
        <w:autoSpaceDE w:val="0"/>
        <w:autoSpaceDN w:val="0"/>
        <w:adjustRightInd w:val="0"/>
        <w:spacing w:before="100" w:after="100"/>
        <w:ind w:firstLine="709"/>
        <w:jc w:val="both"/>
        <w:rPr>
          <w:rFonts w:ascii="Arial Narrow" w:eastAsia="Calibri" w:hAnsi="Arial Narrow"/>
          <w:color w:val="000000"/>
          <w:sz w:val="22"/>
          <w:szCs w:val="22"/>
          <w:lang w:eastAsia="en-US"/>
        </w:rPr>
      </w:pPr>
      <w:r w:rsidRPr="00C65CAA">
        <w:rPr>
          <w:rFonts w:ascii="Arial Narrow" w:eastAsia="Calibri" w:hAnsi="Arial Narrow"/>
          <w:color w:val="000000"/>
          <w:sz w:val="22"/>
          <w:szCs w:val="22"/>
          <w:lang w:eastAsia="en-US"/>
        </w:rPr>
        <w:t xml:space="preserve">EK každoročne od roku 2016 až do roku 2023 prevádza SR za každý účtovný rok ročné zálohy </w:t>
      </w:r>
      <w:r w:rsidR="00D41C9B" w:rsidRPr="00C65CAA">
        <w:rPr>
          <w:rFonts w:ascii="Arial Narrow" w:eastAsia="Calibri" w:hAnsi="Arial Narrow"/>
          <w:color w:val="000000"/>
          <w:sz w:val="22"/>
          <w:szCs w:val="22"/>
          <w:lang w:eastAsia="en-US"/>
        </w:rPr>
        <w:t>na účely</w:t>
      </w:r>
      <w:r w:rsidRPr="00C65CAA">
        <w:rPr>
          <w:rFonts w:ascii="Arial Narrow" w:eastAsia="Calibri" w:hAnsi="Arial Narrow"/>
          <w:color w:val="000000"/>
          <w:sz w:val="22"/>
          <w:szCs w:val="22"/>
          <w:lang w:eastAsia="en-US"/>
        </w:rPr>
        <w:t xml:space="preserve"> vytvorenia zásoby prostriedkov na vykrytie dočasného nedostatku príjmov z EK za deklarované výdavky v žiadostiach o platbu na EK, za ktoré prevádza 90</w:t>
      </w:r>
      <w:r w:rsidR="00655839" w:rsidRPr="00C65CAA">
        <w:rPr>
          <w:rFonts w:ascii="Arial Narrow" w:eastAsia="Calibri" w:hAnsi="Arial Narrow"/>
          <w:color w:val="000000"/>
          <w:sz w:val="22"/>
          <w:szCs w:val="22"/>
          <w:lang w:eastAsia="en-US"/>
        </w:rPr>
        <w:t xml:space="preserve"> </w:t>
      </w:r>
      <w:r w:rsidRPr="00C65CAA">
        <w:rPr>
          <w:rFonts w:ascii="Arial Narrow" w:eastAsia="Calibri" w:hAnsi="Arial Narrow"/>
          <w:color w:val="000000"/>
          <w:sz w:val="22"/>
          <w:szCs w:val="22"/>
          <w:lang w:eastAsia="en-US"/>
        </w:rPr>
        <w:t>% prostriedkov, pričom zvyšných 10</w:t>
      </w:r>
      <w:r w:rsidR="00655839" w:rsidRPr="00C65CAA">
        <w:rPr>
          <w:rFonts w:ascii="Arial Narrow" w:eastAsia="Calibri" w:hAnsi="Arial Narrow"/>
          <w:color w:val="000000"/>
          <w:sz w:val="22"/>
          <w:szCs w:val="22"/>
          <w:lang w:eastAsia="en-US"/>
        </w:rPr>
        <w:t xml:space="preserve"> </w:t>
      </w:r>
      <w:r w:rsidRPr="00C65CAA">
        <w:rPr>
          <w:rFonts w:ascii="Arial Narrow" w:eastAsia="Calibri" w:hAnsi="Arial Narrow"/>
          <w:color w:val="000000"/>
          <w:sz w:val="22"/>
          <w:szCs w:val="22"/>
          <w:lang w:eastAsia="en-US"/>
        </w:rPr>
        <w:t>% zadrží a vyplatí ich s časovým posunom až po schválení účtov za konkrétny účtovný rok, t. j. nasledujúci rok po skončení účtovného roka. Aby sa SR vyhla vracaniu časti prostriedkov z prijatých ročných záloh, je potrebné v rámci účto</w:t>
      </w:r>
      <w:r w:rsidR="00D41C9B" w:rsidRPr="00C65CAA">
        <w:rPr>
          <w:rFonts w:ascii="Arial Narrow" w:eastAsia="Calibri" w:hAnsi="Arial Narrow"/>
          <w:color w:val="000000"/>
          <w:sz w:val="22"/>
          <w:szCs w:val="22"/>
          <w:lang w:eastAsia="en-US"/>
        </w:rPr>
        <w:t xml:space="preserve">vných rokov (t. j. v období od 1. 7. do 30. </w:t>
      </w:r>
      <w:r w:rsidRPr="00C65CAA">
        <w:rPr>
          <w:rFonts w:ascii="Arial Narrow" w:eastAsia="Calibri" w:hAnsi="Arial Narrow"/>
          <w:color w:val="000000"/>
          <w:sz w:val="22"/>
          <w:szCs w:val="22"/>
          <w:lang w:eastAsia="en-US"/>
        </w:rPr>
        <w:t xml:space="preserve">6. nasledujúceho finančného roka) deklarovať na EK objem výdavkov, za ktoré by suma zadržaných 10 % bola rovná alebo vyššia </w:t>
      </w:r>
      <w:r w:rsidR="00D41C9B" w:rsidRPr="00C65CAA">
        <w:rPr>
          <w:rFonts w:ascii="Arial Narrow" w:eastAsia="Calibri" w:hAnsi="Arial Narrow"/>
          <w:color w:val="000000"/>
          <w:sz w:val="22"/>
          <w:szCs w:val="22"/>
          <w:lang w:eastAsia="en-US"/>
        </w:rPr>
        <w:t>než</w:t>
      </w:r>
      <w:r w:rsidRPr="00C65CAA">
        <w:rPr>
          <w:rFonts w:ascii="Arial Narrow" w:eastAsia="Calibri" w:hAnsi="Arial Narrow"/>
          <w:color w:val="000000"/>
          <w:sz w:val="22"/>
          <w:szCs w:val="22"/>
          <w:lang w:eastAsia="en-US"/>
        </w:rPr>
        <w:t xml:space="preserve"> výška prijatej ročnej zálohy. Objem deklarovaných oprávnených výdavkov na EK za účtovný rok by mal teda predstavovať minimálne desaťnásobok prijatej ročnej zálohy. V roku 2018 boli z EK pridelené ročné zálohy v</w:t>
      </w:r>
      <w:r w:rsidR="00FB3F0B" w:rsidRPr="00C65CAA">
        <w:rPr>
          <w:rFonts w:ascii="Arial Narrow" w:eastAsia="Calibri" w:hAnsi="Arial Narrow"/>
          <w:color w:val="000000"/>
          <w:sz w:val="22"/>
          <w:szCs w:val="22"/>
          <w:lang w:eastAsia="en-US"/>
        </w:rPr>
        <w:t> celkovej výške 360 849,5</w:t>
      </w:r>
      <w:r w:rsidRPr="00C65CAA">
        <w:rPr>
          <w:rFonts w:ascii="Arial Narrow" w:eastAsia="Calibri" w:hAnsi="Arial Narrow"/>
          <w:color w:val="000000"/>
          <w:sz w:val="22"/>
          <w:szCs w:val="22"/>
          <w:lang w:eastAsia="en-US"/>
        </w:rPr>
        <w:t xml:space="preserve"> tis. eur. Podľa údajov čerpania predložených certifikačným orgánom</w:t>
      </w:r>
      <w:r w:rsidR="00D41C9B" w:rsidRPr="00C65CAA">
        <w:rPr>
          <w:rFonts w:ascii="Arial Narrow" w:eastAsia="Calibri" w:hAnsi="Arial Narrow"/>
          <w:color w:val="000000"/>
          <w:sz w:val="22"/>
          <w:szCs w:val="22"/>
          <w:lang w:eastAsia="en-US"/>
        </w:rPr>
        <w:t xml:space="preserve"> </w:t>
      </w:r>
      <w:r w:rsidR="00D41C9B" w:rsidRPr="00C65CAA">
        <w:rPr>
          <w:rFonts w:ascii="Arial Narrow" w:hAnsi="Arial Narrow"/>
          <w:sz w:val="22"/>
          <w:szCs w:val="22"/>
        </w:rPr>
        <w:t>–</w:t>
      </w:r>
      <w:r w:rsidRPr="00C65CAA">
        <w:rPr>
          <w:rFonts w:ascii="Arial Narrow" w:eastAsia="Calibri" w:hAnsi="Arial Narrow"/>
          <w:color w:val="000000"/>
          <w:sz w:val="22"/>
          <w:szCs w:val="22"/>
          <w:lang w:eastAsia="en-US"/>
        </w:rPr>
        <w:t xml:space="preserve"> za štvrtý účtovný rok boli na EK deklaro</w:t>
      </w:r>
      <w:r w:rsidR="00FE57DF" w:rsidRPr="00C65CAA">
        <w:rPr>
          <w:rFonts w:ascii="Arial Narrow" w:eastAsia="Calibri" w:hAnsi="Arial Narrow"/>
          <w:color w:val="000000"/>
          <w:sz w:val="22"/>
          <w:szCs w:val="22"/>
          <w:lang w:eastAsia="en-US"/>
        </w:rPr>
        <w:t>vané výdavky v objeme 979 254,1 tis. </w:t>
      </w:r>
      <w:r w:rsidRPr="00C65CAA">
        <w:rPr>
          <w:rFonts w:ascii="Arial Narrow" w:eastAsia="Calibri" w:hAnsi="Arial Narrow"/>
          <w:color w:val="000000"/>
          <w:sz w:val="22"/>
          <w:szCs w:val="22"/>
          <w:lang w:eastAsia="en-US"/>
        </w:rPr>
        <w:t>eur</w:t>
      </w:r>
      <w:r w:rsidRPr="00C65CAA">
        <w:rPr>
          <w:rStyle w:val="Odkaznapoznmkupodiarou"/>
          <w:rFonts w:ascii="Arial Narrow" w:eastAsia="Calibri" w:hAnsi="Arial Narrow"/>
          <w:color w:val="000000"/>
          <w:sz w:val="22"/>
          <w:szCs w:val="22"/>
          <w:lang w:eastAsia="en-US"/>
        </w:rPr>
        <w:footnoteReference w:id="8"/>
      </w:r>
      <w:r w:rsidRPr="00C65CAA">
        <w:rPr>
          <w:rFonts w:ascii="Arial Narrow" w:eastAsia="Calibri" w:hAnsi="Arial Narrow"/>
          <w:color w:val="000000"/>
          <w:sz w:val="22"/>
          <w:szCs w:val="22"/>
          <w:lang w:eastAsia="en-US"/>
        </w:rPr>
        <w:t xml:space="preserve">. </w:t>
      </w:r>
    </w:p>
    <w:p w:rsidR="00EB59B2" w:rsidRPr="00C65CAA" w:rsidRDefault="00EB59B2" w:rsidP="00256AF8">
      <w:pPr>
        <w:autoSpaceDE w:val="0"/>
        <w:autoSpaceDN w:val="0"/>
        <w:adjustRightInd w:val="0"/>
        <w:spacing w:before="100" w:after="100"/>
        <w:ind w:firstLine="709"/>
        <w:jc w:val="both"/>
        <w:rPr>
          <w:rFonts w:ascii="Arial Narrow" w:eastAsia="Calibri" w:hAnsi="Arial Narrow"/>
          <w:color w:val="000000"/>
          <w:sz w:val="22"/>
          <w:szCs w:val="22"/>
          <w:lang w:eastAsia="en-US"/>
        </w:rPr>
      </w:pPr>
      <w:r w:rsidRPr="00C65CAA">
        <w:rPr>
          <w:rFonts w:ascii="Arial Narrow" w:eastAsia="Calibri" w:hAnsi="Arial Narrow"/>
          <w:color w:val="000000"/>
          <w:sz w:val="22"/>
          <w:szCs w:val="22"/>
          <w:lang w:eastAsia="en-US"/>
        </w:rPr>
        <w:t xml:space="preserve">Aktuálne </w:t>
      </w:r>
      <w:r w:rsidR="00D41C9B" w:rsidRPr="00C65CAA">
        <w:rPr>
          <w:rFonts w:ascii="Arial Narrow" w:eastAsia="Calibri" w:hAnsi="Arial Narrow"/>
          <w:color w:val="000000"/>
          <w:sz w:val="22"/>
          <w:szCs w:val="22"/>
          <w:lang w:eastAsia="en-US"/>
        </w:rPr>
        <w:t xml:space="preserve">prebieha piaty účtovný rok (od 1. </w:t>
      </w:r>
      <w:r w:rsidRPr="00C65CAA">
        <w:rPr>
          <w:rFonts w:ascii="Arial Narrow" w:eastAsia="Calibri" w:hAnsi="Arial Narrow"/>
          <w:color w:val="000000"/>
          <w:sz w:val="22"/>
          <w:szCs w:val="22"/>
          <w:lang w:eastAsia="en-US"/>
        </w:rPr>
        <w:t>7.</w:t>
      </w:r>
      <w:r w:rsidR="00D41C9B" w:rsidRPr="00C65CAA">
        <w:rPr>
          <w:rFonts w:ascii="Arial Narrow" w:eastAsia="Calibri" w:hAnsi="Arial Narrow"/>
          <w:color w:val="000000"/>
          <w:sz w:val="22"/>
          <w:szCs w:val="22"/>
          <w:lang w:eastAsia="en-US"/>
        </w:rPr>
        <w:t xml:space="preserve"> 2018 do 30. </w:t>
      </w:r>
      <w:r w:rsidRPr="00C65CAA">
        <w:rPr>
          <w:rFonts w:ascii="Arial Narrow" w:eastAsia="Calibri" w:hAnsi="Arial Narrow"/>
          <w:color w:val="000000"/>
          <w:sz w:val="22"/>
          <w:szCs w:val="22"/>
          <w:lang w:eastAsia="en-US"/>
        </w:rPr>
        <w:t>6.</w:t>
      </w:r>
      <w:r w:rsidR="00D41C9B" w:rsidRPr="00C65CAA">
        <w:rPr>
          <w:rFonts w:ascii="Arial Narrow" w:eastAsia="Calibri" w:hAnsi="Arial Narrow"/>
          <w:color w:val="000000"/>
          <w:sz w:val="22"/>
          <w:szCs w:val="22"/>
          <w:lang w:eastAsia="en-US"/>
        </w:rPr>
        <w:t xml:space="preserve"> </w:t>
      </w:r>
      <w:r w:rsidRPr="00C65CAA">
        <w:rPr>
          <w:rFonts w:ascii="Arial Narrow" w:eastAsia="Calibri" w:hAnsi="Arial Narrow"/>
          <w:color w:val="000000"/>
          <w:sz w:val="22"/>
          <w:szCs w:val="22"/>
          <w:lang w:eastAsia="en-US"/>
        </w:rPr>
        <w:t>2019), pri</w:t>
      </w:r>
      <w:r w:rsidR="00D41C9B" w:rsidRPr="00C65CAA">
        <w:rPr>
          <w:rFonts w:ascii="Arial Narrow" w:eastAsia="Calibri" w:hAnsi="Arial Narrow"/>
          <w:color w:val="000000"/>
          <w:sz w:val="22"/>
          <w:szCs w:val="22"/>
          <w:lang w:eastAsia="en-US"/>
        </w:rPr>
        <w:t xml:space="preserve">čom k 30. </w:t>
      </w:r>
      <w:r w:rsidR="00655839" w:rsidRPr="00C65CAA">
        <w:rPr>
          <w:rFonts w:ascii="Arial Narrow" w:eastAsia="Calibri" w:hAnsi="Arial Narrow"/>
          <w:color w:val="000000"/>
          <w:sz w:val="22"/>
          <w:szCs w:val="22"/>
          <w:lang w:eastAsia="en-US"/>
        </w:rPr>
        <w:t>9.</w:t>
      </w:r>
      <w:r w:rsidR="00D41C9B" w:rsidRPr="00C65CAA">
        <w:rPr>
          <w:rFonts w:ascii="Arial Narrow" w:eastAsia="Calibri" w:hAnsi="Arial Narrow"/>
          <w:color w:val="000000"/>
          <w:sz w:val="22"/>
          <w:szCs w:val="22"/>
          <w:lang w:eastAsia="en-US"/>
        </w:rPr>
        <w:t xml:space="preserve"> </w:t>
      </w:r>
      <w:r w:rsidR="00655839" w:rsidRPr="00C65CAA">
        <w:rPr>
          <w:rFonts w:ascii="Arial Narrow" w:eastAsia="Calibri" w:hAnsi="Arial Narrow"/>
          <w:color w:val="000000"/>
          <w:sz w:val="22"/>
          <w:szCs w:val="22"/>
          <w:lang w:eastAsia="en-US"/>
        </w:rPr>
        <w:t>2018 boli zatiaľ na </w:t>
      </w:r>
      <w:r w:rsidRPr="00C65CAA">
        <w:rPr>
          <w:rFonts w:ascii="Arial Narrow" w:eastAsia="Calibri" w:hAnsi="Arial Narrow"/>
          <w:color w:val="000000"/>
          <w:sz w:val="22"/>
          <w:szCs w:val="22"/>
          <w:lang w:eastAsia="en-US"/>
        </w:rPr>
        <w:t>EK deklarované výdavky v objeme 338 024,9 tis. eur. NKÚ SR upozorňuje, že je po</w:t>
      </w:r>
      <w:r w:rsidR="00655839" w:rsidRPr="00C65CAA">
        <w:rPr>
          <w:rFonts w:ascii="Arial Narrow" w:eastAsia="Calibri" w:hAnsi="Arial Narrow"/>
          <w:color w:val="000000"/>
          <w:sz w:val="22"/>
          <w:szCs w:val="22"/>
          <w:lang w:eastAsia="en-US"/>
        </w:rPr>
        <w:t>trebné zdynamizovať čerpanie na </w:t>
      </w:r>
      <w:r w:rsidRPr="00C65CAA">
        <w:rPr>
          <w:rFonts w:ascii="Arial Narrow" w:eastAsia="Calibri" w:hAnsi="Arial Narrow"/>
          <w:color w:val="000000"/>
          <w:sz w:val="22"/>
          <w:szCs w:val="22"/>
          <w:lang w:eastAsia="en-US"/>
        </w:rPr>
        <w:t>národnej úrovni, aby čo najvyšší objem oprávnených výdavkov bol predložený na EK v rámci účtovného rok</w:t>
      </w:r>
      <w:r w:rsidR="00655839" w:rsidRPr="00C65CAA">
        <w:rPr>
          <w:rFonts w:ascii="Arial Narrow" w:eastAsia="Calibri" w:hAnsi="Arial Narrow"/>
          <w:color w:val="000000"/>
          <w:sz w:val="22"/>
          <w:szCs w:val="22"/>
          <w:lang w:eastAsia="en-US"/>
        </w:rPr>
        <w:t>a</w:t>
      </w:r>
      <w:r w:rsidRPr="00C65CAA">
        <w:rPr>
          <w:rFonts w:ascii="Arial Narrow" w:eastAsia="Calibri" w:hAnsi="Arial Narrow"/>
          <w:color w:val="000000"/>
          <w:sz w:val="22"/>
          <w:szCs w:val="22"/>
          <w:lang w:eastAsia="en-US"/>
        </w:rPr>
        <w:t xml:space="preserve"> </w:t>
      </w:r>
      <w:r w:rsidR="00D41C9B" w:rsidRPr="00C65CAA">
        <w:rPr>
          <w:rFonts w:ascii="Arial Narrow" w:eastAsia="Calibri" w:hAnsi="Arial Narrow"/>
          <w:color w:val="000000"/>
          <w:sz w:val="22"/>
          <w:szCs w:val="22"/>
          <w:lang w:eastAsia="en-US"/>
        </w:rPr>
        <w:t>na účel</w:t>
      </w:r>
      <w:r w:rsidRPr="00C65CAA">
        <w:rPr>
          <w:rFonts w:ascii="Arial Narrow" w:eastAsia="Calibri" w:hAnsi="Arial Narrow"/>
          <w:color w:val="000000"/>
          <w:sz w:val="22"/>
          <w:szCs w:val="22"/>
          <w:lang w:eastAsia="en-US"/>
        </w:rPr>
        <w:t xml:space="preserve"> absorbovania čo najvyššieho objemu príslušnej ročnej zálohy.</w:t>
      </w:r>
    </w:p>
    <w:p w:rsidR="00EB59B2" w:rsidRPr="00C65CAA" w:rsidRDefault="00D41C9B" w:rsidP="00256AF8">
      <w:pPr>
        <w:autoSpaceDE w:val="0"/>
        <w:autoSpaceDN w:val="0"/>
        <w:adjustRightInd w:val="0"/>
        <w:spacing w:before="100" w:after="100"/>
        <w:ind w:firstLine="709"/>
        <w:jc w:val="both"/>
        <w:rPr>
          <w:rFonts w:ascii="Arial Narrow" w:eastAsia="Calibri" w:hAnsi="Arial Narrow"/>
          <w:color w:val="000000"/>
          <w:sz w:val="22"/>
          <w:szCs w:val="22"/>
          <w:highlight w:val="cyan"/>
          <w:lang w:eastAsia="en-US"/>
        </w:rPr>
      </w:pPr>
      <w:r w:rsidRPr="00C65CAA">
        <w:rPr>
          <w:rFonts w:ascii="Arial Narrow" w:eastAsia="Calibri" w:hAnsi="Arial Narrow"/>
          <w:color w:val="000000" w:themeColor="text1"/>
          <w:sz w:val="22"/>
          <w:szCs w:val="22"/>
          <w:lang w:eastAsia="en-US"/>
        </w:rPr>
        <w:t xml:space="preserve">Štvrtý účtovný rok (od 1. </w:t>
      </w:r>
      <w:r w:rsidR="00EB59B2" w:rsidRPr="00C65CAA">
        <w:rPr>
          <w:rFonts w:ascii="Arial Narrow" w:eastAsia="Calibri" w:hAnsi="Arial Narrow"/>
          <w:color w:val="000000" w:themeColor="text1"/>
          <w:sz w:val="22"/>
          <w:szCs w:val="22"/>
          <w:lang w:eastAsia="en-US"/>
        </w:rPr>
        <w:t>7.</w:t>
      </w:r>
      <w:r w:rsidRPr="00C65CAA">
        <w:rPr>
          <w:rFonts w:ascii="Arial Narrow" w:eastAsia="Calibri" w:hAnsi="Arial Narrow"/>
          <w:color w:val="000000" w:themeColor="text1"/>
          <w:sz w:val="22"/>
          <w:szCs w:val="22"/>
          <w:lang w:eastAsia="en-US"/>
        </w:rPr>
        <w:t xml:space="preserve"> </w:t>
      </w:r>
      <w:r w:rsidR="00EB59B2" w:rsidRPr="00C65CAA">
        <w:rPr>
          <w:rFonts w:ascii="Arial Narrow" w:eastAsia="Calibri" w:hAnsi="Arial Narrow"/>
          <w:color w:val="000000" w:themeColor="text1"/>
          <w:sz w:val="22"/>
          <w:szCs w:val="22"/>
          <w:lang w:eastAsia="en-US"/>
        </w:rPr>
        <w:t>2017 do 3</w:t>
      </w:r>
      <w:r w:rsidRPr="00C65CAA">
        <w:rPr>
          <w:rFonts w:ascii="Arial Narrow" w:eastAsia="Calibri" w:hAnsi="Arial Narrow"/>
          <w:color w:val="000000" w:themeColor="text1"/>
          <w:sz w:val="22"/>
          <w:szCs w:val="22"/>
          <w:lang w:eastAsia="en-US"/>
        </w:rPr>
        <w:t xml:space="preserve">0. </w:t>
      </w:r>
      <w:r w:rsidR="00EB59B2" w:rsidRPr="00C65CAA">
        <w:rPr>
          <w:rFonts w:ascii="Arial Narrow" w:eastAsia="Calibri" w:hAnsi="Arial Narrow"/>
          <w:color w:val="000000" w:themeColor="text1"/>
          <w:sz w:val="22"/>
          <w:szCs w:val="22"/>
          <w:lang w:eastAsia="en-US"/>
        </w:rPr>
        <w:t>6.</w:t>
      </w:r>
      <w:r w:rsidRPr="00C65CAA">
        <w:rPr>
          <w:rFonts w:ascii="Arial Narrow" w:eastAsia="Calibri" w:hAnsi="Arial Narrow"/>
          <w:color w:val="000000" w:themeColor="text1"/>
          <w:sz w:val="22"/>
          <w:szCs w:val="22"/>
          <w:lang w:eastAsia="en-US"/>
        </w:rPr>
        <w:t xml:space="preserve"> </w:t>
      </w:r>
      <w:r w:rsidR="00EB59B2" w:rsidRPr="00C65CAA">
        <w:rPr>
          <w:rFonts w:ascii="Arial Narrow" w:eastAsia="Calibri" w:hAnsi="Arial Narrow"/>
          <w:color w:val="000000" w:themeColor="text1"/>
          <w:sz w:val="22"/>
          <w:szCs w:val="22"/>
          <w:lang w:eastAsia="en-US"/>
        </w:rPr>
        <w:t>2018)  bol poznamenaný znížením pridelený</w:t>
      </w:r>
      <w:r w:rsidR="00655839" w:rsidRPr="00C65CAA">
        <w:rPr>
          <w:rFonts w:ascii="Arial Narrow" w:eastAsia="Calibri" w:hAnsi="Arial Narrow"/>
          <w:color w:val="000000" w:themeColor="text1"/>
          <w:sz w:val="22"/>
          <w:szCs w:val="22"/>
          <w:lang w:eastAsia="en-US"/>
        </w:rPr>
        <w:t>ch zdrojov EÚ zo </w:t>
      </w:r>
      <w:r w:rsidR="00EB59B2" w:rsidRPr="00C65CAA">
        <w:rPr>
          <w:rFonts w:ascii="Arial Narrow" w:eastAsia="Calibri" w:hAnsi="Arial Narrow"/>
          <w:color w:val="000000" w:themeColor="text1"/>
          <w:sz w:val="22"/>
          <w:szCs w:val="22"/>
          <w:lang w:eastAsia="en-US"/>
        </w:rPr>
        <w:t>strany EK na politiku súdržnosti na roky 2014 </w:t>
      </w:r>
      <w:r w:rsidRPr="00C65CAA">
        <w:rPr>
          <w:rFonts w:ascii="Arial Narrow" w:hAnsi="Arial Narrow"/>
          <w:sz w:val="22"/>
          <w:szCs w:val="22"/>
        </w:rPr>
        <w:t>–</w:t>
      </w:r>
      <w:r w:rsidR="00EB59B2" w:rsidRPr="00C65CAA">
        <w:rPr>
          <w:rFonts w:ascii="Arial Narrow" w:eastAsia="Calibri" w:hAnsi="Arial Narrow"/>
          <w:color w:val="000000" w:themeColor="text1"/>
          <w:sz w:val="22"/>
          <w:szCs w:val="22"/>
          <w:lang w:eastAsia="en-US"/>
        </w:rPr>
        <w:t> 2020 v celkovom objeme 68,8 mil. eur (0,49</w:t>
      </w:r>
      <w:r w:rsidR="00655839" w:rsidRPr="00C65CAA">
        <w:rPr>
          <w:rFonts w:ascii="Arial Narrow" w:eastAsia="Calibri" w:hAnsi="Arial Narrow"/>
          <w:color w:val="000000" w:themeColor="text1"/>
          <w:sz w:val="22"/>
          <w:szCs w:val="22"/>
          <w:lang w:eastAsia="en-US"/>
        </w:rPr>
        <w:t xml:space="preserve"> </w:t>
      </w:r>
      <w:r w:rsidR="00EB59B2" w:rsidRPr="00C65CAA">
        <w:rPr>
          <w:rFonts w:ascii="Arial Narrow" w:eastAsia="Calibri" w:hAnsi="Arial Narrow"/>
          <w:color w:val="000000" w:themeColor="text1"/>
          <w:sz w:val="22"/>
          <w:szCs w:val="22"/>
          <w:lang w:eastAsia="en-US"/>
        </w:rPr>
        <w:t>% z alokácie 2014 </w:t>
      </w:r>
      <w:r w:rsidRPr="00C65CAA">
        <w:rPr>
          <w:rFonts w:ascii="Arial Narrow" w:hAnsi="Arial Narrow"/>
          <w:sz w:val="22"/>
          <w:szCs w:val="22"/>
        </w:rPr>
        <w:t>–</w:t>
      </w:r>
      <w:r w:rsidR="00EB59B2" w:rsidRPr="00C65CAA">
        <w:rPr>
          <w:rFonts w:ascii="Arial Narrow" w:eastAsia="Calibri" w:hAnsi="Arial Narrow"/>
          <w:color w:val="000000" w:themeColor="text1"/>
          <w:sz w:val="22"/>
          <w:szCs w:val="22"/>
          <w:lang w:eastAsia="en-US"/>
        </w:rPr>
        <w:t> 2020) z dôvodu pozitívnejšieho vývoja HDP oproti odhadom jeho rastu. Predmetná úprava alokácie sa dotkla troch OP EŠIF: OP Výskum a inovácie v objeme 35 744,1 tis. eur, OP Inte</w:t>
      </w:r>
      <w:r w:rsidR="00655839" w:rsidRPr="00C65CAA">
        <w:rPr>
          <w:rFonts w:ascii="Arial Narrow" w:eastAsia="Calibri" w:hAnsi="Arial Narrow"/>
          <w:color w:val="000000" w:themeColor="text1"/>
          <w:sz w:val="22"/>
          <w:szCs w:val="22"/>
          <w:lang w:eastAsia="en-US"/>
        </w:rPr>
        <w:t>grovaná infraštruktúra 17 434,8 </w:t>
      </w:r>
      <w:r w:rsidR="00EB59B2" w:rsidRPr="00C65CAA">
        <w:rPr>
          <w:rFonts w:ascii="Arial Narrow" w:eastAsia="Calibri" w:hAnsi="Arial Narrow"/>
          <w:color w:val="000000" w:themeColor="text1"/>
          <w:sz w:val="22"/>
          <w:szCs w:val="22"/>
          <w:lang w:eastAsia="en-US"/>
        </w:rPr>
        <w:t>tis. eur a Integrovaného regionálneho OP v objeme prostriedkov 15 656,3 tis. eur. Ide o definitívne odobratie časti prostriedkov EÚ</w:t>
      </w:r>
      <w:r w:rsidRPr="00C65CAA">
        <w:rPr>
          <w:rFonts w:ascii="Arial Narrow" w:eastAsia="Calibri" w:hAnsi="Arial Narrow"/>
          <w:color w:val="000000" w:themeColor="text1"/>
          <w:sz w:val="22"/>
          <w:szCs w:val="22"/>
          <w:lang w:eastAsia="en-US"/>
        </w:rPr>
        <w:t>,</w:t>
      </w:r>
      <w:r w:rsidR="00EB59B2" w:rsidRPr="00C65CAA">
        <w:rPr>
          <w:rFonts w:ascii="Arial Narrow" w:eastAsia="Calibri" w:hAnsi="Arial Narrow"/>
          <w:color w:val="000000" w:themeColor="text1"/>
          <w:sz w:val="22"/>
          <w:szCs w:val="22"/>
          <w:lang w:eastAsia="en-US"/>
        </w:rPr>
        <w:t xml:space="preserve"> alokovaných v rámci ročných záväzkov 2017 až 2020, ktoré mohla SR čerpať v rámci oprávneného obdobia. Naopak, dňa 12.</w:t>
      </w:r>
      <w:r w:rsidRPr="00C65CAA">
        <w:rPr>
          <w:rFonts w:ascii="Arial Narrow" w:eastAsia="Calibri" w:hAnsi="Arial Narrow"/>
          <w:color w:val="000000" w:themeColor="text1"/>
          <w:sz w:val="22"/>
          <w:szCs w:val="22"/>
          <w:lang w:eastAsia="en-US"/>
        </w:rPr>
        <w:t xml:space="preserve"> </w:t>
      </w:r>
      <w:r w:rsidR="00EB59B2" w:rsidRPr="00C65CAA">
        <w:rPr>
          <w:rFonts w:ascii="Arial Narrow" w:eastAsia="Calibri" w:hAnsi="Arial Narrow"/>
          <w:color w:val="000000" w:themeColor="text1"/>
          <w:sz w:val="22"/>
          <w:szCs w:val="22"/>
          <w:lang w:eastAsia="en-US"/>
        </w:rPr>
        <w:t>12.</w:t>
      </w:r>
      <w:r w:rsidRPr="00C65CAA">
        <w:rPr>
          <w:rFonts w:ascii="Arial Narrow" w:eastAsia="Calibri" w:hAnsi="Arial Narrow"/>
          <w:color w:val="000000" w:themeColor="text1"/>
          <w:sz w:val="22"/>
          <w:szCs w:val="22"/>
          <w:lang w:eastAsia="en-US"/>
        </w:rPr>
        <w:t xml:space="preserve"> </w:t>
      </w:r>
      <w:r w:rsidR="00EB59B2" w:rsidRPr="00C65CAA">
        <w:rPr>
          <w:rFonts w:ascii="Arial Narrow" w:eastAsia="Calibri" w:hAnsi="Arial Narrow"/>
          <w:color w:val="000000" w:themeColor="text1"/>
          <w:sz w:val="22"/>
          <w:szCs w:val="22"/>
          <w:lang w:eastAsia="en-US"/>
        </w:rPr>
        <w:t xml:space="preserve">2017 došlo k zvýšeniu pridelených zdrojov EÚ zo strany EK </w:t>
      </w:r>
      <w:r w:rsidRPr="00C65CAA">
        <w:rPr>
          <w:rFonts w:ascii="Arial Narrow" w:eastAsia="Calibri" w:hAnsi="Arial Narrow"/>
          <w:color w:val="000000" w:themeColor="text1"/>
          <w:sz w:val="22"/>
          <w:szCs w:val="22"/>
          <w:lang w:eastAsia="en-US"/>
        </w:rPr>
        <w:t>pre</w:t>
      </w:r>
      <w:r w:rsidR="00EB59B2" w:rsidRPr="00C65CAA">
        <w:rPr>
          <w:rFonts w:ascii="Arial Narrow" w:eastAsia="Calibri" w:hAnsi="Arial Narrow"/>
          <w:color w:val="000000" w:themeColor="text1"/>
          <w:sz w:val="22"/>
          <w:szCs w:val="22"/>
          <w:lang w:eastAsia="en-US"/>
        </w:rPr>
        <w:t xml:space="preserve"> iniciatívu na podporu zamestnanosti mladých ľudí (OP Ľudské zdroje), a to vo výške 12 36</w:t>
      </w:r>
      <w:r w:rsidR="00655839" w:rsidRPr="00C65CAA">
        <w:rPr>
          <w:rFonts w:ascii="Arial Narrow" w:eastAsia="Calibri" w:hAnsi="Arial Narrow"/>
          <w:color w:val="000000" w:themeColor="text1"/>
          <w:sz w:val="22"/>
          <w:szCs w:val="22"/>
          <w:lang w:eastAsia="en-US"/>
        </w:rPr>
        <w:t xml:space="preserve">4,6 tis. eur. </w:t>
      </w:r>
      <w:r w:rsidR="00EB59B2" w:rsidRPr="00C65CAA">
        <w:rPr>
          <w:rFonts w:ascii="Arial Narrow" w:eastAsia="Calibri" w:hAnsi="Arial Narrow"/>
          <w:color w:val="000000" w:themeColor="text1"/>
          <w:sz w:val="22"/>
          <w:szCs w:val="22"/>
          <w:lang w:eastAsia="en-US"/>
        </w:rPr>
        <w:t>EK</w:t>
      </w:r>
      <w:r w:rsidR="00FB3F0B" w:rsidRPr="00C65CAA">
        <w:rPr>
          <w:rFonts w:ascii="Arial Narrow" w:eastAsia="Calibri" w:hAnsi="Arial Narrow"/>
          <w:color w:val="000000" w:themeColor="text1"/>
          <w:sz w:val="22"/>
          <w:szCs w:val="22"/>
          <w:lang w:eastAsia="en-US"/>
        </w:rPr>
        <w:t xml:space="preserve"> svojim rozhodnutím z 10.</w:t>
      </w:r>
      <w:r w:rsidRPr="00C65CAA">
        <w:rPr>
          <w:rFonts w:ascii="Arial Narrow" w:eastAsia="Calibri" w:hAnsi="Arial Narrow"/>
          <w:color w:val="000000" w:themeColor="text1"/>
          <w:sz w:val="22"/>
          <w:szCs w:val="22"/>
          <w:lang w:eastAsia="en-US"/>
        </w:rPr>
        <w:t xml:space="preserve"> </w:t>
      </w:r>
      <w:r w:rsidR="00FB3F0B" w:rsidRPr="00C65CAA">
        <w:rPr>
          <w:rFonts w:ascii="Arial Narrow" w:eastAsia="Calibri" w:hAnsi="Arial Narrow"/>
          <w:color w:val="000000" w:themeColor="text1"/>
          <w:sz w:val="22"/>
          <w:szCs w:val="22"/>
          <w:lang w:eastAsia="en-US"/>
        </w:rPr>
        <w:t>10.</w:t>
      </w:r>
      <w:r w:rsidRPr="00C65CAA">
        <w:rPr>
          <w:rFonts w:ascii="Arial Narrow" w:eastAsia="Calibri" w:hAnsi="Arial Narrow"/>
          <w:color w:val="000000" w:themeColor="text1"/>
          <w:sz w:val="22"/>
          <w:szCs w:val="22"/>
          <w:lang w:eastAsia="en-US"/>
        </w:rPr>
        <w:t xml:space="preserve"> </w:t>
      </w:r>
      <w:r w:rsidR="00FB3F0B" w:rsidRPr="00C65CAA">
        <w:rPr>
          <w:rFonts w:ascii="Arial Narrow" w:eastAsia="Calibri" w:hAnsi="Arial Narrow"/>
          <w:color w:val="000000" w:themeColor="text1"/>
          <w:sz w:val="22"/>
          <w:szCs w:val="22"/>
          <w:lang w:eastAsia="en-US"/>
        </w:rPr>
        <w:t>2018</w:t>
      </w:r>
      <w:r w:rsidR="00EB59B2" w:rsidRPr="00C65CAA">
        <w:rPr>
          <w:rFonts w:ascii="Arial Narrow" w:eastAsia="Calibri" w:hAnsi="Arial Narrow"/>
          <w:color w:val="000000" w:themeColor="text1"/>
          <w:sz w:val="22"/>
          <w:szCs w:val="22"/>
          <w:lang w:eastAsia="en-US"/>
        </w:rPr>
        <w:t xml:space="preserve"> uplatnila zníženie záväzku (tzv. dekomitment) pre OP Výskum a inovácie vo výške </w:t>
      </w:r>
      <w:r w:rsidR="00FB3F0B" w:rsidRPr="00C65CAA">
        <w:rPr>
          <w:rFonts w:ascii="Arial Narrow" w:eastAsia="Calibri" w:hAnsi="Arial Narrow"/>
          <w:color w:val="000000" w:themeColor="text1"/>
          <w:sz w:val="22"/>
          <w:szCs w:val="22"/>
          <w:lang w:eastAsia="en-US"/>
        </w:rPr>
        <w:t>26 </w:t>
      </w:r>
      <w:r w:rsidR="00EB59B2" w:rsidRPr="00C65CAA">
        <w:rPr>
          <w:rFonts w:ascii="Arial Narrow" w:eastAsia="Calibri" w:hAnsi="Arial Narrow"/>
          <w:color w:val="000000" w:themeColor="text1"/>
          <w:sz w:val="22"/>
          <w:szCs w:val="22"/>
          <w:lang w:eastAsia="en-US"/>
        </w:rPr>
        <w:t>973 tis. eur. Vzhľadom na negatívny dopad na štátny rozpočet NKÚ SR považuje za kľúčové riziko uplatnenia zníženia záväzku zo strany EK (tzv. dekomitment) z dôvodu nesplnenia pravidla n+3. Ide o výdavky, ktoré majú byť deklarované na EK do 31.</w:t>
      </w:r>
      <w:r w:rsidR="000926D3" w:rsidRPr="00C65CAA">
        <w:rPr>
          <w:rFonts w:ascii="Arial Narrow" w:eastAsia="Calibri" w:hAnsi="Arial Narrow"/>
          <w:color w:val="000000" w:themeColor="text1"/>
          <w:sz w:val="22"/>
          <w:szCs w:val="22"/>
          <w:lang w:eastAsia="en-US"/>
        </w:rPr>
        <w:t xml:space="preserve"> </w:t>
      </w:r>
      <w:r w:rsidR="00EB59B2" w:rsidRPr="00C65CAA">
        <w:rPr>
          <w:rFonts w:ascii="Arial Narrow" w:eastAsia="Calibri" w:hAnsi="Arial Narrow"/>
          <w:color w:val="000000" w:themeColor="text1"/>
          <w:sz w:val="22"/>
          <w:szCs w:val="22"/>
          <w:lang w:eastAsia="en-US"/>
        </w:rPr>
        <w:t>12.</w:t>
      </w:r>
      <w:r w:rsidR="000926D3" w:rsidRPr="00C65CAA">
        <w:rPr>
          <w:rFonts w:ascii="Arial Narrow" w:eastAsia="Calibri" w:hAnsi="Arial Narrow"/>
          <w:color w:val="000000" w:themeColor="text1"/>
          <w:sz w:val="22"/>
          <w:szCs w:val="22"/>
          <w:lang w:eastAsia="en-US"/>
        </w:rPr>
        <w:t xml:space="preserve"> </w:t>
      </w:r>
      <w:r w:rsidR="00EB59B2" w:rsidRPr="00C65CAA">
        <w:rPr>
          <w:rFonts w:ascii="Arial Narrow" w:eastAsia="Calibri" w:hAnsi="Arial Narrow"/>
          <w:color w:val="000000" w:themeColor="text1"/>
          <w:sz w:val="22"/>
          <w:szCs w:val="22"/>
          <w:lang w:eastAsia="en-US"/>
        </w:rPr>
        <w:t>2018 v celkovej výške 545 901 tis. eur</w:t>
      </w:r>
      <w:r w:rsidR="00EB59B2" w:rsidRPr="00C65CAA">
        <w:rPr>
          <w:rStyle w:val="Odkaznapoznmkupodiarou"/>
          <w:rFonts w:ascii="Arial Narrow" w:eastAsia="Calibri" w:hAnsi="Arial Narrow"/>
          <w:color w:val="000000" w:themeColor="text1"/>
          <w:sz w:val="22"/>
          <w:szCs w:val="22"/>
          <w:lang w:eastAsia="en-US"/>
        </w:rPr>
        <w:footnoteReference w:id="9"/>
      </w:r>
      <w:r w:rsidR="00BD4174" w:rsidRPr="00C65CAA">
        <w:rPr>
          <w:rFonts w:ascii="Arial Narrow" w:eastAsia="Calibri" w:hAnsi="Arial Narrow"/>
          <w:color w:val="000000" w:themeColor="text1"/>
          <w:sz w:val="22"/>
          <w:szCs w:val="22"/>
          <w:lang w:eastAsia="en-US"/>
        </w:rPr>
        <w:t xml:space="preserve">, tzn. pre splnenie finančného míľnika je potrebné predložiť EK výdavky minimálne v tejto sume. </w:t>
      </w:r>
      <w:r w:rsidR="00EB59B2" w:rsidRPr="00C65CAA">
        <w:rPr>
          <w:rFonts w:ascii="Arial Narrow" w:eastAsia="Calibri" w:hAnsi="Arial Narrow"/>
          <w:color w:val="000000" w:themeColor="text1"/>
          <w:sz w:val="22"/>
          <w:szCs w:val="22"/>
          <w:lang w:eastAsia="en-US"/>
        </w:rPr>
        <w:t>Takmer 95</w:t>
      </w:r>
      <w:r w:rsidR="00FE57DF" w:rsidRPr="00C65CAA">
        <w:rPr>
          <w:rFonts w:ascii="Arial Narrow" w:eastAsia="Calibri" w:hAnsi="Arial Narrow"/>
          <w:color w:val="000000" w:themeColor="text1"/>
          <w:sz w:val="22"/>
          <w:szCs w:val="22"/>
          <w:lang w:eastAsia="en-US"/>
        </w:rPr>
        <w:t xml:space="preserve"> </w:t>
      </w:r>
      <w:r w:rsidR="00EB59B2" w:rsidRPr="00C65CAA">
        <w:rPr>
          <w:rFonts w:ascii="Arial Narrow" w:eastAsia="Calibri" w:hAnsi="Arial Narrow"/>
          <w:color w:val="000000" w:themeColor="text1"/>
          <w:sz w:val="22"/>
          <w:szCs w:val="22"/>
          <w:lang w:eastAsia="en-US"/>
        </w:rPr>
        <w:t>% týchto výdavkov sa týka OP Výskum a inovácie (220 mil. eur), Integrovaného regionálneho OP (167 mil. eur) a OP Kvalita životného prostredia (129 mil. eur).</w:t>
      </w:r>
    </w:p>
    <w:p w:rsidR="00EB59B2" w:rsidRPr="00C65CAA" w:rsidRDefault="00EB59B2" w:rsidP="00256AF8">
      <w:pPr>
        <w:autoSpaceDE w:val="0"/>
        <w:autoSpaceDN w:val="0"/>
        <w:adjustRightInd w:val="0"/>
        <w:spacing w:before="100" w:after="100"/>
        <w:ind w:firstLine="709"/>
        <w:jc w:val="both"/>
        <w:rPr>
          <w:rFonts w:ascii="Arial Narrow" w:eastAsia="Calibri" w:hAnsi="Arial Narrow"/>
          <w:color w:val="000000"/>
          <w:sz w:val="22"/>
          <w:szCs w:val="22"/>
          <w:lang w:eastAsia="en-US"/>
        </w:rPr>
      </w:pPr>
      <w:r w:rsidRPr="00C65CAA">
        <w:rPr>
          <w:rFonts w:ascii="Arial Narrow" w:eastAsia="Calibri" w:hAnsi="Arial Narrow"/>
          <w:color w:val="000000"/>
          <w:sz w:val="22"/>
          <w:szCs w:val="22"/>
          <w:lang w:eastAsia="en-US"/>
        </w:rPr>
        <w:lastRenderedPageBreak/>
        <w:t>NKÚ SR v roku 2018 ukončilo kontrolnú akciu „Realizácie výziev a vyzvaní v programovom období     2014 – 2020 II.“, ktorej predmetom bolo overenie súladu postupov riadiacich a sprostredkovateľských orgánov v oblasti vyhlásenia výziev a vyzvaní, kontroly formálnej správnosti dokumentov a procesu odborného hodnotenia Žiadostí o nenávratný finančný príspevok. Kontrolou vo Výskumnej agentúre boli zistené závažné nedostatky. V</w:t>
      </w:r>
      <w:r w:rsidR="00655839" w:rsidRPr="00C65CAA">
        <w:rPr>
          <w:rFonts w:ascii="Arial Narrow" w:eastAsia="Calibri" w:hAnsi="Arial Narrow"/>
          <w:color w:val="000000"/>
          <w:sz w:val="22"/>
          <w:szCs w:val="22"/>
          <w:lang w:eastAsia="en-US"/>
        </w:rPr>
        <w:t xml:space="preserve">ýskumná agentúra </w:t>
      </w:r>
      <w:r w:rsidRPr="00C65CAA">
        <w:rPr>
          <w:rFonts w:ascii="Arial Narrow" w:eastAsia="Calibri" w:hAnsi="Arial Narrow"/>
          <w:color w:val="000000"/>
          <w:sz w:val="22"/>
          <w:szCs w:val="22"/>
          <w:lang w:eastAsia="en-US"/>
        </w:rPr>
        <w:t>upravila, resp. konkretizovala podmienky oprávnenosti žiadateľa/partnera z podnikateľského sektora z hľadiska ich kapacít realizovať kvalitný výskum a</w:t>
      </w:r>
      <w:r w:rsidR="000926D3" w:rsidRPr="00C65CAA">
        <w:rPr>
          <w:rFonts w:ascii="Arial Narrow" w:eastAsia="Calibri" w:hAnsi="Arial Narrow"/>
          <w:color w:val="000000"/>
          <w:sz w:val="22"/>
          <w:szCs w:val="22"/>
          <w:lang w:eastAsia="en-US"/>
        </w:rPr>
        <w:t> </w:t>
      </w:r>
      <w:r w:rsidRPr="00C65CAA">
        <w:rPr>
          <w:rFonts w:ascii="Arial Narrow" w:eastAsia="Calibri" w:hAnsi="Arial Narrow"/>
          <w:color w:val="000000"/>
          <w:sz w:val="22"/>
          <w:szCs w:val="22"/>
          <w:lang w:eastAsia="en-US"/>
        </w:rPr>
        <w:t>vývoj</w:t>
      </w:r>
      <w:r w:rsidR="000926D3" w:rsidRPr="00C65CAA">
        <w:rPr>
          <w:rFonts w:ascii="Arial Narrow" w:eastAsia="Calibri" w:hAnsi="Arial Narrow"/>
          <w:color w:val="000000"/>
          <w:sz w:val="22"/>
          <w:szCs w:val="22"/>
          <w:lang w:eastAsia="en-US"/>
        </w:rPr>
        <w:t>,</w:t>
      </w:r>
      <w:r w:rsidRPr="00C65CAA">
        <w:rPr>
          <w:rFonts w:ascii="Arial Narrow" w:eastAsia="Calibri" w:hAnsi="Arial Narrow"/>
          <w:color w:val="000000"/>
          <w:sz w:val="22"/>
          <w:szCs w:val="22"/>
          <w:lang w:eastAsia="en-US"/>
        </w:rPr>
        <w:t xml:space="preserve"> a tým umožnila podnikateľom, ktorí nemuseli mať dostatočnú spôsobilosť vykonávať kvalitné vedecko-výskumné aktivity, aby sa stali oprávnenými žiadateľmi. Hodnotiace bodované kritéri</w:t>
      </w:r>
      <w:r w:rsidR="000926D3" w:rsidRPr="00C65CAA">
        <w:rPr>
          <w:rFonts w:ascii="Arial Narrow" w:eastAsia="Calibri" w:hAnsi="Arial Narrow"/>
          <w:color w:val="000000"/>
          <w:sz w:val="22"/>
          <w:szCs w:val="22"/>
          <w:lang w:eastAsia="en-US"/>
        </w:rPr>
        <w:t>á</w:t>
      </w:r>
      <w:r w:rsidRPr="00C65CAA">
        <w:rPr>
          <w:rFonts w:ascii="Arial Narrow" w:eastAsia="Calibri" w:hAnsi="Arial Narrow"/>
          <w:color w:val="000000"/>
          <w:sz w:val="22"/>
          <w:szCs w:val="22"/>
          <w:lang w:eastAsia="en-US"/>
        </w:rPr>
        <w:t xml:space="preserve"> boli postavené značne subjektívne, nebola zabezpečená odbornosť odborných hodnotiteľov a riadne posúdeni</w:t>
      </w:r>
      <w:r w:rsidR="000926D3" w:rsidRPr="00C65CAA">
        <w:rPr>
          <w:rFonts w:ascii="Arial Narrow" w:eastAsia="Calibri" w:hAnsi="Arial Narrow"/>
          <w:color w:val="000000"/>
          <w:sz w:val="22"/>
          <w:szCs w:val="22"/>
          <w:lang w:eastAsia="en-US"/>
        </w:rPr>
        <w:t>e</w:t>
      </w:r>
      <w:r w:rsidRPr="00C65CAA">
        <w:rPr>
          <w:rFonts w:ascii="Arial Narrow" w:eastAsia="Calibri" w:hAnsi="Arial Narrow"/>
          <w:color w:val="000000"/>
          <w:sz w:val="22"/>
          <w:szCs w:val="22"/>
          <w:lang w:eastAsia="en-US"/>
        </w:rPr>
        <w:t xml:space="preserve"> možného konfliktu záujmov. Takto nastavený proces nebol</w:t>
      </w:r>
      <w:r w:rsidR="000926D3" w:rsidRPr="00C65CAA">
        <w:rPr>
          <w:rFonts w:ascii="Arial Narrow" w:eastAsia="Calibri" w:hAnsi="Arial Narrow"/>
          <w:color w:val="000000"/>
          <w:sz w:val="22"/>
          <w:szCs w:val="22"/>
          <w:lang w:eastAsia="en-US"/>
        </w:rPr>
        <w:t>,</w:t>
      </w:r>
      <w:r w:rsidRPr="00C65CAA">
        <w:rPr>
          <w:rFonts w:ascii="Arial Narrow" w:eastAsia="Calibri" w:hAnsi="Arial Narrow"/>
          <w:color w:val="000000"/>
          <w:sz w:val="22"/>
          <w:szCs w:val="22"/>
          <w:lang w:eastAsia="en-US"/>
        </w:rPr>
        <w:t xml:space="preserve"> podľa NKÚ SR</w:t>
      </w:r>
      <w:r w:rsidR="000926D3" w:rsidRPr="00C65CAA">
        <w:rPr>
          <w:rFonts w:ascii="Arial Narrow" w:eastAsia="Calibri" w:hAnsi="Arial Narrow"/>
          <w:color w:val="000000"/>
          <w:sz w:val="22"/>
          <w:szCs w:val="22"/>
          <w:lang w:eastAsia="en-US"/>
        </w:rPr>
        <w:t>,</w:t>
      </w:r>
      <w:r w:rsidR="00FE57DF" w:rsidRPr="00C65CAA">
        <w:rPr>
          <w:rFonts w:ascii="Arial Narrow" w:eastAsia="Calibri" w:hAnsi="Arial Narrow"/>
          <w:color w:val="000000"/>
          <w:sz w:val="22"/>
          <w:szCs w:val="22"/>
          <w:lang w:eastAsia="en-US"/>
        </w:rPr>
        <w:t xml:space="preserve"> v </w:t>
      </w:r>
      <w:r w:rsidRPr="00C65CAA">
        <w:rPr>
          <w:rFonts w:ascii="Arial Narrow" w:eastAsia="Calibri" w:hAnsi="Arial Narrow"/>
          <w:color w:val="000000"/>
          <w:sz w:val="22"/>
          <w:szCs w:val="22"/>
          <w:lang w:eastAsia="en-US"/>
        </w:rPr>
        <w:t>súlade s európskymi princípmi efektívnosti, účelnosti, účinnosti a zákazu konfliktu záujmov</w:t>
      </w:r>
      <w:r w:rsidR="00655839" w:rsidRPr="00C65CAA">
        <w:rPr>
          <w:rFonts w:ascii="Arial Narrow" w:eastAsia="Calibri" w:hAnsi="Arial Narrow"/>
          <w:color w:val="000000"/>
          <w:sz w:val="22"/>
          <w:szCs w:val="22"/>
          <w:lang w:eastAsia="en-US"/>
        </w:rPr>
        <w:t>.</w:t>
      </w:r>
    </w:p>
    <w:p w:rsidR="00EB59B2" w:rsidRPr="00C65CAA" w:rsidRDefault="00EB59B2" w:rsidP="00256AF8">
      <w:pPr>
        <w:autoSpaceDE w:val="0"/>
        <w:autoSpaceDN w:val="0"/>
        <w:adjustRightInd w:val="0"/>
        <w:spacing w:before="100" w:after="100"/>
        <w:ind w:firstLine="709"/>
        <w:jc w:val="both"/>
        <w:rPr>
          <w:rFonts w:ascii="Arial Narrow" w:eastAsia="Calibri" w:hAnsi="Arial Narrow"/>
          <w:color w:val="000000"/>
          <w:sz w:val="22"/>
          <w:szCs w:val="22"/>
          <w:lang w:eastAsia="en-US"/>
        </w:rPr>
      </w:pPr>
      <w:r w:rsidRPr="00C65CAA">
        <w:rPr>
          <w:rFonts w:ascii="Arial Narrow" w:eastAsia="Calibri" w:hAnsi="Arial Narrow"/>
          <w:color w:val="000000"/>
          <w:sz w:val="22"/>
          <w:szCs w:val="22"/>
          <w:lang w:eastAsia="en-US"/>
        </w:rPr>
        <w:t xml:space="preserve">Na vyššie uvedenú kontrolu ďalej nadväzovala kontrolná akcia s identickým zameraním tak, aby na prelome rokov 2018 a 2019 mal NKÚ SR skontrolované všetky operačné programy </w:t>
      </w:r>
      <w:r w:rsidR="00655839" w:rsidRPr="00C65CAA">
        <w:rPr>
          <w:rFonts w:ascii="Arial Narrow" w:eastAsia="Calibri" w:hAnsi="Arial Narrow"/>
          <w:color w:val="000000"/>
          <w:sz w:val="22"/>
          <w:szCs w:val="22"/>
          <w:lang w:eastAsia="en-US"/>
        </w:rPr>
        <w:t xml:space="preserve">3. </w:t>
      </w:r>
      <w:r w:rsidRPr="00C65CAA">
        <w:rPr>
          <w:rFonts w:ascii="Arial Narrow" w:eastAsia="Calibri" w:hAnsi="Arial Narrow"/>
          <w:color w:val="000000"/>
          <w:sz w:val="22"/>
          <w:szCs w:val="22"/>
          <w:lang w:eastAsia="en-US"/>
        </w:rPr>
        <w:t>programového obdobia. V súvislosti so zistenými závažnými nedostatkami v Pôdohospodárskej platobnej agentúre a Výskumnej agentúre</w:t>
      </w:r>
      <w:r w:rsidR="000926D3" w:rsidRPr="00C65CAA">
        <w:rPr>
          <w:rFonts w:ascii="Arial Narrow" w:eastAsia="Calibri" w:hAnsi="Arial Narrow"/>
          <w:color w:val="000000"/>
          <w:sz w:val="22"/>
          <w:szCs w:val="22"/>
          <w:lang w:eastAsia="en-US"/>
        </w:rPr>
        <w:t>,</w:t>
      </w:r>
      <w:r w:rsidRPr="00C65CAA">
        <w:rPr>
          <w:rFonts w:ascii="Arial Narrow" w:eastAsia="Calibri" w:hAnsi="Arial Narrow"/>
          <w:color w:val="000000"/>
          <w:sz w:val="22"/>
          <w:szCs w:val="22"/>
          <w:lang w:eastAsia="en-US"/>
        </w:rPr>
        <w:t xml:space="preserve"> NKÚ SR plánuje vykonať kontrolu plnenia prijatých opatrení.</w:t>
      </w:r>
    </w:p>
    <w:p w:rsidR="00EB59B2" w:rsidRPr="00C65CAA" w:rsidRDefault="00EB59B2" w:rsidP="00256AF8">
      <w:pPr>
        <w:autoSpaceDE w:val="0"/>
        <w:autoSpaceDN w:val="0"/>
        <w:adjustRightInd w:val="0"/>
        <w:spacing w:before="100" w:after="100"/>
        <w:ind w:firstLine="709"/>
        <w:jc w:val="both"/>
        <w:rPr>
          <w:rFonts w:ascii="Arial Narrow" w:eastAsia="Calibri" w:hAnsi="Arial Narrow"/>
          <w:color w:val="000000"/>
          <w:sz w:val="22"/>
          <w:szCs w:val="22"/>
          <w:lang w:eastAsia="en-US"/>
        </w:rPr>
      </w:pPr>
      <w:r w:rsidRPr="00C65CAA">
        <w:rPr>
          <w:rFonts w:ascii="Arial Narrow" w:eastAsia="Calibri" w:hAnsi="Arial Narrow"/>
          <w:color w:val="000000"/>
          <w:sz w:val="22"/>
          <w:szCs w:val="22"/>
          <w:lang w:eastAsia="en-US"/>
        </w:rPr>
        <w:t xml:space="preserve">NKÚ SR dlhodobo poukazuje na nefunkčné mechanizmy vnútorných kontrol, </w:t>
      </w:r>
      <w:r w:rsidR="00FE57DF" w:rsidRPr="00C65CAA">
        <w:rPr>
          <w:rFonts w:ascii="Arial Narrow" w:eastAsia="Calibri" w:hAnsi="Arial Narrow"/>
          <w:color w:val="000000"/>
          <w:sz w:val="22"/>
          <w:szCs w:val="22"/>
          <w:lang w:eastAsia="en-US"/>
        </w:rPr>
        <w:t>ktoré súvisia s </w:t>
      </w:r>
      <w:r w:rsidRPr="00C65CAA">
        <w:rPr>
          <w:rFonts w:ascii="Arial Narrow" w:eastAsia="Calibri" w:hAnsi="Arial Narrow"/>
          <w:color w:val="000000"/>
          <w:sz w:val="22"/>
          <w:szCs w:val="22"/>
          <w:lang w:eastAsia="en-US"/>
        </w:rPr>
        <w:t xml:space="preserve">nedostatočným systémom monitorovania a hodnotenia dosahovania cieľov a indikátorov projektov, </w:t>
      </w:r>
      <w:r w:rsidR="000926D3" w:rsidRPr="00C65CAA">
        <w:rPr>
          <w:rFonts w:ascii="Arial Narrow" w:eastAsia="Calibri" w:hAnsi="Arial Narrow"/>
          <w:color w:val="000000"/>
          <w:sz w:val="22"/>
          <w:szCs w:val="22"/>
          <w:lang w:eastAsia="en-US"/>
        </w:rPr>
        <w:t xml:space="preserve">na </w:t>
      </w:r>
      <w:r w:rsidRPr="00C65CAA">
        <w:rPr>
          <w:rFonts w:ascii="Arial Narrow" w:eastAsia="Calibri" w:hAnsi="Arial Narrow"/>
          <w:color w:val="000000"/>
          <w:sz w:val="22"/>
          <w:szCs w:val="22"/>
          <w:lang w:eastAsia="en-US"/>
        </w:rPr>
        <w:t>nedostatočné riadenie a vymáhanie systémových</w:t>
      </w:r>
      <w:r w:rsidR="000926D3" w:rsidRPr="00C65CAA">
        <w:rPr>
          <w:rFonts w:ascii="Arial Narrow" w:eastAsia="Calibri" w:hAnsi="Arial Narrow"/>
          <w:color w:val="000000"/>
          <w:sz w:val="22"/>
          <w:szCs w:val="22"/>
          <w:lang w:eastAsia="en-US"/>
        </w:rPr>
        <w:t xml:space="preserve"> nezrovnalostí s finančným dosah</w:t>
      </w:r>
      <w:r w:rsidRPr="00C65CAA">
        <w:rPr>
          <w:rFonts w:ascii="Arial Narrow" w:eastAsia="Calibri" w:hAnsi="Arial Narrow"/>
          <w:color w:val="000000"/>
          <w:sz w:val="22"/>
          <w:szCs w:val="22"/>
          <w:lang w:eastAsia="en-US"/>
        </w:rPr>
        <w:t>om na štátny rozpočet</w:t>
      </w:r>
      <w:r w:rsidR="00655839" w:rsidRPr="00C65CAA">
        <w:rPr>
          <w:rFonts w:ascii="Arial Narrow" w:eastAsia="Calibri" w:hAnsi="Arial Narrow"/>
          <w:color w:val="000000"/>
          <w:sz w:val="22"/>
          <w:szCs w:val="22"/>
          <w:lang w:eastAsia="en-US"/>
        </w:rPr>
        <w:t>,</w:t>
      </w:r>
      <w:r w:rsidRPr="00C65CAA">
        <w:rPr>
          <w:rFonts w:ascii="Arial Narrow" w:eastAsia="Calibri" w:hAnsi="Arial Narrow"/>
          <w:color w:val="000000"/>
          <w:sz w:val="22"/>
          <w:szCs w:val="22"/>
          <w:lang w:eastAsia="en-US"/>
        </w:rPr>
        <w:t xml:space="preserve"> ako aj </w:t>
      </w:r>
      <w:r w:rsidR="000926D3" w:rsidRPr="00C65CAA">
        <w:rPr>
          <w:rFonts w:ascii="Arial Narrow" w:eastAsia="Calibri" w:hAnsi="Arial Narrow"/>
          <w:color w:val="000000"/>
          <w:sz w:val="22"/>
          <w:szCs w:val="22"/>
          <w:lang w:eastAsia="en-US"/>
        </w:rPr>
        <w:t xml:space="preserve">na </w:t>
      </w:r>
      <w:r w:rsidRPr="00C65CAA">
        <w:rPr>
          <w:rFonts w:ascii="Arial Narrow" w:eastAsia="Calibri" w:hAnsi="Arial Narrow"/>
          <w:color w:val="000000"/>
          <w:sz w:val="22"/>
          <w:szCs w:val="22"/>
          <w:lang w:eastAsia="en-US"/>
        </w:rPr>
        <w:t>pretrvávajúce problémy súvisiace s elektronizáciou služieb občanom a</w:t>
      </w:r>
      <w:r w:rsidR="000926D3" w:rsidRPr="00C65CAA">
        <w:rPr>
          <w:rFonts w:ascii="Arial Narrow" w:eastAsia="Calibri" w:hAnsi="Arial Narrow"/>
          <w:color w:val="000000"/>
          <w:sz w:val="22"/>
          <w:szCs w:val="22"/>
          <w:lang w:eastAsia="en-US"/>
        </w:rPr>
        <w:t xml:space="preserve"> na </w:t>
      </w:r>
      <w:r w:rsidRPr="00C65CAA">
        <w:rPr>
          <w:rFonts w:ascii="Arial Narrow" w:eastAsia="Calibri" w:hAnsi="Arial Narrow"/>
          <w:color w:val="000000"/>
          <w:sz w:val="22"/>
          <w:szCs w:val="22"/>
          <w:lang w:eastAsia="en-US"/>
        </w:rPr>
        <w:t> problémy v sektore pôdohospodárstva. Z týchto dôvodov NKÚ SR plánuje v roku 2019 zamerať svoju pozornosť práve na tieto oblasti.</w:t>
      </w:r>
    </w:p>
    <w:p w:rsidR="00EB59B2" w:rsidRPr="00C65CAA" w:rsidRDefault="00EB59B2" w:rsidP="00256AF8">
      <w:pPr>
        <w:autoSpaceDE w:val="0"/>
        <w:autoSpaceDN w:val="0"/>
        <w:adjustRightInd w:val="0"/>
        <w:spacing w:before="100" w:after="100"/>
        <w:ind w:firstLine="709"/>
        <w:jc w:val="both"/>
        <w:rPr>
          <w:rFonts w:ascii="Arial Narrow" w:eastAsia="Calibri" w:hAnsi="Arial Narrow"/>
          <w:color w:val="000000"/>
          <w:sz w:val="22"/>
          <w:szCs w:val="22"/>
          <w:lang w:eastAsia="en-US"/>
        </w:rPr>
      </w:pPr>
      <w:r w:rsidRPr="00C65CAA">
        <w:rPr>
          <w:rFonts w:ascii="Arial Narrow" w:eastAsia="Calibri" w:hAnsi="Arial Narrow"/>
          <w:color w:val="000000"/>
          <w:sz w:val="22"/>
          <w:szCs w:val="22"/>
          <w:lang w:eastAsia="en-US"/>
        </w:rPr>
        <w:t>Za ďalšie významné riziká spojené s riadením, implementáciou a kontrolou pomoci z EÚ považ</w:t>
      </w:r>
      <w:r w:rsidR="00FE57DF" w:rsidRPr="00C65CAA">
        <w:rPr>
          <w:rFonts w:ascii="Arial Narrow" w:eastAsia="Calibri" w:hAnsi="Arial Narrow"/>
          <w:color w:val="000000"/>
          <w:sz w:val="22"/>
          <w:szCs w:val="22"/>
          <w:lang w:eastAsia="en-US"/>
        </w:rPr>
        <w:t>uje NKÚ </w:t>
      </w:r>
      <w:r w:rsidRPr="00C65CAA">
        <w:rPr>
          <w:rFonts w:ascii="Arial Narrow" w:eastAsia="Calibri" w:hAnsi="Arial Narrow"/>
          <w:color w:val="000000"/>
          <w:sz w:val="22"/>
          <w:szCs w:val="22"/>
          <w:lang w:eastAsia="en-US"/>
        </w:rPr>
        <w:t>SR neplnenie čiastkových cieľov výkonnostného rámca, absenciu z</w:t>
      </w:r>
      <w:r w:rsidR="00FE57DF" w:rsidRPr="00C65CAA">
        <w:rPr>
          <w:rFonts w:ascii="Arial Narrow" w:eastAsia="Calibri" w:hAnsi="Arial Narrow"/>
          <w:color w:val="000000"/>
          <w:sz w:val="22"/>
          <w:szCs w:val="22"/>
          <w:lang w:eastAsia="en-US"/>
        </w:rPr>
        <w:t>avedenia systémového prístupu k </w:t>
      </w:r>
      <w:r w:rsidRPr="00C65CAA">
        <w:rPr>
          <w:rFonts w:ascii="Arial Narrow" w:eastAsia="Calibri" w:hAnsi="Arial Narrow"/>
          <w:color w:val="000000"/>
          <w:sz w:val="22"/>
          <w:szCs w:val="22"/>
          <w:lang w:eastAsia="en-US"/>
        </w:rPr>
        <w:t xml:space="preserve">posudzovaniu hospodárnosti výdavkov, problémy vo verejnom obstarávaní, </w:t>
      </w:r>
      <w:r w:rsidR="00655839" w:rsidRPr="00C65CAA">
        <w:rPr>
          <w:rFonts w:ascii="Arial Narrow" w:eastAsia="Calibri" w:hAnsi="Arial Narrow"/>
          <w:color w:val="000000"/>
          <w:sz w:val="22"/>
          <w:szCs w:val="22"/>
          <w:lang w:eastAsia="en-US"/>
        </w:rPr>
        <w:t>udržateľnosť intervencií a nízku</w:t>
      </w:r>
      <w:r w:rsidRPr="00C65CAA">
        <w:rPr>
          <w:rFonts w:ascii="Arial Narrow" w:eastAsia="Calibri" w:hAnsi="Arial Narrow"/>
          <w:color w:val="000000"/>
          <w:sz w:val="22"/>
          <w:szCs w:val="22"/>
          <w:lang w:eastAsia="en-US"/>
        </w:rPr>
        <w:t xml:space="preserve"> miera absorpcie, ktorá sa môže prejaviť zvýšeným čerpaním verejných zdrojov ku koncu programového obdobia.</w:t>
      </w:r>
    </w:p>
    <w:p w:rsidR="00D23611" w:rsidRPr="00C65CAA" w:rsidRDefault="00D23611" w:rsidP="00256AF8">
      <w:pPr>
        <w:pStyle w:val="Nadpis1"/>
        <w:numPr>
          <w:ilvl w:val="0"/>
          <w:numId w:val="92"/>
        </w:numPr>
        <w:spacing w:before="100" w:after="100"/>
        <w:rPr>
          <w:rFonts w:ascii="Arial Narrow" w:eastAsiaTheme="minorHAnsi" w:hAnsi="Arial Narrow"/>
          <w:sz w:val="22"/>
          <w:szCs w:val="22"/>
          <w:lang w:eastAsia="en-US"/>
        </w:rPr>
      </w:pPr>
      <w:bookmarkStart w:id="42" w:name="_Toc495316435"/>
      <w:bookmarkStart w:id="43" w:name="_Toc529507609"/>
      <w:r w:rsidRPr="00C65CAA">
        <w:rPr>
          <w:rFonts w:ascii="Arial Narrow" w:eastAsiaTheme="minorHAnsi" w:hAnsi="Arial Narrow"/>
          <w:sz w:val="22"/>
          <w:szCs w:val="22"/>
          <w:lang w:eastAsia="en-US"/>
        </w:rPr>
        <w:t>Stanovisko k návrhu súhrnného rozpočtu ostatných subjektov verejnej správy na rok 201</w:t>
      </w:r>
      <w:bookmarkEnd w:id="42"/>
      <w:r w:rsidR="005E6FE7" w:rsidRPr="00C65CAA">
        <w:rPr>
          <w:rFonts w:ascii="Arial Narrow" w:eastAsiaTheme="minorHAnsi" w:hAnsi="Arial Narrow"/>
          <w:sz w:val="22"/>
          <w:szCs w:val="22"/>
          <w:lang w:eastAsia="en-US"/>
        </w:rPr>
        <w:t>9</w:t>
      </w:r>
      <w:bookmarkEnd w:id="43"/>
    </w:p>
    <w:p w:rsidR="00D23611" w:rsidRPr="00C65CAA" w:rsidRDefault="00D23611" w:rsidP="00256AF8">
      <w:pPr>
        <w:pStyle w:val="Nadpis2"/>
        <w:numPr>
          <w:ilvl w:val="1"/>
          <w:numId w:val="92"/>
        </w:numPr>
        <w:spacing w:before="100" w:after="100"/>
        <w:rPr>
          <w:szCs w:val="22"/>
        </w:rPr>
      </w:pPr>
      <w:bookmarkStart w:id="44" w:name="_Toc433957055"/>
      <w:bookmarkStart w:id="45" w:name="_Toc495316436"/>
      <w:bookmarkStart w:id="46" w:name="_Toc529507610"/>
      <w:r w:rsidRPr="00C65CAA">
        <w:rPr>
          <w:szCs w:val="22"/>
        </w:rPr>
        <w:t>Stanovisko k rozpočtovému rámcu návrhu súhrnného rozpočtu ostatných subjektov verejnej správy</w:t>
      </w:r>
      <w:bookmarkEnd w:id="44"/>
      <w:r w:rsidRPr="00C65CAA">
        <w:rPr>
          <w:szCs w:val="22"/>
        </w:rPr>
        <w:t xml:space="preserve"> na rok 201</w:t>
      </w:r>
      <w:bookmarkEnd w:id="45"/>
      <w:r w:rsidR="005E6FE7" w:rsidRPr="00C65CAA">
        <w:rPr>
          <w:szCs w:val="22"/>
        </w:rPr>
        <w:t>9</w:t>
      </w:r>
      <w:bookmarkEnd w:id="46"/>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Návrh súhrnného rozpočtu ostatných subjektov verejnej správy na rok 2019 je vypracovaný v metodike ESA 2010</w:t>
      </w:r>
      <w:r w:rsidR="000926D3" w:rsidRPr="00C65CAA">
        <w:rPr>
          <w:rFonts w:ascii="Arial Narrow" w:eastAsiaTheme="minorHAnsi" w:hAnsi="Arial Narrow" w:cstheme="minorBidi"/>
          <w:sz w:val="22"/>
          <w:szCs w:val="22"/>
          <w:lang w:eastAsia="en-US"/>
        </w:rPr>
        <w:t>, a to</w:t>
      </w:r>
      <w:r w:rsidRPr="00C65CAA">
        <w:rPr>
          <w:rFonts w:ascii="Arial Narrow" w:eastAsiaTheme="minorHAnsi" w:hAnsi="Arial Narrow" w:cstheme="minorBidi"/>
          <w:sz w:val="22"/>
          <w:szCs w:val="22"/>
          <w:lang w:eastAsia="en-US"/>
        </w:rPr>
        <w:t xml:space="preserve"> v súlade so zákonom o rozpočtových pravidlách verejnej správy, zákonom o rozpočtových pravidlách územnej samosprávy, zákonom o rozpočtovej zodpovednosti</w:t>
      </w:r>
      <w:r w:rsidR="000926D3"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a</w:t>
      </w:r>
      <w:r w:rsidR="000926D3" w:rsidRPr="00C65CAA">
        <w:rPr>
          <w:rFonts w:ascii="Arial Narrow" w:eastAsiaTheme="minorHAnsi" w:hAnsi="Arial Narrow" w:cstheme="minorBidi"/>
          <w:sz w:val="22"/>
          <w:szCs w:val="22"/>
          <w:lang w:eastAsia="en-US"/>
        </w:rPr>
        <w:t>ko aj s</w:t>
      </w:r>
      <w:r w:rsidRPr="00C65CAA">
        <w:rPr>
          <w:rFonts w:ascii="Arial Narrow" w:eastAsiaTheme="minorHAnsi" w:hAnsi="Arial Narrow" w:cstheme="minorBidi"/>
          <w:sz w:val="22"/>
          <w:szCs w:val="22"/>
          <w:lang w:eastAsia="en-US"/>
        </w:rPr>
        <w:t> príručkou Ministerstva financií SR na zostavenie návrhu RVS na roky 2019 až 2021 č. MF/010302/2018-411.</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Príjmová a výdavková časť návrhu súhrnného rozpočtu ostatných subjektov verejnej správy na rok 2019, vrátane jednotlivých rozpočtov</w:t>
      </w:r>
      <w:r w:rsidR="000926D3"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je zostavená v súlade s Opatrením Ministerstva financií SR č</w:t>
      </w:r>
      <w:r w:rsidR="000926D3" w:rsidRPr="00C65CAA">
        <w:rPr>
          <w:rFonts w:ascii="Arial Narrow" w:eastAsiaTheme="minorHAnsi" w:hAnsi="Arial Narrow" w:cstheme="minorBidi"/>
          <w:sz w:val="22"/>
          <w:szCs w:val="22"/>
          <w:lang w:eastAsia="en-US"/>
        </w:rPr>
        <w:t xml:space="preserve">. MF 010175/2004-42, ktorým sa </w:t>
      </w:r>
      <w:r w:rsidRPr="00C65CAA">
        <w:rPr>
          <w:rFonts w:ascii="Arial Narrow" w:eastAsiaTheme="minorHAnsi" w:hAnsi="Arial Narrow" w:cstheme="minorBidi"/>
          <w:sz w:val="22"/>
          <w:szCs w:val="22"/>
          <w:lang w:eastAsia="en-US"/>
        </w:rPr>
        <w:t>stanovuje druhová klasifikácia, organizačná klasifikácia a ekonomická klasifikácia rozpočtovej klasifikácie v platnom znení.</w:t>
      </w:r>
    </w:p>
    <w:p w:rsidR="00534776" w:rsidRPr="00C65CAA" w:rsidRDefault="00534776" w:rsidP="00256AF8">
      <w:pPr>
        <w:spacing w:before="100" w:after="100"/>
        <w:jc w:val="both"/>
        <w:rPr>
          <w:rFonts w:ascii="Arial Narrow" w:eastAsiaTheme="minorHAnsi" w:hAnsi="Arial Narrow" w:cstheme="minorBidi"/>
          <w:b/>
          <w:sz w:val="22"/>
          <w:szCs w:val="22"/>
          <w:lang w:eastAsia="en-US"/>
        </w:rPr>
      </w:pPr>
      <w:bookmarkStart w:id="47" w:name="_Toc466014283"/>
      <w:r w:rsidRPr="00C65CAA">
        <w:rPr>
          <w:rFonts w:ascii="Arial Narrow" w:eastAsiaTheme="minorHAnsi" w:hAnsi="Arial Narrow" w:cstheme="minorBidi"/>
          <w:b/>
          <w:sz w:val="22"/>
          <w:szCs w:val="22"/>
          <w:lang w:eastAsia="en-US"/>
        </w:rPr>
        <w:t>Stanovisko k rozpočtovému rámcu návrhu súhrnného rozpočtu ostatných s</w:t>
      </w:r>
      <w:r w:rsidR="00655839" w:rsidRPr="00C65CAA">
        <w:rPr>
          <w:rFonts w:ascii="Arial Narrow" w:eastAsiaTheme="minorHAnsi" w:hAnsi="Arial Narrow" w:cstheme="minorBidi"/>
          <w:b/>
          <w:sz w:val="22"/>
          <w:szCs w:val="22"/>
          <w:lang w:eastAsia="en-US"/>
        </w:rPr>
        <w:t>ubjektov verejnej správy na rok </w:t>
      </w:r>
      <w:r w:rsidRPr="00C65CAA">
        <w:rPr>
          <w:rFonts w:ascii="Arial Narrow" w:eastAsiaTheme="minorHAnsi" w:hAnsi="Arial Narrow" w:cstheme="minorBidi"/>
          <w:b/>
          <w:sz w:val="22"/>
          <w:szCs w:val="22"/>
          <w:lang w:eastAsia="en-US"/>
        </w:rPr>
        <w:t>201</w:t>
      </w:r>
      <w:bookmarkEnd w:id="47"/>
      <w:r w:rsidRPr="00C65CAA">
        <w:rPr>
          <w:rFonts w:ascii="Arial Narrow" w:eastAsiaTheme="minorHAnsi" w:hAnsi="Arial Narrow" w:cstheme="minorBidi"/>
          <w:b/>
          <w:sz w:val="22"/>
          <w:szCs w:val="22"/>
          <w:lang w:eastAsia="en-US"/>
        </w:rPr>
        <w:t>9</w:t>
      </w:r>
    </w:p>
    <w:p w:rsidR="00534776" w:rsidRPr="00C65CAA" w:rsidRDefault="00534776" w:rsidP="00256AF8">
      <w:pPr>
        <w:spacing w:before="100" w:after="100"/>
        <w:ind w:firstLine="709"/>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Návrh RVS na roky 2019 až 2021 je zostavený za subjekty verejnej správy, ktorými podľa § 3 ods. 1 a</w:t>
      </w:r>
      <w:r w:rsidR="00655839" w:rsidRPr="00C65CAA">
        <w:rPr>
          <w:rFonts w:ascii="Arial Narrow" w:eastAsiaTheme="minorHAnsi" w:hAnsi="Arial Narrow" w:cstheme="minorBidi"/>
          <w:sz w:val="22"/>
          <w:szCs w:val="22"/>
          <w:lang w:eastAsia="en-US"/>
        </w:rPr>
        <w:t> ods. </w:t>
      </w:r>
      <w:r w:rsidRPr="00C65CAA">
        <w:rPr>
          <w:rFonts w:ascii="Arial Narrow" w:eastAsiaTheme="minorHAnsi" w:hAnsi="Arial Narrow" w:cstheme="minorBidi"/>
          <w:sz w:val="22"/>
          <w:szCs w:val="22"/>
          <w:lang w:eastAsia="en-US"/>
        </w:rPr>
        <w:t>2 zákona o rozpočtových prav</w:t>
      </w:r>
      <w:smartTag w:uri="urn:schemas-microsoft-com:office:smarttags" w:element="PersonName">
        <w:r w:rsidRPr="00C65CAA">
          <w:rPr>
            <w:rFonts w:ascii="Arial Narrow" w:eastAsiaTheme="minorHAnsi" w:hAnsi="Arial Narrow" w:cstheme="minorBidi"/>
            <w:sz w:val="22"/>
            <w:szCs w:val="22"/>
            <w:lang w:eastAsia="en-US"/>
          </w:rPr>
          <w:t>id</w:t>
        </w:r>
      </w:smartTag>
      <w:r w:rsidRPr="00C65CAA">
        <w:rPr>
          <w:rFonts w:ascii="Arial Narrow" w:eastAsiaTheme="minorHAnsi" w:hAnsi="Arial Narrow" w:cstheme="minorBidi"/>
          <w:sz w:val="22"/>
          <w:szCs w:val="22"/>
          <w:lang w:eastAsia="en-US"/>
        </w:rPr>
        <w:t>lách verejnej správy sú právnické osoby zapísané v registri organizácií</w:t>
      </w:r>
      <w:r w:rsidR="000926D3"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vedenom Štatistickým úradom SR</w:t>
      </w:r>
      <w:r w:rsidR="000926D3"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a zaradené vo verejnej správe v súlade s metodikou ESA 2010, a to:</w:t>
      </w:r>
    </w:p>
    <w:p w:rsidR="00534776" w:rsidRPr="00C65CAA" w:rsidRDefault="000926D3" w:rsidP="00256AF8">
      <w:pPr>
        <w:pStyle w:val="Odsekzoznamu"/>
        <w:numPr>
          <w:ilvl w:val="0"/>
          <w:numId w:val="103"/>
        </w:numPr>
        <w:spacing w:before="100" w:after="100"/>
        <w:ind w:left="709"/>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v ústrednej správe</w:t>
      </w:r>
    </w:p>
    <w:p w:rsidR="00534776" w:rsidRPr="00C65CAA" w:rsidRDefault="000926D3" w:rsidP="00256AF8">
      <w:pPr>
        <w:pStyle w:val="Odsekzoznamu"/>
        <w:numPr>
          <w:ilvl w:val="0"/>
          <w:numId w:val="103"/>
        </w:numPr>
        <w:spacing w:before="100" w:after="100"/>
        <w:ind w:left="709"/>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v územnej samospráve</w:t>
      </w:r>
    </w:p>
    <w:p w:rsidR="00534776" w:rsidRPr="00C65CAA" w:rsidRDefault="00534776" w:rsidP="00256AF8">
      <w:pPr>
        <w:pStyle w:val="Odsekzoznamu"/>
        <w:numPr>
          <w:ilvl w:val="0"/>
          <w:numId w:val="103"/>
        </w:numPr>
        <w:spacing w:before="100" w:after="100"/>
        <w:ind w:left="709"/>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vo fondoch sociálneho poistenia a fondoch zdravotného poistenia.</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 xml:space="preserve">V ústrednej správe sa vykazujú štátne rozpočtové organizácie a štátne príspevkové organizácie, štátne účelové fondy, verejné vysoké školy a ďalšie subjekty, ktoré sú zapísané a zaradené v registri vedenom Štatistickým úradom SR. </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V územnej samospráve sa vykazujú obce, dopravné podniky, VÚC a rozpočtové a príspevkové organizácie zriadené obcami a VÚC.</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Vo fondoch sociálneho poistenia a fondoch zdravotného poistenia sa vykazuje Sociálna poisťovňa a zdravotné poisťovne.</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lastRenderedPageBreak/>
        <w:t>Súčasťou sektora verejnej správy sú aj dopravné podniky v zakladateľskej pôsobnosti miest Bratislava, Košice, Prešov a Žilina, na ktoré sa vzťahujú ustanovenia zákona o rozpočtových pravidlách verejnej správy.</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Porovnanie bilančného zostatku ostatných subjektov verejnej správy n</w:t>
      </w:r>
      <w:r w:rsidR="00655839" w:rsidRPr="00C65CAA">
        <w:rPr>
          <w:rFonts w:ascii="Arial Narrow" w:eastAsiaTheme="minorHAnsi" w:hAnsi="Arial Narrow" w:cstheme="minorBidi"/>
          <w:sz w:val="22"/>
          <w:szCs w:val="22"/>
          <w:lang w:eastAsia="en-US"/>
        </w:rPr>
        <w:t>a akruálnej báze v metodike ESA </w:t>
      </w:r>
      <w:r w:rsidRPr="00C65CAA">
        <w:rPr>
          <w:rFonts w:ascii="Arial Narrow" w:eastAsiaTheme="minorHAnsi" w:hAnsi="Arial Narrow" w:cstheme="minorBidi"/>
          <w:sz w:val="22"/>
          <w:szCs w:val="22"/>
          <w:lang w:eastAsia="en-US"/>
        </w:rPr>
        <w:t xml:space="preserve">2010 v návrhu rozpočtu na rok 2019 so schváleným rozpočtom na rok 2018 a skutočným plnením rozpočtu za rok 2017: </w:t>
      </w:r>
    </w:p>
    <w:tbl>
      <w:tblPr>
        <w:tblStyle w:val="Mriekatabuky"/>
        <w:tblW w:w="9212" w:type="dxa"/>
        <w:tblLook w:val="04A0" w:firstRow="1" w:lastRow="0" w:firstColumn="1" w:lastColumn="0" w:noHBand="0" w:noVBand="1"/>
      </w:tblPr>
      <w:tblGrid>
        <w:gridCol w:w="2942"/>
        <w:gridCol w:w="1254"/>
        <w:gridCol w:w="1254"/>
        <w:gridCol w:w="1254"/>
        <w:gridCol w:w="1254"/>
        <w:gridCol w:w="1254"/>
      </w:tblGrid>
      <w:tr w:rsidR="00534776" w:rsidRPr="00C65CAA" w:rsidTr="00534776">
        <w:trPr>
          <w:tblHeader/>
        </w:trPr>
        <w:tc>
          <w:tcPr>
            <w:tcW w:w="2942" w:type="dxa"/>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rsidR="00534776" w:rsidRPr="00C65CAA" w:rsidRDefault="00534776" w:rsidP="00011F12">
            <w:pPr>
              <w:jc w:val="center"/>
              <w:rPr>
                <w:rFonts w:ascii="Arial Narrow" w:eastAsia="Calibri" w:hAnsi="Arial Narrow"/>
                <w:b/>
                <w:bCs/>
                <w:color w:val="FFFFFF" w:themeColor="background1"/>
                <w:sz w:val="20"/>
                <w:szCs w:val="20"/>
                <w:lang w:eastAsia="en-US"/>
              </w:rPr>
            </w:pPr>
            <w:r w:rsidRPr="00C65CAA">
              <w:rPr>
                <w:rFonts w:ascii="Arial Narrow" w:eastAsia="Calibri" w:hAnsi="Arial Narrow"/>
                <w:b/>
                <w:bCs/>
                <w:color w:val="FFFFFF" w:themeColor="background1"/>
                <w:sz w:val="20"/>
                <w:szCs w:val="20"/>
                <w:lang w:eastAsia="en-US"/>
              </w:rPr>
              <w:t>Názov ukazovateľa</w:t>
            </w:r>
          </w:p>
          <w:p w:rsidR="00534776" w:rsidRPr="00C65CAA" w:rsidRDefault="00534776" w:rsidP="00011F12">
            <w:pPr>
              <w:jc w:val="center"/>
              <w:rPr>
                <w:rFonts w:ascii="Arial Narrow" w:eastAsia="Calibri" w:hAnsi="Arial Narrow"/>
                <w:b/>
                <w:color w:val="FFFFFF" w:themeColor="background1"/>
                <w:sz w:val="20"/>
                <w:szCs w:val="20"/>
                <w:lang w:eastAsia="en-US"/>
              </w:rPr>
            </w:pPr>
            <w:r w:rsidRPr="00C65CAA">
              <w:rPr>
                <w:rFonts w:ascii="Arial Narrow" w:eastAsia="Calibri" w:hAnsi="Arial Narrow"/>
                <w:b/>
                <w:bCs/>
                <w:color w:val="FFFFFF" w:themeColor="background1"/>
                <w:sz w:val="20"/>
                <w:szCs w:val="20"/>
                <w:lang w:eastAsia="en-US"/>
              </w:rPr>
              <w:t>(v mil. eur)</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Skutočnosť</w:t>
            </w:r>
          </w:p>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2017</w:t>
            </w:r>
          </w:p>
        </w:tc>
        <w:tc>
          <w:tcPr>
            <w:tcW w:w="2508" w:type="dxa"/>
            <w:gridSpan w:val="2"/>
            <w:tcBorders>
              <w:top w:val="single" w:sz="4" w:space="0" w:color="auto"/>
              <w:left w:val="single" w:sz="4" w:space="0" w:color="auto"/>
              <w:bottom w:val="single" w:sz="4" w:space="0" w:color="auto"/>
              <w:right w:val="single" w:sz="4" w:space="0" w:color="auto"/>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Rozpočet</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Rozdiel</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Podiel (v %)</w:t>
            </w:r>
          </w:p>
        </w:tc>
      </w:tr>
      <w:tr w:rsidR="00534776" w:rsidRPr="00C65CAA" w:rsidTr="00534776">
        <w:trPr>
          <w:tblHeader/>
        </w:trPr>
        <w:tc>
          <w:tcPr>
            <w:tcW w:w="0" w:type="auto"/>
            <w:vMerge/>
            <w:tcBorders>
              <w:top w:val="single" w:sz="4" w:space="0" w:color="auto"/>
              <w:left w:val="single" w:sz="4" w:space="0" w:color="auto"/>
              <w:bottom w:val="single" w:sz="4" w:space="0" w:color="auto"/>
              <w:right w:val="single" w:sz="4" w:space="0" w:color="auto"/>
            </w:tcBorders>
            <w:shd w:val="clear" w:color="auto" w:fill="0070C0"/>
            <w:vAlign w:val="center"/>
            <w:hideMark/>
          </w:tcPr>
          <w:p w:rsidR="00534776" w:rsidRPr="00C65CAA" w:rsidRDefault="00534776" w:rsidP="00011F12">
            <w:pPr>
              <w:rPr>
                <w:rFonts w:ascii="Arial Narrow" w:eastAsia="Calibri" w:hAnsi="Arial Narrow"/>
                <w:b/>
                <w:color w:val="FFFFFF" w:themeColor="background1"/>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0070C0"/>
            <w:vAlign w:val="center"/>
            <w:hideMark/>
          </w:tcPr>
          <w:p w:rsidR="00534776" w:rsidRPr="00C65CAA" w:rsidRDefault="00534776" w:rsidP="00011F12">
            <w:pPr>
              <w:rPr>
                <w:rFonts w:ascii="Arial Narrow" w:hAnsi="Arial Narrow"/>
                <w:b/>
                <w:color w:val="FFFFFF" w:themeColor="background1"/>
                <w:sz w:val="20"/>
                <w:szCs w:val="20"/>
                <w:lang w:eastAsia="en-US"/>
              </w:rPr>
            </w:pPr>
          </w:p>
        </w:tc>
        <w:tc>
          <w:tcPr>
            <w:tcW w:w="1254"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2018</w:t>
            </w:r>
          </w:p>
        </w:tc>
        <w:tc>
          <w:tcPr>
            <w:tcW w:w="1254"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2019</w:t>
            </w:r>
          </w:p>
        </w:tc>
        <w:tc>
          <w:tcPr>
            <w:tcW w:w="0" w:type="auto"/>
            <w:vMerge/>
            <w:tcBorders>
              <w:top w:val="single" w:sz="4" w:space="0" w:color="auto"/>
              <w:left w:val="single" w:sz="4" w:space="0" w:color="auto"/>
              <w:bottom w:val="single" w:sz="4" w:space="0" w:color="auto"/>
              <w:right w:val="single" w:sz="4" w:space="0" w:color="auto"/>
            </w:tcBorders>
            <w:shd w:val="clear" w:color="auto" w:fill="0070C0"/>
            <w:vAlign w:val="center"/>
            <w:hideMark/>
          </w:tcPr>
          <w:p w:rsidR="00534776" w:rsidRPr="00C65CAA" w:rsidRDefault="00534776" w:rsidP="00011F12">
            <w:pPr>
              <w:rPr>
                <w:rFonts w:ascii="Arial Narrow" w:hAnsi="Arial Narrow"/>
                <w:b/>
                <w:color w:val="FFFFFF" w:themeColor="background1"/>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0070C0"/>
            <w:vAlign w:val="center"/>
            <w:hideMark/>
          </w:tcPr>
          <w:p w:rsidR="00534776" w:rsidRPr="00C65CAA" w:rsidRDefault="00534776" w:rsidP="00011F12">
            <w:pPr>
              <w:rPr>
                <w:rFonts w:ascii="Arial Narrow" w:hAnsi="Arial Narrow"/>
                <w:b/>
                <w:color w:val="FFFFFF" w:themeColor="background1"/>
                <w:sz w:val="20"/>
                <w:szCs w:val="20"/>
                <w:lang w:eastAsia="en-US"/>
              </w:rPr>
            </w:pPr>
          </w:p>
        </w:tc>
      </w:tr>
      <w:tr w:rsidR="00534776" w:rsidRPr="00C65CAA" w:rsidTr="00534776">
        <w:trPr>
          <w:tblHeader/>
        </w:trPr>
        <w:tc>
          <w:tcPr>
            <w:tcW w:w="2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34776" w:rsidRPr="00C65CAA" w:rsidRDefault="00534776" w:rsidP="00011F12">
            <w:pPr>
              <w:jc w:val="center"/>
              <w:rPr>
                <w:rFonts w:ascii="Arial Narrow" w:hAnsi="Arial Narrow"/>
                <w:bCs/>
                <w:sz w:val="20"/>
                <w:szCs w:val="20"/>
                <w:lang w:eastAsia="en-US"/>
              </w:rPr>
            </w:pPr>
            <w:r w:rsidRPr="00C65CAA">
              <w:rPr>
                <w:rFonts w:ascii="Arial Narrow" w:hAnsi="Arial Narrow"/>
                <w:bCs/>
                <w:sz w:val="20"/>
                <w:szCs w:val="20"/>
                <w:lang w:eastAsia="en-US"/>
              </w:rPr>
              <w:t>a</w:t>
            </w: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1</w:t>
            </w: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2</w:t>
            </w: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3</w:t>
            </w: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3-2</w:t>
            </w: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3/2*100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b/>
                <w:bCs/>
                <w:sz w:val="20"/>
                <w:szCs w:val="20"/>
                <w:lang w:eastAsia="en-US"/>
              </w:rPr>
            </w:pPr>
            <w:r w:rsidRPr="00C65CAA">
              <w:rPr>
                <w:rFonts w:ascii="Arial Narrow" w:hAnsi="Arial Narrow"/>
                <w:b/>
                <w:bCs/>
                <w:sz w:val="20"/>
                <w:szCs w:val="20"/>
                <w:lang w:eastAsia="en-US"/>
              </w:rPr>
              <w:t>Ostatné subjekty RVS spolu</w:t>
            </w:r>
          </w:p>
        </w:tc>
        <w:tc>
          <w:tcPr>
            <w:tcW w:w="1254" w:type="dxa"/>
            <w:tcBorders>
              <w:top w:val="nil"/>
              <w:left w:val="nil"/>
              <w:bottom w:val="single" w:sz="4" w:space="0" w:color="auto"/>
              <w:right w:val="single" w:sz="4" w:space="0" w:color="auto"/>
            </w:tcBorders>
            <w:shd w:val="clear" w:color="auto" w:fill="auto"/>
            <w:vAlign w:val="center"/>
          </w:tcPr>
          <w:p w:rsidR="00534776" w:rsidRPr="00C65CAA" w:rsidRDefault="00534776" w:rsidP="00011F12">
            <w:pPr>
              <w:jc w:val="right"/>
              <w:rPr>
                <w:rFonts w:ascii="Arial Narrow" w:hAnsi="Arial Narrow"/>
                <w:b/>
                <w:sz w:val="20"/>
                <w:szCs w:val="20"/>
                <w:lang w:eastAsia="en-US"/>
              </w:rPr>
            </w:pPr>
            <w:r w:rsidRPr="00C65CAA">
              <w:rPr>
                <w:rFonts w:ascii="Arial Narrow" w:hAnsi="Arial Narrow"/>
                <w:b/>
                <w:sz w:val="20"/>
                <w:szCs w:val="20"/>
                <w:lang w:eastAsia="en-US"/>
              </w:rPr>
              <w:t>426,3</w:t>
            </w:r>
          </w:p>
        </w:tc>
        <w:tc>
          <w:tcPr>
            <w:tcW w:w="1254" w:type="dxa"/>
            <w:tcBorders>
              <w:top w:val="nil"/>
              <w:left w:val="nil"/>
              <w:bottom w:val="single" w:sz="4" w:space="0" w:color="auto"/>
              <w:right w:val="single" w:sz="4" w:space="0" w:color="auto"/>
            </w:tcBorders>
            <w:shd w:val="clear" w:color="auto" w:fill="auto"/>
            <w:vAlign w:val="center"/>
          </w:tcPr>
          <w:p w:rsidR="00534776" w:rsidRPr="00C65CAA" w:rsidRDefault="00534776" w:rsidP="00011F12">
            <w:pPr>
              <w:jc w:val="right"/>
              <w:rPr>
                <w:rFonts w:ascii="Arial Narrow" w:hAnsi="Arial Narrow"/>
                <w:b/>
                <w:sz w:val="20"/>
                <w:szCs w:val="20"/>
                <w:lang w:eastAsia="en-US"/>
              </w:rPr>
            </w:pPr>
            <w:r w:rsidRPr="00C65CAA">
              <w:rPr>
                <w:rFonts w:ascii="Arial Narrow" w:hAnsi="Arial Narrow"/>
                <w:b/>
                <w:sz w:val="20"/>
                <w:szCs w:val="20"/>
                <w:lang w:eastAsia="en-US"/>
              </w:rPr>
              <w:t>812,9</w:t>
            </w:r>
          </w:p>
        </w:tc>
        <w:tc>
          <w:tcPr>
            <w:tcW w:w="1254" w:type="dxa"/>
            <w:tcBorders>
              <w:top w:val="nil"/>
              <w:left w:val="nil"/>
              <w:bottom w:val="single" w:sz="4" w:space="0" w:color="auto"/>
              <w:right w:val="single" w:sz="4" w:space="0" w:color="auto"/>
            </w:tcBorders>
            <w:shd w:val="clear" w:color="auto" w:fill="auto"/>
            <w:vAlign w:val="center"/>
          </w:tcPr>
          <w:p w:rsidR="00534776" w:rsidRPr="00C65CAA" w:rsidRDefault="00534776" w:rsidP="00011F12">
            <w:pPr>
              <w:jc w:val="right"/>
              <w:rPr>
                <w:rFonts w:ascii="Arial Narrow" w:hAnsi="Arial Narrow"/>
                <w:b/>
                <w:sz w:val="20"/>
                <w:szCs w:val="20"/>
                <w:lang w:eastAsia="en-US"/>
              </w:rPr>
            </w:pPr>
            <w:r w:rsidRPr="00C65CAA">
              <w:rPr>
                <w:rFonts w:ascii="Arial Narrow" w:hAnsi="Arial Narrow"/>
                <w:b/>
                <w:sz w:val="20"/>
                <w:szCs w:val="20"/>
                <w:lang w:eastAsia="en-US"/>
              </w:rPr>
              <w:t>988,4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b/>
                <w:sz w:val="20"/>
                <w:szCs w:val="20"/>
                <w:lang w:eastAsia="en-US"/>
              </w:rPr>
            </w:pPr>
            <w:r w:rsidRPr="00C65CAA">
              <w:rPr>
                <w:rFonts w:ascii="Arial Narrow" w:hAnsi="Arial Narrow"/>
                <w:b/>
                <w:sz w:val="20"/>
                <w:szCs w:val="20"/>
                <w:lang w:eastAsia="en-US"/>
              </w:rPr>
              <w:t>175,5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b/>
                <w:sz w:val="20"/>
                <w:szCs w:val="20"/>
                <w:lang w:eastAsia="en-US"/>
              </w:rPr>
            </w:pPr>
            <w:r w:rsidRPr="00C65CAA">
              <w:rPr>
                <w:rFonts w:ascii="Arial Narrow" w:hAnsi="Arial Narrow"/>
                <w:b/>
                <w:sz w:val="20"/>
                <w:szCs w:val="20"/>
                <w:lang w:eastAsia="en-US"/>
              </w:rPr>
              <w:t>121,6</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sz w:val="20"/>
                <w:szCs w:val="20"/>
                <w:lang w:eastAsia="en-US"/>
              </w:rPr>
            </w:pPr>
            <w:r w:rsidRPr="00C65CAA">
              <w:rPr>
                <w:rFonts w:ascii="Arial Narrow" w:hAnsi="Arial Narrow"/>
                <w:sz w:val="20"/>
                <w:szCs w:val="20"/>
                <w:lang w:eastAsia="en-US"/>
              </w:rPr>
              <w:t xml:space="preserve">Obce </w:t>
            </w:r>
          </w:p>
        </w:tc>
        <w:tc>
          <w:tcPr>
            <w:tcW w:w="1254" w:type="dxa"/>
            <w:tcBorders>
              <w:top w:val="nil"/>
              <w:left w:val="nil"/>
              <w:bottom w:val="single" w:sz="4" w:space="0" w:color="auto"/>
              <w:right w:val="single" w:sz="4" w:space="0" w:color="auto"/>
            </w:tcBorders>
            <w:shd w:val="clear" w:color="000000" w:fill="FFFFFF"/>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-7,7</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170,1</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234,5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64,4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137,9</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sz w:val="20"/>
                <w:szCs w:val="20"/>
                <w:lang w:eastAsia="en-US"/>
              </w:rPr>
            </w:pPr>
            <w:r w:rsidRPr="00C65CAA">
              <w:rPr>
                <w:rFonts w:ascii="Arial Narrow" w:hAnsi="Arial Narrow"/>
                <w:sz w:val="20"/>
                <w:szCs w:val="20"/>
                <w:lang w:eastAsia="en-US"/>
              </w:rPr>
              <w:t xml:space="preserve">Dopravné podniky miest Bratislava, Žilina, Košice, Prešov </w:t>
            </w:r>
          </w:p>
        </w:tc>
        <w:tc>
          <w:tcPr>
            <w:tcW w:w="1254" w:type="dxa"/>
            <w:tcBorders>
              <w:top w:val="nil"/>
              <w:left w:val="nil"/>
              <w:bottom w:val="single" w:sz="4" w:space="0" w:color="auto"/>
              <w:right w:val="single" w:sz="4" w:space="0" w:color="auto"/>
            </w:tcBorders>
            <w:shd w:val="clear" w:color="000000" w:fill="FFFFFF"/>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8,5</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9,3</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11,8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126,9</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sz w:val="20"/>
                <w:szCs w:val="20"/>
                <w:lang w:eastAsia="en-US"/>
              </w:rPr>
            </w:pPr>
            <w:r w:rsidRPr="00C65CAA">
              <w:rPr>
                <w:rFonts w:ascii="Arial Narrow" w:hAnsi="Arial Narrow"/>
                <w:sz w:val="20"/>
                <w:szCs w:val="20"/>
                <w:lang w:eastAsia="en-US"/>
              </w:rPr>
              <w:t>Vyššie územné celky</w:t>
            </w:r>
          </w:p>
        </w:tc>
        <w:tc>
          <w:tcPr>
            <w:tcW w:w="1254" w:type="dxa"/>
            <w:tcBorders>
              <w:top w:val="nil"/>
              <w:left w:val="nil"/>
              <w:bottom w:val="single" w:sz="4" w:space="0" w:color="auto"/>
              <w:right w:val="single" w:sz="4" w:space="0" w:color="auto"/>
            </w:tcBorders>
            <w:shd w:val="clear" w:color="000000" w:fill="FFFFFF"/>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-15,7</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90,1</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122,1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32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135,5</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sz w:val="20"/>
                <w:szCs w:val="20"/>
                <w:lang w:eastAsia="en-US"/>
              </w:rPr>
            </w:pPr>
            <w:r w:rsidRPr="00C65CAA">
              <w:rPr>
                <w:rFonts w:ascii="Arial Narrow" w:hAnsi="Arial Narrow"/>
                <w:sz w:val="20"/>
                <w:szCs w:val="20"/>
                <w:lang w:eastAsia="en-US"/>
              </w:rPr>
              <w:t xml:space="preserve">Sociálna poisťovňa </w:t>
            </w:r>
          </w:p>
        </w:tc>
        <w:tc>
          <w:tcPr>
            <w:tcW w:w="1254" w:type="dxa"/>
            <w:tcBorders>
              <w:top w:val="nil"/>
              <w:left w:val="nil"/>
              <w:bottom w:val="single" w:sz="4" w:space="0" w:color="auto"/>
              <w:right w:val="single" w:sz="4" w:space="0" w:color="auto"/>
            </w:tcBorders>
            <w:shd w:val="clear" w:color="000000" w:fill="FFFFFF"/>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75,9</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40,9</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64,9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158,7</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sz w:val="20"/>
                <w:szCs w:val="20"/>
                <w:lang w:eastAsia="en-US"/>
              </w:rPr>
            </w:pPr>
            <w:r w:rsidRPr="00C65CAA">
              <w:rPr>
                <w:rFonts w:ascii="Arial Narrow" w:hAnsi="Arial Narrow"/>
                <w:sz w:val="20"/>
                <w:szCs w:val="20"/>
                <w:lang w:eastAsia="en-US"/>
              </w:rPr>
              <w:t>Verejné zdravotné poistenie</w:t>
            </w:r>
          </w:p>
        </w:tc>
        <w:tc>
          <w:tcPr>
            <w:tcW w:w="1254" w:type="dxa"/>
            <w:tcBorders>
              <w:top w:val="nil"/>
              <w:left w:val="nil"/>
              <w:bottom w:val="single" w:sz="4" w:space="0" w:color="auto"/>
              <w:right w:val="single" w:sz="4" w:space="0" w:color="auto"/>
            </w:tcBorders>
            <w:shd w:val="clear" w:color="000000" w:fill="FFFFFF"/>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167,0</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130,0</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135,0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103,9</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sz w:val="20"/>
                <w:szCs w:val="20"/>
                <w:lang w:eastAsia="en-US"/>
              </w:rPr>
            </w:pPr>
            <w:r w:rsidRPr="00C65CAA">
              <w:rPr>
                <w:rFonts w:ascii="Arial Narrow" w:hAnsi="Arial Narrow"/>
                <w:sz w:val="20"/>
                <w:szCs w:val="20"/>
                <w:lang w:eastAsia="en-US"/>
              </w:rPr>
              <w:t xml:space="preserve">Národný jadrový fond </w:t>
            </w:r>
          </w:p>
        </w:tc>
        <w:tc>
          <w:tcPr>
            <w:tcW w:w="1254" w:type="dxa"/>
            <w:tcBorders>
              <w:top w:val="nil"/>
              <w:left w:val="nil"/>
              <w:bottom w:val="single" w:sz="4" w:space="0" w:color="auto"/>
              <w:right w:val="single" w:sz="4" w:space="0" w:color="auto"/>
            </w:tcBorders>
            <w:shd w:val="clear" w:color="000000" w:fill="FFFFFF"/>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92,3</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122,5</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145,6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23,1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118,9</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sz w:val="20"/>
                <w:szCs w:val="20"/>
                <w:lang w:eastAsia="en-US"/>
              </w:rPr>
            </w:pPr>
            <w:r w:rsidRPr="00C65CAA">
              <w:rPr>
                <w:rFonts w:ascii="Arial Narrow" w:hAnsi="Arial Narrow"/>
                <w:sz w:val="20"/>
                <w:szCs w:val="20"/>
                <w:lang w:eastAsia="en-US"/>
              </w:rPr>
              <w:t>MH Manažment, a. s.</w:t>
            </w:r>
          </w:p>
        </w:tc>
        <w:tc>
          <w:tcPr>
            <w:tcW w:w="1254" w:type="dxa"/>
            <w:tcBorders>
              <w:top w:val="nil"/>
              <w:left w:val="nil"/>
              <w:bottom w:val="single" w:sz="4" w:space="0" w:color="auto"/>
              <w:right w:val="single" w:sz="4" w:space="0" w:color="auto"/>
            </w:tcBorders>
            <w:shd w:val="clear" w:color="000000" w:fill="FFFFFF"/>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-27,6</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-4,0</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50,0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sz w:val="20"/>
                <w:szCs w:val="20"/>
                <w:lang w:eastAsia="en-US"/>
              </w:rPr>
            </w:pPr>
            <w:r w:rsidRPr="00C65CAA">
              <w:rPr>
                <w:rFonts w:ascii="Arial Narrow" w:hAnsi="Arial Narrow"/>
                <w:sz w:val="20"/>
                <w:szCs w:val="20"/>
                <w:lang w:eastAsia="en-US"/>
              </w:rPr>
              <w:t xml:space="preserve">Environmentálny fond </w:t>
            </w:r>
          </w:p>
        </w:tc>
        <w:tc>
          <w:tcPr>
            <w:tcW w:w="1254" w:type="dxa"/>
            <w:tcBorders>
              <w:top w:val="nil"/>
              <w:left w:val="nil"/>
              <w:bottom w:val="single" w:sz="4" w:space="0" w:color="auto"/>
              <w:right w:val="single" w:sz="4" w:space="0" w:color="auto"/>
            </w:tcBorders>
            <w:shd w:val="clear" w:color="000000" w:fill="FFFFFF"/>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48,9</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130,0</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123,4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-6,6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94,9</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sz w:val="20"/>
                <w:szCs w:val="20"/>
                <w:lang w:eastAsia="en-US"/>
              </w:rPr>
            </w:pPr>
            <w:r w:rsidRPr="00C65CAA">
              <w:rPr>
                <w:rFonts w:ascii="Arial Narrow" w:hAnsi="Arial Narrow"/>
                <w:sz w:val="20"/>
                <w:szCs w:val="20"/>
                <w:lang w:eastAsia="en-US"/>
              </w:rPr>
              <w:t>Štátny fond rozvoja bývania</w:t>
            </w:r>
          </w:p>
        </w:tc>
        <w:tc>
          <w:tcPr>
            <w:tcW w:w="1254" w:type="dxa"/>
            <w:tcBorders>
              <w:top w:val="nil"/>
              <w:left w:val="nil"/>
              <w:bottom w:val="single" w:sz="4" w:space="0" w:color="auto"/>
              <w:right w:val="single" w:sz="4" w:space="0" w:color="auto"/>
            </w:tcBorders>
            <w:shd w:val="clear" w:color="000000" w:fill="FFFFFF"/>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52,9</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45,3</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45,8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101,1</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sz w:val="20"/>
                <w:szCs w:val="20"/>
                <w:lang w:eastAsia="en-US"/>
              </w:rPr>
            </w:pPr>
            <w:r w:rsidRPr="00C65CAA">
              <w:rPr>
                <w:rFonts w:ascii="Arial Narrow" w:hAnsi="Arial Narrow"/>
                <w:sz w:val="20"/>
                <w:szCs w:val="20"/>
                <w:lang w:eastAsia="en-US"/>
              </w:rPr>
              <w:t>Úrad pre dohľad nad ZS</w:t>
            </w:r>
          </w:p>
        </w:tc>
        <w:tc>
          <w:tcPr>
            <w:tcW w:w="1254" w:type="dxa"/>
            <w:tcBorders>
              <w:top w:val="nil"/>
              <w:left w:val="nil"/>
              <w:bottom w:val="single" w:sz="4" w:space="0" w:color="auto"/>
              <w:right w:val="single" w:sz="4" w:space="0" w:color="auto"/>
            </w:tcBorders>
            <w:shd w:val="clear" w:color="000000" w:fill="FFFFFF"/>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0,2</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sz w:val="20"/>
                <w:szCs w:val="20"/>
                <w:lang w:eastAsia="en-US"/>
              </w:rPr>
            </w:pPr>
            <w:r w:rsidRPr="00C65CAA">
              <w:rPr>
                <w:rFonts w:ascii="Arial Narrow" w:hAnsi="Arial Narrow"/>
                <w:sz w:val="20"/>
                <w:szCs w:val="20"/>
                <w:lang w:eastAsia="en-US"/>
              </w:rPr>
              <w:t>Slovenský pozemkový fond</w:t>
            </w:r>
          </w:p>
        </w:tc>
        <w:tc>
          <w:tcPr>
            <w:tcW w:w="1254" w:type="dxa"/>
            <w:tcBorders>
              <w:top w:val="nil"/>
              <w:left w:val="nil"/>
              <w:bottom w:val="single" w:sz="4" w:space="0" w:color="auto"/>
              <w:right w:val="single" w:sz="4" w:space="0" w:color="auto"/>
            </w:tcBorders>
            <w:shd w:val="clear" w:color="000000" w:fill="FFFFFF"/>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19,9</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8,4</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8,5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101,2</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sz w:val="20"/>
                <w:szCs w:val="20"/>
                <w:lang w:eastAsia="en-US"/>
              </w:rPr>
            </w:pPr>
            <w:r w:rsidRPr="00C65CAA">
              <w:rPr>
                <w:rFonts w:ascii="Arial Narrow" w:hAnsi="Arial Narrow"/>
                <w:sz w:val="20"/>
                <w:szCs w:val="20"/>
                <w:lang w:eastAsia="en-US"/>
              </w:rPr>
              <w:t>Slovenská konsolidačná, a. s.</w:t>
            </w:r>
          </w:p>
        </w:tc>
        <w:tc>
          <w:tcPr>
            <w:tcW w:w="1254" w:type="dxa"/>
            <w:tcBorders>
              <w:top w:val="nil"/>
              <w:left w:val="nil"/>
              <w:bottom w:val="single" w:sz="4" w:space="0" w:color="auto"/>
              <w:right w:val="single" w:sz="4" w:space="0" w:color="auto"/>
            </w:tcBorders>
            <w:shd w:val="clear" w:color="000000" w:fill="FFFFFF"/>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0,0</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sz w:val="20"/>
                <w:szCs w:val="20"/>
                <w:lang w:eastAsia="en-US"/>
              </w:rPr>
            </w:pPr>
            <w:r w:rsidRPr="00C65CAA">
              <w:rPr>
                <w:rFonts w:ascii="Arial Narrow" w:hAnsi="Arial Narrow"/>
                <w:sz w:val="20"/>
                <w:szCs w:val="20"/>
                <w:lang w:eastAsia="en-US"/>
              </w:rPr>
              <w:t>Verejné vysoké školy</w:t>
            </w:r>
          </w:p>
        </w:tc>
        <w:tc>
          <w:tcPr>
            <w:tcW w:w="1254" w:type="dxa"/>
            <w:tcBorders>
              <w:top w:val="nil"/>
              <w:left w:val="nil"/>
              <w:bottom w:val="single" w:sz="4" w:space="0" w:color="auto"/>
              <w:right w:val="single" w:sz="4" w:space="0" w:color="auto"/>
            </w:tcBorders>
            <w:shd w:val="clear" w:color="000000" w:fill="FFFFFF"/>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20,3</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0,2</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sz w:val="20"/>
                <w:szCs w:val="20"/>
                <w:lang w:eastAsia="en-US"/>
              </w:rPr>
            </w:pPr>
            <w:r w:rsidRPr="00C65CAA">
              <w:rPr>
                <w:rFonts w:ascii="Arial Narrow" w:hAnsi="Arial Narrow"/>
                <w:sz w:val="20"/>
                <w:szCs w:val="20"/>
                <w:lang w:eastAsia="en-US"/>
              </w:rPr>
              <w:t>Rozhlas a televízia Slovenska</w:t>
            </w:r>
          </w:p>
        </w:tc>
        <w:tc>
          <w:tcPr>
            <w:tcW w:w="1254" w:type="dxa"/>
            <w:tcBorders>
              <w:top w:val="nil"/>
              <w:left w:val="nil"/>
              <w:bottom w:val="single" w:sz="4" w:space="0" w:color="auto"/>
              <w:right w:val="single" w:sz="4" w:space="0" w:color="auto"/>
            </w:tcBorders>
            <w:shd w:val="clear" w:color="000000" w:fill="FFFFFF"/>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0,5</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0,1</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sz w:val="20"/>
                <w:szCs w:val="20"/>
                <w:lang w:eastAsia="en-US"/>
              </w:rPr>
            </w:pPr>
            <w:r w:rsidRPr="00C65CAA">
              <w:rPr>
                <w:rFonts w:ascii="Arial Narrow" w:hAnsi="Arial Narrow"/>
                <w:sz w:val="20"/>
                <w:szCs w:val="20"/>
                <w:lang w:eastAsia="en-US"/>
              </w:rPr>
              <w:t>TASR</w:t>
            </w:r>
          </w:p>
        </w:tc>
        <w:tc>
          <w:tcPr>
            <w:tcW w:w="1254" w:type="dxa"/>
            <w:tcBorders>
              <w:top w:val="nil"/>
              <w:left w:val="nil"/>
              <w:bottom w:val="single" w:sz="4" w:space="0" w:color="auto"/>
              <w:right w:val="single" w:sz="4" w:space="0" w:color="auto"/>
            </w:tcBorders>
            <w:shd w:val="clear" w:color="000000" w:fill="FFFFFF"/>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0,5</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0,0</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sz w:val="20"/>
                <w:szCs w:val="20"/>
                <w:lang w:eastAsia="en-US"/>
              </w:rPr>
            </w:pPr>
            <w:r w:rsidRPr="00C65CAA">
              <w:rPr>
                <w:rFonts w:ascii="Arial Narrow" w:hAnsi="Arial Narrow"/>
                <w:sz w:val="20"/>
                <w:szCs w:val="20"/>
                <w:lang w:eastAsia="en-US"/>
              </w:rPr>
              <w:t>Úrad pre dohľad nad výkonom auditu</w:t>
            </w:r>
          </w:p>
        </w:tc>
        <w:tc>
          <w:tcPr>
            <w:tcW w:w="1254" w:type="dxa"/>
            <w:tcBorders>
              <w:top w:val="nil"/>
              <w:left w:val="nil"/>
              <w:bottom w:val="single" w:sz="4" w:space="0" w:color="auto"/>
              <w:right w:val="single" w:sz="4" w:space="0" w:color="auto"/>
            </w:tcBorders>
            <w:shd w:val="clear" w:color="000000" w:fill="FFFFFF"/>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0,4</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-0,1</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sz w:val="20"/>
                <w:szCs w:val="20"/>
                <w:lang w:eastAsia="en-US"/>
              </w:rPr>
            </w:pPr>
            <w:r w:rsidRPr="00C65CAA">
              <w:rPr>
                <w:rFonts w:ascii="Arial Narrow" w:hAnsi="Arial Narrow"/>
                <w:sz w:val="20"/>
                <w:szCs w:val="20"/>
                <w:lang w:eastAsia="en-US"/>
              </w:rPr>
              <w:t xml:space="preserve">Audiovizuálny fond </w:t>
            </w:r>
          </w:p>
        </w:tc>
        <w:tc>
          <w:tcPr>
            <w:tcW w:w="1254" w:type="dxa"/>
            <w:tcBorders>
              <w:top w:val="nil"/>
              <w:left w:val="nil"/>
              <w:bottom w:val="single" w:sz="4" w:space="0" w:color="auto"/>
              <w:right w:val="single" w:sz="4" w:space="0" w:color="auto"/>
            </w:tcBorders>
            <w:shd w:val="clear" w:color="000000" w:fill="FFFFFF"/>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2,6</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0,0</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sz w:val="20"/>
                <w:szCs w:val="20"/>
                <w:lang w:eastAsia="en-US"/>
              </w:rPr>
            </w:pPr>
            <w:r w:rsidRPr="00C65CAA">
              <w:rPr>
                <w:rFonts w:ascii="Arial Narrow" w:hAnsi="Arial Narrow"/>
                <w:sz w:val="20"/>
                <w:szCs w:val="20"/>
                <w:lang w:eastAsia="en-US"/>
              </w:rPr>
              <w:t>Kancelária Rady pre rozpočtovú zodpovednosť</w:t>
            </w:r>
          </w:p>
        </w:tc>
        <w:tc>
          <w:tcPr>
            <w:tcW w:w="1254" w:type="dxa"/>
            <w:tcBorders>
              <w:top w:val="nil"/>
              <w:left w:val="nil"/>
              <w:bottom w:val="single" w:sz="4" w:space="0" w:color="auto"/>
              <w:right w:val="single" w:sz="4" w:space="0" w:color="auto"/>
            </w:tcBorders>
            <w:shd w:val="clear" w:color="000000" w:fill="FFFFFF"/>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0,0</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-0,1</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sz w:val="20"/>
                <w:szCs w:val="20"/>
                <w:lang w:eastAsia="en-US"/>
              </w:rPr>
            </w:pPr>
            <w:r w:rsidRPr="00C65CAA">
              <w:rPr>
                <w:rFonts w:ascii="Arial Narrow" w:hAnsi="Arial Narrow"/>
                <w:sz w:val="20"/>
                <w:szCs w:val="20"/>
                <w:lang w:eastAsia="en-US"/>
              </w:rPr>
              <w:t>Železnice SR</w:t>
            </w:r>
          </w:p>
        </w:tc>
        <w:tc>
          <w:tcPr>
            <w:tcW w:w="1254" w:type="dxa"/>
            <w:tcBorders>
              <w:top w:val="nil"/>
              <w:left w:val="nil"/>
              <w:bottom w:val="single" w:sz="4" w:space="0" w:color="auto"/>
              <w:right w:val="single" w:sz="4" w:space="0" w:color="auto"/>
            </w:tcBorders>
            <w:shd w:val="clear" w:color="000000" w:fill="FFFFFF"/>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-94,8</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0,0</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sz w:val="20"/>
                <w:szCs w:val="20"/>
                <w:lang w:eastAsia="en-US"/>
              </w:rPr>
            </w:pPr>
            <w:r w:rsidRPr="00C65CAA">
              <w:rPr>
                <w:rFonts w:ascii="Arial Narrow" w:hAnsi="Arial Narrow"/>
                <w:sz w:val="20"/>
                <w:szCs w:val="20"/>
                <w:lang w:eastAsia="en-US"/>
              </w:rPr>
              <w:t>Železničná spoločnosť SR</w:t>
            </w:r>
          </w:p>
        </w:tc>
        <w:tc>
          <w:tcPr>
            <w:tcW w:w="1254" w:type="dxa"/>
            <w:tcBorders>
              <w:top w:val="nil"/>
              <w:left w:val="nil"/>
              <w:bottom w:val="single" w:sz="4" w:space="0" w:color="auto"/>
              <w:right w:val="single" w:sz="4" w:space="0" w:color="auto"/>
            </w:tcBorders>
            <w:shd w:val="clear" w:color="000000" w:fill="FFFFFF"/>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7,3</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-6,7</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7,1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105,8</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ind w:right="-109"/>
              <w:rPr>
                <w:rFonts w:ascii="Arial Narrow" w:hAnsi="Arial Narrow"/>
                <w:sz w:val="20"/>
                <w:szCs w:val="20"/>
                <w:lang w:eastAsia="en-US"/>
              </w:rPr>
            </w:pPr>
            <w:r w:rsidRPr="00C65CAA">
              <w:rPr>
                <w:rFonts w:ascii="Arial Narrow" w:hAnsi="Arial Narrow"/>
                <w:sz w:val="20"/>
                <w:szCs w:val="20"/>
                <w:lang w:eastAsia="en-US"/>
              </w:rPr>
              <w:t>Národná diaľničná spoločnosť, a.s.</w:t>
            </w:r>
          </w:p>
        </w:tc>
        <w:tc>
          <w:tcPr>
            <w:tcW w:w="1254" w:type="dxa"/>
            <w:tcBorders>
              <w:top w:val="nil"/>
              <w:left w:val="nil"/>
              <w:bottom w:val="single" w:sz="4" w:space="0" w:color="auto"/>
              <w:right w:val="single" w:sz="4" w:space="0" w:color="auto"/>
            </w:tcBorders>
            <w:shd w:val="clear" w:color="000000" w:fill="FFFFFF"/>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-35,1</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37,0</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37,0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sz w:val="20"/>
                <w:szCs w:val="20"/>
                <w:lang w:eastAsia="en-US"/>
              </w:rPr>
            </w:pPr>
            <w:r w:rsidRPr="00C65CAA">
              <w:rPr>
                <w:rFonts w:ascii="Arial Narrow" w:hAnsi="Arial Narrow"/>
                <w:sz w:val="20"/>
                <w:szCs w:val="20"/>
                <w:lang w:eastAsia="en-US"/>
              </w:rPr>
              <w:t>Agentúra pre núdzové zásoby ropy a ropných výrobkov</w:t>
            </w:r>
          </w:p>
        </w:tc>
        <w:tc>
          <w:tcPr>
            <w:tcW w:w="1254" w:type="dxa"/>
            <w:tcBorders>
              <w:top w:val="nil"/>
              <w:left w:val="nil"/>
              <w:bottom w:val="single" w:sz="4" w:space="0" w:color="auto"/>
              <w:right w:val="single" w:sz="4" w:space="0" w:color="auto"/>
            </w:tcBorders>
            <w:shd w:val="clear" w:color="000000" w:fill="FFFFFF"/>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54,4</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71,1</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64,7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-6,4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91,0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sz w:val="20"/>
                <w:szCs w:val="20"/>
                <w:lang w:eastAsia="en-US"/>
              </w:rPr>
            </w:pPr>
            <w:r w:rsidRPr="00C65CAA">
              <w:rPr>
                <w:rFonts w:ascii="Arial Narrow" w:hAnsi="Arial Narrow"/>
                <w:sz w:val="20"/>
                <w:szCs w:val="20"/>
                <w:lang w:eastAsia="en-US"/>
              </w:rPr>
              <w:t>Fond na podporu vzdelávania</w:t>
            </w:r>
          </w:p>
        </w:tc>
        <w:tc>
          <w:tcPr>
            <w:tcW w:w="1254" w:type="dxa"/>
            <w:tcBorders>
              <w:top w:val="nil"/>
              <w:left w:val="nil"/>
              <w:bottom w:val="single" w:sz="4" w:space="0" w:color="auto"/>
              <w:right w:val="single" w:sz="4" w:space="0" w:color="auto"/>
            </w:tcBorders>
            <w:shd w:val="clear" w:color="000000" w:fill="FFFFFF"/>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0,5</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0,2</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sz w:val="20"/>
                <w:szCs w:val="20"/>
                <w:lang w:eastAsia="en-US"/>
              </w:rPr>
            </w:pPr>
            <w:r w:rsidRPr="00C65CAA">
              <w:rPr>
                <w:rFonts w:ascii="Arial Narrow" w:hAnsi="Arial Narrow"/>
                <w:sz w:val="20"/>
                <w:szCs w:val="20"/>
                <w:lang w:eastAsia="en-US"/>
              </w:rPr>
              <w:t>Fond na podporu umenia</w:t>
            </w:r>
          </w:p>
        </w:tc>
        <w:tc>
          <w:tcPr>
            <w:tcW w:w="1254" w:type="dxa"/>
            <w:tcBorders>
              <w:top w:val="nil"/>
              <w:left w:val="nil"/>
              <w:bottom w:val="single" w:sz="4" w:space="0" w:color="auto"/>
              <w:right w:val="single" w:sz="4" w:space="0" w:color="auto"/>
            </w:tcBorders>
            <w:shd w:val="clear" w:color="000000" w:fill="FFFFFF"/>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0,1</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0,0</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sz w:val="20"/>
                <w:szCs w:val="20"/>
                <w:lang w:eastAsia="en-US"/>
              </w:rPr>
            </w:pPr>
            <w:r w:rsidRPr="00C65CAA">
              <w:rPr>
                <w:rFonts w:ascii="Arial Narrow" w:hAnsi="Arial Narrow"/>
                <w:sz w:val="20"/>
                <w:szCs w:val="20"/>
                <w:lang w:eastAsia="en-US"/>
              </w:rPr>
              <w:t>Eximbanka SR</w:t>
            </w:r>
          </w:p>
        </w:tc>
        <w:tc>
          <w:tcPr>
            <w:tcW w:w="1254" w:type="dxa"/>
            <w:tcBorders>
              <w:top w:val="nil"/>
              <w:left w:val="nil"/>
              <w:bottom w:val="single" w:sz="4" w:space="0" w:color="auto"/>
              <w:right w:val="single" w:sz="4" w:space="0" w:color="auto"/>
            </w:tcBorders>
            <w:shd w:val="clear" w:color="000000" w:fill="FFFFFF"/>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0,6</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0,1</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800,0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sz w:val="20"/>
                <w:szCs w:val="20"/>
                <w:lang w:eastAsia="en-US"/>
              </w:rPr>
            </w:pPr>
            <w:r w:rsidRPr="00C65CAA">
              <w:rPr>
                <w:rFonts w:ascii="Arial Narrow" w:hAnsi="Arial Narrow"/>
                <w:sz w:val="20"/>
                <w:szCs w:val="20"/>
                <w:lang w:eastAsia="en-US"/>
              </w:rPr>
              <w:t>Zdravotnícke zariadenia</w:t>
            </w:r>
          </w:p>
        </w:tc>
        <w:tc>
          <w:tcPr>
            <w:tcW w:w="1254" w:type="dxa"/>
            <w:tcBorders>
              <w:top w:val="nil"/>
              <w:left w:val="nil"/>
              <w:bottom w:val="single" w:sz="4" w:space="0" w:color="auto"/>
              <w:right w:val="single" w:sz="4" w:space="0" w:color="auto"/>
            </w:tcBorders>
            <w:shd w:val="clear" w:color="000000" w:fill="FFFFFF"/>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-35,9</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-16,6</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15,9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195,8</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sz w:val="20"/>
                <w:szCs w:val="20"/>
                <w:lang w:eastAsia="en-US"/>
              </w:rPr>
            </w:pPr>
            <w:r w:rsidRPr="00C65CAA">
              <w:rPr>
                <w:rFonts w:ascii="Arial Narrow" w:hAnsi="Arial Narrow"/>
                <w:sz w:val="20"/>
                <w:szCs w:val="20"/>
                <w:lang w:eastAsia="en-US"/>
              </w:rPr>
              <w:t>MH Invest, s.r.o.</w:t>
            </w:r>
          </w:p>
        </w:tc>
        <w:tc>
          <w:tcPr>
            <w:tcW w:w="1254" w:type="dxa"/>
            <w:tcBorders>
              <w:top w:val="nil"/>
              <w:left w:val="nil"/>
              <w:bottom w:val="single" w:sz="4" w:space="0" w:color="auto"/>
              <w:right w:val="single" w:sz="4" w:space="0" w:color="auto"/>
            </w:tcBorders>
            <w:shd w:val="clear" w:color="000000" w:fill="FFFFFF"/>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25,3</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-0,2</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150,0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sz w:val="20"/>
                <w:szCs w:val="20"/>
                <w:lang w:eastAsia="en-US"/>
              </w:rPr>
            </w:pPr>
            <w:r w:rsidRPr="00C65CAA">
              <w:rPr>
                <w:rFonts w:ascii="Arial Narrow" w:hAnsi="Arial Narrow"/>
                <w:sz w:val="20"/>
                <w:szCs w:val="20"/>
                <w:lang w:eastAsia="en-US"/>
              </w:rPr>
              <w:t xml:space="preserve">Príspevkové organizácie a iné spolu </w:t>
            </w:r>
          </w:p>
        </w:tc>
        <w:tc>
          <w:tcPr>
            <w:tcW w:w="1254" w:type="dxa"/>
            <w:tcBorders>
              <w:top w:val="nil"/>
              <w:left w:val="nil"/>
              <w:bottom w:val="single" w:sz="4" w:space="0" w:color="auto"/>
              <w:right w:val="single" w:sz="4" w:space="0" w:color="auto"/>
            </w:tcBorders>
            <w:shd w:val="clear" w:color="000000" w:fill="FFFFFF"/>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43,6</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-9,2</w:t>
            </w:r>
          </w:p>
        </w:tc>
        <w:tc>
          <w:tcPr>
            <w:tcW w:w="1254" w:type="dxa"/>
            <w:tcBorders>
              <w:top w:val="nil"/>
              <w:left w:val="nil"/>
              <w:bottom w:val="single" w:sz="4" w:space="0" w:color="auto"/>
              <w:right w:val="single" w:sz="4" w:space="0" w:color="auto"/>
            </w:tcBorders>
            <w:shd w:val="clear" w:color="auto" w:fill="auto"/>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-3,0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6,2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32,6</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rPr>
                <w:rFonts w:ascii="Arial Narrow" w:hAnsi="Arial Narrow"/>
                <w:sz w:val="20"/>
                <w:szCs w:val="20"/>
                <w:lang w:eastAsia="en-US"/>
              </w:rPr>
            </w:pPr>
            <w:r w:rsidRPr="00C65CAA">
              <w:rPr>
                <w:rFonts w:ascii="Arial Narrow" w:hAnsi="Arial Narrow"/>
                <w:sz w:val="20"/>
                <w:szCs w:val="20"/>
                <w:lang w:eastAsia="en-US"/>
              </w:rPr>
              <w:t>JAVYS a.s.</w:t>
            </w:r>
          </w:p>
        </w:tc>
        <w:tc>
          <w:tcPr>
            <w:tcW w:w="1254" w:type="dxa"/>
            <w:tcBorders>
              <w:top w:val="nil"/>
              <w:left w:val="nil"/>
              <w:bottom w:val="single" w:sz="4" w:space="0" w:color="auto"/>
              <w:right w:val="single" w:sz="4" w:space="0" w:color="auto"/>
            </w:tcBorders>
            <w:shd w:val="clear" w:color="000000" w:fill="FFFFFF"/>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7,0</w:t>
            </w:r>
          </w:p>
        </w:tc>
        <w:tc>
          <w:tcPr>
            <w:tcW w:w="1254" w:type="dxa"/>
            <w:tcBorders>
              <w:top w:val="nil"/>
              <w:left w:val="nil"/>
              <w:bottom w:val="single" w:sz="4" w:space="0" w:color="auto"/>
              <w:right w:val="single" w:sz="4" w:space="0" w:color="auto"/>
            </w:tcBorders>
            <w:shd w:val="clear" w:color="auto" w:fill="auto"/>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-5,0</w:t>
            </w:r>
          </w:p>
        </w:tc>
        <w:tc>
          <w:tcPr>
            <w:tcW w:w="1254" w:type="dxa"/>
            <w:tcBorders>
              <w:top w:val="nil"/>
              <w:left w:val="nil"/>
              <w:bottom w:val="single" w:sz="4" w:space="0" w:color="auto"/>
              <w:right w:val="single" w:sz="4" w:space="0" w:color="auto"/>
            </w:tcBorders>
            <w:shd w:val="clear" w:color="auto" w:fill="auto"/>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5,9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118</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rPr>
                <w:rFonts w:ascii="Arial Narrow" w:hAnsi="Arial Narrow"/>
                <w:sz w:val="20"/>
                <w:szCs w:val="20"/>
                <w:lang w:eastAsia="en-US"/>
              </w:rPr>
            </w:pPr>
            <w:r w:rsidRPr="00C65CAA">
              <w:rPr>
                <w:rFonts w:ascii="Arial Narrow" w:hAnsi="Arial Narrow"/>
                <w:sz w:val="20"/>
                <w:szCs w:val="20"/>
                <w:lang w:eastAsia="en-US"/>
              </w:rPr>
              <w:t>MH Invest II, s.r.o.</w:t>
            </w:r>
          </w:p>
        </w:tc>
        <w:tc>
          <w:tcPr>
            <w:tcW w:w="1254" w:type="dxa"/>
            <w:tcBorders>
              <w:top w:val="nil"/>
              <w:left w:val="nil"/>
              <w:bottom w:val="single" w:sz="4" w:space="0" w:color="auto"/>
              <w:right w:val="single" w:sz="4" w:space="0" w:color="auto"/>
            </w:tcBorders>
            <w:shd w:val="clear" w:color="000000" w:fill="FFFFFF"/>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23,4</w:t>
            </w:r>
          </w:p>
        </w:tc>
        <w:tc>
          <w:tcPr>
            <w:tcW w:w="1254" w:type="dxa"/>
            <w:tcBorders>
              <w:top w:val="nil"/>
              <w:left w:val="nil"/>
              <w:bottom w:val="single" w:sz="4" w:space="0" w:color="auto"/>
              <w:right w:val="single" w:sz="4" w:space="0" w:color="auto"/>
            </w:tcBorders>
            <w:shd w:val="clear" w:color="auto" w:fill="auto"/>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-0,7</w:t>
            </w:r>
          </w:p>
        </w:tc>
        <w:tc>
          <w:tcPr>
            <w:tcW w:w="1254" w:type="dxa"/>
            <w:tcBorders>
              <w:top w:val="nil"/>
              <w:left w:val="nil"/>
              <w:bottom w:val="single" w:sz="4" w:space="0" w:color="auto"/>
              <w:right w:val="single" w:sz="4" w:space="0" w:color="auto"/>
            </w:tcBorders>
            <w:shd w:val="clear" w:color="auto" w:fill="auto"/>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85,7</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rPr>
                <w:rFonts w:ascii="Arial Narrow" w:hAnsi="Arial Narrow"/>
                <w:sz w:val="20"/>
                <w:szCs w:val="20"/>
                <w:lang w:eastAsia="en-US"/>
              </w:rPr>
            </w:pPr>
            <w:r w:rsidRPr="00C65CAA">
              <w:rPr>
                <w:rFonts w:ascii="Arial Narrow" w:hAnsi="Arial Narrow"/>
                <w:sz w:val="20"/>
                <w:szCs w:val="20"/>
                <w:lang w:eastAsia="en-US"/>
              </w:rPr>
              <w:t xml:space="preserve">Fond na podporu kultúry národnostných menšín  </w:t>
            </w:r>
          </w:p>
        </w:tc>
        <w:tc>
          <w:tcPr>
            <w:tcW w:w="1254" w:type="dxa"/>
            <w:tcBorders>
              <w:top w:val="nil"/>
              <w:left w:val="nil"/>
              <w:bottom w:val="single" w:sz="4" w:space="0" w:color="auto"/>
              <w:right w:val="single" w:sz="4" w:space="0" w:color="auto"/>
            </w:tcBorders>
            <w:shd w:val="clear" w:color="000000" w:fill="FFFFFF"/>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0,1</w:t>
            </w:r>
          </w:p>
        </w:tc>
        <w:tc>
          <w:tcPr>
            <w:tcW w:w="1254" w:type="dxa"/>
            <w:tcBorders>
              <w:top w:val="nil"/>
              <w:left w:val="nil"/>
              <w:bottom w:val="single" w:sz="4" w:space="0" w:color="auto"/>
              <w:right w:val="single" w:sz="4" w:space="0" w:color="auto"/>
            </w:tcBorders>
            <w:shd w:val="clear" w:color="auto" w:fill="auto"/>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0,0</w:t>
            </w:r>
          </w:p>
        </w:tc>
        <w:tc>
          <w:tcPr>
            <w:tcW w:w="1254" w:type="dxa"/>
            <w:tcBorders>
              <w:top w:val="nil"/>
              <w:left w:val="nil"/>
              <w:bottom w:val="single" w:sz="4" w:space="0" w:color="auto"/>
              <w:right w:val="single" w:sz="4" w:space="0" w:color="auto"/>
            </w:tcBorders>
            <w:shd w:val="clear" w:color="auto" w:fill="auto"/>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0,0</w:t>
            </w:r>
          </w:p>
        </w:tc>
      </w:tr>
    </w:tbl>
    <w:p w:rsidR="00534776" w:rsidRPr="00C65CAA" w:rsidRDefault="00534776" w:rsidP="00011F12">
      <w:pPr>
        <w:spacing w:after="100"/>
        <w:jc w:val="both"/>
        <w:rPr>
          <w:rFonts w:ascii="Arial Narrow" w:eastAsiaTheme="minorEastAsia" w:hAnsi="Arial Narrow"/>
          <w:sz w:val="20"/>
          <w:szCs w:val="20"/>
        </w:rPr>
      </w:pPr>
      <w:r w:rsidRPr="00C65CAA">
        <w:rPr>
          <w:rFonts w:ascii="Arial Narrow" w:eastAsiaTheme="minorEastAsia" w:hAnsi="Arial Narrow"/>
          <w:sz w:val="20"/>
          <w:szCs w:val="20"/>
        </w:rPr>
        <w:t>Zdroj: Návrh RVS na roky 2019 až 2021</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V návrhu súhrnného rozpočtu ostatných subjektov verejnej správy na rok 2019 sa bilančný zostatok medziročne zvyšuje o 175,5 mil. eur.</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V rozpočtovanom prebytkovom hospodárení súhrnného rozpočtu ostatných subjektov vere</w:t>
      </w:r>
      <w:r w:rsidR="00655839" w:rsidRPr="00C65CAA">
        <w:rPr>
          <w:rFonts w:ascii="Arial Narrow" w:eastAsiaTheme="minorHAnsi" w:hAnsi="Arial Narrow" w:cstheme="minorBidi"/>
          <w:sz w:val="22"/>
          <w:szCs w:val="22"/>
          <w:lang w:eastAsia="en-US"/>
        </w:rPr>
        <w:t>jnej správy</w:t>
      </w:r>
      <w:r w:rsidR="000926D3" w:rsidRPr="00C65CAA">
        <w:rPr>
          <w:rFonts w:ascii="Arial Narrow" w:eastAsiaTheme="minorHAnsi" w:hAnsi="Arial Narrow" w:cstheme="minorBidi"/>
          <w:sz w:val="22"/>
          <w:szCs w:val="22"/>
          <w:lang w:eastAsia="en-US"/>
        </w:rPr>
        <w:t>,</w:t>
      </w:r>
      <w:r w:rsidR="00655839" w:rsidRPr="00C65CAA">
        <w:rPr>
          <w:rFonts w:ascii="Arial Narrow" w:eastAsiaTheme="minorHAnsi" w:hAnsi="Arial Narrow" w:cstheme="minorBidi"/>
          <w:sz w:val="22"/>
          <w:szCs w:val="22"/>
          <w:lang w:eastAsia="en-US"/>
        </w:rPr>
        <w:t xml:space="preserve"> na </w:t>
      </w:r>
      <w:r w:rsidRPr="00C65CAA">
        <w:rPr>
          <w:rFonts w:ascii="Arial Narrow" w:eastAsiaTheme="minorHAnsi" w:hAnsi="Arial Narrow" w:cstheme="minorBidi"/>
          <w:sz w:val="22"/>
          <w:szCs w:val="22"/>
          <w:lang w:eastAsia="en-US"/>
        </w:rPr>
        <w:t>akruálnej báze v metodike ESA 2010</w:t>
      </w:r>
      <w:r w:rsidR="000926D3"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sa v roku 2019 najvýznamnejšie premietnu bilanč</w:t>
      </w:r>
      <w:r w:rsidR="00655839" w:rsidRPr="00C65CAA">
        <w:rPr>
          <w:rFonts w:ascii="Arial Narrow" w:eastAsiaTheme="minorHAnsi" w:hAnsi="Arial Narrow" w:cstheme="minorBidi"/>
          <w:sz w:val="22"/>
          <w:szCs w:val="22"/>
          <w:lang w:eastAsia="en-US"/>
        </w:rPr>
        <w:t>né zostatky obcí na </w:t>
      </w:r>
      <w:r w:rsidRPr="00C65CAA">
        <w:rPr>
          <w:rFonts w:ascii="Arial Narrow" w:eastAsiaTheme="minorHAnsi" w:hAnsi="Arial Narrow" w:cstheme="minorBidi"/>
          <w:sz w:val="22"/>
          <w:szCs w:val="22"/>
          <w:lang w:eastAsia="en-US"/>
        </w:rPr>
        <w:t>úrovni 234,5 mil. eur, Národného jadrového fondu na úrovni 145,6 mil. eur, verejného zdr</w:t>
      </w:r>
      <w:r w:rsidR="00655839" w:rsidRPr="00C65CAA">
        <w:rPr>
          <w:rFonts w:ascii="Arial Narrow" w:eastAsiaTheme="minorHAnsi" w:hAnsi="Arial Narrow" w:cstheme="minorBidi"/>
          <w:sz w:val="22"/>
          <w:szCs w:val="22"/>
          <w:lang w:eastAsia="en-US"/>
        </w:rPr>
        <w:t>avotného poistenia na </w:t>
      </w:r>
      <w:r w:rsidRPr="00C65CAA">
        <w:rPr>
          <w:rFonts w:ascii="Arial Narrow" w:eastAsiaTheme="minorHAnsi" w:hAnsi="Arial Narrow" w:cstheme="minorBidi"/>
          <w:sz w:val="22"/>
          <w:szCs w:val="22"/>
          <w:lang w:eastAsia="en-US"/>
        </w:rPr>
        <w:t>úrovni 135 mil. eur, Environmentálneho fondu na úrovni 123,4 mil. eur a vyšších územných celkov na úrovni 122,1 mil. eur.</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Negatívne sa v hospodárení súhrnného rozpočtu ostatných subjektov verejnej správy na akruálnej báze v metodike ESA 2010 premietnu predovšetkým schodkové hospodárenia príspevkových</w:t>
      </w:r>
      <w:r w:rsidR="00BF31E8" w:rsidRPr="00C65CAA">
        <w:rPr>
          <w:rFonts w:ascii="Arial Narrow" w:eastAsiaTheme="minorHAnsi" w:hAnsi="Arial Narrow" w:cstheme="minorBidi"/>
          <w:sz w:val="22"/>
          <w:szCs w:val="22"/>
          <w:lang w:eastAsia="en-US"/>
        </w:rPr>
        <w:t xml:space="preserve"> a iných </w:t>
      </w:r>
      <w:r w:rsidRPr="00C65CAA">
        <w:rPr>
          <w:rFonts w:ascii="Arial Narrow" w:eastAsiaTheme="minorHAnsi" w:hAnsi="Arial Narrow" w:cstheme="minorBidi"/>
          <w:sz w:val="22"/>
          <w:szCs w:val="22"/>
          <w:lang w:eastAsia="en-US"/>
        </w:rPr>
        <w:t xml:space="preserve">organizácií </w:t>
      </w:r>
      <w:r w:rsidR="00BF31E8" w:rsidRPr="00C65CAA">
        <w:rPr>
          <w:rFonts w:ascii="Arial Narrow" w:eastAsiaTheme="minorHAnsi" w:hAnsi="Arial Narrow" w:cstheme="minorBidi"/>
          <w:sz w:val="22"/>
          <w:szCs w:val="22"/>
          <w:lang w:eastAsia="en-US"/>
        </w:rPr>
        <w:lastRenderedPageBreak/>
        <w:t>na </w:t>
      </w:r>
      <w:r w:rsidRPr="00C65CAA">
        <w:rPr>
          <w:rFonts w:ascii="Arial Narrow" w:eastAsiaTheme="minorHAnsi" w:hAnsi="Arial Narrow" w:cstheme="minorBidi"/>
          <w:sz w:val="22"/>
          <w:szCs w:val="22"/>
          <w:lang w:eastAsia="en-US"/>
        </w:rPr>
        <w:t>úrovni 3 mil. eur, spoločnosti MH Manažment</w:t>
      </w:r>
      <w:r w:rsidR="00655839"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a.</w:t>
      </w:r>
      <w:r w:rsidR="00655839" w:rsidRPr="00C65CAA">
        <w:rPr>
          <w:rFonts w:ascii="Arial Narrow" w:eastAsiaTheme="minorHAnsi" w:hAnsi="Arial Narrow" w:cstheme="minorBidi"/>
          <w:sz w:val="22"/>
          <w:szCs w:val="22"/>
          <w:lang w:eastAsia="en-US"/>
        </w:rPr>
        <w:t xml:space="preserve"> </w:t>
      </w:r>
      <w:r w:rsidRPr="00C65CAA">
        <w:rPr>
          <w:rFonts w:ascii="Arial Narrow" w:eastAsiaTheme="minorHAnsi" w:hAnsi="Arial Narrow" w:cstheme="minorBidi"/>
          <w:sz w:val="22"/>
          <w:szCs w:val="22"/>
          <w:lang w:eastAsia="en-US"/>
        </w:rPr>
        <w:t>s.</w:t>
      </w:r>
      <w:r w:rsidR="000926D3"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na úrovni 2 mil. eur</w:t>
      </w:r>
      <w:r w:rsidR="000926D3"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a Slovenskej konsolidačnej</w:t>
      </w:r>
      <w:r w:rsidR="00655839"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a.</w:t>
      </w:r>
      <w:r w:rsidR="00655839" w:rsidRPr="00C65CAA">
        <w:rPr>
          <w:rFonts w:ascii="Arial Narrow" w:eastAsiaTheme="minorHAnsi" w:hAnsi="Arial Narrow" w:cstheme="minorBidi"/>
          <w:sz w:val="22"/>
          <w:szCs w:val="22"/>
          <w:lang w:eastAsia="en-US"/>
        </w:rPr>
        <w:t xml:space="preserve"> </w:t>
      </w:r>
      <w:r w:rsidR="00BF31E8" w:rsidRPr="00C65CAA">
        <w:rPr>
          <w:rFonts w:ascii="Arial Narrow" w:eastAsiaTheme="minorHAnsi" w:hAnsi="Arial Narrow" w:cstheme="minorBidi"/>
          <w:sz w:val="22"/>
          <w:szCs w:val="22"/>
          <w:lang w:eastAsia="en-US"/>
        </w:rPr>
        <w:t>s.</w:t>
      </w:r>
      <w:r w:rsidR="000926D3" w:rsidRPr="00C65CAA">
        <w:rPr>
          <w:rFonts w:ascii="Arial Narrow" w:eastAsiaTheme="minorHAnsi" w:hAnsi="Arial Narrow" w:cstheme="minorBidi"/>
          <w:sz w:val="22"/>
          <w:szCs w:val="22"/>
          <w:lang w:eastAsia="en-US"/>
        </w:rPr>
        <w:t>,</w:t>
      </w:r>
      <w:r w:rsidR="00BF31E8" w:rsidRPr="00C65CAA">
        <w:rPr>
          <w:rFonts w:ascii="Arial Narrow" w:eastAsiaTheme="minorHAnsi" w:hAnsi="Arial Narrow" w:cstheme="minorBidi"/>
          <w:sz w:val="22"/>
          <w:szCs w:val="22"/>
          <w:lang w:eastAsia="en-US"/>
        </w:rPr>
        <w:t xml:space="preserve"> na </w:t>
      </w:r>
      <w:r w:rsidRPr="00C65CAA">
        <w:rPr>
          <w:rFonts w:ascii="Arial Narrow" w:eastAsiaTheme="minorHAnsi" w:hAnsi="Arial Narrow" w:cstheme="minorBidi"/>
          <w:sz w:val="22"/>
          <w:szCs w:val="22"/>
          <w:lang w:eastAsia="en-US"/>
        </w:rPr>
        <w:t>úrovni 1,3 mil. eur.</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Subjekty verejnej správy do návrhov svojich rozpočtov</w:t>
      </w:r>
      <w:r w:rsidR="000926D3"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podľa NKÚ SR</w:t>
      </w:r>
      <w:r w:rsidR="000926D3"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w:t>
      </w:r>
      <w:r w:rsidR="00655839" w:rsidRPr="00C65CAA">
        <w:rPr>
          <w:rFonts w:ascii="Arial Narrow" w:eastAsiaTheme="minorHAnsi" w:hAnsi="Arial Narrow" w:cstheme="minorBidi"/>
          <w:sz w:val="22"/>
          <w:szCs w:val="22"/>
          <w:lang w:eastAsia="en-US"/>
        </w:rPr>
        <w:t>zapracovali svoje požiadavky na </w:t>
      </w:r>
      <w:r w:rsidRPr="00C65CAA">
        <w:rPr>
          <w:rFonts w:ascii="Arial Narrow" w:eastAsiaTheme="minorHAnsi" w:hAnsi="Arial Narrow" w:cstheme="minorBidi"/>
          <w:sz w:val="22"/>
          <w:szCs w:val="22"/>
          <w:lang w:eastAsia="en-US"/>
        </w:rPr>
        <w:t>ŠR v súlade s návrhom RVS na roky 2019 až 2021. Z týchto dôvodov NKÚ SR nemá zásadné pripomienky k výdavkovej stránke súhrnného rozpočtu ostatných subjektov verejnej správy na rok 2019, ktorá by mala pokryť činnosť týchto subjektov.</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Príjmy súhrnného rozpočtu ostatných subjektov verejnej správy na hotovostnej báze sa majú v roku 2019 medziročne zvýšiť o 1 276,6 mil. eur</w:t>
      </w:r>
      <w:r w:rsidR="000926D3" w:rsidRPr="00C65CAA">
        <w:rPr>
          <w:rFonts w:ascii="Arial Narrow" w:eastAsiaTheme="minorHAnsi" w:hAnsi="Arial Narrow" w:cstheme="minorBidi"/>
          <w:sz w:val="22"/>
          <w:szCs w:val="22"/>
          <w:lang w:eastAsia="en-US"/>
        </w:rPr>
        <w:t>, teda</w:t>
      </w:r>
      <w:r w:rsidRPr="00C65CAA">
        <w:rPr>
          <w:rFonts w:ascii="Arial Narrow" w:eastAsiaTheme="minorHAnsi" w:hAnsi="Arial Narrow" w:cstheme="minorBidi"/>
          <w:sz w:val="22"/>
          <w:szCs w:val="22"/>
          <w:lang w:eastAsia="en-US"/>
        </w:rPr>
        <w:t xml:space="preserve"> na úroveň 30 845,5 mil. eur. Najvýznamnejší podiel na celkových príjmoch v roku 2019 majú mať príjmy Sociálnej poisťovne na úrovni 9 009,1 mil. eur, verejného zdravot</w:t>
      </w:r>
      <w:r w:rsidR="00655839" w:rsidRPr="00C65CAA">
        <w:rPr>
          <w:rFonts w:ascii="Arial Narrow" w:eastAsiaTheme="minorHAnsi" w:hAnsi="Arial Narrow" w:cstheme="minorBidi"/>
          <w:sz w:val="22"/>
          <w:szCs w:val="22"/>
          <w:lang w:eastAsia="en-US"/>
        </w:rPr>
        <w:t>ného poistenia na </w:t>
      </w:r>
      <w:r w:rsidRPr="00C65CAA">
        <w:rPr>
          <w:rFonts w:ascii="Arial Narrow" w:eastAsiaTheme="minorHAnsi" w:hAnsi="Arial Narrow" w:cstheme="minorBidi"/>
          <w:sz w:val="22"/>
          <w:szCs w:val="22"/>
          <w:lang w:eastAsia="en-US"/>
        </w:rPr>
        <w:t xml:space="preserve">úrovni 5 454,8 mil. eur a obcí na úrovni 4 743,2 mil. eur. Spolu tieto 3 subjekty tvoria viac ako 62 % všetkých príjmov ostatných subjektov verejnej správy a ich medziročný nárast predstavuje 1 073 mil. eur. </w:t>
      </w:r>
    </w:p>
    <w:p w:rsidR="00D23611"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 xml:space="preserve">Výdavky súhrnného rozpočtu ostatných subjektov verejnej správy na </w:t>
      </w:r>
      <w:r w:rsidR="00655839" w:rsidRPr="00C65CAA">
        <w:rPr>
          <w:rFonts w:ascii="Arial Narrow" w:eastAsiaTheme="minorHAnsi" w:hAnsi="Arial Narrow" w:cstheme="minorBidi"/>
          <w:sz w:val="22"/>
          <w:szCs w:val="22"/>
          <w:lang w:eastAsia="en-US"/>
        </w:rPr>
        <w:t>hotovostnej báze sa majú v roku </w:t>
      </w:r>
      <w:r w:rsidRPr="00C65CAA">
        <w:rPr>
          <w:rFonts w:ascii="Arial Narrow" w:eastAsiaTheme="minorHAnsi" w:hAnsi="Arial Narrow" w:cstheme="minorBidi"/>
          <w:sz w:val="22"/>
          <w:szCs w:val="22"/>
          <w:lang w:eastAsia="en-US"/>
        </w:rPr>
        <w:t>2019 medziročne zvýšiť o 433,8 mil. eur</w:t>
      </w:r>
      <w:r w:rsidR="00C6165F" w:rsidRPr="00C65CAA">
        <w:rPr>
          <w:rFonts w:ascii="Arial Narrow" w:eastAsiaTheme="minorHAnsi" w:hAnsi="Arial Narrow" w:cstheme="minorBidi"/>
          <w:sz w:val="22"/>
          <w:szCs w:val="22"/>
          <w:lang w:eastAsia="en-US"/>
        </w:rPr>
        <w:t>, t. j.</w:t>
      </w:r>
      <w:r w:rsidRPr="00C65CAA">
        <w:rPr>
          <w:rFonts w:ascii="Arial Narrow" w:eastAsiaTheme="minorHAnsi" w:hAnsi="Arial Narrow" w:cstheme="minorBidi"/>
          <w:sz w:val="22"/>
          <w:szCs w:val="22"/>
          <w:lang w:eastAsia="en-US"/>
        </w:rPr>
        <w:t xml:space="preserve"> na úroveň 25 566,9 mil. eur. Najvýraznejšie stúpnu výdavky v Sociálnej poisťovni, vo verejnom zdravotnom poistení a v ŽSR, kde sa očakáva predovšetkým nárast kapitálových výdavkov a výdavkov na splácanie istiny. Naopak, </w:t>
      </w:r>
      <w:r w:rsidR="00C6165F" w:rsidRPr="00C65CAA">
        <w:rPr>
          <w:rFonts w:ascii="Arial Narrow" w:eastAsiaTheme="minorHAnsi" w:hAnsi="Arial Narrow" w:cstheme="minorBidi"/>
          <w:sz w:val="22"/>
          <w:szCs w:val="22"/>
          <w:lang w:eastAsia="en-US"/>
        </w:rPr>
        <w:t>v</w:t>
      </w:r>
      <w:r w:rsidRPr="00C65CAA">
        <w:rPr>
          <w:rFonts w:ascii="Arial Narrow" w:eastAsiaTheme="minorHAnsi" w:hAnsi="Arial Narrow" w:cstheme="minorBidi"/>
          <w:sz w:val="22"/>
          <w:szCs w:val="22"/>
          <w:lang w:eastAsia="en-US"/>
        </w:rPr>
        <w:t xml:space="preserve"> rok</w:t>
      </w:r>
      <w:r w:rsidR="00C6165F" w:rsidRPr="00C65CAA">
        <w:rPr>
          <w:rFonts w:ascii="Arial Narrow" w:eastAsiaTheme="minorHAnsi" w:hAnsi="Arial Narrow" w:cstheme="minorBidi"/>
          <w:sz w:val="22"/>
          <w:szCs w:val="22"/>
          <w:lang w:eastAsia="en-US"/>
        </w:rPr>
        <w:t>u</w:t>
      </w:r>
      <w:r w:rsidRPr="00C65CAA">
        <w:rPr>
          <w:rFonts w:ascii="Arial Narrow" w:eastAsiaTheme="minorHAnsi" w:hAnsi="Arial Narrow" w:cstheme="minorBidi"/>
          <w:sz w:val="22"/>
          <w:szCs w:val="22"/>
          <w:lang w:eastAsia="en-US"/>
        </w:rPr>
        <w:t xml:space="preserve"> 2019 sa predpokladá výrazný medziročný pokles výdavkov Eximbanky SR (pokles vznikol na strane výdavkových</w:t>
      </w:r>
      <w:r w:rsidR="00C6165F"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ako aj príjmových finančných operácií vo výške 500 mil. eur).</w:t>
      </w:r>
    </w:p>
    <w:p w:rsidR="003306A1" w:rsidRPr="00C65CAA" w:rsidRDefault="003306A1" w:rsidP="00256AF8">
      <w:pPr>
        <w:spacing w:before="100" w:after="100"/>
        <w:ind w:firstLine="708"/>
        <w:jc w:val="both"/>
        <w:rPr>
          <w:rFonts w:ascii="Arial Narrow" w:eastAsiaTheme="minorHAnsi" w:hAnsi="Arial Narrow" w:cstheme="minorBidi"/>
          <w:sz w:val="22"/>
          <w:szCs w:val="22"/>
          <w:lang w:eastAsia="en-US"/>
        </w:rPr>
      </w:pPr>
    </w:p>
    <w:p w:rsidR="00D23611" w:rsidRPr="00C65CAA" w:rsidRDefault="00D23611" w:rsidP="00256AF8">
      <w:pPr>
        <w:pStyle w:val="Nadpis2"/>
        <w:numPr>
          <w:ilvl w:val="1"/>
          <w:numId w:val="92"/>
        </w:numPr>
        <w:tabs>
          <w:tab w:val="left" w:pos="1276"/>
        </w:tabs>
        <w:spacing w:before="100" w:after="100"/>
        <w:rPr>
          <w:szCs w:val="22"/>
        </w:rPr>
      </w:pPr>
      <w:bookmarkStart w:id="48" w:name="_Toc529507611"/>
      <w:r w:rsidRPr="00C65CAA">
        <w:rPr>
          <w:szCs w:val="22"/>
        </w:rPr>
        <w:t>Stanovisko k súhrnnému rozpočtu obcí a vyšších územných celkov na rok 201</w:t>
      </w:r>
      <w:r w:rsidR="005E6FE7" w:rsidRPr="00C65CAA">
        <w:rPr>
          <w:szCs w:val="22"/>
        </w:rPr>
        <w:t>9</w:t>
      </w:r>
      <w:bookmarkEnd w:id="48"/>
    </w:p>
    <w:p w:rsidR="00534776" w:rsidRPr="00C65CAA" w:rsidRDefault="00534776" w:rsidP="00256AF8">
      <w:pPr>
        <w:spacing w:before="100" w:after="100"/>
        <w:ind w:firstLine="709"/>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Návrh súhrnného rozpočtu obcí a VÚC na rok 2019 je regulovaný zákonom o rozpočtových pravidlách územnej samosprávy. Rozpočty územnej samosprávy podľa týchto zákonov tvoria rozpočty obcí a VÚC.</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Na účely zostavenia návrhu RVS na rok 2019 bol MF SR vypracovaný súhrnný návrh rozpočtov za obce a VÚC, ktorý je len indikatívny. Obce a vyššie územné celky zostavujú svoje rozpočty v súlade so zákonom o rozpočtových pravidlách územnej samosprávy</w:t>
      </w:r>
      <w:r w:rsidR="00655839" w:rsidRPr="00C65CAA">
        <w:rPr>
          <w:rFonts w:ascii="Arial Narrow" w:eastAsiaTheme="minorHAnsi" w:hAnsi="Arial Narrow" w:cstheme="minorBidi"/>
          <w:sz w:val="22"/>
          <w:szCs w:val="22"/>
          <w:lang w:eastAsia="en-US"/>
        </w:rPr>
        <w:t>. P</w:t>
      </w:r>
      <w:r w:rsidRPr="00C65CAA">
        <w:rPr>
          <w:rFonts w:ascii="Arial Narrow" w:eastAsiaTheme="minorHAnsi" w:hAnsi="Arial Narrow" w:cstheme="minorBidi"/>
          <w:sz w:val="22"/>
          <w:szCs w:val="22"/>
          <w:lang w:eastAsia="en-US"/>
        </w:rPr>
        <w:t xml:space="preserve">ri postupe predkladania a schvaľovania rozpočtu </w:t>
      </w:r>
      <w:r w:rsidR="00655839" w:rsidRPr="00C65CAA">
        <w:rPr>
          <w:rFonts w:ascii="Arial Narrow" w:eastAsiaTheme="minorHAnsi" w:hAnsi="Arial Narrow" w:cstheme="minorBidi"/>
          <w:sz w:val="22"/>
          <w:szCs w:val="22"/>
          <w:lang w:eastAsia="en-US"/>
        </w:rPr>
        <w:t xml:space="preserve">sa </w:t>
      </w:r>
      <w:r w:rsidRPr="00C65CAA">
        <w:rPr>
          <w:rFonts w:ascii="Arial Narrow" w:eastAsiaTheme="minorHAnsi" w:hAnsi="Arial Narrow" w:cstheme="minorBidi"/>
          <w:sz w:val="22"/>
          <w:szCs w:val="22"/>
          <w:lang w:eastAsia="en-US"/>
        </w:rPr>
        <w:t>obce riadia zákonom o obecnom zriadení a VÚC zákonom o samospráve vyšších územných celkov. Zostavovanie rozpočtu obce a rozpočtu VÚC vychádza predovšetkým z viacročného rozpočtu, z určeného podielu na výnosoch daní v správe štátu</w:t>
      </w:r>
      <w:r w:rsidR="00C6165F"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ustanovených osobitným predpisom</w:t>
      </w:r>
      <w:r w:rsidR="00C6165F"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a zo schváleného rozpočtu verejnej správy. </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Systém financovania územnej samosprávy je postavený na pevne daných kritériách, podľa ktorých sa podiel na dani z príjmu fyzických osôb prerozdeľuje medzi jednotlivé subjekty územnej samosprávy a stáva sa ich vlastným príjmom. Ďalšiu významnú časť príjmov získavajú územné samosprávy z miestnych daní, o výške ktorých majú právomoc rozhodovať. Celkovo sa tak zvyšuje zodpovednosť územnej samosprávy za správu a rozvoj, pričom sa kladie dôraz na zvyšovanie efektívnosti využitia zdrojov v mieste ich vzniku a obmedzenie prerozdeľovacích procesov.</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 xml:space="preserve">Rozdeľovanie výnosu dane z príjmov fyzických osôb do rozpočtov obcí </w:t>
      </w:r>
      <w:r w:rsidR="00655839" w:rsidRPr="00C65CAA">
        <w:rPr>
          <w:rFonts w:ascii="Arial Narrow" w:eastAsiaTheme="minorHAnsi" w:hAnsi="Arial Narrow" w:cstheme="minorBidi"/>
          <w:sz w:val="22"/>
          <w:szCs w:val="22"/>
          <w:lang w:eastAsia="en-US"/>
        </w:rPr>
        <w:t>a VÚC upravuje nariadenie vlády SR</w:t>
      </w:r>
      <w:r w:rsidRPr="00C65CAA">
        <w:rPr>
          <w:rFonts w:ascii="Arial Narrow" w:eastAsiaTheme="minorHAnsi" w:hAnsi="Arial Narrow" w:cstheme="minorBidi"/>
          <w:sz w:val="22"/>
          <w:szCs w:val="22"/>
          <w:lang w:eastAsia="en-US"/>
        </w:rPr>
        <w:t xml:space="preserve"> o rozdeľovaní výnosu dane z príjmov územnej samospráve a zákon o rozpočtovom určení výnosu dane z príjmov územnej samospráve, ktorý s účinnosťou od 1. januára 2016 upravuje </w:t>
      </w:r>
      <w:r w:rsidR="00655839" w:rsidRPr="00C65CAA">
        <w:rPr>
          <w:rFonts w:ascii="Arial Narrow" w:eastAsiaTheme="minorHAnsi" w:hAnsi="Arial Narrow" w:cstheme="minorBidi"/>
          <w:sz w:val="22"/>
          <w:szCs w:val="22"/>
          <w:lang w:eastAsia="en-US"/>
        </w:rPr>
        <w:t>percentuálny podiel pre obce na </w:t>
      </w:r>
      <w:r w:rsidRPr="00C65CAA">
        <w:rPr>
          <w:rFonts w:ascii="Arial Narrow" w:eastAsiaTheme="minorHAnsi" w:hAnsi="Arial Narrow" w:cstheme="minorBidi"/>
          <w:sz w:val="22"/>
          <w:szCs w:val="22"/>
          <w:lang w:eastAsia="en-US"/>
        </w:rPr>
        <w:t>70 % a pre VÚC na 30 %.</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 xml:space="preserve">Finančné prostriedky z výnosu dane z príjmov fyzických osôb sú rozdeľované jednotlivým subjektom územnej samosprávy na mesačnej báze podľa premenlivých veličín na základe štatistických údajov, čo vylučuje subjektívnosť pri rozhodovaní a súčasne eliminuje prípadné politické vplyvy. </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Tieto kritériá a váhy zohľadňujú samosprávne kompetencie v školstve, sociálnom zabezpečení a doprave, ktoré prešli zo štátu do ich samosprávnej pôsobnosti. Zároveň rešpektujú požiadavky na nevyhnutú stabilitu systému delením výnosu dane z príjmov fyzických osôb podľa počtu obyvateľov bez rozdelenia do štatisticky sledovaných vekových skupín a riešia nevyhnutnosť zabezpečiť zvýšený prísun finančných prostriedkov nadväzne na rozsah poskytovaných služieb v centrách osídlenia.</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V rozpočtovaní príjmov súhrnného rozpočtu obcí a VÚC na rok 2019 sa vychádzalo zo septembrovej prognózy daňových príjmov verejnej správy na roky 2019 – 2021, v rozpočtovaní výdavkov sa vychádzalo z Programu stability SR na roky 2018 až 2021, pričom sa zohľadňovali špecifiká obcí a VÚC a ustanovenia zákona o rozpočtových pravidlách územnej samosprávy a zákona o rozpočtovej zodpovednosti.</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lastRenderedPageBreak/>
        <w:t xml:space="preserve">Porovnanie bilančného zostatku obcí a VÚC na akruálnej báze v metodike ESA 2010 v návrhu rozpočtu na rok 2019 so schváleným rozpočtom na rok 2018 a skutočným plnením rozpočtu za rok 2017: </w:t>
      </w:r>
    </w:p>
    <w:tbl>
      <w:tblPr>
        <w:tblStyle w:val="Mriekatabuky"/>
        <w:tblW w:w="5000" w:type="pct"/>
        <w:tblLook w:val="04A0" w:firstRow="1" w:lastRow="0" w:firstColumn="1" w:lastColumn="0" w:noHBand="0" w:noVBand="1"/>
      </w:tblPr>
      <w:tblGrid>
        <w:gridCol w:w="3081"/>
        <w:gridCol w:w="1197"/>
        <w:gridCol w:w="1197"/>
        <w:gridCol w:w="1196"/>
        <w:gridCol w:w="1196"/>
        <w:gridCol w:w="1196"/>
      </w:tblGrid>
      <w:tr w:rsidR="00534776" w:rsidRPr="00C65CAA" w:rsidTr="00534776">
        <w:trPr>
          <w:tblHeader/>
        </w:trPr>
        <w:tc>
          <w:tcPr>
            <w:tcW w:w="1699" w:type="pct"/>
            <w:vMerge w:val="restart"/>
            <w:tcBorders>
              <w:top w:val="single" w:sz="4" w:space="0" w:color="auto"/>
              <w:left w:val="single" w:sz="4" w:space="0" w:color="auto"/>
              <w:bottom w:val="single" w:sz="4" w:space="0" w:color="auto"/>
              <w:right w:val="single" w:sz="4" w:space="0" w:color="FFFFFF" w:themeColor="background1"/>
            </w:tcBorders>
            <w:shd w:val="clear" w:color="auto" w:fill="0070C0"/>
            <w:vAlign w:val="center"/>
            <w:hideMark/>
          </w:tcPr>
          <w:p w:rsidR="00534776" w:rsidRPr="00C65CAA" w:rsidRDefault="00534776" w:rsidP="00011F12">
            <w:pPr>
              <w:jc w:val="center"/>
              <w:rPr>
                <w:rFonts w:ascii="Arial Narrow" w:eastAsia="Calibri" w:hAnsi="Arial Narrow"/>
                <w:b/>
                <w:bCs/>
                <w:color w:val="FFFFFF" w:themeColor="background1"/>
                <w:sz w:val="20"/>
                <w:szCs w:val="20"/>
                <w:lang w:eastAsia="en-US"/>
              </w:rPr>
            </w:pPr>
            <w:r w:rsidRPr="00C65CAA">
              <w:rPr>
                <w:rFonts w:ascii="Arial Narrow" w:eastAsia="Calibri" w:hAnsi="Arial Narrow"/>
                <w:b/>
                <w:bCs/>
                <w:color w:val="FFFFFF" w:themeColor="background1"/>
                <w:sz w:val="20"/>
                <w:szCs w:val="20"/>
                <w:lang w:eastAsia="en-US"/>
              </w:rPr>
              <w:t>Názov ukazovateľa</w:t>
            </w:r>
          </w:p>
          <w:p w:rsidR="00534776" w:rsidRPr="00C65CAA" w:rsidRDefault="00534776" w:rsidP="00011F12">
            <w:pPr>
              <w:jc w:val="center"/>
              <w:rPr>
                <w:rFonts w:ascii="Arial Narrow" w:eastAsia="Calibri" w:hAnsi="Arial Narrow"/>
                <w:b/>
                <w:color w:val="FFFFFF" w:themeColor="background1"/>
                <w:sz w:val="20"/>
                <w:szCs w:val="20"/>
                <w:lang w:eastAsia="en-US"/>
              </w:rPr>
            </w:pPr>
            <w:r w:rsidRPr="00C65CAA">
              <w:rPr>
                <w:rFonts w:ascii="Arial Narrow" w:eastAsia="Calibri" w:hAnsi="Arial Narrow"/>
                <w:b/>
                <w:bCs/>
                <w:color w:val="FFFFFF" w:themeColor="background1"/>
                <w:sz w:val="20"/>
                <w:szCs w:val="20"/>
                <w:lang w:eastAsia="en-US"/>
              </w:rPr>
              <w:t>(v tis. eur)</w:t>
            </w:r>
          </w:p>
        </w:tc>
        <w:tc>
          <w:tcPr>
            <w:tcW w:w="660" w:type="pct"/>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Skutočnosť</w:t>
            </w:r>
          </w:p>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2017</w:t>
            </w:r>
          </w:p>
        </w:tc>
        <w:tc>
          <w:tcPr>
            <w:tcW w:w="1320" w:type="pct"/>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Rozpočet</w:t>
            </w:r>
          </w:p>
        </w:tc>
        <w:tc>
          <w:tcPr>
            <w:tcW w:w="660" w:type="pct"/>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Rozdiel</w:t>
            </w:r>
          </w:p>
        </w:tc>
        <w:tc>
          <w:tcPr>
            <w:tcW w:w="660" w:type="pct"/>
            <w:vMerge w:val="restart"/>
            <w:tcBorders>
              <w:top w:val="single" w:sz="4" w:space="0" w:color="auto"/>
              <w:left w:val="single" w:sz="4" w:space="0" w:color="FFFFFF" w:themeColor="background1"/>
              <w:bottom w:val="single" w:sz="4" w:space="0" w:color="auto"/>
              <w:right w:val="single" w:sz="4" w:space="0" w:color="auto"/>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Podiel (v %)</w:t>
            </w:r>
          </w:p>
        </w:tc>
      </w:tr>
      <w:tr w:rsidR="00534776" w:rsidRPr="00C65CAA" w:rsidTr="00534776">
        <w:trPr>
          <w:tblHeader/>
        </w:trPr>
        <w:tc>
          <w:tcPr>
            <w:tcW w:w="0" w:type="auto"/>
            <w:vMerge/>
            <w:tcBorders>
              <w:top w:val="single" w:sz="4" w:space="0" w:color="auto"/>
              <w:left w:val="single" w:sz="4" w:space="0" w:color="auto"/>
              <w:bottom w:val="single" w:sz="4" w:space="0" w:color="auto"/>
              <w:right w:val="single" w:sz="4" w:space="0" w:color="FFFFFF" w:themeColor="background1"/>
            </w:tcBorders>
            <w:shd w:val="clear" w:color="auto" w:fill="0070C0"/>
            <w:vAlign w:val="center"/>
            <w:hideMark/>
          </w:tcPr>
          <w:p w:rsidR="00534776" w:rsidRPr="00C65CAA" w:rsidRDefault="00534776" w:rsidP="00011F12">
            <w:pPr>
              <w:rPr>
                <w:rFonts w:ascii="Arial Narrow" w:eastAsia="Calibri" w:hAnsi="Arial Narrow"/>
                <w:b/>
                <w:color w:val="FFFFFF" w:themeColor="background1"/>
                <w:sz w:val="20"/>
                <w:szCs w:val="20"/>
                <w:lang w:eastAsia="en-US"/>
              </w:rPr>
            </w:pPr>
          </w:p>
        </w:tc>
        <w:tc>
          <w:tcPr>
            <w:tcW w:w="0" w:type="auto"/>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rPr>
                <w:rFonts w:ascii="Arial Narrow" w:hAnsi="Arial Narrow"/>
                <w:b/>
                <w:color w:val="FFFFFF" w:themeColor="background1"/>
                <w:sz w:val="20"/>
                <w:szCs w:val="20"/>
                <w:lang w:eastAsia="en-US"/>
              </w:rPr>
            </w:pPr>
          </w:p>
        </w:tc>
        <w:tc>
          <w:tcPr>
            <w:tcW w:w="66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2018</w:t>
            </w:r>
          </w:p>
        </w:tc>
        <w:tc>
          <w:tcPr>
            <w:tcW w:w="66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2019</w:t>
            </w:r>
          </w:p>
        </w:tc>
        <w:tc>
          <w:tcPr>
            <w:tcW w:w="0" w:type="auto"/>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rPr>
                <w:rFonts w:ascii="Arial Narrow" w:hAnsi="Arial Narrow"/>
                <w:b/>
                <w:color w:val="FFFFFF" w:themeColor="background1"/>
                <w:sz w:val="20"/>
                <w:szCs w:val="20"/>
                <w:lang w:eastAsia="en-US"/>
              </w:rPr>
            </w:pPr>
          </w:p>
        </w:tc>
        <w:tc>
          <w:tcPr>
            <w:tcW w:w="0" w:type="auto"/>
            <w:vMerge/>
            <w:tcBorders>
              <w:top w:val="single" w:sz="4" w:space="0" w:color="auto"/>
              <w:left w:val="single" w:sz="4" w:space="0" w:color="FFFFFF" w:themeColor="background1"/>
              <w:bottom w:val="single" w:sz="4" w:space="0" w:color="auto"/>
              <w:right w:val="single" w:sz="4" w:space="0" w:color="auto"/>
            </w:tcBorders>
            <w:shd w:val="clear" w:color="auto" w:fill="0070C0"/>
            <w:vAlign w:val="center"/>
            <w:hideMark/>
          </w:tcPr>
          <w:p w:rsidR="00534776" w:rsidRPr="00C65CAA" w:rsidRDefault="00534776" w:rsidP="00011F12">
            <w:pPr>
              <w:rPr>
                <w:rFonts w:ascii="Arial Narrow" w:hAnsi="Arial Narrow"/>
                <w:b/>
                <w:color w:val="FFFFFF" w:themeColor="background1"/>
                <w:sz w:val="20"/>
                <w:szCs w:val="20"/>
                <w:lang w:eastAsia="en-US"/>
              </w:rPr>
            </w:pPr>
          </w:p>
        </w:tc>
      </w:tr>
      <w:tr w:rsidR="00534776" w:rsidRPr="00C65CAA" w:rsidTr="00534776">
        <w:trPr>
          <w:tblHeader/>
        </w:trPr>
        <w:tc>
          <w:tcPr>
            <w:tcW w:w="1699" w:type="pct"/>
            <w:tcBorders>
              <w:top w:val="single" w:sz="4" w:space="0" w:color="auto"/>
              <w:left w:val="single" w:sz="4" w:space="0" w:color="auto"/>
              <w:bottom w:val="single" w:sz="4" w:space="0" w:color="auto"/>
              <w:right w:val="single" w:sz="4" w:space="0" w:color="auto"/>
            </w:tcBorders>
            <w:vAlign w:val="center"/>
            <w:hideMark/>
          </w:tcPr>
          <w:p w:rsidR="00534776" w:rsidRPr="00C65CAA" w:rsidRDefault="00534776" w:rsidP="00011F12">
            <w:pPr>
              <w:jc w:val="center"/>
              <w:rPr>
                <w:rFonts w:ascii="Arial Narrow" w:hAnsi="Arial Narrow"/>
                <w:bCs/>
                <w:sz w:val="20"/>
                <w:szCs w:val="20"/>
                <w:lang w:eastAsia="en-US"/>
              </w:rPr>
            </w:pPr>
            <w:r w:rsidRPr="00C65CAA">
              <w:rPr>
                <w:rFonts w:ascii="Arial Narrow" w:hAnsi="Arial Narrow"/>
                <w:bCs/>
                <w:sz w:val="20"/>
                <w:szCs w:val="20"/>
                <w:lang w:eastAsia="en-US"/>
              </w:rPr>
              <w:t>a</w:t>
            </w:r>
          </w:p>
        </w:tc>
        <w:tc>
          <w:tcPr>
            <w:tcW w:w="660" w:type="pct"/>
            <w:tcBorders>
              <w:top w:val="single" w:sz="4" w:space="0" w:color="auto"/>
              <w:left w:val="single" w:sz="4" w:space="0" w:color="auto"/>
              <w:bottom w:val="single" w:sz="4" w:space="0" w:color="auto"/>
              <w:right w:val="single" w:sz="4" w:space="0" w:color="auto"/>
            </w:tcBorders>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1</w:t>
            </w:r>
          </w:p>
        </w:tc>
        <w:tc>
          <w:tcPr>
            <w:tcW w:w="660" w:type="pct"/>
            <w:tcBorders>
              <w:top w:val="single" w:sz="4" w:space="0" w:color="auto"/>
              <w:left w:val="single" w:sz="4" w:space="0" w:color="auto"/>
              <w:bottom w:val="single" w:sz="4" w:space="0" w:color="auto"/>
              <w:right w:val="single" w:sz="4" w:space="0" w:color="auto"/>
            </w:tcBorders>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2</w:t>
            </w:r>
          </w:p>
        </w:tc>
        <w:tc>
          <w:tcPr>
            <w:tcW w:w="660" w:type="pct"/>
            <w:tcBorders>
              <w:top w:val="single" w:sz="4" w:space="0" w:color="auto"/>
              <w:left w:val="single" w:sz="4" w:space="0" w:color="auto"/>
              <w:bottom w:val="single" w:sz="4" w:space="0" w:color="auto"/>
              <w:right w:val="single" w:sz="4" w:space="0" w:color="auto"/>
            </w:tcBorders>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3</w:t>
            </w:r>
          </w:p>
        </w:tc>
        <w:tc>
          <w:tcPr>
            <w:tcW w:w="660" w:type="pct"/>
            <w:tcBorders>
              <w:top w:val="single" w:sz="4" w:space="0" w:color="auto"/>
              <w:left w:val="single" w:sz="4" w:space="0" w:color="auto"/>
              <w:bottom w:val="single" w:sz="4" w:space="0" w:color="auto"/>
              <w:right w:val="single" w:sz="4" w:space="0" w:color="auto"/>
            </w:tcBorders>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3-2</w:t>
            </w:r>
          </w:p>
        </w:tc>
        <w:tc>
          <w:tcPr>
            <w:tcW w:w="660" w:type="pct"/>
            <w:tcBorders>
              <w:top w:val="single" w:sz="4" w:space="0" w:color="auto"/>
              <w:left w:val="single" w:sz="4" w:space="0" w:color="auto"/>
              <w:bottom w:val="single" w:sz="4" w:space="0" w:color="auto"/>
              <w:right w:val="single" w:sz="4" w:space="0" w:color="auto"/>
            </w:tcBorders>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3/2*100</w:t>
            </w:r>
          </w:p>
        </w:tc>
      </w:tr>
      <w:tr w:rsidR="00534776" w:rsidRPr="00C65CAA" w:rsidTr="00534776">
        <w:tc>
          <w:tcPr>
            <w:tcW w:w="16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bCs/>
                <w:sz w:val="20"/>
                <w:szCs w:val="20"/>
                <w:lang w:eastAsia="en-US"/>
              </w:rPr>
            </w:pPr>
            <w:r w:rsidRPr="00C65CAA">
              <w:rPr>
                <w:rFonts w:ascii="Arial Narrow" w:hAnsi="Arial Narrow"/>
                <w:bCs/>
                <w:iCs/>
                <w:sz w:val="20"/>
                <w:szCs w:val="20"/>
                <w:lang w:eastAsia="en-US"/>
              </w:rPr>
              <w:t>Príjmy obcí a VÚC spolu</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6 113 824</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6 190 026</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6 405 307</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215 281</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103,5</w:t>
            </w:r>
          </w:p>
        </w:tc>
      </w:tr>
      <w:tr w:rsidR="00534776" w:rsidRPr="00C65CAA" w:rsidTr="00534776">
        <w:tc>
          <w:tcPr>
            <w:tcW w:w="16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bCs/>
                <w:sz w:val="20"/>
                <w:szCs w:val="20"/>
                <w:lang w:eastAsia="en-US"/>
              </w:rPr>
            </w:pPr>
            <w:r w:rsidRPr="00C65CAA">
              <w:rPr>
                <w:rFonts w:ascii="Arial Narrow" w:hAnsi="Arial Narrow"/>
                <w:bCs/>
                <w:iCs/>
                <w:sz w:val="20"/>
                <w:szCs w:val="20"/>
                <w:lang w:eastAsia="en-US"/>
              </w:rPr>
              <w:t>Výdavky obcí a VÚC spolu</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5 656 479</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5 720 798</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5 839 730</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118 932</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102,1</w:t>
            </w:r>
          </w:p>
        </w:tc>
      </w:tr>
      <w:tr w:rsidR="00534776" w:rsidRPr="00C65CAA" w:rsidTr="00534776">
        <w:tc>
          <w:tcPr>
            <w:tcW w:w="16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bCs/>
                <w:sz w:val="20"/>
                <w:szCs w:val="20"/>
                <w:lang w:eastAsia="en-US"/>
              </w:rPr>
            </w:pPr>
            <w:r w:rsidRPr="00C65CAA">
              <w:rPr>
                <w:rFonts w:ascii="Arial Narrow" w:hAnsi="Arial Narrow"/>
                <w:bCs/>
                <w:iCs/>
                <w:sz w:val="20"/>
                <w:szCs w:val="20"/>
                <w:lang w:eastAsia="en-US"/>
              </w:rPr>
              <w:t>Celkový prebytok obcí a VÚC spolu</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rPr>
            </w:pPr>
            <w:r w:rsidRPr="00C65CAA">
              <w:rPr>
                <w:rFonts w:ascii="Arial Narrow" w:hAnsi="Arial Narrow"/>
                <w:sz w:val="20"/>
                <w:szCs w:val="20"/>
                <w:lang w:eastAsia="en-US"/>
              </w:rPr>
              <w:t>457 345</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rPr>
            </w:pPr>
            <w:r w:rsidRPr="00C65CAA">
              <w:rPr>
                <w:rFonts w:ascii="Arial Narrow" w:hAnsi="Arial Narrow"/>
                <w:sz w:val="20"/>
                <w:szCs w:val="20"/>
                <w:lang w:eastAsia="en-US"/>
              </w:rPr>
              <w:t>469 228</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rPr>
            </w:pPr>
            <w:r w:rsidRPr="00C65CAA">
              <w:rPr>
                <w:rFonts w:ascii="Arial Narrow" w:hAnsi="Arial Narrow"/>
                <w:sz w:val="20"/>
                <w:szCs w:val="20"/>
                <w:lang w:eastAsia="en-US"/>
              </w:rPr>
              <w:t>565 577</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96 349</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120,5</w:t>
            </w:r>
          </w:p>
        </w:tc>
      </w:tr>
      <w:tr w:rsidR="00534776" w:rsidRPr="00C65CAA" w:rsidTr="00534776">
        <w:tc>
          <w:tcPr>
            <w:tcW w:w="16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bCs/>
                <w:i/>
                <w:iCs/>
                <w:sz w:val="20"/>
                <w:szCs w:val="20"/>
                <w:lang w:eastAsia="en-US"/>
              </w:rPr>
            </w:pPr>
            <w:r w:rsidRPr="00C65CAA">
              <w:rPr>
                <w:rFonts w:ascii="Arial Narrow" w:hAnsi="Arial Narrow"/>
                <w:bCs/>
                <w:i/>
                <w:iCs/>
                <w:sz w:val="20"/>
                <w:szCs w:val="20"/>
                <w:lang w:eastAsia="en-US"/>
              </w:rPr>
              <w:t>vylúčenie finančných operácií</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-415 439</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-209 000</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-209 000</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100</w:t>
            </w:r>
          </w:p>
        </w:tc>
      </w:tr>
      <w:tr w:rsidR="00534776" w:rsidRPr="00C65CAA" w:rsidTr="00534776">
        <w:tc>
          <w:tcPr>
            <w:tcW w:w="16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bCs/>
                <w:i/>
                <w:iCs/>
                <w:sz w:val="20"/>
                <w:szCs w:val="20"/>
                <w:lang w:eastAsia="en-US"/>
              </w:rPr>
            </w:pPr>
            <w:r w:rsidRPr="00C65CAA">
              <w:rPr>
                <w:rFonts w:ascii="Arial Narrow" w:hAnsi="Arial Narrow"/>
                <w:bCs/>
                <w:i/>
                <w:iCs/>
                <w:sz w:val="20"/>
                <w:szCs w:val="20"/>
                <w:lang w:eastAsia="en-US"/>
              </w:rPr>
              <w:t>zahrnutie časového rozlíšenia  a ostatné úpravy</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-65 363</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r>
      <w:tr w:rsidR="00534776" w:rsidRPr="00C65CAA" w:rsidTr="00534776">
        <w:tc>
          <w:tcPr>
            <w:tcW w:w="16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bCs/>
                <w:sz w:val="20"/>
                <w:szCs w:val="20"/>
                <w:lang w:eastAsia="en-US"/>
              </w:rPr>
            </w:pPr>
            <w:r w:rsidRPr="00C65CAA">
              <w:rPr>
                <w:rFonts w:ascii="Arial Narrow" w:hAnsi="Arial Narrow"/>
                <w:bCs/>
                <w:iCs/>
                <w:sz w:val="20"/>
                <w:szCs w:val="20"/>
                <w:lang w:eastAsia="en-US"/>
              </w:rPr>
              <w:t xml:space="preserve">Prebytok(+)/schodok (-) obcí a </w:t>
            </w:r>
            <w:r w:rsidRPr="00C65CAA">
              <w:rPr>
                <w:rFonts w:ascii="Arial Narrow" w:hAnsi="Arial Narrow"/>
                <w:bCs/>
                <w:sz w:val="20"/>
                <w:szCs w:val="20"/>
                <w:lang w:eastAsia="en-US"/>
              </w:rPr>
              <w:t>VÚC spolu (ESA 2010)</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-23 457</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260 228</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356 577</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96 349</w:t>
            </w:r>
          </w:p>
        </w:tc>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137</w:t>
            </w:r>
          </w:p>
        </w:tc>
      </w:tr>
    </w:tbl>
    <w:p w:rsidR="00534776" w:rsidRPr="00C65CAA" w:rsidRDefault="00534776" w:rsidP="00011F12">
      <w:pPr>
        <w:spacing w:after="100"/>
        <w:jc w:val="both"/>
        <w:rPr>
          <w:rFonts w:ascii="Arial Narrow" w:eastAsiaTheme="minorEastAsia" w:hAnsi="Arial Narrow"/>
        </w:rPr>
      </w:pPr>
      <w:r w:rsidRPr="00C65CAA">
        <w:rPr>
          <w:rFonts w:ascii="Arial Narrow" w:eastAsiaTheme="minorEastAsia" w:hAnsi="Arial Narrow"/>
          <w:sz w:val="20"/>
          <w:szCs w:val="20"/>
        </w:rPr>
        <w:t>Zdroj: Návrh RVS na roky 2019 až 2021</w:t>
      </w:r>
    </w:p>
    <w:p w:rsidR="00534776" w:rsidRPr="00C65CAA" w:rsidRDefault="00534776" w:rsidP="00256AF8">
      <w:pPr>
        <w:spacing w:before="100" w:after="100"/>
        <w:ind w:firstLine="709"/>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V roku 2019 sa zlepší medziročný bilančný zostatok obcí a VÚC na akruálnej báze v metodike ESA 2010 o 96 349 tis. eur</w:t>
      </w:r>
      <w:r w:rsidR="00C6165F" w:rsidRPr="00C65CAA">
        <w:rPr>
          <w:rFonts w:ascii="Arial Narrow" w:eastAsiaTheme="minorHAnsi" w:hAnsi="Arial Narrow" w:cstheme="minorBidi"/>
          <w:sz w:val="22"/>
          <w:szCs w:val="22"/>
          <w:lang w:eastAsia="en-US"/>
        </w:rPr>
        <w:t>, t. j.</w:t>
      </w:r>
      <w:r w:rsidRPr="00C65CAA">
        <w:rPr>
          <w:rFonts w:ascii="Arial Narrow" w:eastAsiaTheme="minorHAnsi" w:hAnsi="Arial Narrow" w:cstheme="minorBidi"/>
          <w:sz w:val="22"/>
          <w:szCs w:val="22"/>
          <w:lang w:eastAsia="en-US"/>
        </w:rPr>
        <w:t xml:space="preserve"> na úroveň 356 577 tis. eur.</w:t>
      </w:r>
    </w:p>
    <w:p w:rsidR="00534776" w:rsidRPr="00C65CAA" w:rsidRDefault="00534776" w:rsidP="00256AF8">
      <w:pPr>
        <w:spacing w:before="100" w:after="100"/>
        <w:ind w:firstLine="709"/>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 xml:space="preserve">Pre zlepšenie prebytkového hospodárenia územnej samosprávy sú rozhodujúce a zaväzujúce ustanovenia pravidiel používania návratných zdrojov financovania v zákone o rozpočtových pravidlách územnej samosprávy, ktoré </w:t>
      </w:r>
      <w:r w:rsidR="004D4CC6" w:rsidRPr="00C65CAA">
        <w:rPr>
          <w:rFonts w:ascii="Arial Narrow" w:eastAsiaTheme="minorHAnsi" w:hAnsi="Arial Narrow" w:cstheme="minorBidi"/>
          <w:sz w:val="22"/>
          <w:szCs w:val="22"/>
          <w:lang w:eastAsia="en-US"/>
        </w:rPr>
        <w:t>vytvárajú priestor aj na prijímanie</w:t>
      </w:r>
      <w:r w:rsidRPr="00C65CAA">
        <w:rPr>
          <w:rFonts w:ascii="Arial Narrow" w:eastAsiaTheme="minorHAnsi" w:hAnsi="Arial Narrow" w:cstheme="minorBidi"/>
          <w:sz w:val="22"/>
          <w:szCs w:val="22"/>
          <w:lang w:eastAsia="en-US"/>
        </w:rPr>
        <w:t xml:space="preserve"> návratných zdrojov financovania pre zabezpečenie predbežného financovania spoločných programov SR a EÚ, operačných programov spadajúcich do cieľa Európskej územnej spolupráce a ďalších programov v rámci medzinárodnej spolupráce. </w:t>
      </w:r>
    </w:p>
    <w:p w:rsidR="00D23611" w:rsidRPr="00C65CAA" w:rsidRDefault="00D23611" w:rsidP="00256AF8">
      <w:pPr>
        <w:pStyle w:val="Nadpis2"/>
        <w:numPr>
          <w:ilvl w:val="2"/>
          <w:numId w:val="92"/>
        </w:numPr>
        <w:spacing w:before="100" w:after="100"/>
      </w:pPr>
      <w:bookmarkStart w:id="49" w:name="_Toc529507612"/>
      <w:r w:rsidRPr="00C65CAA">
        <w:t>Stanovisko k návrhu rozpočtu obcí na rok 201</w:t>
      </w:r>
      <w:r w:rsidR="005E6FE7" w:rsidRPr="00C65CAA">
        <w:t>9</w:t>
      </w:r>
      <w:bookmarkEnd w:id="49"/>
    </w:p>
    <w:p w:rsidR="00534776" w:rsidRPr="00C65CAA" w:rsidRDefault="00534776" w:rsidP="00256AF8">
      <w:pPr>
        <w:spacing w:before="100" w:after="100"/>
        <w:ind w:firstLine="709"/>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 xml:space="preserve">Návrh súhrnného rozpočtu obcí na rok 2019 je zostavený indikatívne, vzhľadom na ich zákonnú samostatnosť finančného hospodárenia. </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Finančné vzťahy štátu k rozpočtom obcí sú realizované predovšetkým prostredníctvom podielu na dani z príjmov fyzických osôb</w:t>
      </w:r>
      <w:r w:rsidR="00C6165F" w:rsidRPr="00C65CAA">
        <w:rPr>
          <w:rFonts w:ascii="Arial Narrow" w:eastAsiaTheme="minorHAnsi" w:hAnsi="Arial Narrow" w:cstheme="minorBidi"/>
          <w:sz w:val="22"/>
          <w:szCs w:val="22"/>
          <w:lang w:eastAsia="en-US"/>
        </w:rPr>
        <w:t>, a to</w:t>
      </w:r>
      <w:r w:rsidRPr="00C65CAA">
        <w:rPr>
          <w:rFonts w:ascii="Arial Narrow" w:eastAsiaTheme="minorHAnsi" w:hAnsi="Arial Narrow" w:cstheme="minorBidi"/>
          <w:sz w:val="22"/>
          <w:szCs w:val="22"/>
          <w:lang w:eastAsia="en-US"/>
        </w:rPr>
        <w:t xml:space="preserve"> na zabezpečenie financovania samosprávnych kompetencií a prostredníctvom dotácií na zabezpečenie financovania kompetencie preneseného výkonu štátnej správy a ďalších úloh spojených nielen s regionálnym rozvojom, ochranou životného prostredia, ale aj s realizáciou projektov financovaných z prostriedkov EÚ. </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Porovnanie bilančného zostatku obcí na akruálnej báze v metodike ESA 20</w:t>
      </w:r>
      <w:r w:rsidR="00D94D93" w:rsidRPr="00C65CAA">
        <w:rPr>
          <w:rFonts w:ascii="Arial Narrow" w:eastAsiaTheme="minorHAnsi" w:hAnsi="Arial Narrow" w:cstheme="minorBidi"/>
          <w:sz w:val="22"/>
          <w:szCs w:val="22"/>
          <w:lang w:eastAsia="en-US"/>
        </w:rPr>
        <w:t>10 v návrhu rozpočtu na rok </w:t>
      </w:r>
      <w:r w:rsidRPr="00C65CAA">
        <w:rPr>
          <w:rFonts w:ascii="Arial Narrow" w:eastAsiaTheme="minorHAnsi" w:hAnsi="Arial Narrow" w:cstheme="minorBidi"/>
          <w:sz w:val="22"/>
          <w:szCs w:val="22"/>
          <w:lang w:eastAsia="en-US"/>
        </w:rPr>
        <w:t xml:space="preserve">2019 so schváleným rozpočtom na rok 2018 a skutočným plnením rozpočtu za rok 2017: </w:t>
      </w:r>
    </w:p>
    <w:tbl>
      <w:tblPr>
        <w:tblStyle w:val="Mriekatabuky"/>
        <w:tblW w:w="9087" w:type="dxa"/>
        <w:tblLook w:val="04A0" w:firstRow="1" w:lastRow="0" w:firstColumn="1" w:lastColumn="0" w:noHBand="0" w:noVBand="1"/>
      </w:tblPr>
      <w:tblGrid>
        <w:gridCol w:w="2902"/>
        <w:gridCol w:w="1237"/>
        <w:gridCol w:w="1237"/>
        <w:gridCol w:w="1237"/>
        <w:gridCol w:w="1237"/>
        <w:gridCol w:w="1237"/>
      </w:tblGrid>
      <w:tr w:rsidR="00534776" w:rsidRPr="00C65CAA" w:rsidTr="00534776">
        <w:trPr>
          <w:trHeight w:val="234"/>
          <w:tblHeader/>
        </w:trPr>
        <w:tc>
          <w:tcPr>
            <w:tcW w:w="2902" w:type="dxa"/>
            <w:vMerge w:val="restart"/>
            <w:tcBorders>
              <w:top w:val="single" w:sz="4" w:space="0" w:color="auto"/>
              <w:left w:val="single" w:sz="4" w:space="0" w:color="auto"/>
              <w:bottom w:val="single" w:sz="4" w:space="0" w:color="auto"/>
              <w:right w:val="single" w:sz="4" w:space="0" w:color="FFFFFF" w:themeColor="background1"/>
            </w:tcBorders>
            <w:shd w:val="clear" w:color="auto" w:fill="0070C0"/>
            <w:vAlign w:val="center"/>
            <w:hideMark/>
          </w:tcPr>
          <w:p w:rsidR="00534776" w:rsidRPr="00C65CAA" w:rsidRDefault="00534776" w:rsidP="00011F12">
            <w:pPr>
              <w:jc w:val="center"/>
              <w:rPr>
                <w:rFonts w:ascii="Arial Narrow" w:eastAsia="Calibri" w:hAnsi="Arial Narrow"/>
                <w:b/>
                <w:bCs/>
                <w:color w:val="FFFFFF" w:themeColor="background1"/>
                <w:sz w:val="20"/>
                <w:szCs w:val="20"/>
                <w:lang w:eastAsia="en-US"/>
              </w:rPr>
            </w:pPr>
            <w:r w:rsidRPr="00C65CAA">
              <w:rPr>
                <w:rFonts w:ascii="Arial Narrow" w:eastAsia="Calibri" w:hAnsi="Arial Narrow"/>
                <w:b/>
                <w:bCs/>
                <w:color w:val="FFFFFF" w:themeColor="background1"/>
                <w:sz w:val="20"/>
                <w:szCs w:val="20"/>
                <w:lang w:eastAsia="en-US"/>
              </w:rPr>
              <w:t>Názov ukazovateľa</w:t>
            </w:r>
          </w:p>
          <w:p w:rsidR="00534776" w:rsidRPr="00C65CAA" w:rsidRDefault="00534776" w:rsidP="00011F12">
            <w:pPr>
              <w:jc w:val="center"/>
              <w:rPr>
                <w:rFonts w:ascii="Arial Narrow" w:eastAsia="Calibri" w:hAnsi="Arial Narrow"/>
                <w:b/>
                <w:color w:val="FFFFFF" w:themeColor="background1"/>
                <w:sz w:val="20"/>
                <w:szCs w:val="20"/>
                <w:lang w:eastAsia="en-US"/>
              </w:rPr>
            </w:pPr>
            <w:r w:rsidRPr="00C65CAA">
              <w:rPr>
                <w:rFonts w:ascii="Arial Narrow" w:eastAsia="Calibri" w:hAnsi="Arial Narrow"/>
                <w:b/>
                <w:bCs/>
                <w:color w:val="FFFFFF" w:themeColor="background1"/>
                <w:sz w:val="20"/>
                <w:szCs w:val="20"/>
                <w:lang w:eastAsia="en-US"/>
              </w:rPr>
              <w:t>(v tis. eur)</w:t>
            </w:r>
          </w:p>
        </w:tc>
        <w:tc>
          <w:tcPr>
            <w:tcW w:w="1237" w:type="dxa"/>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Skutočnosť</w:t>
            </w:r>
          </w:p>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2017</w:t>
            </w:r>
          </w:p>
        </w:tc>
        <w:tc>
          <w:tcPr>
            <w:tcW w:w="2474"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Rozpočet</w:t>
            </w:r>
          </w:p>
        </w:tc>
        <w:tc>
          <w:tcPr>
            <w:tcW w:w="1237" w:type="dxa"/>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Rozdiel</w:t>
            </w:r>
          </w:p>
        </w:tc>
        <w:tc>
          <w:tcPr>
            <w:tcW w:w="1237" w:type="dxa"/>
            <w:vMerge w:val="restart"/>
            <w:tcBorders>
              <w:top w:val="single" w:sz="4" w:space="0" w:color="auto"/>
              <w:left w:val="single" w:sz="4" w:space="0" w:color="FFFFFF" w:themeColor="background1"/>
              <w:bottom w:val="single" w:sz="4" w:space="0" w:color="auto"/>
              <w:right w:val="single" w:sz="4" w:space="0" w:color="auto"/>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Podiel (v %)</w:t>
            </w:r>
          </w:p>
        </w:tc>
      </w:tr>
      <w:tr w:rsidR="00534776" w:rsidRPr="00C65CAA" w:rsidTr="00534776">
        <w:trPr>
          <w:trHeight w:val="243"/>
          <w:tblHeader/>
        </w:trPr>
        <w:tc>
          <w:tcPr>
            <w:tcW w:w="0" w:type="auto"/>
            <w:vMerge/>
            <w:tcBorders>
              <w:top w:val="single" w:sz="4" w:space="0" w:color="auto"/>
              <w:left w:val="single" w:sz="4" w:space="0" w:color="auto"/>
              <w:bottom w:val="single" w:sz="4" w:space="0" w:color="auto"/>
              <w:right w:val="single" w:sz="4" w:space="0" w:color="FFFFFF" w:themeColor="background1"/>
            </w:tcBorders>
            <w:shd w:val="clear" w:color="auto" w:fill="0070C0"/>
            <w:vAlign w:val="center"/>
            <w:hideMark/>
          </w:tcPr>
          <w:p w:rsidR="00534776" w:rsidRPr="00C65CAA" w:rsidRDefault="00534776" w:rsidP="00011F12">
            <w:pPr>
              <w:rPr>
                <w:rFonts w:ascii="Arial Narrow" w:eastAsia="Calibri" w:hAnsi="Arial Narrow"/>
                <w:b/>
                <w:color w:val="FFFFFF" w:themeColor="background1"/>
                <w:sz w:val="20"/>
                <w:szCs w:val="20"/>
                <w:lang w:eastAsia="en-US"/>
              </w:rPr>
            </w:pPr>
          </w:p>
        </w:tc>
        <w:tc>
          <w:tcPr>
            <w:tcW w:w="0" w:type="auto"/>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rPr>
                <w:rFonts w:ascii="Arial Narrow" w:hAnsi="Arial Narrow"/>
                <w:b/>
                <w:color w:val="FFFFFF" w:themeColor="background1"/>
                <w:sz w:val="20"/>
                <w:szCs w:val="20"/>
                <w:lang w:eastAsia="en-US"/>
              </w:rPr>
            </w:pPr>
          </w:p>
        </w:tc>
        <w:tc>
          <w:tcPr>
            <w:tcW w:w="123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2018</w:t>
            </w:r>
          </w:p>
        </w:tc>
        <w:tc>
          <w:tcPr>
            <w:tcW w:w="123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2019</w:t>
            </w:r>
          </w:p>
        </w:tc>
        <w:tc>
          <w:tcPr>
            <w:tcW w:w="0" w:type="auto"/>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rPr>
                <w:rFonts w:ascii="Arial Narrow" w:hAnsi="Arial Narrow"/>
                <w:b/>
                <w:color w:val="FFFFFF" w:themeColor="background1"/>
                <w:sz w:val="20"/>
                <w:szCs w:val="20"/>
                <w:lang w:eastAsia="en-US"/>
              </w:rPr>
            </w:pPr>
          </w:p>
        </w:tc>
        <w:tc>
          <w:tcPr>
            <w:tcW w:w="1237" w:type="dxa"/>
            <w:vMerge/>
            <w:tcBorders>
              <w:top w:val="single" w:sz="4" w:space="0" w:color="auto"/>
              <w:left w:val="single" w:sz="4" w:space="0" w:color="FFFFFF" w:themeColor="background1"/>
              <w:bottom w:val="single" w:sz="4" w:space="0" w:color="auto"/>
              <w:right w:val="single" w:sz="4" w:space="0" w:color="auto"/>
            </w:tcBorders>
            <w:shd w:val="clear" w:color="auto" w:fill="0070C0"/>
            <w:vAlign w:val="center"/>
            <w:hideMark/>
          </w:tcPr>
          <w:p w:rsidR="00534776" w:rsidRPr="00C65CAA" w:rsidRDefault="00534776" w:rsidP="00011F12">
            <w:pPr>
              <w:rPr>
                <w:rFonts w:ascii="Arial Narrow" w:hAnsi="Arial Narrow"/>
                <w:b/>
                <w:color w:val="FFFFFF" w:themeColor="background1"/>
                <w:sz w:val="20"/>
                <w:szCs w:val="20"/>
                <w:lang w:eastAsia="en-US"/>
              </w:rPr>
            </w:pPr>
          </w:p>
        </w:tc>
      </w:tr>
      <w:tr w:rsidR="00534776" w:rsidRPr="00C65CAA" w:rsidTr="00534776">
        <w:trPr>
          <w:trHeight w:val="234"/>
          <w:tblHeader/>
        </w:trPr>
        <w:tc>
          <w:tcPr>
            <w:tcW w:w="2902" w:type="dxa"/>
            <w:tcBorders>
              <w:top w:val="single" w:sz="4" w:space="0" w:color="auto"/>
              <w:left w:val="single" w:sz="4" w:space="0" w:color="auto"/>
              <w:bottom w:val="single" w:sz="4" w:space="0" w:color="auto"/>
              <w:right w:val="single" w:sz="4" w:space="0" w:color="auto"/>
            </w:tcBorders>
            <w:vAlign w:val="center"/>
            <w:hideMark/>
          </w:tcPr>
          <w:p w:rsidR="00534776" w:rsidRPr="00C65CAA" w:rsidRDefault="00534776" w:rsidP="00011F12">
            <w:pPr>
              <w:jc w:val="center"/>
              <w:rPr>
                <w:rFonts w:ascii="Arial Narrow" w:hAnsi="Arial Narrow"/>
                <w:bCs/>
                <w:sz w:val="20"/>
                <w:szCs w:val="20"/>
                <w:lang w:eastAsia="en-US"/>
              </w:rPr>
            </w:pPr>
            <w:r w:rsidRPr="00C65CAA">
              <w:rPr>
                <w:rFonts w:ascii="Arial Narrow" w:hAnsi="Arial Narrow"/>
                <w:bCs/>
                <w:sz w:val="20"/>
                <w:szCs w:val="20"/>
                <w:lang w:eastAsia="en-US"/>
              </w:rPr>
              <w:t>a</w:t>
            </w:r>
          </w:p>
        </w:tc>
        <w:tc>
          <w:tcPr>
            <w:tcW w:w="1237" w:type="dxa"/>
            <w:tcBorders>
              <w:top w:val="single" w:sz="4" w:space="0" w:color="auto"/>
              <w:left w:val="single" w:sz="4" w:space="0" w:color="auto"/>
              <w:bottom w:val="single" w:sz="4" w:space="0" w:color="auto"/>
              <w:right w:val="single" w:sz="4" w:space="0" w:color="auto"/>
            </w:tcBorders>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1</w:t>
            </w:r>
          </w:p>
        </w:tc>
        <w:tc>
          <w:tcPr>
            <w:tcW w:w="1237" w:type="dxa"/>
            <w:tcBorders>
              <w:top w:val="single" w:sz="4" w:space="0" w:color="auto"/>
              <w:left w:val="single" w:sz="4" w:space="0" w:color="auto"/>
              <w:bottom w:val="single" w:sz="4" w:space="0" w:color="auto"/>
              <w:right w:val="single" w:sz="4" w:space="0" w:color="auto"/>
            </w:tcBorders>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2</w:t>
            </w:r>
          </w:p>
        </w:tc>
        <w:tc>
          <w:tcPr>
            <w:tcW w:w="1237" w:type="dxa"/>
            <w:tcBorders>
              <w:top w:val="single" w:sz="4" w:space="0" w:color="auto"/>
              <w:left w:val="single" w:sz="4" w:space="0" w:color="auto"/>
              <w:bottom w:val="single" w:sz="4" w:space="0" w:color="auto"/>
              <w:right w:val="single" w:sz="4" w:space="0" w:color="auto"/>
            </w:tcBorders>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3</w:t>
            </w:r>
          </w:p>
        </w:tc>
        <w:tc>
          <w:tcPr>
            <w:tcW w:w="1237" w:type="dxa"/>
            <w:tcBorders>
              <w:top w:val="single" w:sz="4" w:space="0" w:color="auto"/>
              <w:left w:val="single" w:sz="4" w:space="0" w:color="auto"/>
              <w:bottom w:val="single" w:sz="4" w:space="0" w:color="auto"/>
              <w:right w:val="single" w:sz="4" w:space="0" w:color="auto"/>
            </w:tcBorders>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3-2</w:t>
            </w:r>
          </w:p>
        </w:tc>
        <w:tc>
          <w:tcPr>
            <w:tcW w:w="1237" w:type="dxa"/>
            <w:tcBorders>
              <w:top w:val="single" w:sz="4" w:space="0" w:color="auto"/>
              <w:left w:val="single" w:sz="4" w:space="0" w:color="auto"/>
              <w:bottom w:val="single" w:sz="4" w:space="0" w:color="auto"/>
              <w:right w:val="single" w:sz="4" w:space="0" w:color="auto"/>
            </w:tcBorders>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3/2*100</w:t>
            </w:r>
          </w:p>
        </w:tc>
      </w:tr>
      <w:tr w:rsidR="00534776" w:rsidRPr="00C65CAA" w:rsidTr="00534776">
        <w:trPr>
          <w:trHeight w:val="234"/>
        </w:trPr>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b/>
                <w:bCs/>
                <w:sz w:val="20"/>
                <w:szCs w:val="20"/>
                <w:lang w:eastAsia="en-US"/>
              </w:rPr>
            </w:pPr>
            <w:r w:rsidRPr="00C65CAA">
              <w:rPr>
                <w:rFonts w:ascii="Arial Narrow" w:hAnsi="Arial Narrow"/>
                <w:b/>
                <w:bCs/>
                <w:sz w:val="20"/>
                <w:szCs w:val="20"/>
                <w:lang w:eastAsia="en-US"/>
              </w:rPr>
              <w:t>Príjmy obcí spolu</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b/>
                <w:bCs/>
                <w:sz w:val="20"/>
                <w:szCs w:val="20"/>
                <w:lang w:eastAsia="en-US"/>
              </w:rPr>
            </w:pPr>
            <w:r w:rsidRPr="00C65CAA">
              <w:rPr>
                <w:rFonts w:ascii="Arial Narrow" w:hAnsi="Arial Narrow"/>
                <w:b/>
                <w:bCs/>
                <w:sz w:val="20"/>
                <w:szCs w:val="20"/>
                <w:lang w:eastAsia="en-US"/>
              </w:rPr>
              <w:t>4 594 449</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b/>
                <w:bCs/>
                <w:sz w:val="20"/>
                <w:szCs w:val="20"/>
                <w:lang w:eastAsia="en-US"/>
              </w:rPr>
            </w:pPr>
            <w:r w:rsidRPr="00C65CAA">
              <w:rPr>
                <w:rFonts w:ascii="Arial Narrow" w:hAnsi="Arial Narrow"/>
                <w:b/>
                <w:bCs/>
                <w:sz w:val="20"/>
                <w:szCs w:val="20"/>
                <w:lang w:eastAsia="en-US"/>
              </w:rPr>
              <w:t>4 596 970</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b/>
                <w:bCs/>
                <w:sz w:val="20"/>
                <w:szCs w:val="20"/>
                <w:lang w:eastAsia="en-US"/>
              </w:rPr>
            </w:pPr>
            <w:r w:rsidRPr="00C65CAA">
              <w:rPr>
                <w:rFonts w:ascii="Arial Narrow" w:hAnsi="Arial Narrow"/>
                <w:b/>
                <w:bCs/>
                <w:sz w:val="20"/>
                <w:szCs w:val="20"/>
                <w:lang w:eastAsia="en-US"/>
              </w:rPr>
              <w:t>4 743 170</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776" w:rsidRPr="00C65CAA" w:rsidRDefault="00534776" w:rsidP="00011F12">
            <w:pPr>
              <w:jc w:val="right"/>
              <w:rPr>
                <w:rFonts w:ascii="Arial Narrow" w:hAnsi="Arial Narrow"/>
                <w:b/>
                <w:bCs/>
                <w:sz w:val="20"/>
                <w:szCs w:val="20"/>
                <w:lang w:eastAsia="en-US"/>
              </w:rPr>
            </w:pPr>
            <w:r w:rsidRPr="00C65CAA">
              <w:rPr>
                <w:rFonts w:ascii="Arial Narrow" w:hAnsi="Arial Narrow"/>
                <w:b/>
                <w:bCs/>
                <w:sz w:val="20"/>
                <w:szCs w:val="20"/>
                <w:lang w:eastAsia="en-US"/>
              </w:rPr>
              <w:t>146 200</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b/>
                <w:bCs/>
                <w:sz w:val="20"/>
                <w:szCs w:val="20"/>
                <w:lang w:eastAsia="en-US"/>
              </w:rPr>
            </w:pPr>
            <w:r w:rsidRPr="00C65CAA">
              <w:rPr>
                <w:rFonts w:ascii="Arial Narrow" w:hAnsi="Arial Narrow"/>
                <w:b/>
                <w:bCs/>
                <w:sz w:val="20"/>
                <w:szCs w:val="20"/>
                <w:lang w:eastAsia="en-US"/>
              </w:rPr>
              <w:t>103,2</w:t>
            </w:r>
          </w:p>
        </w:tc>
      </w:tr>
      <w:tr w:rsidR="00534776" w:rsidRPr="00C65CAA" w:rsidTr="00534776">
        <w:trPr>
          <w:trHeight w:val="234"/>
        </w:trPr>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b/>
                <w:bCs/>
                <w:sz w:val="20"/>
                <w:szCs w:val="20"/>
                <w:lang w:eastAsia="en-US"/>
              </w:rPr>
            </w:pPr>
            <w:r w:rsidRPr="00C65CAA">
              <w:rPr>
                <w:rFonts w:ascii="Arial Narrow" w:hAnsi="Arial Narrow"/>
                <w:b/>
                <w:bCs/>
                <w:sz w:val="20"/>
                <w:szCs w:val="20"/>
                <w:lang w:eastAsia="en-US"/>
              </w:rPr>
              <w:t>Výdavky obcí spolu</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b/>
                <w:bCs/>
                <w:sz w:val="20"/>
                <w:szCs w:val="20"/>
                <w:lang w:eastAsia="en-US"/>
              </w:rPr>
            </w:pPr>
            <w:r w:rsidRPr="00C65CAA">
              <w:rPr>
                <w:rFonts w:ascii="Arial Narrow" w:hAnsi="Arial Narrow"/>
                <w:b/>
                <w:bCs/>
                <w:sz w:val="20"/>
                <w:szCs w:val="20"/>
                <w:lang w:eastAsia="en-US"/>
              </w:rPr>
              <w:t>4 291 965</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b/>
                <w:bCs/>
                <w:sz w:val="20"/>
                <w:szCs w:val="20"/>
                <w:lang w:eastAsia="en-US"/>
              </w:rPr>
            </w:pPr>
            <w:r w:rsidRPr="00C65CAA">
              <w:rPr>
                <w:rFonts w:ascii="Arial Narrow" w:hAnsi="Arial Narrow"/>
                <w:b/>
                <w:bCs/>
                <w:sz w:val="20"/>
                <w:szCs w:val="20"/>
                <w:lang w:eastAsia="en-US"/>
              </w:rPr>
              <w:t>4 306 835</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b/>
                <w:bCs/>
                <w:sz w:val="20"/>
                <w:szCs w:val="20"/>
                <w:lang w:eastAsia="en-US"/>
              </w:rPr>
            </w:pPr>
            <w:r w:rsidRPr="00C65CAA">
              <w:rPr>
                <w:rFonts w:ascii="Arial Narrow" w:hAnsi="Arial Narrow"/>
                <w:b/>
                <w:bCs/>
                <w:sz w:val="20"/>
                <w:szCs w:val="20"/>
                <w:lang w:eastAsia="en-US"/>
              </w:rPr>
              <w:t>4 388 686</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776" w:rsidRPr="00C65CAA" w:rsidRDefault="00534776" w:rsidP="00011F12">
            <w:pPr>
              <w:jc w:val="right"/>
              <w:rPr>
                <w:rFonts w:ascii="Arial Narrow" w:hAnsi="Arial Narrow"/>
                <w:b/>
                <w:bCs/>
                <w:sz w:val="20"/>
                <w:szCs w:val="20"/>
                <w:lang w:eastAsia="en-US"/>
              </w:rPr>
            </w:pPr>
            <w:r w:rsidRPr="00C65CAA">
              <w:rPr>
                <w:rFonts w:ascii="Arial Narrow" w:hAnsi="Arial Narrow"/>
                <w:b/>
                <w:bCs/>
                <w:sz w:val="20"/>
                <w:szCs w:val="20"/>
                <w:lang w:eastAsia="en-US"/>
              </w:rPr>
              <w:t>81 851</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b/>
                <w:bCs/>
                <w:sz w:val="20"/>
                <w:szCs w:val="20"/>
                <w:lang w:eastAsia="en-US"/>
              </w:rPr>
            </w:pPr>
            <w:r w:rsidRPr="00C65CAA">
              <w:rPr>
                <w:rFonts w:ascii="Arial Narrow" w:hAnsi="Arial Narrow"/>
                <w:b/>
                <w:bCs/>
                <w:sz w:val="20"/>
                <w:szCs w:val="20"/>
                <w:lang w:eastAsia="en-US"/>
              </w:rPr>
              <w:t>101,9</w:t>
            </w:r>
          </w:p>
        </w:tc>
      </w:tr>
      <w:tr w:rsidR="00534776" w:rsidRPr="00C65CAA" w:rsidTr="00534776">
        <w:trPr>
          <w:trHeight w:val="234"/>
        </w:trPr>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b/>
                <w:bCs/>
                <w:sz w:val="20"/>
                <w:szCs w:val="20"/>
                <w:lang w:eastAsia="en-US"/>
              </w:rPr>
            </w:pPr>
            <w:r w:rsidRPr="00C65CAA">
              <w:rPr>
                <w:rFonts w:ascii="Arial Narrow" w:hAnsi="Arial Narrow"/>
                <w:b/>
                <w:bCs/>
                <w:sz w:val="20"/>
                <w:szCs w:val="20"/>
                <w:lang w:eastAsia="en-US"/>
              </w:rPr>
              <w:t>Celkový prebytok obcí spolu</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b/>
                <w:bCs/>
                <w:sz w:val="20"/>
                <w:szCs w:val="20"/>
                <w:lang w:eastAsia="en-US"/>
              </w:rPr>
            </w:pPr>
            <w:r w:rsidRPr="00C65CAA">
              <w:rPr>
                <w:rFonts w:ascii="Arial Narrow" w:hAnsi="Arial Narrow"/>
                <w:b/>
                <w:bCs/>
                <w:sz w:val="20"/>
                <w:szCs w:val="20"/>
                <w:lang w:eastAsia="en-US"/>
              </w:rPr>
              <w:t>302 484</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b/>
                <w:bCs/>
                <w:sz w:val="20"/>
                <w:szCs w:val="20"/>
                <w:lang w:eastAsia="en-US"/>
              </w:rPr>
            </w:pPr>
            <w:r w:rsidRPr="00C65CAA">
              <w:rPr>
                <w:rFonts w:ascii="Arial Narrow" w:hAnsi="Arial Narrow"/>
                <w:b/>
                <w:bCs/>
                <w:sz w:val="20"/>
                <w:szCs w:val="20"/>
                <w:lang w:eastAsia="en-US"/>
              </w:rPr>
              <w:t>290 135</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b/>
                <w:bCs/>
                <w:sz w:val="20"/>
                <w:szCs w:val="20"/>
                <w:lang w:eastAsia="en-US"/>
              </w:rPr>
            </w:pPr>
            <w:r w:rsidRPr="00C65CAA">
              <w:rPr>
                <w:rFonts w:ascii="Arial Narrow" w:hAnsi="Arial Narrow"/>
                <w:b/>
                <w:bCs/>
                <w:sz w:val="20"/>
                <w:szCs w:val="20"/>
                <w:lang w:eastAsia="en-US"/>
              </w:rPr>
              <w:t>354 484</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776" w:rsidRPr="00C65CAA" w:rsidRDefault="00534776" w:rsidP="00011F12">
            <w:pPr>
              <w:jc w:val="right"/>
              <w:rPr>
                <w:rFonts w:ascii="Arial Narrow" w:hAnsi="Arial Narrow"/>
                <w:b/>
                <w:bCs/>
                <w:sz w:val="20"/>
                <w:szCs w:val="20"/>
                <w:lang w:eastAsia="en-US"/>
              </w:rPr>
            </w:pPr>
            <w:r w:rsidRPr="00C65CAA">
              <w:rPr>
                <w:rFonts w:ascii="Arial Narrow" w:hAnsi="Arial Narrow"/>
                <w:b/>
                <w:bCs/>
                <w:sz w:val="20"/>
                <w:szCs w:val="20"/>
                <w:lang w:eastAsia="en-US"/>
              </w:rPr>
              <w:t>64 349</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b/>
                <w:bCs/>
                <w:sz w:val="20"/>
                <w:szCs w:val="20"/>
                <w:lang w:eastAsia="en-US"/>
              </w:rPr>
            </w:pPr>
            <w:r w:rsidRPr="00C65CAA">
              <w:rPr>
                <w:rFonts w:ascii="Arial Narrow" w:hAnsi="Arial Narrow"/>
                <w:b/>
                <w:bCs/>
                <w:sz w:val="20"/>
                <w:szCs w:val="20"/>
                <w:lang w:eastAsia="en-US"/>
              </w:rPr>
              <w:t>122,2</w:t>
            </w:r>
          </w:p>
        </w:tc>
      </w:tr>
      <w:tr w:rsidR="00534776" w:rsidRPr="00C65CAA" w:rsidTr="00534776">
        <w:trPr>
          <w:trHeight w:val="234"/>
        </w:trPr>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bCs/>
                <w:i/>
                <w:iCs/>
                <w:sz w:val="20"/>
                <w:szCs w:val="20"/>
                <w:lang w:eastAsia="en-US"/>
              </w:rPr>
            </w:pPr>
            <w:r w:rsidRPr="00C65CAA">
              <w:rPr>
                <w:rFonts w:ascii="Arial Narrow" w:hAnsi="Arial Narrow"/>
                <w:bCs/>
                <w:i/>
                <w:iCs/>
                <w:sz w:val="20"/>
                <w:szCs w:val="20"/>
                <w:lang w:eastAsia="en-US"/>
              </w:rPr>
              <w:t>vylúčenie finančných operácií</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-250 120</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-120 000</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-120 000</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776" w:rsidRPr="00C65CAA" w:rsidRDefault="00534776" w:rsidP="00011F12">
            <w:pPr>
              <w:jc w:val="right"/>
              <w:rPr>
                <w:rFonts w:ascii="Arial Narrow" w:hAnsi="Arial Narrow"/>
                <w:bCs/>
                <w:sz w:val="20"/>
                <w:szCs w:val="20"/>
                <w:lang w:eastAsia="en-US"/>
              </w:rPr>
            </w:pPr>
            <w:r w:rsidRPr="00C65CAA">
              <w:rPr>
                <w:rFonts w:ascii="Arial Narrow" w:hAnsi="Arial Narrow"/>
                <w:bCs/>
                <w:sz w:val="20"/>
                <w:szCs w:val="20"/>
                <w:lang w:eastAsia="en-US"/>
              </w:rPr>
              <w:t>0</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bCs/>
                <w:sz w:val="20"/>
                <w:szCs w:val="20"/>
                <w:lang w:eastAsia="en-US"/>
              </w:rPr>
            </w:pPr>
            <w:r w:rsidRPr="00C65CAA">
              <w:rPr>
                <w:rFonts w:ascii="Arial Narrow" w:hAnsi="Arial Narrow"/>
                <w:bCs/>
                <w:sz w:val="20"/>
                <w:szCs w:val="20"/>
                <w:lang w:eastAsia="en-US"/>
              </w:rPr>
              <w:t>100</w:t>
            </w:r>
          </w:p>
        </w:tc>
      </w:tr>
      <w:tr w:rsidR="00534776" w:rsidRPr="00C65CAA" w:rsidTr="00534776">
        <w:trPr>
          <w:trHeight w:val="460"/>
        </w:trPr>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bCs/>
                <w:i/>
                <w:iCs/>
                <w:sz w:val="20"/>
                <w:szCs w:val="20"/>
                <w:lang w:eastAsia="en-US"/>
              </w:rPr>
            </w:pPr>
            <w:r w:rsidRPr="00C65CAA">
              <w:rPr>
                <w:rFonts w:ascii="Arial Narrow" w:hAnsi="Arial Narrow"/>
                <w:bCs/>
                <w:i/>
                <w:iCs/>
                <w:sz w:val="20"/>
                <w:szCs w:val="20"/>
                <w:lang w:eastAsia="en-US"/>
              </w:rPr>
              <w:t>zahrnutie časového rozlíšenia a ostatné úpravy</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-60 086</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bCs/>
                <w:sz w:val="20"/>
                <w:szCs w:val="20"/>
                <w:lang w:eastAsia="en-US"/>
              </w:rPr>
            </w:pPr>
            <w:r w:rsidRPr="00C65CAA">
              <w:rPr>
                <w:rFonts w:ascii="Arial Narrow" w:hAnsi="Arial Narrow"/>
                <w:bCs/>
                <w:sz w:val="20"/>
                <w:szCs w:val="20"/>
                <w:lang w:eastAsia="en-US"/>
              </w:rPr>
              <w:t>0</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bCs/>
                <w:sz w:val="20"/>
                <w:szCs w:val="20"/>
                <w:lang w:eastAsia="en-US"/>
              </w:rPr>
            </w:pPr>
            <w:r w:rsidRPr="00C65CAA">
              <w:rPr>
                <w:rFonts w:ascii="Arial Narrow" w:hAnsi="Arial Narrow"/>
                <w:bCs/>
                <w:sz w:val="20"/>
                <w:szCs w:val="20"/>
                <w:lang w:eastAsia="en-US"/>
              </w:rPr>
              <w:t>0</w:t>
            </w:r>
          </w:p>
        </w:tc>
      </w:tr>
      <w:tr w:rsidR="00534776" w:rsidRPr="00C65CAA" w:rsidTr="00534776">
        <w:trPr>
          <w:trHeight w:val="470"/>
        </w:trPr>
        <w:tc>
          <w:tcPr>
            <w:tcW w:w="29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b/>
                <w:bCs/>
                <w:sz w:val="20"/>
                <w:szCs w:val="20"/>
                <w:lang w:eastAsia="en-US"/>
              </w:rPr>
            </w:pPr>
            <w:r w:rsidRPr="00C65CAA">
              <w:rPr>
                <w:rFonts w:ascii="Arial Narrow" w:hAnsi="Arial Narrow"/>
                <w:b/>
                <w:bCs/>
                <w:sz w:val="20"/>
                <w:szCs w:val="20"/>
                <w:lang w:eastAsia="en-US"/>
              </w:rPr>
              <w:t>Prebytok (+) / schodok (-) obcí spolu (ESA 2010)</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b/>
                <w:sz w:val="20"/>
                <w:szCs w:val="20"/>
                <w:lang w:eastAsia="en-US"/>
              </w:rPr>
            </w:pPr>
            <w:r w:rsidRPr="00C65CAA">
              <w:rPr>
                <w:rFonts w:ascii="Arial Narrow" w:hAnsi="Arial Narrow"/>
                <w:b/>
                <w:sz w:val="20"/>
                <w:szCs w:val="20"/>
                <w:lang w:eastAsia="en-US"/>
              </w:rPr>
              <w:t>-7 722</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b/>
                <w:sz w:val="20"/>
                <w:szCs w:val="20"/>
                <w:lang w:eastAsia="en-US"/>
              </w:rPr>
            </w:pPr>
            <w:r w:rsidRPr="00C65CAA">
              <w:rPr>
                <w:rFonts w:ascii="Arial Narrow" w:hAnsi="Arial Narrow"/>
                <w:b/>
                <w:sz w:val="20"/>
                <w:szCs w:val="20"/>
                <w:lang w:eastAsia="en-US"/>
              </w:rPr>
              <w:t>170 135</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b/>
                <w:sz w:val="20"/>
                <w:szCs w:val="20"/>
                <w:lang w:eastAsia="en-US"/>
              </w:rPr>
            </w:pPr>
            <w:r w:rsidRPr="00C65CAA">
              <w:rPr>
                <w:rFonts w:ascii="Arial Narrow" w:hAnsi="Arial Narrow"/>
                <w:b/>
                <w:sz w:val="20"/>
                <w:szCs w:val="20"/>
                <w:lang w:eastAsia="en-US"/>
              </w:rPr>
              <w:t>234 484</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b/>
                <w:bCs/>
                <w:sz w:val="20"/>
                <w:szCs w:val="20"/>
                <w:lang w:eastAsia="en-US"/>
              </w:rPr>
            </w:pPr>
            <w:r w:rsidRPr="00C65CAA">
              <w:rPr>
                <w:rFonts w:ascii="Arial Narrow" w:hAnsi="Arial Narrow"/>
                <w:b/>
                <w:bCs/>
                <w:sz w:val="20"/>
                <w:szCs w:val="20"/>
                <w:lang w:eastAsia="en-US"/>
              </w:rPr>
              <w:t>64 349</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b/>
                <w:bCs/>
                <w:sz w:val="20"/>
                <w:szCs w:val="20"/>
                <w:lang w:eastAsia="en-US"/>
              </w:rPr>
            </w:pPr>
            <w:r w:rsidRPr="00C65CAA">
              <w:rPr>
                <w:rFonts w:ascii="Arial Narrow" w:hAnsi="Arial Narrow"/>
                <w:b/>
                <w:bCs/>
                <w:sz w:val="20"/>
                <w:szCs w:val="20"/>
                <w:lang w:eastAsia="en-US"/>
              </w:rPr>
              <w:t>137,8</w:t>
            </w:r>
          </w:p>
        </w:tc>
      </w:tr>
    </w:tbl>
    <w:p w:rsidR="00534776" w:rsidRPr="00C65CAA" w:rsidRDefault="00534776" w:rsidP="00011F12">
      <w:pPr>
        <w:spacing w:after="100"/>
        <w:jc w:val="both"/>
        <w:rPr>
          <w:rFonts w:ascii="Arial Narrow" w:eastAsiaTheme="minorEastAsia" w:hAnsi="Arial Narrow"/>
        </w:rPr>
      </w:pPr>
      <w:r w:rsidRPr="00C65CAA">
        <w:rPr>
          <w:rFonts w:ascii="Arial Narrow" w:eastAsiaTheme="minorEastAsia" w:hAnsi="Arial Narrow"/>
          <w:sz w:val="20"/>
          <w:szCs w:val="20"/>
        </w:rPr>
        <w:t>Zdroj: Návrh RVS na roky 2019 až 2021</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Na rok 2019 sa odhaduje na akruálnej báze v metodike ESA 2010 prebytkové hospodárenie obcí na úrovni 234 484 tis. eur, čo v porovnaní s rokom 2018 predstavuje zlepšenie hospodárenia o 64 349 tis. eur.</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Porovnanie návrhu rozpočtu príjmov obcí na hotovostnej báze v návrhu rozpočtu na rok 2019</w:t>
      </w:r>
      <w:r w:rsidR="00D94D93" w:rsidRPr="00C65CAA">
        <w:rPr>
          <w:rFonts w:ascii="Arial Narrow" w:eastAsiaTheme="minorHAnsi" w:hAnsi="Arial Narrow" w:cstheme="minorBidi"/>
          <w:sz w:val="22"/>
          <w:szCs w:val="22"/>
          <w:lang w:eastAsia="en-US"/>
        </w:rPr>
        <w:t xml:space="preserve"> so </w:t>
      </w:r>
      <w:r w:rsidRPr="00C65CAA">
        <w:rPr>
          <w:rFonts w:ascii="Arial Narrow" w:eastAsiaTheme="minorHAnsi" w:hAnsi="Arial Narrow" w:cstheme="minorBidi"/>
          <w:sz w:val="22"/>
          <w:szCs w:val="22"/>
          <w:lang w:eastAsia="en-US"/>
        </w:rPr>
        <w:t xml:space="preserve">schváleným rozpočtom na rok 2018 a skutočným plnením rozpočtu za rok 2017: </w:t>
      </w:r>
    </w:p>
    <w:tbl>
      <w:tblPr>
        <w:tblStyle w:val="Mriekatabuky"/>
        <w:tblW w:w="9212" w:type="dxa"/>
        <w:tblLook w:val="04A0" w:firstRow="1" w:lastRow="0" w:firstColumn="1" w:lastColumn="0" w:noHBand="0" w:noVBand="1"/>
      </w:tblPr>
      <w:tblGrid>
        <w:gridCol w:w="2942"/>
        <w:gridCol w:w="1254"/>
        <w:gridCol w:w="1254"/>
        <w:gridCol w:w="1254"/>
        <w:gridCol w:w="1254"/>
        <w:gridCol w:w="1254"/>
      </w:tblGrid>
      <w:tr w:rsidR="00534776" w:rsidRPr="00C65CAA" w:rsidTr="00534776">
        <w:trPr>
          <w:tblHeader/>
        </w:trPr>
        <w:tc>
          <w:tcPr>
            <w:tcW w:w="2942" w:type="dxa"/>
            <w:vMerge w:val="restart"/>
            <w:tcBorders>
              <w:top w:val="single" w:sz="4" w:space="0" w:color="auto"/>
              <w:left w:val="single" w:sz="4" w:space="0" w:color="auto"/>
              <w:bottom w:val="single" w:sz="4" w:space="0" w:color="auto"/>
              <w:right w:val="single" w:sz="4" w:space="0" w:color="FFFFFF" w:themeColor="background1"/>
            </w:tcBorders>
            <w:shd w:val="clear" w:color="auto" w:fill="0070C0"/>
            <w:vAlign w:val="center"/>
            <w:hideMark/>
          </w:tcPr>
          <w:p w:rsidR="00534776" w:rsidRPr="00C65CAA" w:rsidRDefault="00534776" w:rsidP="00011F12">
            <w:pPr>
              <w:jc w:val="center"/>
              <w:rPr>
                <w:rFonts w:ascii="Arial Narrow" w:eastAsia="Calibri" w:hAnsi="Arial Narrow"/>
                <w:b/>
                <w:bCs/>
                <w:color w:val="FFFFFF" w:themeColor="background1"/>
                <w:sz w:val="20"/>
                <w:szCs w:val="20"/>
                <w:lang w:eastAsia="en-US"/>
              </w:rPr>
            </w:pPr>
            <w:r w:rsidRPr="00C65CAA">
              <w:rPr>
                <w:rFonts w:ascii="Arial Narrow" w:eastAsia="Calibri" w:hAnsi="Arial Narrow"/>
                <w:b/>
                <w:bCs/>
                <w:color w:val="FFFFFF" w:themeColor="background1"/>
                <w:sz w:val="20"/>
                <w:szCs w:val="20"/>
                <w:lang w:eastAsia="en-US"/>
              </w:rPr>
              <w:t>Názov ukazovateľa</w:t>
            </w:r>
          </w:p>
          <w:p w:rsidR="00534776" w:rsidRPr="00C65CAA" w:rsidRDefault="00534776" w:rsidP="00011F12">
            <w:pPr>
              <w:jc w:val="center"/>
              <w:rPr>
                <w:rFonts w:ascii="Arial Narrow" w:eastAsia="Calibri" w:hAnsi="Arial Narrow"/>
                <w:b/>
                <w:color w:val="FFFFFF" w:themeColor="background1"/>
                <w:sz w:val="20"/>
                <w:szCs w:val="20"/>
                <w:lang w:eastAsia="en-US"/>
              </w:rPr>
            </w:pPr>
            <w:r w:rsidRPr="00C65CAA">
              <w:rPr>
                <w:rFonts w:ascii="Arial Narrow" w:eastAsia="Calibri" w:hAnsi="Arial Narrow"/>
                <w:b/>
                <w:bCs/>
                <w:color w:val="FFFFFF" w:themeColor="background1"/>
                <w:sz w:val="20"/>
                <w:szCs w:val="20"/>
                <w:lang w:eastAsia="en-US"/>
              </w:rPr>
              <w:t>(v tis. eur)</w:t>
            </w:r>
          </w:p>
        </w:tc>
        <w:tc>
          <w:tcPr>
            <w:tcW w:w="1254" w:type="dxa"/>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Skutočnosť</w:t>
            </w:r>
          </w:p>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2017</w:t>
            </w:r>
          </w:p>
        </w:tc>
        <w:tc>
          <w:tcPr>
            <w:tcW w:w="250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Rozpočet</w:t>
            </w:r>
          </w:p>
        </w:tc>
        <w:tc>
          <w:tcPr>
            <w:tcW w:w="1254" w:type="dxa"/>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Rozdiel</w:t>
            </w:r>
          </w:p>
        </w:tc>
        <w:tc>
          <w:tcPr>
            <w:tcW w:w="1254" w:type="dxa"/>
            <w:vMerge w:val="restart"/>
            <w:tcBorders>
              <w:top w:val="single" w:sz="4" w:space="0" w:color="auto"/>
              <w:left w:val="single" w:sz="4" w:space="0" w:color="FFFFFF" w:themeColor="background1"/>
              <w:bottom w:val="single" w:sz="4" w:space="0" w:color="auto"/>
              <w:right w:val="single" w:sz="4" w:space="0" w:color="auto"/>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Podiel (v %)</w:t>
            </w:r>
          </w:p>
        </w:tc>
      </w:tr>
      <w:tr w:rsidR="00534776" w:rsidRPr="00C65CAA" w:rsidTr="00534776">
        <w:trPr>
          <w:tblHeader/>
        </w:trPr>
        <w:tc>
          <w:tcPr>
            <w:tcW w:w="0" w:type="auto"/>
            <w:vMerge/>
            <w:tcBorders>
              <w:top w:val="single" w:sz="4" w:space="0" w:color="auto"/>
              <w:left w:val="single" w:sz="4" w:space="0" w:color="auto"/>
              <w:bottom w:val="single" w:sz="4" w:space="0" w:color="auto"/>
              <w:right w:val="single" w:sz="4" w:space="0" w:color="FFFFFF" w:themeColor="background1"/>
            </w:tcBorders>
            <w:shd w:val="clear" w:color="auto" w:fill="0070C0"/>
            <w:vAlign w:val="center"/>
            <w:hideMark/>
          </w:tcPr>
          <w:p w:rsidR="00534776" w:rsidRPr="00C65CAA" w:rsidRDefault="00534776" w:rsidP="00011F12">
            <w:pPr>
              <w:rPr>
                <w:rFonts w:ascii="Arial Narrow" w:eastAsia="Calibri" w:hAnsi="Arial Narrow"/>
                <w:b/>
                <w:color w:val="FFFFFF" w:themeColor="background1"/>
                <w:sz w:val="20"/>
                <w:szCs w:val="20"/>
                <w:lang w:eastAsia="en-US"/>
              </w:rPr>
            </w:pPr>
          </w:p>
        </w:tc>
        <w:tc>
          <w:tcPr>
            <w:tcW w:w="0" w:type="auto"/>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rPr>
                <w:rFonts w:ascii="Arial Narrow" w:hAnsi="Arial Narrow"/>
                <w:b/>
                <w:color w:val="FFFFFF" w:themeColor="background1"/>
                <w:sz w:val="20"/>
                <w:szCs w:val="20"/>
                <w:lang w:eastAsia="en-US"/>
              </w:rPr>
            </w:pPr>
          </w:p>
        </w:tc>
        <w:tc>
          <w:tcPr>
            <w:tcW w:w="125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2018</w:t>
            </w:r>
          </w:p>
        </w:tc>
        <w:tc>
          <w:tcPr>
            <w:tcW w:w="125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2019</w:t>
            </w:r>
          </w:p>
        </w:tc>
        <w:tc>
          <w:tcPr>
            <w:tcW w:w="0" w:type="auto"/>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rPr>
                <w:rFonts w:ascii="Arial Narrow" w:hAnsi="Arial Narrow"/>
                <w:b/>
                <w:color w:val="FFFFFF" w:themeColor="background1"/>
                <w:sz w:val="20"/>
                <w:szCs w:val="20"/>
                <w:lang w:eastAsia="en-US"/>
              </w:rPr>
            </w:pPr>
          </w:p>
        </w:tc>
        <w:tc>
          <w:tcPr>
            <w:tcW w:w="0" w:type="auto"/>
            <w:vMerge/>
            <w:tcBorders>
              <w:top w:val="single" w:sz="4" w:space="0" w:color="auto"/>
              <w:left w:val="single" w:sz="4" w:space="0" w:color="FFFFFF" w:themeColor="background1"/>
              <w:bottom w:val="single" w:sz="4" w:space="0" w:color="auto"/>
              <w:right w:val="single" w:sz="4" w:space="0" w:color="auto"/>
            </w:tcBorders>
            <w:shd w:val="clear" w:color="auto" w:fill="0070C0"/>
            <w:vAlign w:val="center"/>
            <w:hideMark/>
          </w:tcPr>
          <w:p w:rsidR="00534776" w:rsidRPr="00C65CAA" w:rsidRDefault="00534776" w:rsidP="00011F12">
            <w:pPr>
              <w:rPr>
                <w:rFonts w:ascii="Arial Narrow" w:hAnsi="Arial Narrow"/>
                <w:b/>
                <w:color w:val="FFFFFF" w:themeColor="background1"/>
                <w:sz w:val="20"/>
                <w:szCs w:val="20"/>
                <w:lang w:eastAsia="en-US"/>
              </w:rPr>
            </w:pPr>
          </w:p>
        </w:tc>
      </w:tr>
      <w:tr w:rsidR="00534776" w:rsidRPr="00C65CAA" w:rsidTr="00534776">
        <w:trPr>
          <w:tblHeader/>
        </w:trPr>
        <w:tc>
          <w:tcPr>
            <w:tcW w:w="2942" w:type="dxa"/>
            <w:tcBorders>
              <w:top w:val="single" w:sz="4" w:space="0" w:color="auto"/>
              <w:left w:val="single" w:sz="4" w:space="0" w:color="auto"/>
              <w:bottom w:val="single" w:sz="4" w:space="0" w:color="auto"/>
              <w:right w:val="single" w:sz="4" w:space="0" w:color="auto"/>
            </w:tcBorders>
            <w:vAlign w:val="center"/>
            <w:hideMark/>
          </w:tcPr>
          <w:p w:rsidR="00534776" w:rsidRPr="00C65CAA" w:rsidRDefault="00534776" w:rsidP="00011F12">
            <w:pPr>
              <w:jc w:val="center"/>
              <w:rPr>
                <w:rFonts w:ascii="Arial Narrow" w:hAnsi="Arial Narrow"/>
                <w:bCs/>
                <w:sz w:val="20"/>
                <w:szCs w:val="20"/>
                <w:lang w:eastAsia="en-US"/>
              </w:rPr>
            </w:pPr>
            <w:r w:rsidRPr="00C65CAA">
              <w:rPr>
                <w:rFonts w:ascii="Arial Narrow" w:hAnsi="Arial Narrow"/>
                <w:bCs/>
                <w:sz w:val="20"/>
                <w:szCs w:val="20"/>
                <w:lang w:eastAsia="en-US"/>
              </w:rPr>
              <w:t>a</w:t>
            </w:r>
          </w:p>
        </w:tc>
        <w:tc>
          <w:tcPr>
            <w:tcW w:w="1254" w:type="dxa"/>
            <w:tcBorders>
              <w:top w:val="single" w:sz="4" w:space="0" w:color="auto"/>
              <w:left w:val="single" w:sz="4" w:space="0" w:color="auto"/>
              <w:bottom w:val="single" w:sz="4" w:space="0" w:color="auto"/>
              <w:right w:val="single" w:sz="4" w:space="0" w:color="auto"/>
            </w:tcBorders>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1</w:t>
            </w:r>
          </w:p>
        </w:tc>
        <w:tc>
          <w:tcPr>
            <w:tcW w:w="1254" w:type="dxa"/>
            <w:tcBorders>
              <w:top w:val="single" w:sz="4" w:space="0" w:color="auto"/>
              <w:left w:val="single" w:sz="4" w:space="0" w:color="auto"/>
              <w:bottom w:val="single" w:sz="4" w:space="0" w:color="auto"/>
              <w:right w:val="single" w:sz="4" w:space="0" w:color="auto"/>
            </w:tcBorders>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2</w:t>
            </w:r>
          </w:p>
        </w:tc>
        <w:tc>
          <w:tcPr>
            <w:tcW w:w="1254" w:type="dxa"/>
            <w:tcBorders>
              <w:top w:val="single" w:sz="4" w:space="0" w:color="auto"/>
              <w:left w:val="single" w:sz="4" w:space="0" w:color="auto"/>
              <w:bottom w:val="single" w:sz="4" w:space="0" w:color="auto"/>
              <w:right w:val="single" w:sz="4" w:space="0" w:color="auto"/>
            </w:tcBorders>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3</w:t>
            </w:r>
          </w:p>
        </w:tc>
        <w:tc>
          <w:tcPr>
            <w:tcW w:w="1254" w:type="dxa"/>
            <w:tcBorders>
              <w:top w:val="single" w:sz="4" w:space="0" w:color="auto"/>
              <w:left w:val="single" w:sz="4" w:space="0" w:color="auto"/>
              <w:bottom w:val="single" w:sz="4" w:space="0" w:color="auto"/>
              <w:right w:val="single" w:sz="4" w:space="0" w:color="auto"/>
            </w:tcBorders>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3-2</w:t>
            </w:r>
          </w:p>
        </w:tc>
        <w:tc>
          <w:tcPr>
            <w:tcW w:w="1254" w:type="dxa"/>
            <w:tcBorders>
              <w:top w:val="single" w:sz="4" w:space="0" w:color="auto"/>
              <w:left w:val="single" w:sz="4" w:space="0" w:color="auto"/>
              <w:bottom w:val="single" w:sz="4" w:space="0" w:color="auto"/>
              <w:right w:val="single" w:sz="4" w:space="0" w:color="auto"/>
            </w:tcBorders>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3/2*100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b/>
                <w:bCs/>
                <w:sz w:val="20"/>
                <w:szCs w:val="20"/>
                <w:lang w:eastAsia="en-US"/>
              </w:rPr>
            </w:pPr>
            <w:r w:rsidRPr="00C65CAA">
              <w:rPr>
                <w:rFonts w:ascii="Arial Narrow" w:hAnsi="Arial Narrow"/>
                <w:b/>
                <w:bCs/>
                <w:sz w:val="20"/>
                <w:szCs w:val="20"/>
                <w:lang w:eastAsia="en-US"/>
              </w:rPr>
              <w:t>Príjmy obcí spolu</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b/>
                <w:bCs/>
                <w:sz w:val="20"/>
                <w:szCs w:val="20"/>
                <w:lang w:eastAsia="en-US"/>
              </w:rPr>
            </w:pPr>
            <w:r w:rsidRPr="00C65CAA">
              <w:rPr>
                <w:rFonts w:ascii="Arial Narrow" w:hAnsi="Arial Narrow"/>
                <w:b/>
                <w:bCs/>
                <w:sz w:val="20"/>
                <w:szCs w:val="20"/>
                <w:lang w:eastAsia="en-US"/>
              </w:rPr>
              <w:t>4 594 449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b/>
                <w:bCs/>
                <w:sz w:val="20"/>
                <w:szCs w:val="20"/>
                <w:lang w:eastAsia="en-US"/>
              </w:rPr>
            </w:pPr>
            <w:r w:rsidRPr="00C65CAA">
              <w:rPr>
                <w:rFonts w:ascii="Arial Narrow" w:hAnsi="Arial Narrow"/>
                <w:b/>
                <w:bCs/>
                <w:sz w:val="20"/>
                <w:szCs w:val="20"/>
                <w:lang w:eastAsia="en-US"/>
              </w:rPr>
              <w:t>4 596 970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b/>
                <w:bCs/>
                <w:sz w:val="20"/>
                <w:szCs w:val="20"/>
                <w:lang w:eastAsia="en-US"/>
              </w:rPr>
            </w:pPr>
            <w:r w:rsidRPr="00C65CAA">
              <w:rPr>
                <w:rFonts w:ascii="Arial Narrow" w:hAnsi="Arial Narrow"/>
                <w:b/>
                <w:bCs/>
                <w:sz w:val="20"/>
                <w:szCs w:val="20"/>
                <w:lang w:eastAsia="en-US"/>
              </w:rPr>
              <w:t>4 743 170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b/>
                <w:sz w:val="20"/>
                <w:szCs w:val="20"/>
                <w:lang w:eastAsia="en-US"/>
              </w:rPr>
            </w:pPr>
            <w:r w:rsidRPr="00C65CAA">
              <w:rPr>
                <w:rFonts w:ascii="Arial Narrow" w:hAnsi="Arial Narrow"/>
                <w:b/>
                <w:sz w:val="20"/>
                <w:szCs w:val="20"/>
                <w:lang w:eastAsia="en-US"/>
              </w:rPr>
              <w:t>146 200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b/>
                <w:sz w:val="20"/>
                <w:szCs w:val="20"/>
                <w:lang w:eastAsia="en-US"/>
              </w:rPr>
            </w:pPr>
            <w:r w:rsidRPr="00C65CAA">
              <w:rPr>
                <w:rFonts w:ascii="Arial Narrow" w:hAnsi="Arial Narrow"/>
                <w:b/>
                <w:sz w:val="20"/>
                <w:szCs w:val="20"/>
                <w:lang w:eastAsia="en-US"/>
              </w:rPr>
              <w:t>103,2</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i/>
                <w:sz w:val="20"/>
                <w:szCs w:val="20"/>
                <w:lang w:eastAsia="en-US"/>
              </w:rPr>
            </w:pPr>
            <w:r w:rsidRPr="00C65CAA">
              <w:rPr>
                <w:rFonts w:ascii="Arial Narrow" w:hAnsi="Arial Narrow"/>
                <w:i/>
                <w:sz w:val="20"/>
                <w:szCs w:val="20"/>
                <w:lang w:eastAsia="en-US"/>
              </w:rPr>
              <w:t>z toho:</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 </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 </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pStyle w:val="Odsekzoznamu"/>
              <w:numPr>
                <w:ilvl w:val="0"/>
                <w:numId w:val="104"/>
              </w:numPr>
              <w:rPr>
                <w:rFonts w:ascii="Arial Narrow" w:hAnsi="Arial Narrow"/>
                <w:sz w:val="20"/>
                <w:szCs w:val="20"/>
                <w:lang w:eastAsia="en-US"/>
              </w:rPr>
            </w:pPr>
            <w:r w:rsidRPr="00C65CAA">
              <w:rPr>
                <w:rFonts w:ascii="Arial Narrow" w:hAnsi="Arial Narrow"/>
                <w:sz w:val="20"/>
                <w:szCs w:val="20"/>
                <w:lang w:eastAsia="en-US"/>
              </w:rPr>
              <w:lastRenderedPageBreak/>
              <w:t>daňové príjmy</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2 341 995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2 496 978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2 753 062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256 084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110,3</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pStyle w:val="Odsekzoznamu"/>
              <w:numPr>
                <w:ilvl w:val="0"/>
                <w:numId w:val="104"/>
              </w:numPr>
              <w:rPr>
                <w:rFonts w:ascii="Arial Narrow" w:hAnsi="Arial Narrow"/>
                <w:sz w:val="20"/>
                <w:szCs w:val="20"/>
                <w:lang w:eastAsia="en-US"/>
              </w:rPr>
            </w:pPr>
            <w:r w:rsidRPr="00C65CAA">
              <w:rPr>
                <w:rFonts w:ascii="Arial Narrow" w:hAnsi="Arial Narrow"/>
                <w:sz w:val="20"/>
                <w:szCs w:val="20"/>
                <w:lang w:eastAsia="en-US"/>
              </w:rPr>
              <w:t>nedaňové príjmy</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572 063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600 000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600 000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pStyle w:val="Odsekzoznamu"/>
              <w:numPr>
                <w:ilvl w:val="0"/>
                <w:numId w:val="104"/>
              </w:numPr>
              <w:rPr>
                <w:rFonts w:ascii="Arial Narrow" w:hAnsi="Arial Narrow"/>
                <w:sz w:val="20"/>
                <w:szCs w:val="20"/>
                <w:lang w:eastAsia="en-US"/>
              </w:rPr>
            </w:pPr>
            <w:r w:rsidRPr="00C65CAA">
              <w:rPr>
                <w:rFonts w:ascii="Arial Narrow" w:hAnsi="Arial Narrow"/>
                <w:sz w:val="20"/>
                <w:szCs w:val="20"/>
                <w:lang w:eastAsia="en-US"/>
              </w:rPr>
              <w:t>granty a transfery</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1 266 604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1 159 992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1 050 108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-109 884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90,5</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pStyle w:val="Odsekzoznamu"/>
              <w:numPr>
                <w:ilvl w:val="0"/>
                <w:numId w:val="104"/>
              </w:numPr>
              <w:rPr>
                <w:rFonts w:ascii="Arial Narrow" w:hAnsi="Arial Narrow"/>
                <w:sz w:val="20"/>
                <w:szCs w:val="20"/>
                <w:lang w:eastAsia="en-US"/>
              </w:rPr>
            </w:pPr>
            <w:r w:rsidRPr="00C65CAA">
              <w:rPr>
                <w:rFonts w:ascii="Arial Narrow" w:hAnsi="Arial Narrow"/>
                <w:sz w:val="20"/>
                <w:szCs w:val="20"/>
                <w:lang w:eastAsia="en-US"/>
              </w:rPr>
              <w:t>finančné operácie</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413 787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340 000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340 000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i/>
                <w:sz w:val="20"/>
                <w:szCs w:val="20"/>
                <w:lang w:eastAsia="en-US"/>
              </w:rPr>
            </w:pPr>
            <w:r w:rsidRPr="00C65CAA">
              <w:rPr>
                <w:rFonts w:ascii="Arial Narrow" w:hAnsi="Arial Narrow"/>
                <w:i/>
                <w:sz w:val="20"/>
                <w:szCs w:val="20"/>
                <w:lang w:eastAsia="en-US"/>
              </w:rPr>
              <w:t>z toho:</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 </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 </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pStyle w:val="Odsekzoznamu"/>
              <w:numPr>
                <w:ilvl w:val="0"/>
                <w:numId w:val="105"/>
              </w:numPr>
              <w:ind w:left="426"/>
              <w:rPr>
                <w:rFonts w:ascii="Arial Narrow" w:hAnsi="Arial Narrow"/>
                <w:sz w:val="20"/>
                <w:szCs w:val="20"/>
                <w:lang w:eastAsia="en-US"/>
              </w:rPr>
            </w:pPr>
            <w:r w:rsidRPr="00C65CAA">
              <w:rPr>
                <w:rFonts w:ascii="Arial Narrow" w:hAnsi="Arial Narrow"/>
                <w:sz w:val="20"/>
                <w:szCs w:val="20"/>
                <w:lang w:eastAsia="en-US"/>
              </w:rPr>
              <w:t xml:space="preserve">zo splátok tuzemských úverov, pôžičiek s z predaja majetkových účastí </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27 833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pStyle w:val="Odsekzoznamu"/>
              <w:numPr>
                <w:ilvl w:val="0"/>
                <w:numId w:val="105"/>
              </w:numPr>
              <w:ind w:left="426"/>
              <w:rPr>
                <w:rFonts w:ascii="Arial Narrow" w:hAnsi="Arial Narrow"/>
                <w:sz w:val="20"/>
                <w:szCs w:val="20"/>
                <w:lang w:eastAsia="en-US"/>
              </w:rPr>
            </w:pPr>
            <w:r w:rsidRPr="00C65CAA">
              <w:rPr>
                <w:rFonts w:ascii="Arial Narrow" w:hAnsi="Arial Narrow"/>
                <w:sz w:val="20"/>
                <w:szCs w:val="20"/>
                <w:lang w:eastAsia="en-US"/>
              </w:rPr>
              <w:t>zostatok prostriedkov z predch. rokov a prevod prostriedkov z peňažných fondov</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228 653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150 000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150 000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pStyle w:val="Odsekzoznamu"/>
              <w:numPr>
                <w:ilvl w:val="0"/>
                <w:numId w:val="105"/>
              </w:numPr>
              <w:ind w:left="426"/>
              <w:rPr>
                <w:rFonts w:ascii="Arial Narrow" w:hAnsi="Arial Narrow"/>
                <w:sz w:val="20"/>
                <w:szCs w:val="20"/>
                <w:lang w:eastAsia="en-US"/>
              </w:rPr>
            </w:pPr>
            <w:r w:rsidRPr="00C65CAA">
              <w:rPr>
                <w:rFonts w:ascii="Arial Narrow" w:hAnsi="Arial Narrow"/>
                <w:sz w:val="20"/>
                <w:szCs w:val="20"/>
                <w:lang w:eastAsia="en-US"/>
              </w:rPr>
              <w:t xml:space="preserve">prijaté úvery </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157 301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180 000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180 000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100</w:t>
            </w:r>
          </w:p>
        </w:tc>
      </w:tr>
    </w:tbl>
    <w:p w:rsidR="00534776" w:rsidRPr="00C65CAA" w:rsidRDefault="00534776" w:rsidP="00011F12">
      <w:pPr>
        <w:spacing w:after="100"/>
        <w:jc w:val="both"/>
        <w:rPr>
          <w:rFonts w:ascii="Arial Narrow" w:eastAsiaTheme="minorEastAsia" w:hAnsi="Arial Narrow"/>
        </w:rPr>
      </w:pPr>
      <w:r w:rsidRPr="00C65CAA">
        <w:rPr>
          <w:rFonts w:ascii="Arial Narrow" w:eastAsiaTheme="minorEastAsia" w:hAnsi="Arial Narrow"/>
          <w:sz w:val="20"/>
          <w:szCs w:val="20"/>
        </w:rPr>
        <w:t>Zdroj: Návrh RVS na roky 2019 až 2021</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Celkové príjmy obcí na hotovostnej báze sa v roku 2019 majú medziroč</w:t>
      </w:r>
      <w:r w:rsidR="00D94D93" w:rsidRPr="00C65CAA">
        <w:rPr>
          <w:rFonts w:ascii="Arial Narrow" w:eastAsiaTheme="minorHAnsi" w:hAnsi="Arial Narrow" w:cstheme="minorBidi"/>
          <w:sz w:val="22"/>
          <w:szCs w:val="22"/>
          <w:lang w:eastAsia="en-US"/>
        </w:rPr>
        <w:t>ne zvýšiť o 146 200 tis. eur</w:t>
      </w:r>
      <w:r w:rsidR="00C6165F" w:rsidRPr="00C65CAA">
        <w:rPr>
          <w:rFonts w:ascii="Arial Narrow" w:eastAsiaTheme="minorHAnsi" w:hAnsi="Arial Narrow" w:cstheme="minorBidi"/>
          <w:sz w:val="22"/>
          <w:szCs w:val="22"/>
          <w:lang w:eastAsia="en-US"/>
        </w:rPr>
        <w:t>,</w:t>
      </w:r>
      <w:r w:rsidR="00D94D93" w:rsidRPr="00C65CAA">
        <w:rPr>
          <w:rFonts w:ascii="Arial Narrow" w:eastAsiaTheme="minorHAnsi" w:hAnsi="Arial Narrow" w:cstheme="minorBidi"/>
          <w:sz w:val="22"/>
          <w:szCs w:val="22"/>
          <w:lang w:eastAsia="en-US"/>
        </w:rPr>
        <w:t xml:space="preserve"> na </w:t>
      </w:r>
      <w:r w:rsidRPr="00C65CAA">
        <w:rPr>
          <w:rFonts w:ascii="Arial Narrow" w:eastAsiaTheme="minorHAnsi" w:hAnsi="Arial Narrow" w:cstheme="minorBidi"/>
          <w:sz w:val="22"/>
          <w:szCs w:val="22"/>
          <w:lang w:eastAsia="en-US"/>
        </w:rPr>
        <w:t xml:space="preserve">úroveň 4 743 170 tis. eur. Stav zostatku prostriedkov z predchádzajúcich rokov a prevodu z peňažných fondov zostáva na úrovni predchádzajúceho roka. </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Vo zvýšení rozpočtovania celkových príjmov sa má najvýznamnejšie prejaviť medziročné zvýšenie daňových príjmov o 256 084 tis. eur (predovšetkým nárast vďaka prevodu DPFO o 255 797 tis. eur), naopak</w:t>
      </w:r>
      <w:r w:rsidR="00C6165F"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predpokladá sa medziročný pokles grantov a transferov oproti rozpočtu 2018. Najviac sa na tomto poklese budú podieľať transfery zo štátneho rozpočtu, ktoré klesnú o 164 735 tis. eur. Dôvodom je hlavne nerozpočtovanie transferov z kapitoly MPRV SR, ktoré boli v roku 2018 rozpočtované vo výške 158 746 tis. eur. Ide pritom o prostriedky z európskych fondov v rámci operačných programov regionálneho rozvoja (IROP a Intereg). Riziko rozpočtu v samospráve predstavuje veľmi pomalé čerpanie týchto prostriedkov. Z </w:t>
      </w:r>
      <w:r w:rsidR="00D94D93" w:rsidRPr="00C65CAA">
        <w:rPr>
          <w:rFonts w:ascii="Arial Narrow" w:eastAsiaTheme="minorHAnsi" w:hAnsi="Arial Narrow" w:cstheme="minorBidi"/>
          <w:sz w:val="22"/>
          <w:szCs w:val="22"/>
          <w:lang w:eastAsia="en-US"/>
        </w:rPr>
        <w:t>celkovej sumy viac ako 1,5 mld. </w:t>
      </w:r>
      <w:r w:rsidRPr="00C65CAA">
        <w:rPr>
          <w:rFonts w:ascii="Arial Narrow" w:eastAsiaTheme="minorHAnsi" w:hAnsi="Arial Narrow" w:cstheme="minorBidi"/>
          <w:sz w:val="22"/>
          <w:szCs w:val="22"/>
          <w:lang w:eastAsia="en-US"/>
        </w:rPr>
        <w:t>eur, ktorá je na tieto programy vyčlenená, vyčerpali obce k 30.</w:t>
      </w:r>
      <w:r w:rsidR="00C6165F" w:rsidRPr="00C65CAA">
        <w:rPr>
          <w:rFonts w:ascii="Arial Narrow" w:eastAsiaTheme="minorHAnsi" w:hAnsi="Arial Narrow" w:cstheme="minorBidi"/>
          <w:sz w:val="22"/>
          <w:szCs w:val="22"/>
          <w:lang w:eastAsia="en-US"/>
        </w:rPr>
        <w:t xml:space="preserve"> </w:t>
      </w:r>
      <w:r w:rsidRPr="00C65CAA">
        <w:rPr>
          <w:rFonts w:ascii="Arial Narrow" w:eastAsiaTheme="minorHAnsi" w:hAnsi="Arial Narrow" w:cstheme="minorBidi"/>
          <w:sz w:val="22"/>
          <w:szCs w:val="22"/>
          <w:lang w:eastAsia="en-US"/>
        </w:rPr>
        <w:t>6.</w:t>
      </w:r>
      <w:r w:rsidR="00C6165F" w:rsidRPr="00C65CAA">
        <w:rPr>
          <w:rFonts w:ascii="Arial Narrow" w:eastAsiaTheme="minorHAnsi" w:hAnsi="Arial Narrow" w:cstheme="minorBidi"/>
          <w:sz w:val="22"/>
          <w:szCs w:val="22"/>
          <w:lang w:eastAsia="en-US"/>
        </w:rPr>
        <w:t xml:space="preserve"> </w:t>
      </w:r>
      <w:r w:rsidRPr="00C65CAA">
        <w:rPr>
          <w:rFonts w:ascii="Arial Narrow" w:eastAsiaTheme="minorHAnsi" w:hAnsi="Arial Narrow" w:cstheme="minorBidi"/>
          <w:sz w:val="22"/>
          <w:szCs w:val="22"/>
          <w:lang w:eastAsia="en-US"/>
        </w:rPr>
        <w:t xml:space="preserve">2018 iba 0,1 %. </w:t>
      </w:r>
      <w:r w:rsidR="00D94D93" w:rsidRPr="00C65CAA">
        <w:rPr>
          <w:rFonts w:ascii="Arial Narrow" w:eastAsiaTheme="minorHAnsi" w:hAnsi="Arial Narrow" w:cstheme="minorBidi"/>
          <w:sz w:val="22"/>
          <w:szCs w:val="22"/>
          <w:lang w:eastAsia="en-US"/>
        </w:rPr>
        <w:t>NKÚ SR upozorňuje, že </w:t>
      </w:r>
      <w:r w:rsidRPr="00C65CAA">
        <w:rPr>
          <w:rFonts w:ascii="Arial Narrow" w:eastAsiaTheme="minorHAnsi" w:hAnsi="Arial Narrow" w:cstheme="minorBidi"/>
          <w:sz w:val="22"/>
          <w:szCs w:val="22"/>
          <w:lang w:eastAsia="en-US"/>
        </w:rPr>
        <w:t>pri nerozpočtovaní, príp. veľmi pomalom čerpaní týchto prostriedkov hrozí riziko prepadnutia, resp. nutnosti vrátenia časti z týchto peňazí.</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Transfery zo ŠR do rozpočtov obcí sa v roku 2019 očakávajú v celkovej sume 940 mil. eur, a to z týchto kapitol:</w:t>
      </w:r>
    </w:p>
    <w:p w:rsidR="00534776" w:rsidRPr="00C65CAA" w:rsidRDefault="00534776" w:rsidP="00256AF8">
      <w:pPr>
        <w:pStyle w:val="Odsekzoznamu"/>
        <w:numPr>
          <w:ilvl w:val="0"/>
          <w:numId w:val="105"/>
        </w:numPr>
        <w:spacing w:before="100" w:after="100"/>
        <w:ind w:left="426" w:hanging="426"/>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Ministerstva školstva, vedy, výskumu a športu SR v sume 17,6 mil. eur, čo predstavuje medziročný nárast o 17 mil. eur, z dôvodu alokácie prostriedkov EÚ prostredníctvom OP Vzdel</w:t>
      </w:r>
      <w:r w:rsidR="00D94D93" w:rsidRPr="00C65CAA">
        <w:rPr>
          <w:rFonts w:ascii="Arial Narrow" w:eastAsiaTheme="minorHAnsi" w:hAnsi="Arial Narrow" w:cstheme="minorBidi"/>
          <w:sz w:val="22"/>
          <w:szCs w:val="22"/>
          <w:lang w:eastAsia="en-US"/>
        </w:rPr>
        <w:t>ávanie, ktoré v rozpočte na rok </w:t>
      </w:r>
      <w:r w:rsidRPr="00C65CAA">
        <w:rPr>
          <w:rFonts w:ascii="Arial Narrow" w:eastAsiaTheme="minorHAnsi" w:hAnsi="Arial Narrow" w:cstheme="minorBidi"/>
          <w:sz w:val="22"/>
          <w:szCs w:val="22"/>
          <w:lang w:eastAsia="en-US"/>
        </w:rPr>
        <w:t>2018 chýbali;</w:t>
      </w:r>
    </w:p>
    <w:p w:rsidR="00534776" w:rsidRPr="00C65CAA" w:rsidRDefault="00534776" w:rsidP="00256AF8">
      <w:pPr>
        <w:pStyle w:val="Odsekzoznamu"/>
        <w:numPr>
          <w:ilvl w:val="0"/>
          <w:numId w:val="105"/>
        </w:numPr>
        <w:spacing w:before="100" w:after="100"/>
        <w:ind w:left="426" w:hanging="426"/>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Ministerstva vnútra SR v sume 847 mil. eur, čo predstavuje me</w:t>
      </w:r>
      <w:r w:rsidR="00C6165F" w:rsidRPr="00C65CAA">
        <w:rPr>
          <w:rFonts w:ascii="Arial Narrow" w:eastAsiaTheme="minorHAnsi" w:hAnsi="Arial Narrow" w:cstheme="minorBidi"/>
          <w:sz w:val="22"/>
          <w:szCs w:val="22"/>
          <w:lang w:eastAsia="en-US"/>
        </w:rPr>
        <w:t>dziročný nárast o 18,4 mil. eur</w:t>
      </w:r>
      <w:r w:rsidR="00F228E1" w:rsidRPr="00C65CAA">
        <w:rPr>
          <w:rFonts w:ascii="Arial Narrow" w:eastAsiaTheme="minorHAnsi" w:hAnsi="Arial Narrow" w:cstheme="minorBidi"/>
          <w:sz w:val="22"/>
          <w:szCs w:val="22"/>
          <w:lang w:eastAsia="en-US"/>
        </w:rPr>
        <w:t xml:space="preserve"> </w:t>
      </w:r>
      <w:r w:rsidR="00F228E1" w:rsidRPr="00C65CAA">
        <w:rPr>
          <w:rFonts w:ascii="Arial Narrow" w:hAnsi="Arial Narrow"/>
          <w:sz w:val="22"/>
          <w:szCs w:val="22"/>
        </w:rPr>
        <w:t>–</w:t>
      </w:r>
      <w:r w:rsidRPr="00C65CAA">
        <w:rPr>
          <w:rFonts w:ascii="Arial Narrow" w:eastAsiaTheme="minorHAnsi" w:hAnsi="Arial Narrow" w:cstheme="minorBidi"/>
          <w:sz w:val="22"/>
          <w:szCs w:val="22"/>
          <w:lang w:eastAsia="en-US"/>
        </w:rPr>
        <w:t xml:space="preserve"> </w:t>
      </w:r>
      <w:r w:rsidR="00C6165F" w:rsidRPr="00C65CAA">
        <w:rPr>
          <w:rFonts w:ascii="Arial Narrow" w:eastAsiaTheme="minorHAnsi" w:hAnsi="Arial Narrow" w:cstheme="minorBidi"/>
          <w:sz w:val="22"/>
          <w:szCs w:val="22"/>
          <w:lang w:eastAsia="en-US"/>
        </w:rPr>
        <w:t>to</w:t>
      </w:r>
      <w:r w:rsidRPr="00C65CAA">
        <w:rPr>
          <w:rFonts w:ascii="Arial Narrow" w:eastAsiaTheme="minorHAnsi" w:hAnsi="Arial Narrow" w:cstheme="minorBidi"/>
          <w:sz w:val="22"/>
          <w:szCs w:val="22"/>
          <w:lang w:eastAsia="en-US"/>
        </w:rPr>
        <w:t xml:space="preserve"> súvisí s nárastom objemu financií do regionálneho školstva (medziročný rast 7,3 mil. eur), ale najmä na voľby (medziročný rast 9,8 mil. eur – voľby prezidenta a do Európskeho parlamentu);</w:t>
      </w:r>
    </w:p>
    <w:p w:rsidR="00534776" w:rsidRPr="00C65CAA" w:rsidRDefault="00534776" w:rsidP="00256AF8">
      <w:pPr>
        <w:pStyle w:val="Odsekzoznamu"/>
        <w:numPr>
          <w:ilvl w:val="0"/>
          <w:numId w:val="105"/>
        </w:numPr>
        <w:spacing w:before="100" w:after="100"/>
        <w:ind w:left="426" w:hanging="426"/>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Ministerstva dopravy, výstavby a regionálneho rozvoja SR v sume 8,11 mil. eur, pričom táto suma je rovnaká ako v predchádzajúcom období a je určená na financovanie preneseného výkonu štátnej správy v oblasti pozemných komunikácií – špeciálnych stavebných úradov</w:t>
      </w:r>
      <w:r w:rsidR="00F228E1"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a</w:t>
      </w:r>
      <w:r w:rsidR="00F228E1" w:rsidRPr="00C65CAA">
        <w:rPr>
          <w:rFonts w:ascii="Arial Narrow" w:eastAsiaTheme="minorHAnsi" w:hAnsi="Arial Narrow" w:cstheme="minorBidi"/>
          <w:sz w:val="22"/>
          <w:szCs w:val="22"/>
          <w:lang w:eastAsia="en-US"/>
        </w:rPr>
        <w:t> </w:t>
      </w:r>
      <w:r w:rsidRPr="00C65CAA">
        <w:rPr>
          <w:rFonts w:ascii="Arial Narrow" w:eastAsiaTheme="minorHAnsi" w:hAnsi="Arial Narrow" w:cstheme="minorBidi"/>
          <w:sz w:val="22"/>
          <w:szCs w:val="22"/>
          <w:lang w:eastAsia="en-US"/>
        </w:rPr>
        <w:t>na</w:t>
      </w:r>
      <w:r w:rsidR="00F228E1" w:rsidRPr="00C65CAA">
        <w:rPr>
          <w:rFonts w:ascii="Arial Narrow" w:eastAsiaTheme="minorHAnsi" w:hAnsi="Arial Narrow" w:cstheme="minorBidi"/>
          <w:sz w:val="22"/>
          <w:szCs w:val="22"/>
          <w:lang w:eastAsia="en-US"/>
        </w:rPr>
        <w:t xml:space="preserve"> financovanie</w:t>
      </w:r>
      <w:r w:rsidRPr="00C65CAA">
        <w:rPr>
          <w:rFonts w:ascii="Arial Narrow" w:eastAsiaTheme="minorHAnsi" w:hAnsi="Arial Narrow" w:cstheme="minorBidi"/>
          <w:sz w:val="22"/>
          <w:szCs w:val="22"/>
          <w:lang w:eastAsia="en-US"/>
        </w:rPr>
        <w:t xml:space="preserve"> úseku stavebného poriadku a bývania. Ostatné prostriedky sú určené na podporu územného rozvoja miest a obcí v sume 610 tis. eur;</w:t>
      </w:r>
    </w:p>
    <w:p w:rsidR="00534776" w:rsidRPr="00C65CAA" w:rsidRDefault="00534776" w:rsidP="00256AF8">
      <w:pPr>
        <w:pStyle w:val="Odsekzoznamu"/>
        <w:numPr>
          <w:ilvl w:val="0"/>
          <w:numId w:val="105"/>
        </w:numPr>
        <w:spacing w:before="100" w:after="100"/>
        <w:ind w:left="426" w:hanging="426"/>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Ministerstva práce, sociálnych vecí a rodiny SR v sume 62,6 mil. eur, čo pre</w:t>
      </w:r>
      <w:r w:rsidR="00D94D93" w:rsidRPr="00C65CAA">
        <w:rPr>
          <w:rFonts w:ascii="Arial Narrow" w:eastAsiaTheme="minorHAnsi" w:hAnsi="Arial Narrow" w:cstheme="minorBidi"/>
          <w:sz w:val="22"/>
          <w:szCs w:val="22"/>
          <w:lang w:eastAsia="en-US"/>
        </w:rPr>
        <w:t>dstavuje medziročný pokles o 36 </w:t>
      </w:r>
      <w:r w:rsidR="00F228E1" w:rsidRPr="00C65CAA">
        <w:rPr>
          <w:rFonts w:ascii="Arial Narrow" w:eastAsiaTheme="minorHAnsi" w:hAnsi="Arial Narrow" w:cstheme="minorBidi"/>
          <w:sz w:val="22"/>
          <w:szCs w:val="22"/>
          <w:lang w:eastAsia="en-US"/>
        </w:rPr>
        <w:t>mil. eur;</w:t>
      </w:r>
      <w:r w:rsidRPr="00C65CAA">
        <w:rPr>
          <w:rFonts w:ascii="Arial Narrow" w:eastAsiaTheme="minorHAnsi" w:hAnsi="Arial Narrow" w:cstheme="minorBidi"/>
          <w:sz w:val="22"/>
          <w:szCs w:val="22"/>
          <w:lang w:eastAsia="en-US"/>
        </w:rPr>
        <w:t xml:space="preserve"> v </w:t>
      </w:r>
      <w:r w:rsidR="00F228E1" w:rsidRPr="00C65CAA">
        <w:rPr>
          <w:rFonts w:ascii="Arial Narrow" w:eastAsiaTheme="minorHAnsi" w:hAnsi="Arial Narrow" w:cstheme="minorBidi"/>
          <w:sz w:val="22"/>
          <w:szCs w:val="22"/>
          <w:lang w:eastAsia="en-US"/>
        </w:rPr>
        <w:t>t</w:t>
      </w:r>
      <w:r w:rsidRPr="00C65CAA">
        <w:rPr>
          <w:rFonts w:ascii="Arial Narrow" w:eastAsiaTheme="minorHAnsi" w:hAnsi="Arial Narrow" w:cstheme="minorBidi"/>
          <w:sz w:val="22"/>
          <w:szCs w:val="22"/>
          <w:lang w:eastAsia="en-US"/>
        </w:rPr>
        <w:t xml:space="preserve">om sa premietajú financie poskytované obciam na výkon osobitného príjemcu </w:t>
      </w:r>
      <w:r w:rsidR="00D94D93" w:rsidRPr="00C65CAA">
        <w:rPr>
          <w:rFonts w:ascii="Arial Narrow" w:eastAsiaTheme="minorHAnsi" w:hAnsi="Arial Narrow" w:cstheme="minorBidi"/>
          <w:sz w:val="22"/>
          <w:szCs w:val="22"/>
          <w:lang w:eastAsia="en-US"/>
        </w:rPr>
        <w:t>a na </w:t>
      </w:r>
      <w:r w:rsidRPr="00C65CAA">
        <w:rPr>
          <w:rFonts w:ascii="Arial Narrow" w:eastAsiaTheme="minorHAnsi" w:hAnsi="Arial Narrow" w:cstheme="minorBidi"/>
          <w:sz w:val="22"/>
          <w:szCs w:val="22"/>
          <w:lang w:eastAsia="en-US"/>
        </w:rPr>
        <w:t>financovanie zariadení sociálnych služieb;</w:t>
      </w:r>
    </w:p>
    <w:p w:rsidR="00534776" w:rsidRPr="00C65CAA" w:rsidRDefault="00534776" w:rsidP="00256AF8">
      <w:pPr>
        <w:pStyle w:val="Odsekzoznamu"/>
        <w:numPr>
          <w:ilvl w:val="0"/>
          <w:numId w:val="107"/>
        </w:numPr>
        <w:spacing w:before="100" w:after="100"/>
        <w:ind w:left="426" w:hanging="426"/>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 xml:space="preserve">Všeobecnej pokladničnej správy v sume 5,39 mil. eur, čo predstavuje nárast o 0,29 mil. eur, </w:t>
      </w:r>
      <w:r w:rsidR="00F228E1" w:rsidRPr="00C65CAA">
        <w:rPr>
          <w:rFonts w:ascii="Arial Narrow" w:eastAsiaTheme="minorHAnsi" w:hAnsi="Arial Narrow" w:cstheme="minorBidi"/>
          <w:sz w:val="22"/>
          <w:szCs w:val="22"/>
          <w:lang w:eastAsia="en-US"/>
        </w:rPr>
        <w:t xml:space="preserve">a to </w:t>
      </w:r>
      <w:r w:rsidRPr="00C65CAA">
        <w:rPr>
          <w:rFonts w:ascii="Arial Narrow" w:eastAsiaTheme="minorHAnsi" w:hAnsi="Arial Narrow" w:cstheme="minorBidi"/>
          <w:sz w:val="22"/>
          <w:szCs w:val="22"/>
          <w:lang w:eastAsia="en-US"/>
        </w:rPr>
        <w:t>na rozpočtovanie financovania individuálnych potrieb obcí, záchrany a obnovy kultúrnych pamiatok.</w:t>
      </w:r>
    </w:p>
    <w:p w:rsidR="00534776" w:rsidRPr="00C65CAA" w:rsidRDefault="00534776" w:rsidP="00256AF8">
      <w:pPr>
        <w:spacing w:before="100" w:after="100"/>
        <w:ind w:firstLine="426"/>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Výraznejší medziročný nárast transferov pre obce sa očakáva aj z Environmentálneho fondu. Ten má poskytnúť obciam až o 54,6 mil. eur viac oproti rozpočtu na rok 2018. Dôvodom nárastu transferov je alokovanie výdavkov určených na budovanie vodovodov a kanalizácií vo výške 40 mil. eur</w:t>
      </w:r>
      <w:r w:rsidR="00D94D93" w:rsidRPr="00C65CAA">
        <w:rPr>
          <w:rFonts w:ascii="Arial Narrow" w:eastAsiaTheme="minorHAnsi" w:hAnsi="Arial Narrow" w:cstheme="minorBidi"/>
          <w:sz w:val="22"/>
          <w:szCs w:val="22"/>
          <w:lang w:eastAsia="en-US"/>
        </w:rPr>
        <w:t>. Taktiež sa očakáva transfer z </w:t>
      </w:r>
      <w:r w:rsidRPr="00C65CAA">
        <w:rPr>
          <w:rFonts w:ascii="Arial Narrow" w:eastAsiaTheme="minorHAnsi" w:hAnsi="Arial Narrow" w:cstheme="minorBidi"/>
          <w:sz w:val="22"/>
          <w:szCs w:val="22"/>
          <w:lang w:eastAsia="en-US"/>
        </w:rPr>
        <w:t>Environmentálneho fondu vo výške 14,6 mil. eur v súvislosti so zmenou zákona o pop</w:t>
      </w:r>
      <w:r w:rsidR="00D94D93" w:rsidRPr="00C65CAA">
        <w:rPr>
          <w:rFonts w:ascii="Arial Narrow" w:eastAsiaTheme="minorHAnsi" w:hAnsi="Arial Narrow" w:cstheme="minorBidi"/>
          <w:sz w:val="22"/>
          <w:szCs w:val="22"/>
          <w:lang w:eastAsia="en-US"/>
        </w:rPr>
        <w:t>latkoch za uloženie odpadu, keď</w:t>
      </w:r>
      <w:r w:rsidR="00F228E1" w:rsidRPr="00C65CAA">
        <w:rPr>
          <w:rFonts w:ascii="Arial Narrow" w:eastAsiaTheme="minorHAnsi" w:hAnsi="Arial Narrow" w:cstheme="minorBidi"/>
          <w:sz w:val="22"/>
          <w:szCs w:val="22"/>
          <w:lang w:eastAsia="en-US"/>
        </w:rPr>
        <w:t>že sa</w:t>
      </w:r>
      <w:r w:rsidRPr="00C65CAA">
        <w:rPr>
          <w:rFonts w:ascii="Arial Narrow" w:eastAsiaTheme="minorHAnsi" w:hAnsi="Arial Narrow" w:cstheme="minorBidi"/>
          <w:sz w:val="22"/>
          <w:szCs w:val="22"/>
          <w:lang w:eastAsia="en-US"/>
        </w:rPr>
        <w:t xml:space="preserve"> od roku 2019 budú poplatky, ktoré vyberú skládky</w:t>
      </w:r>
      <w:r w:rsidR="00D94D93"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odvádzať do Environmentálneho fondu a ten ich následne použije na financovanie projektov v obciach. </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lastRenderedPageBreak/>
        <w:t>Rozpočtovanie nedaňových príjmov na rok 2019 sa očakáva v rovnakej výške ako v roku 2018, teda 600 000 tis. eur.</w:t>
      </w:r>
    </w:p>
    <w:p w:rsidR="00534776" w:rsidRPr="00C65CAA" w:rsidRDefault="00534776" w:rsidP="00256AF8">
      <w:pPr>
        <w:spacing w:before="100" w:after="100"/>
        <w:ind w:firstLine="708"/>
        <w:jc w:val="both"/>
        <w:rPr>
          <w:rFonts w:ascii="Arial Narrow" w:eastAsiaTheme="minorEastAsia" w:hAnsi="Arial Narrow"/>
        </w:rPr>
      </w:pPr>
      <w:r w:rsidRPr="00C65CAA">
        <w:rPr>
          <w:rFonts w:ascii="Arial Narrow" w:eastAsiaTheme="minorHAnsi" w:hAnsi="Arial Narrow" w:cstheme="minorBidi"/>
          <w:sz w:val="22"/>
          <w:szCs w:val="22"/>
          <w:lang w:eastAsia="en-US"/>
        </w:rPr>
        <w:t>Porovnanie návrhu rozpočtu výdavkov obcí na hotovostnej báze v návrhu rozpočtu na rok 2019</w:t>
      </w:r>
      <w:r w:rsidR="00D94D93" w:rsidRPr="00C65CAA">
        <w:rPr>
          <w:rFonts w:ascii="Arial Narrow" w:eastAsiaTheme="minorHAnsi" w:hAnsi="Arial Narrow" w:cstheme="minorBidi"/>
          <w:sz w:val="22"/>
          <w:szCs w:val="22"/>
          <w:lang w:eastAsia="en-US"/>
        </w:rPr>
        <w:t xml:space="preserve"> so </w:t>
      </w:r>
      <w:r w:rsidRPr="00C65CAA">
        <w:rPr>
          <w:rFonts w:ascii="Arial Narrow" w:eastAsiaTheme="minorHAnsi" w:hAnsi="Arial Narrow" w:cstheme="minorBidi"/>
          <w:sz w:val="22"/>
          <w:szCs w:val="22"/>
          <w:lang w:eastAsia="en-US"/>
        </w:rPr>
        <w:t>schváleným rozpočtom na rok 2018 a skutočným plnením rozpočtu za rok 2017:</w:t>
      </w:r>
      <w:r w:rsidRPr="00C65CAA">
        <w:rPr>
          <w:rFonts w:ascii="Arial Narrow" w:eastAsiaTheme="minorEastAsia" w:hAnsi="Arial Narrow"/>
        </w:rPr>
        <w:t xml:space="preserve"> </w:t>
      </w:r>
    </w:p>
    <w:tbl>
      <w:tblPr>
        <w:tblStyle w:val="Mriekatabuky"/>
        <w:tblW w:w="9212" w:type="dxa"/>
        <w:tblLook w:val="04A0" w:firstRow="1" w:lastRow="0" w:firstColumn="1" w:lastColumn="0" w:noHBand="0" w:noVBand="1"/>
      </w:tblPr>
      <w:tblGrid>
        <w:gridCol w:w="2942"/>
        <w:gridCol w:w="1254"/>
        <w:gridCol w:w="1254"/>
        <w:gridCol w:w="1254"/>
        <w:gridCol w:w="1254"/>
        <w:gridCol w:w="1254"/>
      </w:tblGrid>
      <w:tr w:rsidR="00534776" w:rsidRPr="00C65CAA" w:rsidTr="00534776">
        <w:trPr>
          <w:tblHeader/>
        </w:trPr>
        <w:tc>
          <w:tcPr>
            <w:tcW w:w="2942" w:type="dxa"/>
            <w:vMerge w:val="restart"/>
            <w:tcBorders>
              <w:top w:val="single" w:sz="4" w:space="0" w:color="auto"/>
              <w:left w:val="single" w:sz="4" w:space="0" w:color="auto"/>
              <w:bottom w:val="single" w:sz="4" w:space="0" w:color="auto"/>
              <w:right w:val="single" w:sz="4" w:space="0" w:color="FFFFFF" w:themeColor="background1"/>
            </w:tcBorders>
            <w:shd w:val="clear" w:color="auto" w:fill="0070C0"/>
            <w:vAlign w:val="center"/>
            <w:hideMark/>
          </w:tcPr>
          <w:p w:rsidR="00534776" w:rsidRPr="00C65CAA" w:rsidRDefault="00534776" w:rsidP="00011F12">
            <w:pPr>
              <w:jc w:val="center"/>
              <w:rPr>
                <w:rFonts w:ascii="Arial Narrow" w:eastAsia="Calibri" w:hAnsi="Arial Narrow"/>
                <w:b/>
                <w:bCs/>
                <w:color w:val="FFFFFF" w:themeColor="background1"/>
                <w:sz w:val="20"/>
                <w:szCs w:val="20"/>
                <w:lang w:eastAsia="en-US"/>
              </w:rPr>
            </w:pPr>
            <w:r w:rsidRPr="00C65CAA">
              <w:rPr>
                <w:rFonts w:ascii="Arial Narrow" w:eastAsia="Calibri" w:hAnsi="Arial Narrow"/>
                <w:b/>
                <w:bCs/>
                <w:color w:val="FFFFFF" w:themeColor="background1"/>
                <w:sz w:val="20"/>
                <w:szCs w:val="20"/>
                <w:lang w:eastAsia="en-US"/>
              </w:rPr>
              <w:t>Názov ukazovateľa</w:t>
            </w:r>
          </w:p>
          <w:p w:rsidR="00534776" w:rsidRPr="00C65CAA" w:rsidRDefault="00534776" w:rsidP="00011F12">
            <w:pPr>
              <w:jc w:val="center"/>
              <w:rPr>
                <w:rFonts w:ascii="Arial Narrow" w:eastAsia="Calibri" w:hAnsi="Arial Narrow"/>
                <w:b/>
                <w:color w:val="FFFFFF" w:themeColor="background1"/>
                <w:sz w:val="20"/>
                <w:szCs w:val="20"/>
                <w:lang w:eastAsia="en-US"/>
              </w:rPr>
            </w:pPr>
            <w:r w:rsidRPr="00C65CAA">
              <w:rPr>
                <w:rFonts w:ascii="Arial Narrow" w:eastAsia="Calibri" w:hAnsi="Arial Narrow"/>
                <w:b/>
                <w:bCs/>
                <w:color w:val="FFFFFF" w:themeColor="background1"/>
                <w:sz w:val="20"/>
                <w:szCs w:val="20"/>
                <w:lang w:eastAsia="en-US"/>
              </w:rPr>
              <w:t>(v tis. eur)</w:t>
            </w:r>
          </w:p>
        </w:tc>
        <w:tc>
          <w:tcPr>
            <w:tcW w:w="1254" w:type="dxa"/>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Skutočnosť</w:t>
            </w:r>
          </w:p>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2017</w:t>
            </w:r>
          </w:p>
        </w:tc>
        <w:tc>
          <w:tcPr>
            <w:tcW w:w="250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Rozpočet</w:t>
            </w:r>
          </w:p>
        </w:tc>
        <w:tc>
          <w:tcPr>
            <w:tcW w:w="1254" w:type="dxa"/>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Rozdiel</w:t>
            </w:r>
          </w:p>
        </w:tc>
        <w:tc>
          <w:tcPr>
            <w:tcW w:w="1254" w:type="dxa"/>
            <w:vMerge w:val="restart"/>
            <w:tcBorders>
              <w:top w:val="single" w:sz="4" w:space="0" w:color="auto"/>
              <w:left w:val="single" w:sz="4" w:space="0" w:color="FFFFFF" w:themeColor="background1"/>
              <w:bottom w:val="single" w:sz="4" w:space="0" w:color="auto"/>
              <w:right w:val="single" w:sz="4" w:space="0" w:color="auto"/>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Podiel (v %)</w:t>
            </w:r>
          </w:p>
        </w:tc>
      </w:tr>
      <w:tr w:rsidR="00534776" w:rsidRPr="00C65CAA" w:rsidTr="00534776">
        <w:trPr>
          <w:tblHeader/>
        </w:trPr>
        <w:tc>
          <w:tcPr>
            <w:tcW w:w="0" w:type="auto"/>
            <w:vMerge/>
            <w:tcBorders>
              <w:top w:val="single" w:sz="4" w:space="0" w:color="auto"/>
              <w:left w:val="single" w:sz="4" w:space="0" w:color="auto"/>
              <w:bottom w:val="single" w:sz="4" w:space="0" w:color="auto"/>
              <w:right w:val="single" w:sz="4" w:space="0" w:color="FFFFFF" w:themeColor="background1"/>
            </w:tcBorders>
            <w:shd w:val="clear" w:color="auto" w:fill="0070C0"/>
            <w:vAlign w:val="center"/>
            <w:hideMark/>
          </w:tcPr>
          <w:p w:rsidR="00534776" w:rsidRPr="00C65CAA" w:rsidRDefault="00534776" w:rsidP="00011F12">
            <w:pPr>
              <w:rPr>
                <w:rFonts w:ascii="Arial Narrow" w:eastAsia="Calibri" w:hAnsi="Arial Narrow"/>
                <w:b/>
                <w:color w:val="FFFFFF" w:themeColor="background1"/>
                <w:sz w:val="20"/>
                <w:szCs w:val="20"/>
                <w:lang w:eastAsia="en-US"/>
              </w:rPr>
            </w:pPr>
          </w:p>
        </w:tc>
        <w:tc>
          <w:tcPr>
            <w:tcW w:w="0" w:type="auto"/>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rPr>
                <w:rFonts w:ascii="Arial Narrow" w:hAnsi="Arial Narrow"/>
                <w:b/>
                <w:color w:val="FFFFFF" w:themeColor="background1"/>
                <w:sz w:val="20"/>
                <w:szCs w:val="20"/>
                <w:lang w:eastAsia="en-US"/>
              </w:rPr>
            </w:pPr>
          </w:p>
        </w:tc>
        <w:tc>
          <w:tcPr>
            <w:tcW w:w="125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2018</w:t>
            </w:r>
          </w:p>
        </w:tc>
        <w:tc>
          <w:tcPr>
            <w:tcW w:w="125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2019</w:t>
            </w:r>
          </w:p>
        </w:tc>
        <w:tc>
          <w:tcPr>
            <w:tcW w:w="0" w:type="auto"/>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rPr>
                <w:rFonts w:ascii="Arial Narrow" w:hAnsi="Arial Narrow"/>
                <w:b/>
                <w:color w:val="FFFFFF" w:themeColor="background1"/>
                <w:sz w:val="20"/>
                <w:szCs w:val="20"/>
                <w:lang w:eastAsia="en-US"/>
              </w:rPr>
            </w:pPr>
          </w:p>
        </w:tc>
        <w:tc>
          <w:tcPr>
            <w:tcW w:w="0" w:type="auto"/>
            <w:vMerge/>
            <w:tcBorders>
              <w:top w:val="single" w:sz="4" w:space="0" w:color="auto"/>
              <w:left w:val="single" w:sz="4" w:space="0" w:color="FFFFFF" w:themeColor="background1"/>
              <w:bottom w:val="single" w:sz="4" w:space="0" w:color="auto"/>
              <w:right w:val="single" w:sz="4" w:space="0" w:color="auto"/>
            </w:tcBorders>
            <w:shd w:val="clear" w:color="auto" w:fill="0070C0"/>
            <w:vAlign w:val="center"/>
            <w:hideMark/>
          </w:tcPr>
          <w:p w:rsidR="00534776" w:rsidRPr="00C65CAA" w:rsidRDefault="00534776" w:rsidP="00011F12">
            <w:pPr>
              <w:rPr>
                <w:rFonts w:ascii="Arial Narrow" w:hAnsi="Arial Narrow"/>
                <w:b/>
                <w:color w:val="FFFFFF" w:themeColor="background1"/>
                <w:sz w:val="20"/>
                <w:szCs w:val="20"/>
                <w:lang w:eastAsia="en-US"/>
              </w:rPr>
            </w:pPr>
          </w:p>
        </w:tc>
      </w:tr>
      <w:tr w:rsidR="00534776" w:rsidRPr="00C65CAA" w:rsidTr="00534776">
        <w:trPr>
          <w:tblHeader/>
        </w:trPr>
        <w:tc>
          <w:tcPr>
            <w:tcW w:w="2942" w:type="dxa"/>
            <w:tcBorders>
              <w:top w:val="single" w:sz="4" w:space="0" w:color="auto"/>
              <w:left w:val="single" w:sz="4" w:space="0" w:color="auto"/>
              <w:bottom w:val="single" w:sz="4" w:space="0" w:color="auto"/>
              <w:right w:val="single" w:sz="4" w:space="0" w:color="auto"/>
            </w:tcBorders>
            <w:vAlign w:val="center"/>
            <w:hideMark/>
          </w:tcPr>
          <w:p w:rsidR="00534776" w:rsidRPr="00C65CAA" w:rsidRDefault="00534776" w:rsidP="00011F12">
            <w:pPr>
              <w:jc w:val="center"/>
              <w:rPr>
                <w:rFonts w:ascii="Arial Narrow" w:hAnsi="Arial Narrow"/>
                <w:bCs/>
                <w:sz w:val="20"/>
                <w:szCs w:val="20"/>
                <w:lang w:eastAsia="en-US"/>
              </w:rPr>
            </w:pPr>
            <w:r w:rsidRPr="00C65CAA">
              <w:rPr>
                <w:rFonts w:ascii="Arial Narrow" w:hAnsi="Arial Narrow"/>
                <w:bCs/>
                <w:sz w:val="20"/>
                <w:szCs w:val="20"/>
                <w:lang w:eastAsia="en-US"/>
              </w:rPr>
              <w:t>a</w:t>
            </w:r>
          </w:p>
        </w:tc>
        <w:tc>
          <w:tcPr>
            <w:tcW w:w="1254" w:type="dxa"/>
            <w:tcBorders>
              <w:top w:val="single" w:sz="4" w:space="0" w:color="auto"/>
              <w:left w:val="single" w:sz="4" w:space="0" w:color="auto"/>
              <w:bottom w:val="single" w:sz="4" w:space="0" w:color="auto"/>
              <w:right w:val="single" w:sz="4" w:space="0" w:color="auto"/>
            </w:tcBorders>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1</w:t>
            </w:r>
          </w:p>
        </w:tc>
        <w:tc>
          <w:tcPr>
            <w:tcW w:w="1254" w:type="dxa"/>
            <w:tcBorders>
              <w:top w:val="single" w:sz="4" w:space="0" w:color="auto"/>
              <w:left w:val="single" w:sz="4" w:space="0" w:color="auto"/>
              <w:bottom w:val="single" w:sz="4" w:space="0" w:color="auto"/>
              <w:right w:val="single" w:sz="4" w:space="0" w:color="auto"/>
            </w:tcBorders>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2</w:t>
            </w:r>
          </w:p>
        </w:tc>
        <w:tc>
          <w:tcPr>
            <w:tcW w:w="1254" w:type="dxa"/>
            <w:tcBorders>
              <w:top w:val="single" w:sz="4" w:space="0" w:color="auto"/>
              <w:left w:val="single" w:sz="4" w:space="0" w:color="auto"/>
              <w:bottom w:val="single" w:sz="4" w:space="0" w:color="auto"/>
              <w:right w:val="single" w:sz="4" w:space="0" w:color="auto"/>
            </w:tcBorders>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3</w:t>
            </w:r>
          </w:p>
        </w:tc>
        <w:tc>
          <w:tcPr>
            <w:tcW w:w="1254" w:type="dxa"/>
            <w:tcBorders>
              <w:top w:val="single" w:sz="4" w:space="0" w:color="auto"/>
              <w:left w:val="single" w:sz="4" w:space="0" w:color="auto"/>
              <w:bottom w:val="single" w:sz="4" w:space="0" w:color="auto"/>
              <w:right w:val="single" w:sz="4" w:space="0" w:color="auto"/>
            </w:tcBorders>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3-2</w:t>
            </w:r>
          </w:p>
        </w:tc>
        <w:tc>
          <w:tcPr>
            <w:tcW w:w="1254" w:type="dxa"/>
            <w:tcBorders>
              <w:top w:val="single" w:sz="4" w:space="0" w:color="auto"/>
              <w:left w:val="single" w:sz="4" w:space="0" w:color="auto"/>
              <w:bottom w:val="single" w:sz="4" w:space="0" w:color="auto"/>
              <w:right w:val="single" w:sz="4" w:space="0" w:color="auto"/>
            </w:tcBorders>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3/2*100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b/>
                <w:bCs/>
                <w:sz w:val="20"/>
                <w:szCs w:val="20"/>
                <w:lang w:eastAsia="en-US"/>
              </w:rPr>
            </w:pPr>
            <w:r w:rsidRPr="00C65CAA">
              <w:rPr>
                <w:rFonts w:ascii="Arial Narrow" w:hAnsi="Arial Narrow"/>
                <w:b/>
                <w:bCs/>
                <w:sz w:val="20"/>
                <w:szCs w:val="20"/>
                <w:lang w:eastAsia="en-US"/>
              </w:rPr>
              <w:t>Výdavky obcí spolu</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b/>
                <w:bCs/>
                <w:sz w:val="20"/>
                <w:szCs w:val="20"/>
                <w:lang w:eastAsia="en-US"/>
              </w:rPr>
            </w:pPr>
            <w:r w:rsidRPr="00C65CAA">
              <w:rPr>
                <w:rFonts w:ascii="Arial Narrow" w:hAnsi="Arial Narrow"/>
                <w:b/>
                <w:bCs/>
                <w:sz w:val="20"/>
                <w:szCs w:val="20"/>
                <w:lang w:eastAsia="en-US"/>
              </w:rPr>
              <w:t>4 291 965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b/>
                <w:bCs/>
                <w:sz w:val="20"/>
                <w:szCs w:val="20"/>
                <w:lang w:eastAsia="en-US"/>
              </w:rPr>
            </w:pPr>
            <w:r w:rsidRPr="00C65CAA">
              <w:rPr>
                <w:rFonts w:ascii="Arial Narrow" w:hAnsi="Arial Narrow"/>
                <w:b/>
                <w:bCs/>
                <w:sz w:val="20"/>
                <w:szCs w:val="20"/>
                <w:lang w:eastAsia="en-US"/>
              </w:rPr>
              <w:t>4 306 835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b/>
                <w:bCs/>
                <w:sz w:val="20"/>
                <w:szCs w:val="20"/>
                <w:lang w:eastAsia="en-US"/>
              </w:rPr>
            </w:pPr>
            <w:r w:rsidRPr="00C65CAA">
              <w:rPr>
                <w:rFonts w:ascii="Arial Narrow" w:hAnsi="Arial Narrow"/>
                <w:b/>
                <w:bCs/>
                <w:sz w:val="20"/>
                <w:szCs w:val="20"/>
                <w:lang w:eastAsia="en-US"/>
              </w:rPr>
              <w:t>4 388 686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81 851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101,9</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bCs/>
                <w:i/>
                <w:iCs/>
                <w:sz w:val="20"/>
                <w:szCs w:val="20"/>
                <w:lang w:eastAsia="en-US"/>
              </w:rPr>
            </w:pPr>
            <w:r w:rsidRPr="00C65CAA">
              <w:rPr>
                <w:rFonts w:ascii="Arial Narrow" w:hAnsi="Arial Narrow"/>
                <w:bCs/>
                <w:i/>
                <w:iCs/>
                <w:sz w:val="20"/>
                <w:szCs w:val="20"/>
                <w:lang w:eastAsia="en-US"/>
              </w:rPr>
              <w:t>z toho:</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 </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 </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sz w:val="20"/>
                <w:szCs w:val="20"/>
                <w:lang w:eastAsia="en-US"/>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sz w:val="20"/>
                <w:szCs w:val="20"/>
                <w:lang w:eastAsia="en-US"/>
              </w:rPr>
            </w:pP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pStyle w:val="Odsekzoznamu"/>
              <w:numPr>
                <w:ilvl w:val="0"/>
                <w:numId w:val="105"/>
              </w:numPr>
              <w:ind w:left="426"/>
              <w:rPr>
                <w:rFonts w:ascii="Arial Narrow" w:hAnsi="Arial Narrow"/>
                <w:bCs/>
                <w:iCs/>
                <w:sz w:val="20"/>
                <w:szCs w:val="20"/>
                <w:lang w:eastAsia="en-US"/>
              </w:rPr>
            </w:pPr>
            <w:r w:rsidRPr="00C65CAA">
              <w:rPr>
                <w:rFonts w:ascii="Arial Narrow" w:hAnsi="Arial Narrow"/>
                <w:bCs/>
                <w:iCs/>
                <w:sz w:val="20"/>
                <w:szCs w:val="20"/>
                <w:lang w:eastAsia="en-US"/>
              </w:rPr>
              <w:t>bežné výdavky</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3 491 759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3 519 963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3 699 426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179 463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105,1</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pStyle w:val="Odsekzoznamu"/>
              <w:numPr>
                <w:ilvl w:val="0"/>
                <w:numId w:val="106"/>
              </w:numPr>
              <w:ind w:left="567" w:hanging="284"/>
              <w:rPr>
                <w:rFonts w:ascii="Arial Narrow" w:hAnsi="Arial Narrow"/>
                <w:sz w:val="20"/>
                <w:szCs w:val="20"/>
                <w:lang w:eastAsia="en-US"/>
              </w:rPr>
            </w:pPr>
            <w:r w:rsidRPr="00C65CAA">
              <w:rPr>
                <w:rFonts w:ascii="Arial Narrow" w:hAnsi="Arial Narrow"/>
                <w:sz w:val="20"/>
                <w:szCs w:val="20"/>
                <w:lang w:eastAsia="en-US"/>
              </w:rPr>
              <w:t>mzdy a odvody</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1 818 304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1 871 684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2 019 688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148 004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107,9</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pStyle w:val="Odsekzoznamu"/>
              <w:numPr>
                <w:ilvl w:val="0"/>
                <w:numId w:val="106"/>
              </w:numPr>
              <w:ind w:left="567" w:hanging="284"/>
              <w:rPr>
                <w:rFonts w:ascii="Arial Narrow" w:hAnsi="Arial Narrow"/>
                <w:sz w:val="20"/>
                <w:szCs w:val="20"/>
                <w:lang w:eastAsia="en-US"/>
              </w:rPr>
            </w:pPr>
            <w:r w:rsidRPr="00C65CAA">
              <w:rPr>
                <w:rFonts w:ascii="Arial Narrow" w:hAnsi="Arial Narrow"/>
                <w:sz w:val="20"/>
                <w:szCs w:val="20"/>
                <w:lang w:eastAsia="en-US"/>
              </w:rPr>
              <w:t>tovary a služby</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1 188 344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1 164 282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1 183 688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19 406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101,7</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pStyle w:val="Odsekzoznamu"/>
              <w:numPr>
                <w:ilvl w:val="0"/>
                <w:numId w:val="106"/>
              </w:numPr>
              <w:ind w:left="567" w:hanging="284"/>
              <w:rPr>
                <w:rFonts w:ascii="Arial Narrow" w:hAnsi="Arial Narrow"/>
                <w:sz w:val="20"/>
                <w:szCs w:val="20"/>
                <w:lang w:eastAsia="en-US"/>
              </w:rPr>
            </w:pPr>
            <w:r w:rsidRPr="00C65CAA">
              <w:rPr>
                <w:rFonts w:ascii="Arial Narrow" w:hAnsi="Arial Narrow"/>
                <w:sz w:val="20"/>
                <w:szCs w:val="20"/>
                <w:lang w:eastAsia="en-US"/>
              </w:rPr>
              <w:t>bežné transfery</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467 785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459 475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471 050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11 575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102,5</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pStyle w:val="Odsekzoznamu"/>
              <w:numPr>
                <w:ilvl w:val="0"/>
                <w:numId w:val="106"/>
              </w:numPr>
              <w:ind w:left="567" w:hanging="284"/>
              <w:rPr>
                <w:rFonts w:ascii="Arial Narrow" w:hAnsi="Arial Narrow"/>
                <w:sz w:val="20"/>
                <w:szCs w:val="20"/>
                <w:lang w:eastAsia="en-US"/>
              </w:rPr>
            </w:pPr>
            <w:r w:rsidRPr="00C65CAA">
              <w:rPr>
                <w:rFonts w:ascii="Arial Narrow" w:hAnsi="Arial Narrow"/>
                <w:sz w:val="20"/>
                <w:szCs w:val="20"/>
                <w:lang w:eastAsia="en-US"/>
              </w:rPr>
              <w:t>splácanie úrokov</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17 326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24 522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25 000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478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101,9</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pStyle w:val="Odsekzoznamu"/>
              <w:numPr>
                <w:ilvl w:val="0"/>
                <w:numId w:val="105"/>
              </w:numPr>
              <w:ind w:left="426"/>
              <w:rPr>
                <w:rFonts w:ascii="Arial Narrow" w:hAnsi="Arial Narrow"/>
                <w:sz w:val="20"/>
                <w:szCs w:val="20"/>
                <w:lang w:eastAsia="en-US"/>
              </w:rPr>
            </w:pPr>
            <w:r w:rsidRPr="00C65CAA">
              <w:rPr>
                <w:rFonts w:ascii="Arial Narrow" w:hAnsi="Arial Narrow"/>
                <w:sz w:val="20"/>
                <w:szCs w:val="20"/>
                <w:lang w:eastAsia="en-US"/>
              </w:rPr>
              <w:t>kapitálové výdavky</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636 539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566 872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469 260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-97 612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82,8</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pStyle w:val="Odsekzoznamu"/>
              <w:numPr>
                <w:ilvl w:val="0"/>
                <w:numId w:val="105"/>
              </w:numPr>
              <w:ind w:left="426"/>
              <w:rPr>
                <w:rFonts w:ascii="Arial Narrow" w:hAnsi="Arial Narrow"/>
                <w:sz w:val="20"/>
                <w:szCs w:val="20"/>
                <w:lang w:eastAsia="en-US"/>
              </w:rPr>
            </w:pPr>
            <w:r w:rsidRPr="00C65CAA">
              <w:rPr>
                <w:rFonts w:ascii="Arial Narrow" w:hAnsi="Arial Narrow"/>
                <w:sz w:val="20"/>
                <w:szCs w:val="20"/>
                <w:lang w:eastAsia="en-US"/>
              </w:rPr>
              <w:t>finančné operácie</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163 667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220 000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220 000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i/>
                <w:sz w:val="20"/>
                <w:szCs w:val="20"/>
                <w:lang w:eastAsia="en-US"/>
              </w:rPr>
            </w:pPr>
            <w:r w:rsidRPr="00C65CAA">
              <w:rPr>
                <w:rFonts w:ascii="Arial Narrow" w:hAnsi="Arial Narrow"/>
                <w:i/>
                <w:sz w:val="20"/>
                <w:szCs w:val="20"/>
                <w:lang w:eastAsia="en-US"/>
              </w:rPr>
              <w:t>z toho:</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 </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 </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sz w:val="20"/>
                <w:szCs w:val="20"/>
                <w:lang w:eastAsia="en-US"/>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sz w:val="20"/>
                <w:szCs w:val="20"/>
                <w:lang w:eastAsia="en-US"/>
              </w:rPr>
            </w:pP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pStyle w:val="Odsekzoznamu"/>
              <w:numPr>
                <w:ilvl w:val="0"/>
                <w:numId w:val="106"/>
              </w:numPr>
              <w:ind w:left="567" w:hanging="284"/>
              <w:rPr>
                <w:rFonts w:ascii="Arial Narrow" w:hAnsi="Arial Narrow"/>
                <w:sz w:val="20"/>
                <w:szCs w:val="20"/>
                <w:lang w:eastAsia="en-US"/>
              </w:rPr>
            </w:pPr>
            <w:r w:rsidRPr="00C65CAA">
              <w:rPr>
                <w:rFonts w:ascii="Arial Narrow" w:hAnsi="Arial Narrow"/>
                <w:sz w:val="20"/>
                <w:szCs w:val="20"/>
                <w:lang w:eastAsia="en-US"/>
              </w:rPr>
              <w:t xml:space="preserve">úvery a účasť na majetku </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25 362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20 000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20 000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pStyle w:val="Odsekzoznamu"/>
              <w:numPr>
                <w:ilvl w:val="0"/>
                <w:numId w:val="106"/>
              </w:numPr>
              <w:ind w:left="567" w:hanging="284"/>
              <w:rPr>
                <w:rFonts w:ascii="Arial Narrow" w:hAnsi="Arial Narrow"/>
                <w:sz w:val="20"/>
                <w:szCs w:val="20"/>
                <w:lang w:eastAsia="en-US"/>
              </w:rPr>
            </w:pPr>
            <w:r w:rsidRPr="00C65CAA">
              <w:rPr>
                <w:rFonts w:ascii="Arial Narrow" w:hAnsi="Arial Narrow"/>
                <w:sz w:val="20"/>
                <w:szCs w:val="20"/>
                <w:lang w:eastAsia="en-US"/>
              </w:rPr>
              <w:t xml:space="preserve">splácanie istiny </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138 305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200 000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200 000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100,0</w:t>
            </w:r>
          </w:p>
        </w:tc>
      </w:tr>
    </w:tbl>
    <w:p w:rsidR="00534776" w:rsidRPr="00C65CAA" w:rsidRDefault="00534776" w:rsidP="00011F12">
      <w:pPr>
        <w:spacing w:after="100"/>
        <w:jc w:val="both"/>
        <w:rPr>
          <w:rFonts w:ascii="Arial Narrow" w:eastAsiaTheme="minorEastAsia" w:hAnsi="Arial Narrow"/>
        </w:rPr>
      </w:pPr>
      <w:r w:rsidRPr="00C65CAA">
        <w:rPr>
          <w:rFonts w:ascii="Arial Narrow" w:eastAsiaTheme="minorEastAsia" w:hAnsi="Arial Narrow"/>
          <w:sz w:val="20"/>
          <w:szCs w:val="20"/>
        </w:rPr>
        <w:t>Zdroj: Návrh RVS na roky 2019 až 2021</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Riziko výdavkovej strany rozpočtov obcí vníma NKÚ SR najmä v klesajúcom trende kapitálových výdavkov</w:t>
      </w:r>
      <w:r w:rsidR="00F228E1"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a to aj napriek veľkému objemu dostupných prostriedkov z európskych fondov. Nedochádza tak k výraznejšiemu znižovaniu modernizačného dlhu v jednotlivých samosprávach. Riziko pre rozpočty obcí na rok 2019 môže nastať aj v prípade nedostatku prostriedkov na tovary a služby v súvislosti s avizovaným nárastom cien energií a vznikom nových úloh pre obce v dôsledku legislatívnych zmien.</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K ostatným výdavkovým položkám orientačného rozpočtu na rok 2019 nemá NKÚ SR zásadné pripomienky. Najmä vďaka prognózovanému rastu príjmu z DPFO sa vytvára priestor v rozpočtoch obcí na krytie výdavkov spojených s avizovaným navýšením miezd vo verejnej správe.</w:t>
      </w:r>
    </w:p>
    <w:p w:rsidR="00534776" w:rsidRPr="00C65CAA" w:rsidRDefault="00534776" w:rsidP="00256AF8">
      <w:pPr>
        <w:spacing w:before="100" w:after="100"/>
        <w:ind w:firstLine="708"/>
        <w:jc w:val="both"/>
        <w:rPr>
          <w:rFonts w:ascii="Arial Narrow" w:hAnsi="Arial Narrow"/>
          <w:sz w:val="22"/>
          <w:szCs w:val="22"/>
        </w:rPr>
      </w:pPr>
      <w:r w:rsidRPr="00C65CAA">
        <w:rPr>
          <w:rFonts w:ascii="Arial Narrow" w:hAnsi="Arial Narrow"/>
          <w:sz w:val="22"/>
          <w:szCs w:val="22"/>
        </w:rPr>
        <w:t>NKÚ SR na základe skúseností a poznatkov získaných pri výkone kontroly v samospráve konštatuje, že existuje jednoznačná závislosť medzi veľkosťou obce a efektívnosťou a účinnosťou vykonávania prenesených kompetencií. Rizikom je zadlženosť</w:t>
      </w:r>
      <w:r w:rsidRPr="00C65CAA">
        <w:rPr>
          <w:rFonts w:ascii="Arial Narrow" w:hAnsi="Arial Narrow"/>
          <w:i/>
          <w:sz w:val="22"/>
          <w:szCs w:val="22"/>
        </w:rPr>
        <w:t xml:space="preserve"> </w:t>
      </w:r>
      <w:r w:rsidRPr="00C65CAA">
        <w:rPr>
          <w:rFonts w:ascii="Arial Narrow" w:hAnsi="Arial Narrow"/>
          <w:sz w:val="22"/>
          <w:szCs w:val="22"/>
        </w:rPr>
        <w:t>najmä malých obcí s nízkym rozpočtom a/alebo malým objemom majetku. Tieto obce majú nízku príležitosť získať úver, resp. prijatý úver splácať v porovnaní s veľkými obcami, mestami a samosprávnymi krajmi, preto bez podpory z externých zdrojov financovania (dotácie a príspevky zo štátneho rozpočtu a fondov EÚ) nie sú schopné obnovovať a modernizovať svoj nehnuteľný majetok. Nedost</w:t>
      </w:r>
      <w:r w:rsidR="00F228E1" w:rsidRPr="00C65CAA">
        <w:rPr>
          <w:rFonts w:ascii="Arial Narrow" w:hAnsi="Arial Narrow"/>
          <w:sz w:val="22"/>
          <w:szCs w:val="22"/>
        </w:rPr>
        <w:t>atok finančných prostriedkov možno</w:t>
      </w:r>
      <w:r w:rsidRPr="00C65CAA">
        <w:rPr>
          <w:rFonts w:ascii="Arial Narrow" w:hAnsi="Arial Narrow"/>
          <w:sz w:val="22"/>
          <w:szCs w:val="22"/>
        </w:rPr>
        <w:t xml:space="preserve"> zabezpečiť prostredníctvom systémového prístupu k vytváraniu sídiel spoločných obecných úradov</w:t>
      </w:r>
      <w:r w:rsidRPr="00C65CAA">
        <w:rPr>
          <w:rFonts w:ascii="Arial Narrow" w:hAnsi="Arial Narrow"/>
          <w:b/>
          <w:sz w:val="22"/>
          <w:szCs w:val="22"/>
        </w:rPr>
        <w:t xml:space="preserve"> </w:t>
      </w:r>
      <w:r w:rsidRPr="00C65CAA">
        <w:rPr>
          <w:rFonts w:ascii="Arial Narrow" w:hAnsi="Arial Narrow"/>
          <w:sz w:val="22"/>
          <w:szCs w:val="22"/>
        </w:rPr>
        <w:t>s využitím skúseností a poznatkov z fungovania spoločných obecných úradov na dobrovoľnom základe.</w:t>
      </w:r>
    </w:p>
    <w:p w:rsidR="00534776" w:rsidRPr="00C65CAA" w:rsidRDefault="00534776" w:rsidP="00256AF8">
      <w:pPr>
        <w:spacing w:before="100" w:after="100"/>
        <w:ind w:firstLine="708"/>
        <w:jc w:val="both"/>
        <w:rPr>
          <w:rFonts w:ascii="Arial Narrow" w:hAnsi="Arial Narrow"/>
          <w:sz w:val="22"/>
          <w:szCs w:val="22"/>
        </w:rPr>
      </w:pPr>
      <w:r w:rsidRPr="00C65CAA">
        <w:rPr>
          <w:rFonts w:ascii="Arial Narrow" w:hAnsi="Arial Narrow"/>
          <w:sz w:val="22"/>
          <w:szCs w:val="22"/>
        </w:rPr>
        <w:t xml:space="preserve">V  príjmovej časti rozpočtov obcí NKÚ SR identifikoval riziko pri daňových príjmoch obcí v prípadoch, keď daň z nehnuteľností nebola správne vyrubovaná a pohľadávky z nej vyplývajúce neboli vymáhané. To malo za následok nižší objem daňových príjmov v rozpočte obcí. </w:t>
      </w:r>
    </w:p>
    <w:p w:rsidR="00534776" w:rsidRPr="00C65CAA" w:rsidRDefault="00534776" w:rsidP="00256AF8">
      <w:pPr>
        <w:spacing w:before="100" w:after="100"/>
        <w:ind w:firstLine="708"/>
        <w:jc w:val="both"/>
        <w:rPr>
          <w:rFonts w:ascii="Arial Narrow" w:hAnsi="Arial Narrow"/>
          <w:sz w:val="22"/>
          <w:szCs w:val="22"/>
        </w:rPr>
      </w:pPr>
      <w:r w:rsidRPr="00C65CAA">
        <w:rPr>
          <w:rFonts w:ascii="Arial Narrow" w:hAnsi="Arial Narrow"/>
          <w:sz w:val="22"/>
          <w:szCs w:val="22"/>
        </w:rPr>
        <w:t xml:space="preserve">Rovnako v oblasti nedaňových príjmov NKÚ SR identifikoval riziko poklesu nedaňových príjmov z prenájmu a predaja majetku. Dôvodom bolo uplatňovanie nižších </w:t>
      </w:r>
      <w:r w:rsidR="00F228E1" w:rsidRPr="00C65CAA">
        <w:rPr>
          <w:rFonts w:ascii="Arial Narrow" w:hAnsi="Arial Narrow"/>
          <w:sz w:val="22"/>
          <w:szCs w:val="22"/>
        </w:rPr>
        <w:t>než</w:t>
      </w:r>
      <w:r w:rsidRPr="00C65CAA">
        <w:rPr>
          <w:rFonts w:ascii="Arial Narrow" w:hAnsi="Arial Narrow"/>
          <w:sz w:val="22"/>
          <w:szCs w:val="22"/>
        </w:rPr>
        <w:t> trhových cien, často s využitím inštitútu dôvodu hodného osobitného zreteľa</w:t>
      </w:r>
      <w:r w:rsidR="00D94D93" w:rsidRPr="00C65CAA">
        <w:rPr>
          <w:rFonts w:ascii="Arial Narrow" w:hAnsi="Arial Narrow"/>
          <w:sz w:val="22"/>
          <w:szCs w:val="22"/>
        </w:rPr>
        <w:t>,</w:t>
      </w:r>
      <w:r w:rsidRPr="00C65CAA">
        <w:rPr>
          <w:rFonts w:ascii="Arial Narrow" w:hAnsi="Arial Narrow"/>
          <w:sz w:val="22"/>
          <w:szCs w:val="22"/>
        </w:rPr>
        <w:t xml:space="preserve"> ale aj ďalej nevymáhanie pohľadávok v tejto oblasti. </w:t>
      </w:r>
    </w:p>
    <w:p w:rsidR="00534776" w:rsidRPr="00C65CAA" w:rsidRDefault="00534776" w:rsidP="00256AF8">
      <w:pPr>
        <w:spacing w:before="100" w:after="100"/>
        <w:ind w:firstLine="708"/>
        <w:jc w:val="both"/>
        <w:rPr>
          <w:rFonts w:ascii="Arial Narrow" w:hAnsi="Arial Narrow"/>
          <w:sz w:val="22"/>
          <w:szCs w:val="22"/>
        </w:rPr>
      </w:pPr>
      <w:r w:rsidRPr="00C65CAA">
        <w:rPr>
          <w:rFonts w:ascii="Arial Narrow" w:hAnsi="Arial Narrow"/>
          <w:sz w:val="22"/>
          <w:szCs w:val="22"/>
        </w:rPr>
        <w:t>Skúsenosti a poznatky získané pri výkone kontroly v samospráve poukazujú na vysokú mieru nedostatkov v rozpočtovaní príjmov, ale aj výdavkov vo väčšine obcí.</w:t>
      </w:r>
    </w:p>
    <w:p w:rsidR="00D23611" w:rsidRPr="00C65CAA" w:rsidRDefault="00D23611" w:rsidP="00256AF8">
      <w:pPr>
        <w:pStyle w:val="Nadpis2"/>
        <w:numPr>
          <w:ilvl w:val="2"/>
          <w:numId w:val="92"/>
        </w:numPr>
        <w:spacing w:before="100" w:after="100"/>
      </w:pPr>
      <w:bookmarkStart w:id="50" w:name="_Toc529507613"/>
      <w:r w:rsidRPr="00C65CAA">
        <w:t>Stanovisko k návrhu rozpočtu vyšších územných celkov na rok 201</w:t>
      </w:r>
      <w:r w:rsidR="005E6FE7" w:rsidRPr="00C65CAA">
        <w:t>9</w:t>
      </w:r>
      <w:bookmarkEnd w:id="50"/>
    </w:p>
    <w:p w:rsidR="00534776" w:rsidRPr="00C65CAA" w:rsidRDefault="00534776" w:rsidP="00256AF8">
      <w:pPr>
        <w:spacing w:before="100" w:after="100"/>
        <w:ind w:firstLine="709"/>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VÚC zabezpečujú financovanie samosprávnych kompetencií predovšetkým z daňových príjmov. Prostredníctvom dotácií z príslušných kapitol ŠR sa financujú kompetencie prene</w:t>
      </w:r>
      <w:r w:rsidR="00D94D93" w:rsidRPr="00C65CAA">
        <w:rPr>
          <w:rFonts w:ascii="Arial Narrow" w:eastAsiaTheme="minorHAnsi" w:hAnsi="Arial Narrow" w:cstheme="minorBidi"/>
          <w:sz w:val="22"/>
          <w:szCs w:val="22"/>
          <w:lang w:eastAsia="en-US"/>
        </w:rPr>
        <w:t>seného výkonu štátnej správy na </w:t>
      </w:r>
      <w:r w:rsidRPr="00C65CAA">
        <w:rPr>
          <w:rFonts w:ascii="Arial Narrow" w:eastAsiaTheme="minorHAnsi" w:hAnsi="Arial Narrow" w:cstheme="minorBidi"/>
          <w:sz w:val="22"/>
          <w:szCs w:val="22"/>
          <w:lang w:eastAsia="en-US"/>
        </w:rPr>
        <w:t>úseku školstva a úlohy spojené s regionálnym rozvojom, ochranou životného prostredia, ako aj realizácia projektov spolufinancovaných zo štrukturálnych fondov a Kohézneho fondu EÚ.</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Porovnanie bilančného zostatku VÚC na akruálnej báze v metodike ESA 20</w:t>
      </w:r>
      <w:r w:rsidR="00D94D93" w:rsidRPr="00C65CAA">
        <w:rPr>
          <w:rFonts w:ascii="Arial Narrow" w:eastAsiaTheme="minorHAnsi" w:hAnsi="Arial Narrow" w:cstheme="minorBidi"/>
          <w:sz w:val="22"/>
          <w:szCs w:val="22"/>
          <w:lang w:eastAsia="en-US"/>
        </w:rPr>
        <w:t>10 v návrhu rozpočtu na rok </w:t>
      </w:r>
      <w:r w:rsidRPr="00C65CAA">
        <w:rPr>
          <w:rFonts w:ascii="Arial Narrow" w:eastAsiaTheme="minorHAnsi" w:hAnsi="Arial Narrow" w:cstheme="minorBidi"/>
          <w:sz w:val="22"/>
          <w:szCs w:val="22"/>
          <w:lang w:eastAsia="en-US"/>
        </w:rPr>
        <w:t xml:space="preserve">2019 so schváleným rozpočtom na rok 2018 a skutočným plnením rozpočtu za rok 2017: </w:t>
      </w:r>
    </w:p>
    <w:tbl>
      <w:tblPr>
        <w:tblStyle w:val="Mriekatabuky"/>
        <w:tblW w:w="9148" w:type="dxa"/>
        <w:tblLook w:val="04A0" w:firstRow="1" w:lastRow="0" w:firstColumn="1" w:lastColumn="0" w:noHBand="0" w:noVBand="1"/>
      </w:tblPr>
      <w:tblGrid>
        <w:gridCol w:w="2922"/>
        <w:gridCol w:w="1245"/>
        <w:gridCol w:w="1245"/>
        <w:gridCol w:w="1246"/>
        <w:gridCol w:w="1245"/>
        <w:gridCol w:w="1245"/>
      </w:tblGrid>
      <w:tr w:rsidR="00534776" w:rsidRPr="00C65CAA" w:rsidTr="00534776">
        <w:trPr>
          <w:trHeight w:val="236"/>
          <w:tblHeader/>
        </w:trPr>
        <w:tc>
          <w:tcPr>
            <w:tcW w:w="2922" w:type="dxa"/>
            <w:vMerge w:val="restart"/>
            <w:tcBorders>
              <w:top w:val="single" w:sz="4" w:space="0" w:color="auto"/>
              <w:left w:val="single" w:sz="4" w:space="0" w:color="auto"/>
              <w:bottom w:val="single" w:sz="4" w:space="0" w:color="auto"/>
              <w:right w:val="single" w:sz="4" w:space="0" w:color="FFFFFF" w:themeColor="background1"/>
            </w:tcBorders>
            <w:shd w:val="clear" w:color="auto" w:fill="0070C0"/>
            <w:vAlign w:val="center"/>
            <w:hideMark/>
          </w:tcPr>
          <w:p w:rsidR="00534776" w:rsidRPr="00C65CAA" w:rsidRDefault="00534776" w:rsidP="00011F12">
            <w:pPr>
              <w:jc w:val="center"/>
              <w:rPr>
                <w:rFonts w:ascii="Arial Narrow" w:eastAsia="Calibri" w:hAnsi="Arial Narrow"/>
                <w:b/>
                <w:bCs/>
                <w:color w:val="FFFFFF" w:themeColor="background1"/>
                <w:sz w:val="20"/>
                <w:szCs w:val="20"/>
                <w:lang w:eastAsia="en-US"/>
              </w:rPr>
            </w:pPr>
            <w:r w:rsidRPr="00C65CAA">
              <w:rPr>
                <w:rFonts w:ascii="Arial Narrow" w:eastAsia="Calibri" w:hAnsi="Arial Narrow"/>
                <w:b/>
                <w:bCs/>
                <w:color w:val="FFFFFF" w:themeColor="background1"/>
                <w:sz w:val="20"/>
                <w:szCs w:val="20"/>
                <w:lang w:eastAsia="en-US"/>
              </w:rPr>
              <w:lastRenderedPageBreak/>
              <w:t>Názov ukazovateľa</w:t>
            </w:r>
          </w:p>
          <w:p w:rsidR="00534776" w:rsidRPr="00C65CAA" w:rsidRDefault="00534776" w:rsidP="00011F12">
            <w:pPr>
              <w:jc w:val="center"/>
              <w:rPr>
                <w:rFonts w:ascii="Arial Narrow" w:eastAsia="Calibri" w:hAnsi="Arial Narrow"/>
                <w:b/>
                <w:color w:val="FFFFFF" w:themeColor="background1"/>
                <w:sz w:val="20"/>
                <w:szCs w:val="20"/>
                <w:lang w:eastAsia="en-US"/>
              </w:rPr>
            </w:pPr>
            <w:r w:rsidRPr="00C65CAA">
              <w:rPr>
                <w:rFonts w:ascii="Arial Narrow" w:eastAsia="Calibri" w:hAnsi="Arial Narrow"/>
                <w:b/>
                <w:bCs/>
                <w:color w:val="FFFFFF" w:themeColor="background1"/>
                <w:sz w:val="20"/>
                <w:szCs w:val="20"/>
                <w:lang w:eastAsia="en-US"/>
              </w:rPr>
              <w:t>(v tis. eur)</w:t>
            </w:r>
          </w:p>
        </w:tc>
        <w:tc>
          <w:tcPr>
            <w:tcW w:w="1245" w:type="dxa"/>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Skutočnosť</w:t>
            </w:r>
          </w:p>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2017</w:t>
            </w:r>
          </w:p>
        </w:tc>
        <w:tc>
          <w:tcPr>
            <w:tcW w:w="2491"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Rozpočet</w:t>
            </w:r>
          </w:p>
        </w:tc>
        <w:tc>
          <w:tcPr>
            <w:tcW w:w="1245" w:type="dxa"/>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Rozdiel</w:t>
            </w:r>
          </w:p>
        </w:tc>
        <w:tc>
          <w:tcPr>
            <w:tcW w:w="1245" w:type="dxa"/>
            <w:vMerge w:val="restart"/>
            <w:tcBorders>
              <w:top w:val="single" w:sz="4" w:space="0" w:color="auto"/>
              <w:left w:val="single" w:sz="4" w:space="0" w:color="FFFFFF" w:themeColor="background1"/>
              <w:bottom w:val="single" w:sz="4" w:space="0" w:color="auto"/>
              <w:right w:val="single" w:sz="4" w:space="0" w:color="auto"/>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Podiel (v %)</w:t>
            </w:r>
          </w:p>
        </w:tc>
      </w:tr>
      <w:tr w:rsidR="00534776" w:rsidRPr="00C65CAA" w:rsidTr="00534776">
        <w:trPr>
          <w:trHeight w:val="246"/>
          <w:tblHeader/>
        </w:trPr>
        <w:tc>
          <w:tcPr>
            <w:tcW w:w="0" w:type="auto"/>
            <w:vMerge/>
            <w:tcBorders>
              <w:top w:val="single" w:sz="4" w:space="0" w:color="auto"/>
              <w:left w:val="single" w:sz="4" w:space="0" w:color="auto"/>
              <w:bottom w:val="single" w:sz="4" w:space="0" w:color="auto"/>
              <w:right w:val="single" w:sz="4" w:space="0" w:color="FFFFFF" w:themeColor="background1"/>
            </w:tcBorders>
            <w:shd w:val="clear" w:color="auto" w:fill="0070C0"/>
            <w:vAlign w:val="center"/>
            <w:hideMark/>
          </w:tcPr>
          <w:p w:rsidR="00534776" w:rsidRPr="00C65CAA" w:rsidRDefault="00534776" w:rsidP="00011F12">
            <w:pPr>
              <w:rPr>
                <w:rFonts w:ascii="Arial Narrow" w:eastAsia="Calibri" w:hAnsi="Arial Narrow"/>
                <w:b/>
                <w:color w:val="FFFFFF" w:themeColor="background1"/>
                <w:sz w:val="20"/>
                <w:szCs w:val="20"/>
                <w:lang w:eastAsia="en-US"/>
              </w:rPr>
            </w:pPr>
          </w:p>
        </w:tc>
        <w:tc>
          <w:tcPr>
            <w:tcW w:w="0" w:type="auto"/>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rPr>
                <w:rFonts w:ascii="Arial Narrow" w:hAnsi="Arial Narrow"/>
                <w:b/>
                <w:color w:val="FFFFFF" w:themeColor="background1"/>
                <w:sz w:val="20"/>
                <w:szCs w:val="20"/>
                <w:lang w:eastAsia="en-US"/>
              </w:rPr>
            </w:pPr>
          </w:p>
        </w:tc>
        <w:tc>
          <w:tcPr>
            <w:tcW w:w="124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2018</w:t>
            </w:r>
          </w:p>
        </w:tc>
        <w:tc>
          <w:tcPr>
            <w:tcW w:w="124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2019</w:t>
            </w:r>
          </w:p>
        </w:tc>
        <w:tc>
          <w:tcPr>
            <w:tcW w:w="0" w:type="auto"/>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rPr>
                <w:rFonts w:ascii="Arial Narrow" w:hAnsi="Arial Narrow"/>
                <w:b/>
                <w:color w:val="FFFFFF" w:themeColor="background1"/>
                <w:sz w:val="20"/>
                <w:szCs w:val="20"/>
                <w:lang w:eastAsia="en-US"/>
              </w:rPr>
            </w:pPr>
          </w:p>
        </w:tc>
        <w:tc>
          <w:tcPr>
            <w:tcW w:w="0" w:type="auto"/>
            <w:vMerge/>
            <w:tcBorders>
              <w:top w:val="single" w:sz="4" w:space="0" w:color="auto"/>
              <w:left w:val="single" w:sz="4" w:space="0" w:color="FFFFFF" w:themeColor="background1"/>
              <w:bottom w:val="single" w:sz="4" w:space="0" w:color="auto"/>
              <w:right w:val="single" w:sz="4" w:space="0" w:color="auto"/>
            </w:tcBorders>
            <w:shd w:val="clear" w:color="auto" w:fill="0070C0"/>
            <w:vAlign w:val="center"/>
            <w:hideMark/>
          </w:tcPr>
          <w:p w:rsidR="00534776" w:rsidRPr="00C65CAA" w:rsidRDefault="00534776" w:rsidP="00011F12">
            <w:pPr>
              <w:rPr>
                <w:rFonts w:ascii="Arial Narrow" w:hAnsi="Arial Narrow"/>
                <w:b/>
                <w:color w:val="FFFFFF" w:themeColor="background1"/>
                <w:sz w:val="20"/>
                <w:szCs w:val="20"/>
                <w:lang w:eastAsia="en-US"/>
              </w:rPr>
            </w:pPr>
          </w:p>
        </w:tc>
      </w:tr>
      <w:tr w:rsidR="00534776" w:rsidRPr="00C65CAA" w:rsidTr="00534776">
        <w:trPr>
          <w:trHeight w:val="236"/>
          <w:tblHeader/>
        </w:trPr>
        <w:tc>
          <w:tcPr>
            <w:tcW w:w="2922" w:type="dxa"/>
            <w:tcBorders>
              <w:top w:val="single" w:sz="4" w:space="0" w:color="auto"/>
              <w:left w:val="single" w:sz="4" w:space="0" w:color="auto"/>
              <w:bottom w:val="single" w:sz="4" w:space="0" w:color="auto"/>
              <w:right w:val="single" w:sz="4" w:space="0" w:color="auto"/>
            </w:tcBorders>
            <w:vAlign w:val="center"/>
            <w:hideMark/>
          </w:tcPr>
          <w:p w:rsidR="00534776" w:rsidRPr="00C65CAA" w:rsidRDefault="00534776" w:rsidP="00011F12">
            <w:pPr>
              <w:jc w:val="center"/>
              <w:rPr>
                <w:rFonts w:ascii="Arial Narrow" w:hAnsi="Arial Narrow"/>
                <w:bCs/>
                <w:sz w:val="20"/>
                <w:szCs w:val="20"/>
                <w:lang w:eastAsia="en-US"/>
              </w:rPr>
            </w:pPr>
            <w:r w:rsidRPr="00C65CAA">
              <w:rPr>
                <w:rFonts w:ascii="Arial Narrow" w:hAnsi="Arial Narrow"/>
                <w:bCs/>
                <w:sz w:val="20"/>
                <w:szCs w:val="20"/>
                <w:lang w:eastAsia="en-US"/>
              </w:rPr>
              <w:t>a</w:t>
            </w:r>
          </w:p>
        </w:tc>
        <w:tc>
          <w:tcPr>
            <w:tcW w:w="1245" w:type="dxa"/>
            <w:tcBorders>
              <w:top w:val="single" w:sz="4" w:space="0" w:color="auto"/>
              <w:left w:val="single" w:sz="4" w:space="0" w:color="auto"/>
              <w:bottom w:val="single" w:sz="4" w:space="0" w:color="auto"/>
              <w:right w:val="single" w:sz="4" w:space="0" w:color="auto"/>
            </w:tcBorders>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1</w:t>
            </w:r>
          </w:p>
        </w:tc>
        <w:tc>
          <w:tcPr>
            <w:tcW w:w="1245" w:type="dxa"/>
            <w:tcBorders>
              <w:top w:val="single" w:sz="4" w:space="0" w:color="auto"/>
              <w:left w:val="single" w:sz="4" w:space="0" w:color="auto"/>
              <w:bottom w:val="single" w:sz="4" w:space="0" w:color="auto"/>
              <w:right w:val="single" w:sz="4" w:space="0" w:color="auto"/>
            </w:tcBorders>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2</w:t>
            </w:r>
          </w:p>
        </w:tc>
        <w:tc>
          <w:tcPr>
            <w:tcW w:w="1246" w:type="dxa"/>
            <w:tcBorders>
              <w:top w:val="single" w:sz="4" w:space="0" w:color="auto"/>
              <w:left w:val="single" w:sz="4" w:space="0" w:color="auto"/>
              <w:bottom w:val="single" w:sz="4" w:space="0" w:color="auto"/>
              <w:right w:val="single" w:sz="4" w:space="0" w:color="auto"/>
            </w:tcBorders>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3</w:t>
            </w:r>
          </w:p>
        </w:tc>
        <w:tc>
          <w:tcPr>
            <w:tcW w:w="1245" w:type="dxa"/>
            <w:tcBorders>
              <w:top w:val="single" w:sz="4" w:space="0" w:color="auto"/>
              <w:left w:val="single" w:sz="4" w:space="0" w:color="auto"/>
              <w:bottom w:val="single" w:sz="4" w:space="0" w:color="auto"/>
              <w:right w:val="single" w:sz="4" w:space="0" w:color="auto"/>
            </w:tcBorders>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3-2</w:t>
            </w:r>
          </w:p>
        </w:tc>
        <w:tc>
          <w:tcPr>
            <w:tcW w:w="1245" w:type="dxa"/>
            <w:tcBorders>
              <w:top w:val="single" w:sz="4" w:space="0" w:color="auto"/>
              <w:left w:val="single" w:sz="4" w:space="0" w:color="auto"/>
              <w:bottom w:val="single" w:sz="4" w:space="0" w:color="auto"/>
              <w:right w:val="single" w:sz="4" w:space="0" w:color="auto"/>
            </w:tcBorders>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3/2*100</w:t>
            </w:r>
          </w:p>
        </w:tc>
      </w:tr>
      <w:tr w:rsidR="00534776" w:rsidRPr="00C65CAA" w:rsidTr="00534776">
        <w:trPr>
          <w:trHeight w:val="236"/>
        </w:trPr>
        <w:tc>
          <w:tcPr>
            <w:tcW w:w="29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bCs/>
                <w:sz w:val="20"/>
                <w:szCs w:val="20"/>
                <w:lang w:eastAsia="en-US"/>
              </w:rPr>
            </w:pPr>
            <w:r w:rsidRPr="00C65CAA">
              <w:rPr>
                <w:rFonts w:ascii="Arial Narrow" w:hAnsi="Arial Narrow"/>
                <w:bCs/>
                <w:sz w:val="20"/>
                <w:szCs w:val="20"/>
                <w:lang w:eastAsia="en-US"/>
              </w:rPr>
              <w:t>Príjmy VÚC spolu</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bCs/>
                <w:sz w:val="20"/>
                <w:szCs w:val="20"/>
                <w:lang w:eastAsia="en-US"/>
              </w:rPr>
            </w:pPr>
            <w:r w:rsidRPr="00C65CAA">
              <w:rPr>
                <w:rFonts w:ascii="Arial Narrow" w:hAnsi="Arial Narrow"/>
                <w:bCs/>
                <w:sz w:val="20"/>
                <w:szCs w:val="20"/>
                <w:lang w:eastAsia="en-US"/>
              </w:rPr>
              <w:t>1 519 375</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bCs/>
                <w:sz w:val="20"/>
                <w:szCs w:val="20"/>
                <w:lang w:eastAsia="en-US"/>
              </w:rPr>
            </w:pPr>
            <w:r w:rsidRPr="00C65CAA">
              <w:rPr>
                <w:rFonts w:ascii="Arial Narrow" w:hAnsi="Arial Narrow"/>
                <w:bCs/>
                <w:sz w:val="20"/>
                <w:szCs w:val="20"/>
                <w:lang w:eastAsia="en-US"/>
              </w:rPr>
              <w:t>1 593 056</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bCs/>
                <w:sz w:val="20"/>
                <w:szCs w:val="20"/>
                <w:lang w:eastAsia="en-US"/>
              </w:rPr>
            </w:pPr>
            <w:r w:rsidRPr="00C65CAA">
              <w:rPr>
                <w:rFonts w:ascii="Arial Narrow" w:hAnsi="Arial Narrow"/>
                <w:bCs/>
                <w:sz w:val="20"/>
                <w:szCs w:val="20"/>
                <w:lang w:eastAsia="en-US"/>
              </w:rPr>
              <w:t>1 662 137</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bCs/>
                <w:sz w:val="20"/>
                <w:szCs w:val="20"/>
                <w:lang w:eastAsia="en-US"/>
              </w:rPr>
            </w:pPr>
            <w:r w:rsidRPr="00C65CAA">
              <w:rPr>
                <w:rFonts w:ascii="Arial Narrow" w:hAnsi="Arial Narrow"/>
                <w:bCs/>
                <w:sz w:val="20"/>
                <w:szCs w:val="20"/>
                <w:lang w:eastAsia="en-US"/>
              </w:rPr>
              <w:t>69 081</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bCs/>
                <w:sz w:val="20"/>
                <w:szCs w:val="20"/>
                <w:lang w:eastAsia="en-US"/>
              </w:rPr>
            </w:pPr>
            <w:r w:rsidRPr="00C65CAA">
              <w:rPr>
                <w:rFonts w:ascii="Arial Narrow" w:hAnsi="Arial Narrow"/>
                <w:bCs/>
                <w:sz w:val="20"/>
                <w:szCs w:val="20"/>
                <w:lang w:eastAsia="en-US"/>
              </w:rPr>
              <w:t>104,3</w:t>
            </w:r>
          </w:p>
        </w:tc>
      </w:tr>
      <w:tr w:rsidR="00534776" w:rsidRPr="00C65CAA" w:rsidTr="00534776">
        <w:trPr>
          <w:trHeight w:val="236"/>
        </w:trPr>
        <w:tc>
          <w:tcPr>
            <w:tcW w:w="29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bCs/>
                <w:sz w:val="20"/>
                <w:szCs w:val="20"/>
                <w:lang w:eastAsia="en-US"/>
              </w:rPr>
            </w:pPr>
            <w:r w:rsidRPr="00C65CAA">
              <w:rPr>
                <w:rFonts w:ascii="Arial Narrow" w:hAnsi="Arial Narrow"/>
                <w:bCs/>
                <w:sz w:val="20"/>
                <w:szCs w:val="20"/>
                <w:lang w:eastAsia="en-US"/>
              </w:rPr>
              <w:t>Výdavky VÚC spolu</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bCs/>
                <w:sz w:val="20"/>
                <w:szCs w:val="20"/>
                <w:lang w:eastAsia="en-US"/>
              </w:rPr>
            </w:pPr>
            <w:r w:rsidRPr="00C65CAA">
              <w:rPr>
                <w:rFonts w:ascii="Arial Narrow" w:hAnsi="Arial Narrow"/>
                <w:bCs/>
                <w:sz w:val="20"/>
                <w:szCs w:val="20"/>
                <w:lang w:eastAsia="en-US"/>
              </w:rPr>
              <w:t>1 364 514</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bCs/>
                <w:sz w:val="20"/>
                <w:szCs w:val="20"/>
                <w:lang w:eastAsia="en-US"/>
              </w:rPr>
            </w:pPr>
            <w:r w:rsidRPr="00C65CAA">
              <w:rPr>
                <w:rFonts w:ascii="Arial Narrow" w:hAnsi="Arial Narrow"/>
                <w:bCs/>
                <w:sz w:val="20"/>
                <w:szCs w:val="20"/>
                <w:lang w:eastAsia="en-US"/>
              </w:rPr>
              <w:t>1 413 963</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bCs/>
                <w:sz w:val="20"/>
                <w:szCs w:val="20"/>
                <w:lang w:eastAsia="en-US"/>
              </w:rPr>
            </w:pPr>
            <w:r w:rsidRPr="00C65CAA">
              <w:rPr>
                <w:rFonts w:ascii="Arial Narrow" w:hAnsi="Arial Narrow"/>
                <w:bCs/>
                <w:sz w:val="20"/>
                <w:szCs w:val="20"/>
                <w:lang w:eastAsia="en-US"/>
              </w:rPr>
              <w:t>1 451 044</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bCs/>
                <w:sz w:val="20"/>
                <w:szCs w:val="20"/>
                <w:lang w:eastAsia="en-US"/>
              </w:rPr>
            </w:pPr>
            <w:r w:rsidRPr="00C65CAA">
              <w:rPr>
                <w:rFonts w:ascii="Arial Narrow" w:hAnsi="Arial Narrow"/>
                <w:bCs/>
                <w:sz w:val="20"/>
                <w:szCs w:val="20"/>
                <w:lang w:eastAsia="en-US"/>
              </w:rPr>
              <w:t>37 081</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bCs/>
                <w:sz w:val="20"/>
                <w:szCs w:val="20"/>
                <w:lang w:eastAsia="en-US"/>
              </w:rPr>
            </w:pPr>
            <w:r w:rsidRPr="00C65CAA">
              <w:rPr>
                <w:rFonts w:ascii="Arial Narrow" w:hAnsi="Arial Narrow"/>
                <w:bCs/>
                <w:sz w:val="20"/>
                <w:szCs w:val="20"/>
                <w:lang w:eastAsia="en-US"/>
              </w:rPr>
              <w:t>102,6</w:t>
            </w:r>
          </w:p>
        </w:tc>
      </w:tr>
      <w:tr w:rsidR="00534776" w:rsidRPr="00C65CAA" w:rsidTr="00534776">
        <w:trPr>
          <w:trHeight w:val="236"/>
        </w:trPr>
        <w:tc>
          <w:tcPr>
            <w:tcW w:w="29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bCs/>
                <w:sz w:val="20"/>
                <w:szCs w:val="20"/>
                <w:lang w:eastAsia="en-US"/>
              </w:rPr>
            </w:pPr>
            <w:r w:rsidRPr="00C65CAA">
              <w:rPr>
                <w:rFonts w:ascii="Arial Narrow" w:hAnsi="Arial Narrow"/>
                <w:bCs/>
                <w:sz w:val="20"/>
                <w:szCs w:val="20"/>
                <w:lang w:eastAsia="en-US"/>
              </w:rPr>
              <w:t>Celkový prebytok VÚC spolu</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bCs/>
                <w:sz w:val="20"/>
                <w:szCs w:val="20"/>
                <w:lang w:eastAsia="en-US"/>
              </w:rPr>
            </w:pPr>
            <w:r w:rsidRPr="00C65CAA">
              <w:rPr>
                <w:rFonts w:ascii="Arial Narrow" w:hAnsi="Arial Narrow"/>
                <w:bCs/>
                <w:sz w:val="20"/>
                <w:szCs w:val="20"/>
                <w:lang w:eastAsia="en-US"/>
              </w:rPr>
              <w:t>154 861</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bCs/>
                <w:sz w:val="20"/>
                <w:szCs w:val="20"/>
                <w:lang w:eastAsia="en-US"/>
              </w:rPr>
            </w:pPr>
            <w:r w:rsidRPr="00C65CAA">
              <w:rPr>
                <w:rFonts w:ascii="Arial Narrow" w:hAnsi="Arial Narrow"/>
                <w:bCs/>
                <w:sz w:val="20"/>
                <w:szCs w:val="20"/>
                <w:lang w:eastAsia="en-US"/>
              </w:rPr>
              <w:t>179 093</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bCs/>
                <w:sz w:val="20"/>
                <w:szCs w:val="20"/>
                <w:lang w:eastAsia="en-US"/>
              </w:rPr>
            </w:pPr>
            <w:r w:rsidRPr="00C65CAA">
              <w:rPr>
                <w:rFonts w:ascii="Arial Narrow" w:hAnsi="Arial Narrow"/>
                <w:bCs/>
                <w:sz w:val="20"/>
                <w:szCs w:val="20"/>
                <w:lang w:eastAsia="en-US"/>
              </w:rPr>
              <w:t>211 093</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bCs/>
                <w:sz w:val="20"/>
                <w:szCs w:val="20"/>
                <w:lang w:eastAsia="en-US"/>
              </w:rPr>
            </w:pPr>
            <w:r w:rsidRPr="00C65CAA">
              <w:rPr>
                <w:rFonts w:ascii="Arial Narrow" w:hAnsi="Arial Narrow"/>
                <w:bCs/>
                <w:sz w:val="20"/>
                <w:szCs w:val="20"/>
                <w:lang w:eastAsia="en-US"/>
              </w:rPr>
              <w:t>32 000</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bCs/>
                <w:sz w:val="20"/>
                <w:szCs w:val="20"/>
                <w:lang w:eastAsia="en-US"/>
              </w:rPr>
            </w:pPr>
            <w:r w:rsidRPr="00C65CAA">
              <w:rPr>
                <w:rFonts w:ascii="Arial Narrow" w:hAnsi="Arial Narrow"/>
                <w:bCs/>
                <w:sz w:val="20"/>
                <w:szCs w:val="20"/>
                <w:lang w:eastAsia="en-US"/>
              </w:rPr>
              <w:t>117,9</w:t>
            </w:r>
          </w:p>
        </w:tc>
      </w:tr>
      <w:tr w:rsidR="00534776" w:rsidRPr="00C65CAA" w:rsidTr="00534776">
        <w:trPr>
          <w:trHeight w:val="236"/>
        </w:trPr>
        <w:tc>
          <w:tcPr>
            <w:tcW w:w="29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bCs/>
                <w:i/>
                <w:iCs/>
                <w:sz w:val="20"/>
                <w:szCs w:val="20"/>
                <w:lang w:eastAsia="en-US"/>
              </w:rPr>
            </w:pPr>
            <w:r w:rsidRPr="00C65CAA">
              <w:rPr>
                <w:rFonts w:ascii="Arial Narrow" w:hAnsi="Arial Narrow"/>
                <w:bCs/>
                <w:i/>
                <w:iCs/>
                <w:sz w:val="20"/>
                <w:szCs w:val="20"/>
                <w:lang w:eastAsia="en-US"/>
              </w:rPr>
              <w:t>vylúčenie finančných operácií</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-165 319</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-89 000</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-89 000</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bCs/>
                <w:sz w:val="20"/>
                <w:szCs w:val="20"/>
                <w:lang w:eastAsia="en-US"/>
              </w:rPr>
            </w:pPr>
            <w:r w:rsidRPr="00C65CAA">
              <w:rPr>
                <w:rFonts w:ascii="Arial Narrow" w:hAnsi="Arial Narrow"/>
                <w:bCs/>
                <w:sz w:val="20"/>
                <w:szCs w:val="20"/>
                <w:lang w:eastAsia="en-US"/>
              </w:rPr>
              <w:t>0</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bCs/>
                <w:sz w:val="20"/>
                <w:szCs w:val="20"/>
                <w:lang w:eastAsia="en-US"/>
              </w:rPr>
            </w:pPr>
            <w:r w:rsidRPr="00C65CAA">
              <w:rPr>
                <w:rFonts w:ascii="Arial Narrow" w:hAnsi="Arial Narrow"/>
                <w:bCs/>
                <w:sz w:val="20"/>
                <w:szCs w:val="20"/>
                <w:lang w:eastAsia="en-US"/>
              </w:rPr>
              <w:t>100</w:t>
            </w:r>
          </w:p>
        </w:tc>
      </w:tr>
      <w:tr w:rsidR="00534776" w:rsidRPr="00C65CAA" w:rsidTr="00534776">
        <w:trPr>
          <w:trHeight w:val="472"/>
        </w:trPr>
        <w:tc>
          <w:tcPr>
            <w:tcW w:w="29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bCs/>
                <w:i/>
                <w:iCs/>
                <w:sz w:val="20"/>
                <w:szCs w:val="20"/>
                <w:lang w:eastAsia="en-US"/>
              </w:rPr>
            </w:pPr>
            <w:r w:rsidRPr="00C65CAA">
              <w:rPr>
                <w:rFonts w:ascii="Arial Narrow" w:hAnsi="Arial Narrow"/>
                <w:bCs/>
                <w:i/>
                <w:iCs/>
                <w:sz w:val="20"/>
                <w:szCs w:val="20"/>
                <w:lang w:eastAsia="en-US"/>
              </w:rPr>
              <w:t>zahrnutie časového rozlíšenia a ostatné úpravy</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-5 277</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bCs/>
                <w:sz w:val="20"/>
                <w:szCs w:val="20"/>
                <w:lang w:eastAsia="en-US"/>
              </w:rPr>
            </w:pPr>
            <w:r w:rsidRPr="00C65CAA">
              <w:rPr>
                <w:rFonts w:ascii="Arial Narrow" w:hAnsi="Arial Narrow"/>
                <w:bCs/>
                <w:sz w:val="20"/>
                <w:szCs w:val="20"/>
                <w:lang w:eastAsia="en-US"/>
              </w:rPr>
              <w:t>0</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bCs/>
                <w:sz w:val="20"/>
                <w:szCs w:val="20"/>
                <w:lang w:eastAsia="en-US"/>
              </w:rPr>
            </w:pPr>
            <w:r w:rsidRPr="00C65CAA">
              <w:rPr>
                <w:rFonts w:ascii="Arial Narrow" w:hAnsi="Arial Narrow"/>
                <w:bCs/>
                <w:sz w:val="20"/>
                <w:szCs w:val="20"/>
                <w:lang w:eastAsia="en-US"/>
              </w:rPr>
              <w:t>0</w:t>
            </w:r>
          </w:p>
        </w:tc>
      </w:tr>
      <w:tr w:rsidR="00534776" w:rsidRPr="00C65CAA" w:rsidTr="00534776">
        <w:trPr>
          <w:trHeight w:val="462"/>
        </w:trPr>
        <w:tc>
          <w:tcPr>
            <w:tcW w:w="29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bCs/>
                <w:sz w:val="20"/>
                <w:szCs w:val="20"/>
                <w:lang w:eastAsia="en-US"/>
              </w:rPr>
            </w:pPr>
            <w:r w:rsidRPr="00C65CAA">
              <w:rPr>
                <w:rFonts w:ascii="Arial Narrow" w:hAnsi="Arial Narrow"/>
                <w:bCs/>
                <w:sz w:val="20"/>
                <w:szCs w:val="20"/>
                <w:lang w:eastAsia="en-US"/>
              </w:rPr>
              <w:t>Prebytok (+) / schodok (-) VÚC spolu (ESA 2010)</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-15 735</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90 093</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122 093</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bCs/>
                <w:sz w:val="20"/>
                <w:szCs w:val="20"/>
                <w:lang w:eastAsia="en-US"/>
              </w:rPr>
            </w:pPr>
            <w:r w:rsidRPr="00C65CAA">
              <w:rPr>
                <w:rFonts w:ascii="Arial Narrow" w:hAnsi="Arial Narrow"/>
                <w:bCs/>
                <w:sz w:val="20"/>
                <w:szCs w:val="20"/>
                <w:lang w:eastAsia="en-US"/>
              </w:rPr>
              <w:t>32 000</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bCs/>
                <w:sz w:val="20"/>
                <w:szCs w:val="20"/>
                <w:lang w:eastAsia="en-US"/>
              </w:rPr>
            </w:pPr>
            <w:r w:rsidRPr="00C65CAA">
              <w:rPr>
                <w:rFonts w:ascii="Arial Narrow" w:hAnsi="Arial Narrow"/>
                <w:bCs/>
                <w:sz w:val="20"/>
                <w:szCs w:val="20"/>
                <w:lang w:eastAsia="en-US"/>
              </w:rPr>
              <w:t>135,5</w:t>
            </w:r>
          </w:p>
        </w:tc>
      </w:tr>
    </w:tbl>
    <w:p w:rsidR="00534776" w:rsidRPr="00C65CAA" w:rsidRDefault="00534776" w:rsidP="00011F12">
      <w:pPr>
        <w:spacing w:after="100"/>
        <w:jc w:val="both"/>
        <w:rPr>
          <w:rFonts w:ascii="Arial Narrow" w:eastAsiaTheme="minorEastAsia" w:hAnsi="Arial Narrow"/>
        </w:rPr>
      </w:pPr>
      <w:r w:rsidRPr="00C65CAA">
        <w:rPr>
          <w:rFonts w:ascii="Arial Narrow" w:eastAsiaTheme="minorEastAsia" w:hAnsi="Arial Narrow"/>
          <w:sz w:val="20"/>
          <w:szCs w:val="20"/>
        </w:rPr>
        <w:t>Zdroj: Návrh RVS na roky 2019 až 2021</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Bilančný zostatok VÚC na akruálnej báze v metodike ESA 2010 sa má v roku 2019 medziročne zlepšiť o</w:t>
      </w:r>
      <w:r w:rsidR="00085B32">
        <w:rPr>
          <w:rFonts w:ascii="Arial Narrow" w:eastAsiaTheme="minorHAnsi" w:hAnsi="Arial Narrow" w:cstheme="minorBidi"/>
          <w:sz w:val="22"/>
          <w:szCs w:val="22"/>
          <w:lang w:eastAsia="en-US"/>
        </w:rPr>
        <w:t> 32 000</w:t>
      </w:r>
      <w:r w:rsidRPr="00C65CAA">
        <w:rPr>
          <w:rFonts w:ascii="Arial Narrow" w:eastAsiaTheme="minorHAnsi" w:hAnsi="Arial Narrow" w:cstheme="minorBidi"/>
          <w:sz w:val="22"/>
          <w:szCs w:val="22"/>
          <w:lang w:eastAsia="en-US"/>
        </w:rPr>
        <w:t xml:space="preserve"> tis. eur oproti rozpočtu na rok 2018 na úroveň 122 093 tis. eur.  </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 xml:space="preserve">Porovnanie návrhu rozpočtu príjmov VÚC na hotovostnej báze v návrhu rozpočtu na rok 2019 so schváleným rozpočtom na rok 2018 a skutočným plnením rozpočtu za rok 2017: </w:t>
      </w:r>
    </w:p>
    <w:tbl>
      <w:tblPr>
        <w:tblStyle w:val="Mriekatabuky"/>
        <w:tblW w:w="9212" w:type="dxa"/>
        <w:tblLook w:val="04A0" w:firstRow="1" w:lastRow="0" w:firstColumn="1" w:lastColumn="0" w:noHBand="0" w:noVBand="1"/>
      </w:tblPr>
      <w:tblGrid>
        <w:gridCol w:w="2942"/>
        <w:gridCol w:w="1254"/>
        <w:gridCol w:w="1254"/>
        <w:gridCol w:w="1254"/>
        <w:gridCol w:w="1254"/>
        <w:gridCol w:w="1254"/>
      </w:tblGrid>
      <w:tr w:rsidR="00534776" w:rsidRPr="00C65CAA" w:rsidTr="00534776">
        <w:trPr>
          <w:tblHeader/>
        </w:trPr>
        <w:tc>
          <w:tcPr>
            <w:tcW w:w="2942" w:type="dxa"/>
            <w:vMerge w:val="restart"/>
            <w:tcBorders>
              <w:top w:val="single" w:sz="4" w:space="0" w:color="auto"/>
              <w:left w:val="single" w:sz="4" w:space="0" w:color="auto"/>
              <w:bottom w:val="single" w:sz="4" w:space="0" w:color="auto"/>
              <w:right w:val="single" w:sz="4" w:space="0" w:color="FFFFFF" w:themeColor="background1"/>
            </w:tcBorders>
            <w:shd w:val="clear" w:color="auto" w:fill="0070C0"/>
            <w:vAlign w:val="center"/>
            <w:hideMark/>
          </w:tcPr>
          <w:p w:rsidR="00534776" w:rsidRPr="00C65CAA" w:rsidRDefault="00534776" w:rsidP="00011F12">
            <w:pPr>
              <w:jc w:val="center"/>
              <w:rPr>
                <w:rFonts w:ascii="Arial Narrow" w:eastAsia="Calibri" w:hAnsi="Arial Narrow"/>
                <w:b/>
                <w:bCs/>
                <w:color w:val="FFFFFF" w:themeColor="background1"/>
                <w:sz w:val="20"/>
                <w:szCs w:val="20"/>
                <w:lang w:eastAsia="en-US"/>
              </w:rPr>
            </w:pPr>
            <w:r w:rsidRPr="00C65CAA">
              <w:rPr>
                <w:rFonts w:ascii="Arial Narrow" w:eastAsia="Calibri" w:hAnsi="Arial Narrow"/>
                <w:b/>
                <w:bCs/>
                <w:color w:val="FFFFFF" w:themeColor="background1"/>
                <w:sz w:val="20"/>
                <w:szCs w:val="20"/>
                <w:lang w:eastAsia="en-US"/>
              </w:rPr>
              <w:t>Názov ukazovateľa</w:t>
            </w:r>
          </w:p>
          <w:p w:rsidR="00534776" w:rsidRPr="00C65CAA" w:rsidRDefault="00534776" w:rsidP="00011F12">
            <w:pPr>
              <w:jc w:val="center"/>
              <w:rPr>
                <w:rFonts w:ascii="Arial Narrow" w:eastAsia="Calibri" w:hAnsi="Arial Narrow"/>
                <w:b/>
                <w:color w:val="FFFFFF" w:themeColor="background1"/>
                <w:sz w:val="20"/>
                <w:szCs w:val="20"/>
                <w:lang w:eastAsia="en-US"/>
              </w:rPr>
            </w:pPr>
            <w:r w:rsidRPr="00C65CAA">
              <w:rPr>
                <w:rFonts w:ascii="Arial Narrow" w:eastAsia="Calibri" w:hAnsi="Arial Narrow"/>
                <w:b/>
                <w:bCs/>
                <w:color w:val="FFFFFF" w:themeColor="background1"/>
                <w:sz w:val="20"/>
                <w:szCs w:val="20"/>
                <w:lang w:eastAsia="en-US"/>
              </w:rPr>
              <w:t>(v tis. eur)</w:t>
            </w:r>
          </w:p>
        </w:tc>
        <w:tc>
          <w:tcPr>
            <w:tcW w:w="1254" w:type="dxa"/>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Skutočnosť</w:t>
            </w:r>
          </w:p>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2017</w:t>
            </w:r>
          </w:p>
        </w:tc>
        <w:tc>
          <w:tcPr>
            <w:tcW w:w="250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Rozpočet</w:t>
            </w:r>
          </w:p>
        </w:tc>
        <w:tc>
          <w:tcPr>
            <w:tcW w:w="1254" w:type="dxa"/>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Rozdiel</w:t>
            </w:r>
          </w:p>
        </w:tc>
        <w:tc>
          <w:tcPr>
            <w:tcW w:w="1254" w:type="dxa"/>
            <w:vMerge w:val="restart"/>
            <w:tcBorders>
              <w:top w:val="single" w:sz="4" w:space="0" w:color="auto"/>
              <w:left w:val="single" w:sz="4" w:space="0" w:color="FFFFFF" w:themeColor="background1"/>
              <w:bottom w:val="single" w:sz="4" w:space="0" w:color="auto"/>
              <w:right w:val="single" w:sz="4" w:space="0" w:color="auto"/>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Podiel (v %)</w:t>
            </w:r>
          </w:p>
        </w:tc>
      </w:tr>
      <w:tr w:rsidR="00534776" w:rsidRPr="00C65CAA" w:rsidTr="00534776">
        <w:trPr>
          <w:tblHeader/>
        </w:trPr>
        <w:tc>
          <w:tcPr>
            <w:tcW w:w="0" w:type="auto"/>
            <w:vMerge/>
            <w:tcBorders>
              <w:top w:val="single" w:sz="4" w:space="0" w:color="auto"/>
              <w:left w:val="single" w:sz="4" w:space="0" w:color="auto"/>
              <w:bottom w:val="single" w:sz="4" w:space="0" w:color="auto"/>
              <w:right w:val="single" w:sz="4" w:space="0" w:color="FFFFFF" w:themeColor="background1"/>
            </w:tcBorders>
            <w:shd w:val="clear" w:color="auto" w:fill="0070C0"/>
            <w:vAlign w:val="center"/>
            <w:hideMark/>
          </w:tcPr>
          <w:p w:rsidR="00534776" w:rsidRPr="00C65CAA" w:rsidRDefault="00534776" w:rsidP="00011F12">
            <w:pPr>
              <w:rPr>
                <w:rFonts w:ascii="Arial Narrow" w:eastAsia="Calibri" w:hAnsi="Arial Narrow"/>
                <w:b/>
                <w:color w:val="FFFFFF" w:themeColor="background1"/>
                <w:sz w:val="20"/>
                <w:szCs w:val="20"/>
                <w:lang w:eastAsia="en-US"/>
              </w:rPr>
            </w:pPr>
          </w:p>
        </w:tc>
        <w:tc>
          <w:tcPr>
            <w:tcW w:w="0" w:type="auto"/>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rPr>
                <w:rFonts w:ascii="Arial Narrow" w:hAnsi="Arial Narrow"/>
                <w:b/>
                <w:color w:val="FFFFFF" w:themeColor="background1"/>
                <w:sz w:val="20"/>
                <w:szCs w:val="20"/>
                <w:lang w:eastAsia="en-US"/>
              </w:rPr>
            </w:pPr>
          </w:p>
        </w:tc>
        <w:tc>
          <w:tcPr>
            <w:tcW w:w="125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2018</w:t>
            </w:r>
          </w:p>
        </w:tc>
        <w:tc>
          <w:tcPr>
            <w:tcW w:w="125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2019</w:t>
            </w:r>
          </w:p>
        </w:tc>
        <w:tc>
          <w:tcPr>
            <w:tcW w:w="0" w:type="auto"/>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011F12">
            <w:pPr>
              <w:rPr>
                <w:rFonts w:ascii="Arial Narrow" w:hAnsi="Arial Narrow"/>
                <w:b/>
                <w:color w:val="FFFFFF" w:themeColor="background1"/>
                <w:sz w:val="20"/>
                <w:szCs w:val="20"/>
                <w:lang w:eastAsia="en-US"/>
              </w:rPr>
            </w:pPr>
          </w:p>
        </w:tc>
        <w:tc>
          <w:tcPr>
            <w:tcW w:w="0" w:type="auto"/>
            <w:vMerge/>
            <w:tcBorders>
              <w:top w:val="single" w:sz="4" w:space="0" w:color="auto"/>
              <w:left w:val="single" w:sz="4" w:space="0" w:color="FFFFFF" w:themeColor="background1"/>
              <w:bottom w:val="single" w:sz="4" w:space="0" w:color="auto"/>
              <w:right w:val="single" w:sz="4" w:space="0" w:color="auto"/>
            </w:tcBorders>
            <w:shd w:val="clear" w:color="auto" w:fill="0070C0"/>
            <w:vAlign w:val="center"/>
            <w:hideMark/>
          </w:tcPr>
          <w:p w:rsidR="00534776" w:rsidRPr="00C65CAA" w:rsidRDefault="00534776" w:rsidP="00011F12">
            <w:pPr>
              <w:rPr>
                <w:rFonts w:ascii="Arial Narrow" w:hAnsi="Arial Narrow"/>
                <w:b/>
                <w:color w:val="FFFFFF" w:themeColor="background1"/>
                <w:sz w:val="20"/>
                <w:szCs w:val="20"/>
                <w:lang w:eastAsia="en-US"/>
              </w:rPr>
            </w:pPr>
          </w:p>
        </w:tc>
      </w:tr>
      <w:tr w:rsidR="00534776" w:rsidRPr="00C65CAA" w:rsidTr="00534776">
        <w:trPr>
          <w:tblHeader/>
        </w:trPr>
        <w:tc>
          <w:tcPr>
            <w:tcW w:w="2942" w:type="dxa"/>
            <w:tcBorders>
              <w:top w:val="single" w:sz="4" w:space="0" w:color="auto"/>
              <w:left w:val="single" w:sz="4" w:space="0" w:color="auto"/>
              <w:bottom w:val="single" w:sz="4" w:space="0" w:color="auto"/>
              <w:right w:val="single" w:sz="4" w:space="0" w:color="auto"/>
            </w:tcBorders>
            <w:vAlign w:val="center"/>
            <w:hideMark/>
          </w:tcPr>
          <w:p w:rsidR="00534776" w:rsidRPr="00C65CAA" w:rsidRDefault="00534776" w:rsidP="00011F12">
            <w:pPr>
              <w:jc w:val="center"/>
              <w:rPr>
                <w:rFonts w:ascii="Arial Narrow" w:hAnsi="Arial Narrow"/>
                <w:bCs/>
                <w:sz w:val="20"/>
                <w:szCs w:val="20"/>
                <w:lang w:eastAsia="en-US"/>
              </w:rPr>
            </w:pPr>
            <w:r w:rsidRPr="00C65CAA">
              <w:rPr>
                <w:rFonts w:ascii="Arial Narrow" w:hAnsi="Arial Narrow"/>
                <w:bCs/>
                <w:sz w:val="20"/>
                <w:szCs w:val="20"/>
                <w:lang w:eastAsia="en-US"/>
              </w:rPr>
              <w:t>a</w:t>
            </w:r>
          </w:p>
        </w:tc>
        <w:tc>
          <w:tcPr>
            <w:tcW w:w="1254" w:type="dxa"/>
            <w:tcBorders>
              <w:top w:val="single" w:sz="4" w:space="0" w:color="auto"/>
              <w:left w:val="single" w:sz="4" w:space="0" w:color="auto"/>
              <w:bottom w:val="single" w:sz="4" w:space="0" w:color="auto"/>
              <w:right w:val="single" w:sz="4" w:space="0" w:color="auto"/>
            </w:tcBorders>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1</w:t>
            </w:r>
          </w:p>
        </w:tc>
        <w:tc>
          <w:tcPr>
            <w:tcW w:w="1254" w:type="dxa"/>
            <w:tcBorders>
              <w:top w:val="single" w:sz="4" w:space="0" w:color="auto"/>
              <w:left w:val="single" w:sz="4" w:space="0" w:color="auto"/>
              <w:bottom w:val="single" w:sz="4" w:space="0" w:color="auto"/>
              <w:right w:val="single" w:sz="4" w:space="0" w:color="auto"/>
            </w:tcBorders>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2</w:t>
            </w:r>
          </w:p>
        </w:tc>
        <w:tc>
          <w:tcPr>
            <w:tcW w:w="1254" w:type="dxa"/>
            <w:tcBorders>
              <w:top w:val="single" w:sz="4" w:space="0" w:color="auto"/>
              <w:left w:val="single" w:sz="4" w:space="0" w:color="auto"/>
              <w:bottom w:val="single" w:sz="4" w:space="0" w:color="auto"/>
              <w:right w:val="single" w:sz="4" w:space="0" w:color="auto"/>
            </w:tcBorders>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3</w:t>
            </w:r>
          </w:p>
        </w:tc>
        <w:tc>
          <w:tcPr>
            <w:tcW w:w="1254" w:type="dxa"/>
            <w:tcBorders>
              <w:top w:val="single" w:sz="4" w:space="0" w:color="auto"/>
              <w:left w:val="single" w:sz="4" w:space="0" w:color="auto"/>
              <w:bottom w:val="single" w:sz="4" w:space="0" w:color="auto"/>
              <w:right w:val="single" w:sz="4" w:space="0" w:color="auto"/>
            </w:tcBorders>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3-2</w:t>
            </w:r>
          </w:p>
        </w:tc>
        <w:tc>
          <w:tcPr>
            <w:tcW w:w="1254" w:type="dxa"/>
            <w:tcBorders>
              <w:top w:val="single" w:sz="4" w:space="0" w:color="auto"/>
              <w:left w:val="single" w:sz="4" w:space="0" w:color="auto"/>
              <w:bottom w:val="single" w:sz="4" w:space="0" w:color="auto"/>
              <w:right w:val="single" w:sz="4" w:space="0" w:color="auto"/>
            </w:tcBorders>
            <w:hideMark/>
          </w:tcPr>
          <w:p w:rsidR="00534776" w:rsidRPr="00C65CAA" w:rsidRDefault="00534776" w:rsidP="00011F12">
            <w:pPr>
              <w:jc w:val="center"/>
              <w:rPr>
                <w:rFonts w:ascii="Arial Narrow" w:hAnsi="Arial Narrow"/>
                <w:sz w:val="20"/>
                <w:szCs w:val="20"/>
                <w:lang w:eastAsia="en-US"/>
              </w:rPr>
            </w:pPr>
            <w:r w:rsidRPr="00C65CAA">
              <w:rPr>
                <w:rFonts w:ascii="Arial Narrow" w:hAnsi="Arial Narrow"/>
                <w:sz w:val="20"/>
                <w:szCs w:val="20"/>
                <w:lang w:eastAsia="en-US"/>
              </w:rPr>
              <w:t>3/2*100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b/>
                <w:bCs/>
                <w:sz w:val="20"/>
                <w:szCs w:val="20"/>
                <w:lang w:eastAsia="en-US"/>
              </w:rPr>
            </w:pPr>
            <w:r w:rsidRPr="00C65CAA">
              <w:rPr>
                <w:rFonts w:ascii="Arial Narrow" w:hAnsi="Arial Narrow"/>
                <w:b/>
                <w:bCs/>
                <w:sz w:val="20"/>
                <w:szCs w:val="20"/>
                <w:lang w:eastAsia="en-US"/>
              </w:rPr>
              <w:t>Príjmy VÚC spolu</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b/>
                <w:bCs/>
                <w:sz w:val="20"/>
                <w:szCs w:val="20"/>
                <w:lang w:eastAsia="en-US"/>
              </w:rPr>
            </w:pPr>
            <w:r w:rsidRPr="00C65CAA">
              <w:rPr>
                <w:rFonts w:ascii="Arial Narrow" w:hAnsi="Arial Narrow"/>
                <w:b/>
                <w:bCs/>
                <w:sz w:val="20"/>
                <w:szCs w:val="20"/>
                <w:lang w:eastAsia="en-US"/>
              </w:rPr>
              <w:t>1 519 375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b/>
                <w:bCs/>
                <w:sz w:val="20"/>
                <w:szCs w:val="20"/>
                <w:lang w:eastAsia="en-US"/>
              </w:rPr>
            </w:pPr>
            <w:r w:rsidRPr="00C65CAA">
              <w:rPr>
                <w:rFonts w:ascii="Arial Narrow" w:hAnsi="Arial Narrow"/>
                <w:b/>
                <w:bCs/>
                <w:sz w:val="20"/>
                <w:szCs w:val="20"/>
                <w:lang w:eastAsia="en-US"/>
              </w:rPr>
              <w:t>1 593 056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b/>
                <w:bCs/>
                <w:sz w:val="20"/>
                <w:szCs w:val="20"/>
                <w:lang w:eastAsia="en-US"/>
              </w:rPr>
            </w:pPr>
            <w:r w:rsidRPr="00C65CAA">
              <w:rPr>
                <w:rFonts w:ascii="Arial Narrow" w:hAnsi="Arial Narrow"/>
                <w:b/>
                <w:bCs/>
                <w:sz w:val="20"/>
                <w:szCs w:val="20"/>
                <w:lang w:eastAsia="en-US"/>
              </w:rPr>
              <w:t>1 662 137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b/>
                <w:sz w:val="20"/>
                <w:szCs w:val="20"/>
                <w:lang w:eastAsia="en-US"/>
              </w:rPr>
            </w:pPr>
            <w:r w:rsidRPr="00C65CAA">
              <w:rPr>
                <w:rFonts w:ascii="Arial Narrow" w:hAnsi="Arial Narrow"/>
                <w:b/>
                <w:sz w:val="20"/>
                <w:szCs w:val="20"/>
                <w:lang w:eastAsia="en-US"/>
              </w:rPr>
              <w:t>69 081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b/>
                <w:sz w:val="20"/>
                <w:szCs w:val="20"/>
                <w:lang w:eastAsia="en-US"/>
              </w:rPr>
            </w:pPr>
            <w:r w:rsidRPr="00C65CAA">
              <w:rPr>
                <w:rFonts w:ascii="Arial Narrow" w:hAnsi="Arial Narrow"/>
                <w:b/>
                <w:sz w:val="20"/>
                <w:szCs w:val="20"/>
                <w:lang w:eastAsia="en-US"/>
              </w:rPr>
              <w:t>104,3</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i/>
                <w:sz w:val="20"/>
                <w:szCs w:val="20"/>
                <w:lang w:eastAsia="en-US"/>
              </w:rPr>
            </w:pPr>
            <w:r w:rsidRPr="00C65CAA">
              <w:rPr>
                <w:rFonts w:ascii="Arial Narrow" w:hAnsi="Arial Narrow"/>
                <w:i/>
                <w:sz w:val="20"/>
                <w:szCs w:val="20"/>
                <w:lang w:eastAsia="en-US"/>
              </w:rPr>
              <w:t>z toho:</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 </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 </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pStyle w:val="Odsekzoznamu"/>
              <w:numPr>
                <w:ilvl w:val="0"/>
                <w:numId w:val="105"/>
              </w:numPr>
              <w:ind w:left="426"/>
              <w:rPr>
                <w:rFonts w:ascii="Arial Narrow" w:hAnsi="Arial Narrow"/>
                <w:sz w:val="20"/>
                <w:szCs w:val="20"/>
                <w:lang w:eastAsia="en-US"/>
              </w:rPr>
            </w:pPr>
            <w:r w:rsidRPr="00C65CAA">
              <w:rPr>
                <w:rFonts w:ascii="Arial Narrow" w:hAnsi="Arial Narrow"/>
                <w:sz w:val="20"/>
                <w:szCs w:val="20"/>
                <w:lang w:eastAsia="en-US"/>
              </w:rPr>
              <w:t>daňové príjmy</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771 212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824 379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933 940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109 561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113,3</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pStyle w:val="Odsekzoznamu"/>
              <w:numPr>
                <w:ilvl w:val="0"/>
                <w:numId w:val="105"/>
              </w:numPr>
              <w:ind w:left="426"/>
              <w:rPr>
                <w:rFonts w:ascii="Arial Narrow" w:hAnsi="Arial Narrow"/>
                <w:sz w:val="20"/>
                <w:szCs w:val="20"/>
                <w:lang w:eastAsia="en-US"/>
              </w:rPr>
            </w:pPr>
            <w:r w:rsidRPr="00C65CAA">
              <w:rPr>
                <w:rFonts w:ascii="Arial Narrow" w:hAnsi="Arial Narrow"/>
                <w:sz w:val="20"/>
                <w:szCs w:val="20"/>
                <w:lang w:eastAsia="en-US"/>
              </w:rPr>
              <w:t>nedaňové príjmy</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106 537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110 000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110 000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pStyle w:val="Odsekzoznamu"/>
              <w:numPr>
                <w:ilvl w:val="0"/>
                <w:numId w:val="105"/>
              </w:numPr>
              <w:ind w:left="426"/>
              <w:rPr>
                <w:rFonts w:ascii="Arial Narrow" w:hAnsi="Arial Narrow"/>
                <w:sz w:val="20"/>
                <w:szCs w:val="20"/>
                <w:lang w:eastAsia="en-US"/>
              </w:rPr>
            </w:pPr>
            <w:r w:rsidRPr="00C65CAA">
              <w:rPr>
                <w:rFonts w:ascii="Arial Narrow" w:hAnsi="Arial Narrow"/>
                <w:sz w:val="20"/>
                <w:szCs w:val="20"/>
                <w:lang w:eastAsia="en-US"/>
              </w:rPr>
              <w:t>granty a transfery</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445 980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533 677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493 197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-40 480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92,4</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pStyle w:val="Odsekzoznamu"/>
              <w:numPr>
                <w:ilvl w:val="0"/>
                <w:numId w:val="105"/>
              </w:numPr>
              <w:ind w:left="426"/>
              <w:rPr>
                <w:rFonts w:ascii="Arial Narrow" w:hAnsi="Arial Narrow"/>
                <w:sz w:val="20"/>
                <w:szCs w:val="20"/>
                <w:lang w:eastAsia="en-US"/>
              </w:rPr>
            </w:pPr>
            <w:r w:rsidRPr="00C65CAA">
              <w:rPr>
                <w:rFonts w:ascii="Arial Narrow" w:hAnsi="Arial Narrow"/>
                <w:sz w:val="20"/>
                <w:szCs w:val="20"/>
                <w:lang w:eastAsia="en-US"/>
              </w:rPr>
              <w:t>finančné operácie</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195 646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125 000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125 000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rPr>
                <w:rFonts w:ascii="Arial Narrow" w:hAnsi="Arial Narrow"/>
                <w:i/>
                <w:sz w:val="20"/>
                <w:szCs w:val="20"/>
                <w:lang w:eastAsia="en-US"/>
              </w:rPr>
            </w:pPr>
            <w:r w:rsidRPr="00C65CAA">
              <w:rPr>
                <w:rFonts w:ascii="Arial Narrow" w:hAnsi="Arial Narrow"/>
                <w:i/>
                <w:sz w:val="20"/>
                <w:szCs w:val="20"/>
                <w:lang w:eastAsia="en-US"/>
              </w:rPr>
              <w:t>z toho:</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 </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 </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pStyle w:val="Odsekzoznamu"/>
              <w:numPr>
                <w:ilvl w:val="0"/>
                <w:numId w:val="106"/>
              </w:numPr>
              <w:ind w:left="426" w:hanging="284"/>
              <w:rPr>
                <w:rFonts w:ascii="Arial Narrow" w:hAnsi="Arial Narrow"/>
                <w:sz w:val="20"/>
                <w:szCs w:val="20"/>
                <w:lang w:eastAsia="en-US"/>
              </w:rPr>
            </w:pPr>
            <w:r w:rsidRPr="00C65CAA">
              <w:rPr>
                <w:rFonts w:ascii="Arial Narrow" w:hAnsi="Arial Narrow"/>
                <w:sz w:val="20"/>
                <w:szCs w:val="20"/>
                <w:lang w:eastAsia="en-US"/>
              </w:rPr>
              <w:t xml:space="preserve">zo splátok tuzemských úverov, pôžičiek s z predaja majetkových účastí </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pStyle w:val="Odsekzoznamu"/>
              <w:numPr>
                <w:ilvl w:val="0"/>
                <w:numId w:val="106"/>
              </w:numPr>
              <w:ind w:left="426" w:hanging="284"/>
              <w:rPr>
                <w:rFonts w:ascii="Arial Narrow" w:hAnsi="Arial Narrow"/>
                <w:sz w:val="20"/>
                <w:szCs w:val="20"/>
                <w:lang w:eastAsia="en-US"/>
              </w:rPr>
            </w:pPr>
            <w:r w:rsidRPr="00C65CAA">
              <w:rPr>
                <w:rFonts w:ascii="Arial Narrow" w:hAnsi="Arial Narrow"/>
                <w:sz w:val="20"/>
                <w:szCs w:val="20"/>
                <w:lang w:eastAsia="en-US"/>
              </w:rPr>
              <w:t>zostatok prostriedkov z predch. rokov a prevod prostriedkov z peňažných fondov</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141 368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90 000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90 000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pStyle w:val="Odsekzoznamu"/>
              <w:numPr>
                <w:ilvl w:val="0"/>
                <w:numId w:val="106"/>
              </w:numPr>
              <w:ind w:left="426" w:hanging="284"/>
              <w:rPr>
                <w:rFonts w:ascii="Arial Narrow" w:hAnsi="Arial Narrow"/>
                <w:sz w:val="20"/>
                <w:szCs w:val="20"/>
                <w:lang w:eastAsia="en-US"/>
              </w:rPr>
            </w:pPr>
            <w:r w:rsidRPr="00C65CAA">
              <w:rPr>
                <w:rFonts w:ascii="Arial Narrow" w:hAnsi="Arial Narrow"/>
                <w:sz w:val="20"/>
                <w:szCs w:val="20"/>
                <w:lang w:eastAsia="en-US"/>
              </w:rPr>
              <w:t xml:space="preserve">prijaté úvery </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54 278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35 000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35 000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011F12">
            <w:pPr>
              <w:jc w:val="right"/>
              <w:rPr>
                <w:rFonts w:ascii="Arial Narrow" w:hAnsi="Arial Narrow"/>
                <w:sz w:val="20"/>
                <w:szCs w:val="20"/>
                <w:lang w:eastAsia="en-US"/>
              </w:rPr>
            </w:pPr>
            <w:r w:rsidRPr="00C65CAA">
              <w:rPr>
                <w:rFonts w:ascii="Arial Narrow" w:hAnsi="Arial Narrow"/>
                <w:sz w:val="20"/>
                <w:szCs w:val="20"/>
                <w:lang w:eastAsia="en-US"/>
              </w:rPr>
              <w:t>100</w:t>
            </w:r>
          </w:p>
        </w:tc>
      </w:tr>
    </w:tbl>
    <w:p w:rsidR="00534776" w:rsidRPr="00C65CAA" w:rsidRDefault="00534776" w:rsidP="00B366F3">
      <w:pPr>
        <w:spacing w:after="100"/>
        <w:jc w:val="both"/>
        <w:rPr>
          <w:rFonts w:ascii="Arial Narrow" w:eastAsiaTheme="minorEastAsia" w:hAnsi="Arial Narrow"/>
        </w:rPr>
      </w:pPr>
      <w:r w:rsidRPr="00C65CAA">
        <w:rPr>
          <w:rFonts w:ascii="Arial Narrow" w:eastAsiaTheme="minorEastAsia" w:hAnsi="Arial Narrow"/>
          <w:sz w:val="20"/>
          <w:szCs w:val="20"/>
        </w:rPr>
        <w:t>Zdroj: Návrh RVS na roky 2019 až 2021</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Celkové príjmy VÚC na hotovostnej báze sa v roku 2019 majú medziro</w:t>
      </w:r>
      <w:r w:rsidR="00D94D93" w:rsidRPr="00C65CAA">
        <w:rPr>
          <w:rFonts w:ascii="Arial Narrow" w:eastAsiaTheme="minorHAnsi" w:hAnsi="Arial Narrow" w:cstheme="minorBidi"/>
          <w:sz w:val="22"/>
          <w:szCs w:val="22"/>
          <w:lang w:eastAsia="en-US"/>
        </w:rPr>
        <w:t>čne zvýšiť o 69 081 tis. eur na </w:t>
      </w:r>
      <w:r w:rsidRPr="00C65CAA">
        <w:rPr>
          <w:rFonts w:ascii="Arial Narrow" w:eastAsiaTheme="minorHAnsi" w:hAnsi="Arial Narrow" w:cstheme="minorBidi"/>
          <w:sz w:val="22"/>
          <w:szCs w:val="22"/>
          <w:lang w:eastAsia="en-US"/>
        </w:rPr>
        <w:t xml:space="preserve">úroveň 1 662 137 tis. eur, z toho najvýznamnejší rastúci podiel má zaznamenať prevod DPFO, ktorý sa má medziročne zvýšiť o 109 561 tis. eur. </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Z rovnakého dôvodu ako pri obciach klesajú medziročne transfery aj vo VÚC. Aj v tomto prípade nedochádza k rozpočtovaniu transferov z MPRV SR, určených na financovanie spoločných projektov SR a EÚ v oblasti podpory regionálneho rozvoja a na financovanie programov európskej cezhraničnej spolup</w:t>
      </w:r>
      <w:r w:rsidR="00D94D93" w:rsidRPr="00C65CAA">
        <w:rPr>
          <w:rFonts w:ascii="Arial Narrow" w:eastAsiaTheme="minorHAnsi" w:hAnsi="Arial Narrow" w:cstheme="minorBidi"/>
          <w:sz w:val="22"/>
          <w:szCs w:val="22"/>
          <w:lang w:eastAsia="en-US"/>
        </w:rPr>
        <w:t>ráce. Práve na </w:t>
      </w:r>
      <w:r w:rsidRPr="00C65CAA">
        <w:rPr>
          <w:rFonts w:ascii="Arial Narrow" w:eastAsiaTheme="minorHAnsi" w:hAnsi="Arial Narrow" w:cstheme="minorBidi"/>
          <w:sz w:val="22"/>
          <w:szCs w:val="22"/>
          <w:lang w:eastAsia="en-US"/>
        </w:rPr>
        <w:t>tieto programy bol</w:t>
      </w:r>
      <w:r w:rsidR="00F228E1" w:rsidRPr="00C65CAA">
        <w:rPr>
          <w:rFonts w:ascii="Arial Narrow" w:eastAsiaTheme="minorHAnsi" w:hAnsi="Arial Narrow" w:cstheme="minorBidi"/>
          <w:sz w:val="22"/>
          <w:szCs w:val="22"/>
          <w:lang w:eastAsia="en-US"/>
        </w:rPr>
        <w:t>i</w:t>
      </w:r>
      <w:r w:rsidRPr="00C65CAA">
        <w:rPr>
          <w:rFonts w:ascii="Arial Narrow" w:eastAsiaTheme="minorHAnsi" w:hAnsi="Arial Narrow" w:cstheme="minorBidi"/>
          <w:sz w:val="22"/>
          <w:szCs w:val="22"/>
          <w:lang w:eastAsia="en-US"/>
        </w:rPr>
        <w:t xml:space="preserve"> v rozpočte na rok 2018 alokované transfery vo výške 49 152 tis. eur.</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Transfery zo ŠR do rozpočtov VÚC sa tak očakávajú iba z kapitoly MŠVVŠ SR</w:t>
      </w:r>
      <w:r w:rsidR="00F228E1" w:rsidRPr="00C65CAA">
        <w:rPr>
          <w:rFonts w:ascii="Arial Narrow" w:eastAsiaTheme="minorHAnsi" w:hAnsi="Arial Narrow" w:cstheme="minorBidi"/>
          <w:sz w:val="22"/>
          <w:szCs w:val="22"/>
          <w:lang w:eastAsia="en-US"/>
        </w:rPr>
        <w:t xml:space="preserve"> </w:t>
      </w:r>
      <w:r w:rsidR="00F228E1" w:rsidRPr="00C65CAA">
        <w:rPr>
          <w:rFonts w:ascii="Arial Narrow" w:hAnsi="Arial Narrow"/>
          <w:sz w:val="22"/>
          <w:szCs w:val="22"/>
        </w:rPr>
        <w:t>–</w:t>
      </w:r>
      <w:r w:rsidRPr="00C65CAA">
        <w:rPr>
          <w:rFonts w:ascii="Arial Narrow" w:eastAsiaTheme="minorHAnsi" w:hAnsi="Arial Narrow" w:cstheme="minorBidi"/>
          <w:sz w:val="22"/>
          <w:szCs w:val="22"/>
          <w:lang w:eastAsia="en-US"/>
        </w:rPr>
        <w:t xml:space="preserve"> na financovanie preneseného výkonu štátnej správy na úseku stredných škôl v zriaďovateľskej pôsobnosti VÚC a financovanie aktivít regionálneho školstva a na riešenie havarijných stavov škôl vo výške 489 mil. eur, čo predstavuje medziročný nárast o 9 mil. eur. Toto zvýšenie by sa malo použiť na valorizáciu platov zamestnancov z roku </w:t>
      </w:r>
      <w:r w:rsidR="00D94D93" w:rsidRPr="00C65CAA">
        <w:rPr>
          <w:rFonts w:ascii="Arial Narrow" w:eastAsiaTheme="minorHAnsi" w:hAnsi="Arial Narrow" w:cstheme="minorBidi"/>
          <w:sz w:val="22"/>
          <w:szCs w:val="22"/>
          <w:lang w:eastAsia="en-US"/>
        </w:rPr>
        <w:t>2018 a časť aj na </w:t>
      </w:r>
      <w:r w:rsidRPr="00C65CAA">
        <w:rPr>
          <w:rFonts w:ascii="Arial Narrow" w:eastAsiaTheme="minorHAnsi" w:hAnsi="Arial Narrow" w:cstheme="minorBidi"/>
          <w:sz w:val="22"/>
          <w:szCs w:val="22"/>
          <w:lang w:eastAsia="en-US"/>
        </w:rPr>
        <w:t xml:space="preserve">zvýšenie výdavkov do systému duálneho vzdelávania. </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Rovnako sa očakávajú aj transfery z Fondu na podporu umenia v sume 4,15 mil. eur a Fondu na podporu kultúry národnostných menšín v sume 231 tis. eur.</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Celkové výdavky VÚC sa v roku 2019 majú medziročne zvýšiť o 37 081 ti</w:t>
      </w:r>
      <w:r w:rsidR="00D94D93" w:rsidRPr="00C65CAA">
        <w:rPr>
          <w:rFonts w:ascii="Arial Narrow" w:eastAsiaTheme="minorHAnsi" w:hAnsi="Arial Narrow" w:cstheme="minorBidi"/>
          <w:sz w:val="22"/>
          <w:szCs w:val="22"/>
          <w:lang w:eastAsia="en-US"/>
        </w:rPr>
        <w:t>s. eur na úroveň 1 451 044 tis. </w:t>
      </w:r>
      <w:r w:rsidRPr="00C65CAA">
        <w:rPr>
          <w:rFonts w:ascii="Arial Narrow" w:eastAsiaTheme="minorHAnsi" w:hAnsi="Arial Narrow" w:cstheme="minorBidi"/>
          <w:sz w:val="22"/>
          <w:szCs w:val="22"/>
          <w:lang w:eastAsia="en-US"/>
        </w:rPr>
        <w:t xml:space="preserve">eur. </w:t>
      </w:r>
    </w:p>
    <w:p w:rsidR="00534776" w:rsidRPr="00C65CAA" w:rsidRDefault="00534776"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Porovnanie návrhu rozpočtu výdavkov VÚC na hotovostnej báze v návrhu rozpočtu na rok 2019</w:t>
      </w:r>
      <w:r w:rsidR="00D94D93" w:rsidRPr="00C65CAA">
        <w:rPr>
          <w:rFonts w:ascii="Arial Narrow" w:eastAsiaTheme="minorHAnsi" w:hAnsi="Arial Narrow" w:cstheme="minorBidi"/>
          <w:sz w:val="22"/>
          <w:szCs w:val="22"/>
          <w:lang w:eastAsia="en-US"/>
        </w:rPr>
        <w:t xml:space="preserve"> so </w:t>
      </w:r>
      <w:r w:rsidRPr="00C65CAA">
        <w:rPr>
          <w:rFonts w:ascii="Arial Narrow" w:eastAsiaTheme="minorHAnsi" w:hAnsi="Arial Narrow" w:cstheme="minorBidi"/>
          <w:sz w:val="22"/>
          <w:szCs w:val="22"/>
          <w:lang w:eastAsia="en-US"/>
        </w:rPr>
        <w:t xml:space="preserve">schváleným rozpočtom na rok 2018 a skutočným plnením rozpočtu za rok 2017: </w:t>
      </w:r>
    </w:p>
    <w:tbl>
      <w:tblPr>
        <w:tblStyle w:val="Mriekatabuky"/>
        <w:tblW w:w="9212" w:type="dxa"/>
        <w:tblLook w:val="04A0" w:firstRow="1" w:lastRow="0" w:firstColumn="1" w:lastColumn="0" w:noHBand="0" w:noVBand="1"/>
      </w:tblPr>
      <w:tblGrid>
        <w:gridCol w:w="2942"/>
        <w:gridCol w:w="1254"/>
        <w:gridCol w:w="1254"/>
        <w:gridCol w:w="1254"/>
        <w:gridCol w:w="1254"/>
        <w:gridCol w:w="1254"/>
      </w:tblGrid>
      <w:tr w:rsidR="00534776" w:rsidRPr="00C65CAA" w:rsidTr="00534776">
        <w:trPr>
          <w:tblHeader/>
        </w:trPr>
        <w:tc>
          <w:tcPr>
            <w:tcW w:w="2942" w:type="dxa"/>
            <w:vMerge w:val="restart"/>
            <w:tcBorders>
              <w:top w:val="single" w:sz="4" w:space="0" w:color="auto"/>
              <w:left w:val="single" w:sz="4" w:space="0" w:color="auto"/>
              <w:bottom w:val="single" w:sz="4" w:space="0" w:color="auto"/>
              <w:right w:val="single" w:sz="4" w:space="0" w:color="FFFFFF" w:themeColor="background1"/>
            </w:tcBorders>
            <w:shd w:val="clear" w:color="auto" w:fill="0070C0"/>
            <w:vAlign w:val="center"/>
            <w:hideMark/>
          </w:tcPr>
          <w:p w:rsidR="00534776" w:rsidRPr="00C65CAA" w:rsidRDefault="00534776" w:rsidP="00B366F3">
            <w:pPr>
              <w:jc w:val="center"/>
              <w:rPr>
                <w:rFonts w:ascii="Arial Narrow" w:eastAsia="Calibri" w:hAnsi="Arial Narrow"/>
                <w:b/>
                <w:bCs/>
                <w:color w:val="FFFFFF" w:themeColor="background1"/>
                <w:sz w:val="20"/>
                <w:szCs w:val="20"/>
                <w:lang w:eastAsia="en-US"/>
              </w:rPr>
            </w:pPr>
            <w:r w:rsidRPr="00C65CAA">
              <w:rPr>
                <w:rFonts w:ascii="Arial Narrow" w:eastAsia="Calibri" w:hAnsi="Arial Narrow"/>
                <w:b/>
                <w:bCs/>
                <w:color w:val="FFFFFF" w:themeColor="background1"/>
                <w:sz w:val="20"/>
                <w:szCs w:val="20"/>
                <w:lang w:eastAsia="en-US"/>
              </w:rPr>
              <w:lastRenderedPageBreak/>
              <w:t>Názov ukazovateľa</w:t>
            </w:r>
          </w:p>
          <w:p w:rsidR="00534776" w:rsidRPr="00C65CAA" w:rsidRDefault="00534776" w:rsidP="00B366F3">
            <w:pPr>
              <w:jc w:val="center"/>
              <w:rPr>
                <w:rFonts w:ascii="Arial Narrow" w:eastAsia="Calibri" w:hAnsi="Arial Narrow"/>
                <w:b/>
                <w:color w:val="FFFFFF" w:themeColor="background1"/>
                <w:sz w:val="20"/>
                <w:szCs w:val="20"/>
                <w:lang w:eastAsia="en-US"/>
              </w:rPr>
            </w:pPr>
            <w:r w:rsidRPr="00C65CAA">
              <w:rPr>
                <w:rFonts w:ascii="Arial Narrow" w:eastAsia="Calibri" w:hAnsi="Arial Narrow"/>
                <w:b/>
                <w:bCs/>
                <w:color w:val="FFFFFF" w:themeColor="background1"/>
                <w:sz w:val="20"/>
                <w:szCs w:val="20"/>
                <w:lang w:eastAsia="en-US"/>
              </w:rPr>
              <w:t>(v tis. eur)</w:t>
            </w:r>
          </w:p>
        </w:tc>
        <w:tc>
          <w:tcPr>
            <w:tcW w:w="1254" w:type="dxa"/>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B366F3">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Skutočnosť</w:t>
            </w:r>
          </w:p>
          <w:p w:rsidR="00534776" w:rsidRPr="00C65CAA" w:rsidRDefault="00534776" w:rsidP="00B366F3">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2017</w:t>
            </w:r>
          </w:p>
        </w:tc>
        <w:tc>
          <w:tcPr>
            <w:tcW w:w="250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0"/>
            <w:vAlign w:val="center"/>
            <w:hideMark/>
          </w:tcPr>
          <w:p w:rsidR="00534776" w:rsidRPr="00C65CAA" w:rsidRDefault="00534776" w:rsidP="00B366F3">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Rozpočet</w:t>
            </w:r>
          </w:p>
        </w:tc>
        <w:tc>
          <w:tcPr>
            <w:tcW w:w="1254" w:type="dxa"/>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B366F3">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Rozdiel</w:t>
            </w:r>
          </w:p>
        </w:tc>
        <w:tc>
          <w:tcPr>
            <w:tcW w:w="1254" w:type="dxa"/>
            <w:vMerge w:val="restart"/>
            <w:tcBorders>
              <w:top w:val="single" w:sz="4" w:space="0" w:color="auto"/>
              <w:left w:val="single" w:sz="4" w:space="0" w:color="FFFFFF" w:themeColor="background1"/>
              <w:bottom w:val="single" w:sz="4" w:space="0" w:color="auto"/>
              <w:right w:val="single" w:sz="4" w:space="0" w:color="auto"/>
            </w:tcBorders>
            <w:shd w:val="clear" w:color="auto" w:fill="0070C0"/>
            <w:vAlign w:val="center"/>
            <w:hideMark/>
          </w:tcPr>
          <w:p w:rsidR="00534776" w:rsidRPr="00C65CAA" w:rsidRDefault="00534776" w:rsidP="00B366F3">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Podiel (v %)</w:t>
            </w:r>
          </w:p>
        </w:tc>
      </w:tr>
      <w:tr w:rsidR="00534776" w:rsidRPr="00C65CAA" w:rsidTr="00534776">
        <w:trPr>
          <w:tblHeader/>
        </w:trPr>
        <w:tc>
          <w:tcPr>
            <w:tcW w:w="0" w:type="auto"/>
            <w:vMerge/>
            <w:tcBorders>
              <w:top w:val="single" w:sz="4" w:space="0" w:color="auto"/>
              <w:left w:val="single" w:sz="4" w:space="0" w:color="auto"/>
              <w:bottom w:val="single" w:sz="4" w:space="0" w:color="auto"/>
              <w:right w:val="single" w:sz="4" w:space="0" w:color="FFFFFF" w:themeColor="background1"/>
            </w:tcBorders>
            <w:shd w:val="clear" w:color="auto" w:fill="0070C0"/>
            <w:vAlign w:val="center"/>
            <w:hideMark/>
          </w:tcPr>
          <w:p w:rsidR="00534776" w:rsidRPr="00C65CAA" w:rsidRDefault="00534776" w:rsidP="00B366F3">
            <w:pPr>
              <w:rPr>
                <w:rFonts w:ascii="Arial Narrow" w:eastAsia="Calibri" w:hAnsi="Arial Narrow"/>
                <w:b/>
                <w:color w:val="FFFFFF" w:themeColor="background1"/>
                <w:sz w:val="20"/>
                <w:szCs w:val="20"/>
                <w:lang w:eastAsia="en-US"/>
              </w:rPr>
            </w:pPr>
          </w:p>
        </w:tc>
        <w:tc>
          <w:tcPr>
            <w:tcW w:w="0" w:type="auto"/>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B366F3">
            <w:pPr>
              <w:rPr>
                <w:rFonts w:ascii="Arial Narrow" w:hAnsi="Arial Narrow"/>
                <w:b/>
                <w:color w:val="FFFFFF" w:themeColor="background1"/>
                <w:sz w:val="20"/>
                <w:szCs w:val="20"/>
                <w:lang w:eastAsia="en-US"/>
              </w:rPr>
            </w:pPr>
          </w:p>
        </w:tc>
        <w:tc>
          <w:tcPr>
            <w:tcW w:w="125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B366F3">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2018</w:t>
            </w:r>
          </w:p>
        </w:tc>
        <w:tc>
          <w:tcPr>
            <w:tcW w:w="125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B366F3">
            <w:pPr>
              <w:jc w:val="center"/>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2019</w:t>
            </w:r>
          </w:p>
        </w:tc>
        <w:tc>
          <w:tcPr>
            <w:tcW w:w="0" w:type="auto"/>
            <w:vMerge/>
            <w:tcBorders>
              <w:top w:val="single" w:sz="4" w:space="0" w:color="auto"/>
              <w:left w:val="single" w:sz="4" w:space="0" w:color="FFFFFF" w:themeColor="background1"/>
              <w:bottom w:val="single" w:sz="4" w:space="0" w:color="auto"/>
              <w:right w:val="single" w:sz="4" w:space="0" w:color="FFFFFF" w:themeColor="background1"/>
            </w:tcBorders>
            <w:shd w:val="clear" w:color="auto" w:fill="0070C0"/>
            <w:vAlign w:val="center"/>
            <w:hideMark/>
          </w:tcPr>
          <w:p w:rsidR="00534776" w:rsidRPr="00C65CAA" w:rsidRDefault="00534776" w:rsidP="00B366F3">
            <w:pPr>
              <w:rPr>
                <w:rFonts w:ascii="Arial Narrow" w:hAnsi="Arial Narrow"/>
                <w:b/>
                <w:color w:val="FFFFFF" w:themeColor="background1"/>
                <w:sz w:val="20"/>
                <w:szCs w:val="20"/>
                <w:lang w:eastAsia="en-US"/>
              </w:rPr>
            </w:pPr>
          </w:p>
        </w:tc>
        <w:tc>
          <w:tcPr>
            <w:tcW w:w="0" w:type="auto"/>
            <w:vMerge/>
            <w:tcBorders>
              <w:top w:val="single" w:sz="4" w:space="0" w:color="auto"/>
              <w:left w:val="single" w:sz="4" w:space="0" w:color="FFFFFF" w:themeColor="background1"/>
              <w:bottom w:val="single" w:sz="4" w:space="0" w:color="auto"/>
              <w:right w:val="single" w:sz="4" w:space="0" w:color="auto"/>
            </w:tcBorders>
            <w:shd w:val="clear" w:color="auto" w:fill="0070C0"/>
            <w:vAlign w:val="center"/>
            <w:hideMark/>
          </w:tcPr>
          <w:p w:rsidR="00534776" w:rsidRPr="00C65CAA" w:rsidRDefault="00534776" w:rsidP="00B366F3">
            <w:pPr>
              <w:rPr>
                <w:rFonts w:ascii="Arial Narrow" w:hAnsi="Arial Narrow"/>
                <w:b/>
                <w:color w:val="FFFFFF" w:themeColor="background1"/>
                <w:sz w:val="20"/>
                <w:szCs w:val="20"/>
                <w:lang w:eastAsia="en-US"/>
              </w:rPr>
            </w:pPr>
          </w:p>
        </w:tc>
      </w:tr>
      <w:tr w:rsidR="00534776" w:rsidRPr="00C65CAA" w:rsidTr="00534776">
        <w:trPr>
          <w:tblHeader/>
        </w:trPr>
        <w:tc>
          <w:tcPr>
            <w:tcW w:w="2942" w:type="dxa"/>
            <w:tcBorders>
              <w:top w:val="single" w:sz="4" w:space="0" w:color="auto"/>
              <w:left w:val="single" w:sz="4" w:space="0" w:color="auto"/>
              <w:bottom w:val="single" w:sz="4" w:space="0" w:color="auto"/>
              <w:right w:val="single" w:sz="4" w:space="0" w:color="auto"/>
            </w:tcBorders>
            <w:vAlign w:val="center"/>
            <w:hideMark/>
          </w:tcPr>
          <w:p w:rsidR="00534776" w:rsidRPr="00C65CAA" w:rsidRDefault="00534776" w:rsidP="00B366F3">
            <w:pPr>
              <w:jc w:val="center"/>
              <w:rPr>
                <w:rFonts w:ascii="Arial Narrow" w:hAnsi="Arial Narrow"/>
                <w:bCs/>
                <w:sz w:val="20"/>
                <w:szCs w:val="20"/>
                <w:lang w:eastAsia="en-US"/>
              </w:rPr>
            </w:pPr>
            <w:r w:rsidRPr="00C65CAA">
              <w:rPr>
                <w:rFonts w:ascii="Arial Narrow" w:hAnsi="Arial Narrow"/>
                <w:bCs/>
                <w:sz w:val="20"/>
                <w:szCs w:val="20"/>
                <w:lang w:eastAsia="en-US"/>
              </w:rPr>
              <w:t>a</w:t>
            </w:r>
          </w:p>
        </w:tc>
        <w:tc>
          <w:tcPr>
            <w:tcW w:w="1254" w:type="dxa"/>
            <w:tcBorders>
              <w:top w:val="single" w:sz="4" w:space="0" w:color="auto"/>
              <w:left w:val="single" w:sz="4" w:space="0" w:color="auto"/>
              <w:bottom w:val="single" w:sz="4" w:space="0" w:color="auto"/>
              <w:right w:val="single" w:sz="4" w:space="0" w:color="auto"/>
            </w:tcBorders>
            <w:hideMark/>
          </w:tcPr>
          <w:p w:rsidR="00534776" w:rsidRPr="00C65CAA" w:rsidRDefault="00534776" w:rsidP="00B366F3">
            <w:pPr>
              <w:jc w:val="center"/>
              <w:rPr>
                <w:rFonts w:ascii="Arial Narrow" w:hAnsi="Arial Narrow"/>
                <w:sz w:val="20"/>
                <w:szCs w:val="20"/>
                <w:lang w:eastAsia="en-US"/>
              </w:rPr>
            </w:pPr>
            <w:r w:rsidRPr="00C65CAA">
              <w:rPr>
                <w:rFonts w:ascii="Arial Narrow" w:hAnsi="Arial Narrow"/>
                <w:sz w:val="20"/>
                <w:szCs w:val="20"/>
                <w:lang w:eastAsia="en-US"/>
              </w:rPr>
              <w:t>1</w:t>
            </w:r>
          </w:p>
        </w:tc>
        <w:tc>
          <w:tcPr>
            <w:tcW w:w="1254" w:type="dxa"/>
            <w:tcBorders>
              <w:top w:val="single" w:sz="4" w:space="0" w:color="auto"/>
              <w:left w:val="single" w:sz="4" w:space="0" w:color="auto"/>
              <w:bottom w:val="single" w:sz="4" w:space="0" w:color="auto"/>
              <w:right w:val="single" w:sz="4" w:space="0" w:color="auto"/>
            </w:tcBorders>
            <w:hideMark/>
          </w:tcPr>
          <w:p w:rsidR="00534776" w:rsidRPr="00C65CAA" w:rsidRDefault="00534776" w:rsidP="00B366F3">
            <w:pPr>
              <w:jc w:val="center"/>
              <w:rPr>
                <w:rFonts w:ascii="Arial Narrow" w:hAnsi="Arial Narrow"/>
                <w:sz w:val="20"/>
                <w:szCs w:val="20"/>
                <w:lang w:eastAsia="en-US"/>
              </w:rPr>
            </w:pPr>
            <w:r w:rsidRPr="00C65CAA">
              <w:rPr>
                <w:rFonts w:ascii="Arial Narrow" w:hAnsi="Arial Narrow"/>
                <w:sz w:val="20"/>
                <w:szCs w:val="20"/>
                <w:lang w:eastAsia="en-US"/>
              </w:rPr>
              <w:t>2</w:t>
            </w:r>
          </w:p>
        </w:tc>
        <w:tc>
          <w:tcPr>
            <w:tcW w:w="1254" w:type="dxa"/>
            <w:tcBorders>
              <w:top w:val="single" w:sz="4" w:space="0" w:color="auto"/>
              <w:left w:val="single" w:sz="4" w:space="0" w:color="auto"/>
              <w:bottom w:val="single" w:sz="4" w:space="0" w:color="auto"/>
              <w:right w:val="single" w:sz="4" w:space="0" w:color="auto"/>
            </w:tcBorders>
            <w:hideMark/>
          </w:tcPr>
          <w:p w:rsidR="00534776" w:rsidRPr="00C65CAA" w:rsidRDefault="00534776" w:rsidP="00B366F3">
            <w:pPr>
              <w:jc w:val="center"/>
              <w:rPr>
                <w:rFonts w:ascii="Arial Narrow" w:hAnsi="Arial Narrow"/>
                <w:sz w:val="20"/>
                <w:szCs w:val="20"/>
                <w:lang w:eastAsia="en-US"/>
              </w:rPr>
            </w:pPr>
            <w:r w:rsidRPr="00C65CAA">
              <w:rPr>
                <w:rFonts w:ascii="Arial Narrow" w:hAnsi="Arial Narrow"/>
                <w:sz w:val="20"/>
                <w:szCs w:val="20"/>
                <w:lang w:eastAsia="en-US"/>
              </w:rPr>
              <w:t>3</w:t>
            </w:r>
          </w:p>
        </w:tc>
        <w:tc>
          <w:tcPr>
            <w:tcW w:w="1254" w:type="dxa"/>
            <w:tcBorders>
              <w:top w:val="single" w:sz="4" w:space="0" w:color="auto"/>
              <w:left w:val="single" w:sz="4" w:space="0" w:color="auto"/>
              <w:bottom w:val="single" w:sz="4" w:space="0" w:color="auto"/>
              <w:right w:val="single" w:sz="4" w:space="0" w:color="auto"/>
            </w:tcBorders>
            <w:hideMark/>
          </w:tcPr>
          <w:p w:rsidR="00534776" w:rsidRPr="00C65CAA" w:rsidRDefault="00534776" w:rsidP="00B366F3">
            <w:pPr>
              <w:jc w:val="center"/>
              <w:rPr>
                <w:rFonts w:ascii="Arial Narrow" w:hAnsi="Arial Narrow"/>
                <w:sz w:val="20"/>
                <w:szCs w:val="20"/>
                <w:lang w:eastAsia="en-US"/>
              </w:rPr>
            </w:pPr>
            <w:r w:rsidRPr="00C65CAA">
              <w:rPr>
                <w:rFonts w:ascii="Arial Narrow" w:hAnsi="Arial Narrow"/>
                <w:sz w:val="20"/>
                <w:szCs w:val="20"/>
                <w:lang w:eastAsia="en-US"/>
              </w:rPr>
              <w:t>3-2</w:t>
            </w:r>
          </w:p>
        </w:tc>
        <w:tc>
          <w:tcPr>
            <w:tcW w:w="1254" w:type="dxa"/>
            <w:tcBorders>
              <w:top w:val="single" w:sz="4" w:space="0" w:color="auto"/>
              <w:left w:val="single" w:sz="4" w:space="0" w:color="auto"/>
              <w:bottom w:val="single" w:sz="4" w:space="0" w:color="auto"/>
              <w:right w:val="single" w:sz="4" w:space="0" w:color="auto"/>
            </w:tcBorders>
            <w:hideMark/>
          </w:tcPr>
          <w:p w:rsidR="00534776" w:rsidRPr="00C65CAA" w:rsidRDefault="00534776" w:rsidP="00B366F3">
            <w:pPr>
              <w:jc w:val="center"/>
              <w:rPr>
                <w:rFonts w:ascii="Arial Narrow" w:hAnsi="Arial Narrow"/>
                <w:sz w:val="20"/>
                <w:szCs w:val="20"/>
                <w:lang w:eastAsia="en-US"/>
              </w:rPr>
            </w:pPr>
            <w:r w:rsidRPr="00C65CAA">
              <w:rPr>
                <w:rFonts w:ascii="Arial Narrow" w:hAnsi="Arial Narrow"/>
                <w:sz w:val="20"/>
                <w:szCs w:val="20"/>
                <w:lang w:eastAsia="en-US"/>
              </w:rPr>
              <w:t>3/2*100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rPr>
                <w:rFonts w:ascii="Arial Narrow" w:hAnsi="Arial Narrow"/>
                <w:b/>
                <w:bCs/>
                <w:sz w:val="20"/>
                <w:szCs w:val="20"/>
                <w:lang w:eastAsia="en-US"/>
              </w:rPr>
            </w:pPr>
            <w:r w:rsidRPr="00C65CAA">
              <w:rPr>
                <w:rFonts w:ascii="Arial Narrow" w:hAnsi="Arial Narrow"/>
                <w:b/>
                <w:bCs/>
                <w:sz w:val="20"/>
                <w:szCs w:val="20"/>
                <w:lang w:eastAsia="en-US"/>
              </w:rPr>
              <w:t>Výdavky VÚC spolu</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jc w:val="right"/>
              <w:rPr>
                <w:rFonts w:ascii="Arial Narrow" w:hAnsi="Arial Narrow"/>
                <w:b/>
                <w:bCs/>
                <w:sz w:val="20"/>
                <w:szCs w:val="20"/>
                <w:lang w:eastAsia="en-US"/>
              </w:rPr>
            </w:pPr>
            <w:r w:rsidRPr="00C65CAA">
              <w:rPr>
                <w:rFonts w:ascii="Arial Narrow" w:hAnsi="Arial Narrow"/>
                <w:b/>
                <w:bCs/>
                <w:sz w:val="20"/>
                <w:szCs w:val="20"/>
                <w:lang w:eastAsia="en-US"/>
              </w:rPr>
              <w:t>1 364 514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jc w:val="right"/>
              <w:rPr>
                <w:rFonts w:ascii="Arial Narrow" w:hAnsi="Arial Narrow"/>
                <w:b/>
                <w:bCs/>
                <w:sz w:val="20"/>
                <w:szCs w:val="20"/>
                <w:lang w:eastAsia="en-US"/>
              </w:rPr>
            </w:pPr>
            <w:r w:rsidRPr="00C65CAA">
              <w:rPr>
                <w:rFonts w:ascii="Arial Narrow" w:hAnsi="Arial Narrow"/>
                <w:b/>
                <w:bCs/>
                <w:sz w:val="20"/>
                <w:szCs w:val="20"/>
                <w:lang w:eastAsia="en-US"/>
              </w:rPr>
              <w:t>1 413 963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B366F3">
            <w:pPr>
              <w:jc w:val="right"/>
              <w:rPr>
                <w:rFonts w:ascii="Arial Narrow" w:hAnsi="Arial Narrow"/>
                <w:b/>
                <w:bCs/>
                <w:sz w:val="20"/>
                <w:szCs w:val="20"/>
                <w:lang w:eastAsia="en-US"/>
              </w:rPr>
            </w:pPr>
            <w:r w:rsidRPr="00C65CAA">
              <w:rPr>
                <w:rFonts w:ascii="Arial Narrow" w:hAnsi="Arial Narrow"/>
                <w:b/>
                <w:bCs/>
                <w:sz w:val="20"/>
                <w:szCs w:val="20"/>
                <w:lang w:eastAsia="en-US"/>
              </w:rPr>
              <w:t>1 451 044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37 081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102,6</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rPr>
                <w:rFonts w:ascii="Arial Narrow" w:hAnsi="Arial Narrow"/>
                <w:bCs/>
                <w:i/>
                <w:iCs/>
                <w:sz w:val="20"/>
                <w:szCs w:val="20"/>
                <w:lang w:eastAsia="en-US"/>
              </w:rPr>
            </w:pPr>
            <w:r w:rsidRPr="00C65CAA">
              <w:rPr>
                <w:rFonts w:ascii="Arial Narrow" w:hAnsi="Arial Narrow"/>
                <w:bCs/>
                <w:i/>
                <w:iCs/>
                <w:sz w:val="20"/>
                <w:szCs w:val="20"/>
                <w:lang w:eastAsia="en-US"/>
              </w:rPr>
              <w:t>z toho:</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 </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 </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B366F3">
            <w:pPr>
              <w:jc w:val="right"/>
              <w:rPr>
                <w:rFonts w:ascii="Arial Narrow" w:hAnsi="Arial Narrow"/>
                <w:sz w:val="20"/>
                <w:szCs w:val="20"/>
                <w:lang w:eastAsia="en-US"/>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B366F3">
            <w:pPr>
              <w:jc w:val="right"/>
              <w:rPr>
                <w:rFonts w:ascii="Arial Narrow" w:hAnsi="Arial Narrow"/>
                <w:sz w:val="20"/>
                <w:szCs w:val="20"/>
                <w:lang w:eastAsia="en-US"/>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776" w:rsidRPr="00C65CAA" w:rsidRDefault="00534776" w:rsidP="00B366F3">
            <w:pPr>
              <w:jc w:val="right"/>
              <w:rPr>
                <w:rFonts w:ascii="Arial Narrow" w:hAnsi="Arial Narrow"/>
                <w:sz w:val="20"/>
                <w:szCs w:val="20"/>
                <w:lang w:eastAsia="en-US"/>
              </w:rPr>
            </w:pP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pStyle w:val="Odsekzoznamu"/>
              <w:numPr>
                <w:ilvl w:val="0"/>
                <w:numId w:val="105"/>
              </w:numPr>
              <w:ind w:left="426"/>
              <w:rPr>
                <w:rFonts w:ascii="Arial Narrow" w:hAnsi="Arial Narrow"/>
                <w:bCs/>
                <w:iCs/>
                <w:sz w:val="20"/>
                <w:szCs w:val="20"/>
                <w:lang w:eastAsia="en-US"/>
              </w:rPr>
            </w:pPr>
            <w:r w:rsidRPr="00C65CAA">
              <w:rPr>
                <w:rFonts w:ascii="Arial Narrow" w:hAnsi="Arial Narrow"/>
                <w:bCs/>
                <w:iCs/>
                <w:sz w:val="20"/>
                <w:szCs w:val="20"/>
                <w:lang w:eastAsia="en-US"/>
              </w:rPr>
              <w:t>bežné výdavky</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1 161 923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1 283 758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1 344 394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60 636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104,7</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pStyle w:val="Odsekzoznamu"/>
              <w:numPr>
                <w:ilvl w:val="0"/>
                <w:numId w:val="106"/>
              </w:numPr>
              <w:ind w:left="567" w:hanging="284"/>
              <w:rPr>
                <w:rFonts w:ascii="Arial Narrow" w:hAnsi="Arial Narrow"/>
                <w:sz w:val="20"/>
                <w:szCs w:val="20"/>
                <w:lang w:eastAsia="en-US"/>
              </w:rPr>
            </w:pPr>
            <w:r w:rsidRPr="00C65CAA">
              <w:rPr>
                <w:rFonts w:ascii="Arial Narrow" w:hAnsi="Arial Narrow"/>
                <w:sz w:val="20"/>
                <w:szCs w:val="20"/>
                <w:lang w:eastAsia="en-US"/>
              </w:rPr>
              <w:t>mzdy a odvody</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443 870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514 707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577 374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62 667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112,2</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pStyle w:val="Odsekzoznamu"/>
              <w:numPr>
                <w:ilvl w:val="0"/>
                <w:numId w:val="106"/>
              </w:numPr>
              <w:ind w:left="567" w:hanging="284"/>
              <w:rPr>
                <w:rFonts w:ascii="Arial Narrow" w:hAnsi="Arial Narrow"/>
                <w:sz w:val="20"/>
                <w:szCs w:val="20"/>
                <w:lang w:eastAsia="en-US"/>
              </w:rPr>
            </w:pPr>
            <w:r w:rsidRPr="00C65CAA">
              <w:rPr>
                <w:rFonts w:ascii="Arial Narrow" w:hAnsi="Arial Narrow"/>
                <w:sz w:val="20"/>
                <w:szCs w:val="20"/>
                <w:lang w:eastAsia="en-US"/>
              </w:rPr>
              <w:t>tovary a služby</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239 674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280 369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264 869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-15 500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94,5</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pStyle w:val="Odsekzoznamu"/>
              <w:numPr>
                <w:ilvl w:val="0"/>
                <w:numId w:val="106"/>
              </w:numPr>
              <w:ind w:left="567" w:hanging="284"/>
              <w:rPr>
                <w:rFonts w:ascii="Arial Narrow" w:hAnsi="Arial Narrow"/>
                <w:sz w:val="20"/>
                <w:szCs w:val="20"/>
                <w:lang w:eastAsia="en-US"/>
              </w:rPr>
            </w:pPr>
            <w:r w:rsidRPr="00C65CAA">
              <w:rPr>
                <w:rFonts w:ascii="Arial Narrow" w:hAnsi="Arial Narrow"/>
                <w:sz w:val="20"/>
                <w:szCs w:val="20"/>
                <w:lang w:eastAsia="en-US"/>
              </w:rPr>
              <w:t>bežné transfery</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474 674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481 682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495 151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13 469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102,8</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pStyle w:val="Odsekzoznamu"/>
              <w:numPr>
                <w:ilvl w:val="0"/>
                <w:numId w:val="106"/>
              </w:numPr>
              <w:ind w:left="567" w:hanging="284"/>
              <w:rPr>
                <w:rFonts w:ascii="Arial Narrow" w:hAnsi="Arial Narrow"/>
                <w:sz w:val="20"/>
                <w:szCs w:val="20"/>
                <w:lang w:eastAsia="en-US"/>
              </w:rPr>
            </w:pPr>
            <w:r w:rsidRPr="00C65CAA">
              <w:rPr>
                <w:rFonts w:ascii="Arial Narrow" w:hAnsi="Arial Narrow"/>
                <w:sz w:val="20"/>
                <w:szCs w:val="20"/>
                <w:lang w:eastAsia="en-US"/>
              </w:rPr>
              <w:t>splácanie úrokov</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3 705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7 000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7 000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100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pStyle w:val="Odsekzoznamu"/>
              <w:numPr>
                <w:ilvl w:val="0"/>
                <w:numId w:val="105"/>
              </w:numPr>
              <w:ind w:left="426"/>
              <w:rPr>
                <w:rFonts w:ascii="Arial Narrow" w:hAnsi="Arial Narrow"/>
                <w:sz w:val="20"/>
                <w:szCs w:val="20"/>
                <w:lang w:eastAsia="en-US"/>
              </w:rPr>
            </w:pPr>
            <w:r w:rsidRPr="00C65CAA">
              <w:rPr>
                <w:rFonts w:ascii="Arial Narrow" w:hAnsi="Arial Narrow"/>
                <w:sz w:val="20"/>
                <w:szCs w:val="20"/>
                <w:lang w:eastAsia="en-US"/>
              </w:rPr>
              <w:t>kapitálové výdavky</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172 264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94 205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70 650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-23 555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75</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pStyle w:val="Odsekzoznamu"/>
              <w:numPr>
                <w:ilvl w:val="0"/>
                <w:numId w:val="105"/>
              </w:numPr>
              <w:ind w:left="426"/>
              <w:rPr>
                <w:rFonts w:ascii="Arial Narrow" w:hAnsi="Arial Narrow"/>
                <w:sz w:val="20"/>
                <w:szCs w:val="20"/>
                <w:lang w:eastAsia="en-US"/>
              </w:rPr>
            </w:pPr>
            <w:r w:rsidRPr="00C65CAA">
              <w:rPr>
                <w:rFonts w:ascii="Arial Narrow" w:hAnsi="Arial Narrow"/>
                <w:sz w:val="20"/>
                <w:szCs w:val="20"/>
                <w:lang w:eastAsia="en-US"/>
              </w:rPr>
              <w:t>finančné operácie</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30 327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36 000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36 000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100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rPr>
                <w:rFonts w:ascii="Arial Narrow" w:hAnsi="Arial Narrow"/>
                <w:i/>
                <w:sz w:val="20"/>
                <w:szCs w:val="20"/>
                <w:lang w:eastAsia="en-US"/>
              </w:rPr>
            </w:pPr>
            <w:r w:rsidRPr="00C65CAA">
              <w:rPr>
                <w:rFonts w:ascii="Arial Narrow" w:hAnsi="Arial Narrow"/>
                <w:i/>
                <w:sz w:val="20"/>
                <w:szCs w:val="20"/>
                <w:lang w:eastAsia="en-US"/>
              </w:rPr>
              <w:t>z toho:</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 </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 </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B366F3">
            <w:pPr>
              <w:jc w:val="right"/>
              <w:rPr>
                <w:rFonts w:ascii="Arial Narrow" w:hAnsi="Arial Narrow"/>
                <w:sz w:val="20"/>
                <w:szCs w:val="20"/>
                <w:lang w:eastAsia="en-US"/>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B366F3">
            <w:pPr>
              <w:jc w:val="right"/>
              <w:rPr>
                <w:rFonts w:ascii="Arial Narrow" w:hAnsi="Arial Narrow"/>
                <w:sz w:val="20"/>
                <w:szCs w:val="20"/>
                <w:lang w:eastAsia="en-US"/>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776" w:rsidRPr="00C65CAA" w:rsidRDefault="00534776" w:rsidP="00B366F3">
            <w:pPr>
              <w:jc w:val="right"/>
              <w:rPr>
                <w:rFonts w:ascii="Arial Narrow" w:hAnsi="Arial Narrow"/>
                <w:sz w:val="20"/>
                <w:szCs w:val="20"/>
                <w:lang w:eastAsia="en-US"/>
              </w:rPr>
            </w:pP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pStyle w:val="Odsekzoznamu"/>
              <w:numPr>
                <w:ilvl w:val="0"/>
                <w:numId w:val="106"/>
              </w:numPr>
              <w:ind w:left="567" w:right="-108" w:hanging="283"/>
              <w:rPr>
                <w:rFonts w:ascii="Arial Narrow" w:hAnsi="Arial Narrow"/>
                <w:sz w:val="20"/>
                <w:szCs w:val="20"/>
                <w:lang w:eastAsia="en-US"/>
              </w:rPr>
            </w:pPr>
            <w:r w:rsidRPr="00C65CAA">
              <w:rPr>
                <w:rFonts w:ascii="Arial Narrow" w:hAnsi="Arial Narrow"/>
                <w:sz w:val="20"/>
                <w:szCs w:val="20"/>
                <w:lang w:eastAsia="en-US"/>
              </w:rPr>
              <w:t xml:space="preserve">úvery a účasť na majetku </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6 723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1 000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1 000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100</w:t>
            </w:r>
          </w:p>
        </w:tc>
      </w:tr>
      <w:tr w:rsidR="00534776" w:rsidRPr="00C65CAA" w:rsidTr="0053477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pStyle w:val="Odsekzoznamu"/>
              <w:numPr>
                <w:ilvl w:val="0"/>
                <w:numId w:val="106"/>
              </w:numPr>
              <w:ind w:left="567" w:hanging="283"/>
              <w:rPr>
                <w:rFonts w:ascii="Arial Narrow" w:hAnsi="Arial Narrow"/>
                <w:sz w:val="20"/>
                <w:szCs w:val="20"/>
                <w:lang w:eastAsia="en-US"/>
              </w:rPr>
            </w:pPr>
            <w:r w:rsidRPr="00C65CAA">
              <w:rPr>
                <w:rFonts w:ascii="Arial Narrow" w:hAnsi="Arial Narrow"/>
                <w:sz w:val="20"/>
                <w:szCs w:val="20"/>
                <w:lang w:eastAsia="en-US"/>
              </w:rPr>
              <w:t xml:space="preserve">splácanie istiny </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23 604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35 000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35 000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776" w:rsidRPr="00C65CAA" w:rsidRDefault="00534776" w:rsidP="00B366F3">
            <w:pPr>
              <w:jc w:val="right"/>
              <w:rPr>
                <w:rFonts w:ascii="Arial Narrow" w:hAnsi="Arial Narrow"/>
                <w:sz w:val="20"/>
                <w:szCs w:val="20"/>
                <w:lang w:eastAsia="en-US"/>
              </w:rPr>
            </w:pPr>
            <w:r w:rsidRPr="00C65CAA">
              <w:rPr>
                <w:rFonts w:ascii="Arial Narrow" w:hAnsi="Arial Narrow"/>
                <w:sz w:val="20"/>
                <w:szCs w:val="20"/>
                <w:lang w:eastAsia="en-US"/>
              </w:rPr>
              <w:t>100</w:t>
            </w:r>
          </w:p>
        </w:tc>
      </w:tr>
    </w:tbl>
    <w:p w:rsidR="00534776" w:rsidRPr="00C65CAA" w:rsidRDefault="00534776" w:rsidP="00B366F3">
      <w:pPr>
        <w:jc w:val="both"/>
        <w:rPr>
          <w:rFonts w:ascii="Arial Narrow" w:eastAsiaTheme="minorEastAsia" w:hAnsi="Arial Narrow"/>
          <w:sz w:val="20"/>
          <w:szCs w:val="20"/>
        </w:rPr>
      </w:pPr>
      <w:r w:rsidRPr="00C65CAA">
        <w:rPr>
          <w:rFonts w:ascii="Arial Narrow" w:eastAsiaTheme="minorEastAsia" w:hAnsi="Arial Narrow"/>
          <w:sz w:val="20"/>
          <w:szCs w:val="20"/>
        </w:rPr>
        <w:t>Zdroj: Návrh RVS na roky 2019 až 2021</w:t>
      </w:r>
    </w:p>
    <w:p w:rsidR="00534776" w:rsidRPr="00C65CAA" w:rsidRDefault="00534776" w:rsidP="007809C2">
      <w:pPr>
        <w:spacing w:before="120" w:after="12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Niektoré časti výdavkov do značnej miery reflektujú ne</w:t>
      </w:r>
      <w:r w:rsidR="00406605" w:rsidRPr="00C65CAA">
        <w:rPr>
          <w:rFonts w:ascii="Arial Narrow" w:eastAsiaTheme="minorHAnsi" w:hAnsi="Arial Narrow" w:cstheme="minorBidi"/>
          <w:sz w:val="22"/>
          <w:szCs w:val="22"/>
          <w:lang w:eastAsia="en-US"/>
        </w:rPr>
        <w:t xml:space="preserve">rozpočtovanie prostriedkov z </w:t>
      </w:r>
      <w:r w:rsidRPr="00C65CAA">
        <w:rPr>
          <w:rFonts w:ascii="Arial Narrow" w:eastAsiaTheme="minorHAnsi" w:hAnsi="Arial Narrow" w:cstheme="minorBidi"/>
          <w:sz w:val="22"/>
          <w:szCs w:val="22"/>
          <w:lang w:eastAsia="en-US"/>
        </w:rPr>
        <w:t xml:space="preserve">fondov </w:t>
      </w:r>
      <w:r w:rsidR="00406605" w:rsidRPr="00C65CAA">
        <w:rPr>
          <w:rFonts w:ascii="Arial Narrow" w:eastAsiaTheme="minorHAnsi" w:hAnsi="Arial Narrow" w:cstheme="minorBidi"/>
          <w:sz w:val="22"/>
          <w:szCs w:val="22"/>
          <w:lang w:eastAsia="en-US"/>
        </w:rPr>
        <w:t xml:space="preserve">EÚ, </w:t>
      </w:r>
      <w:r w:rsidRPr="00C65CAA">
        <w:rPr>
          <w:rFonts w:ascii="Arial Narrow" w:eastAsiaTheme="minorHAnsi" w:hAnsi="Arial Narrow" w:cstheme="minorBidi"/>
          <w:sz w:val="22"/>
          <w:szCs w:val="22"/>
          <w:lang w:eastAsia="en-US"/>
        </w:rPr>
        <w:t>a to predovšetkým tovary a služby v rámci bežných výdavkov</w:t>
      </w:r>
      <w:r w:rsidR="00D94D93"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ale najmä kapitálové výdavky, ktoré majú byť oproti rozpočtu na rok 2018 nižšie až o štvrtinu. Naopak</w:t>
      </w:r>
      <w:r w:rsidR="00406605"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rast miezd a odvodov vytvára predpoklad na pokrytie plánovaných mzdových úprav vo verejnej správe.</w:t>
      </w:r>
    </w:p>
    <w:p w:rsidR="00534776" w:rsidRPr="00C65CAA" w:rsidRDefault="00534776" w:rsidP="007809C2">
      <w:pPr>
        <w:spacing w:before="120" w:after="12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Podľa NKÚ SR, vďaka pozitívnej ekonomickej situáci</w:t>
      </w:r>
      <w:r w:rsidR="00D94D93" w:rsidRPr="00C65CAA">
        <w:rPr>
          <w:rFonts w:ascii="Arial Narrow" w:eastAsiaTheme="minorHAnsi" w:hAnsi="Arial Narrow" w:cstheme="minorBidi"/>
          <w:sz w:val="22"/>
          <w:szCs w:val="22"/>
          <w:lang w:eastAsia="en-US"/>
        </w:rPr>
        <w:t>i</w:t>
      </w:r>
      <w:r w:rsidRPr="00C65CAA">
        <w:rPr>
          <w:rFonts w:ascii="Arial Narrow" w:eastAsiaTheme="minorHAnsi" w:hAnsi="Arial Narrow" w:cstheme="minorBidi"/>
          <w:sz w:val="22"/>
          <w:szCs w:val="22"/>
          <w:lang w:eastAsia="en-US"/>
        </w:rPr>
        <w:t xml:space="preserve">, ku ktorej dochádza v posledných rokoch, odpadá veľké riziko v nenaplnení prognózovaných daňových príjmov pri zostavovaní rozpočtov v jednotlivých samosprávach. DPFO každoročne rastie, dokonca skutočné príjmy z DPFO vo výraznej miere prekonávajú plánované rozpočty. To dáva samosprávam viac priestoru na zodpovednejšie zostavovanie rozpočtu. Zároveň sa však zvyšuje závislosť rozpočtov </w:t>
      </w:r>
      <w:r w:rsidR="00406605" w:rsidRPr="00C65CAA">
        <w:rPr>
          <w:rFonts w:ascii="Arial Narrow" w:eastAsiaTheme="minorHAnsi" w:hAnsi="Arial Narrow" w:cstheme="minorBidi"/>
          <w:sz w:val="22"/>
          <w:szCs w:val="22"/>
          <w:lang w:eastAsia="en-US"/>
        </w:rPr>
        <w:t>od</w:t>
      </w:r>
      <w:r w:rsidRPr="00C65CAA">
        <w:rPr>
          <w:rFonts w:ascii="Arial Narrow" w:eastAsiaTheme="minorHAnsi" w:hAnsi="Arial Narrow" w:cstheme="minorBidi"/>
          <w:sz w:val="22"/>
          <w:szCs w:val="22"/>
          <w:lang w:eastAsia="en-US"/>
        </w:rPr>
        <w:t xml:space="preserve"> to</w:t>
      </w:r>
      <w:r w:rsidR="00406605" w:rsidRPr="00C65CAA">
        <w:rPr>
          <w:rFonts w:ascii="Arial Narrow" w:eastAsiaTheme="minorHAnsi" w:hAnsi="Arial Narrow" w:cstheme="minorBidi"/>
          <w:sz w:val="22"/>
          <w:szCs w:val="22"/>
          <w:lang w:eastAsia="en-US"/>
        </w:rPr>
        <w:t>h</w:t>
      </w:r>
      <w:r w:rsidRPr="00C65CAA">
        <w:rPr>
          <w:rFonts w:ascii="Arial Narrow" w:eastAsiaTheme="minorHAnsi" w:hAnsi="Arial Narrow" w:cstheme="minorBidi"/>
          <w:sz w:val="22"/>
          <w:szCs w:val="22"/>
          <w:lang w:eastAsia="en-US"/>
        </w:rPr>
        <w:t xml:space="preserve">to druhu príjmu. </w:t>
      </w:r>
    </w:p>
    <w:p w:rsidR="00534776" w:rsidRPr="00C65CAA" w:rsidRDefault="00534776" w:rsidP="007809C2">
      <w:pPr>
        <w:spacing w:before="120" w:after="12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Na základe nedávnej štúdie</w:t>
      </w:r>
      <w:r w:rsidR="00406605" w:rsidRPr="00C65CAA">
        <w:rPr>
          <w:rFonts w:ascii="Arial Narrow" w:eastAsiaTheme="minorHAnsi" w:hAnsi="Arial Narrow" w:cstheme="minorBidi"/>
          <w:sz w:val="22"/>
          <w:szCs w:val="22"/>
          <w:lang w:eastAsia="en-US"/>
        </w:rPr>
        <w:t>, zameranej na</w:t>
      </w:r>
      <w:r w:rsidRPr="00C65CAA">
        <w:rPr>
          <w:rFonts w:ascii="Arial Narrow" w:eastAsiaTheme="minorHAnsi" w:hAnsi="Arial Narrow" w:cstheme="minorBidi"/>
          <w:sz w:val="22"/>
          <w:szCs w:val="22"/>
          <w:lang w:eastAsia="en-US"/>
        </w:rPr>
        <w:t xml:space="preserve"> najviac rizikové oblasti v pôsobnosti VÚC, ktorú </w:t>
      </w:r>
      <w:r w:rsidR="00D94D93" w:rsidRPr="00C65CAA">
        <w:rPr>
          <w:rFonts w:ascii="Arial Narrow" w:eastAsiaTheme="minorHAnsi" w:hAnsi="Arial Narrow" w:cstheme="minorBidi"/>
          <w:sz w:val="22"/>
          <w:szCs w:val="22"/>
          <w:lang w:eastAsia="en-US"/>
        </w:rPr>
        <w:t xml:space="preserve">NKÚ SR </w:t>
      </w:r>
      <w:r w:rsidR="00085B32">
        <w:rPr>
          <w:rFonts w:ascii="Arial Narrow" w:eastAsiaTheme="minorHAnsi" w:hAnsi="Arial Narrow" w:cstheme="minorBidi"/>
          <w:sz w:val="22"/>
          <w:szCs w:val="22"/>
          <w:lang w:eastAsia="en-US"/>
        </w:rPr>
        <w:t>spracoval</w:t>
      </w:r>
      <w:r w:rsidR="00D94D93"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možno konštatovať, že najväčšou prekážkou nielen pri zostavovaní rozpočtu</w:t>
      </w:r>
      <w:r w:rsidR="00D94D93"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je pre samosprávne kraje samotný zákon o prechode niektorých pôsobností z orgánov štátnej správy na obce a vyššie územné celky, ktorý dost</w:t>
      </w:r>
      <w:r w:rsidR="00406605" w:rsidRPr="00C65CAA">
        <w:rPr>
          <w:rFonts w:ascii="Arial Narrow" w:eastAsiaTheme="minorHAnsi" w:hAnsi="Arial Narrow" w:cstheme="minorBidi"/>
          <w:sz w:val="22"/>
          <w:szCs w:val="22"/>
          <w:lang w:eastAsia="en-US"/>
        </w:rPr>
        <w:t xml:space="preserve">atočne nereflektuje </w:t>
      </w:r>
      <w:r w:rsidRPr="00C65CAA">
        <w:rPr>
          <w:rFonts w:ascii="Arial Narrow" w:eastAsiaTheme="minorHAnsi" w:hAnsi="Arial Narrow" w:cstheme="minorBidi"/>
          <w:sz w:val="22"/>
          <w:szCs w:val="22"/>
          <w:lang w:eastAsia="en-US"/>
        </w:rPr>
        <w:t xml:space="preserve">zmeny a vývoj v kľúčových oblastiach v pôsobnosti VÚC – školstvo, zdravotníctvo, sociálne veci. Pri rozpočtových procesoch </w:t>
      </w:r>
      <w:r w:rsidR="00406605" w:rsidRPr="00C65CAA">
        <w:rPr>
          <w:rFonts w:ascii="Arial Narrow" w:eastAsiaTheme="minorHAnsi" w:hAnsi="Arial Narrow" w:cstheme="minorBidi"/>
          <w:sz w:val="22"/>
          <w:szCs w:val="22"/>
          <w:lang w:eastAsia="en-US"/>
        </w:rPr>
        <w:t>majú samosprávne kraje často</w:t>
      </w:r>
      <w:r w:rsidRPr="00C65CAA">
        <w:rPr>
          <w:rFonts w:ascii="Arial Narrow" w:eastAsiaTheme="minorHAnsi" w:hAnsi="Arial Narrow" w:cstheme="minorBidi"/>
          <w:sz w:val="22"/>
          <w:szCs w:val="22"/>
          <w:lang w:eastAsia="en-US"/>
        </w:rPr>
        <w:t xml:space="preserve"> problém v rozdelení svojich výdavkov na originálne a prenesené kompetencie – nevedia ich jasne definovať, nesledujú náklady na ich výkon a nevedia tak presne vyčísliť, koľko finančných prostriedkov sú oprávnené od štátu požadovať. NKÚ SR v analýze identifikoval riziko v uhrádzaní niektorých výdavkov na prenesený výkon, ktoré by mal uhrádzať štát, napr</w:t>
      </w:r>
      <w:r w:rsidR="00D94D93" w:rsidRPr="00C65CAA">
        <w:rPr>
          <w:rFonts w:ascii="Arial Narrow" w:eastAsiaTheme="minorHAnsi" w:hAnsi="Arial Narrow" w:cstheme="minorBidi"/>
          <w:sz w:val="22"/>
          <w:szCs w:val="22"/>
          <w:lang w:eastAsia="en-US"/>
        </w:rPr>
        <w:t>íklad pri </w:t>
      </w:r>
      <w:r w:rsidRPr="00C65CAA">
        <w:rPr>
          <w:rFonts w:ascii="Arial Narrow" w:eastAsiaTheme="minorHAnsi" w:hAnsi="Arial Narrow" w:cstheme="minorBidi"/>
          <w:sz w:val="22"/>
          <w:szCs w:val="22"/>
          <w:lang w:eastAsia="en-US"/>
        </w:rPr>
        <w:t xml:space="preserve">neuhrádzaní nákladov spojených s preneseným </w:t>
      </w:r>
      <w:r w:rsidR="00406605" w:rsidRPr="00C65CAA">
        <w:rPr>
          <w:rFonts w:ascii="Arial Narrow" w:eastAsiaTheme="minorHAnsi" w:hAnsi="Arial Narrow" w:cstheme="minorBidi"/>
          <w:sz w:val="22"/>
          <w:szCs w:val="22"/>
          <w:lang w:eastAsia="en-US"/>
        </w:rPr>
        <w:t>výkonom v oblasti zdravotníctva</w:t>
      </w:r>
      <w:r w:rsidRPr="00C65CAA">
        <w:rPr>
          <w:rFonts w:ascii="Arial Narrow" w:eastAsiaTheme="minorHAnsi" w:hAnsi="Arial Narrow" w:cstheme="minorBidi"/>
          <w:sz w:val="22"/>
          <w:szCs w:val="22"/>
          <w:lang w:eastAsia="en-US"/>
        </w:rPr>
        <w:t xml:space="preserve"> či farmácie. </w:t>
      </w:r>
    </w:p>
    <w:p w:rsidR="00534776" w:rsidRDefault="00534776" w:rsidP="007809C2">
      <w:pPr>
        <w:spacing w:before="120" w:after="12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Problém nastáva aj v organizačnej štruktúre VÚC, kedy viaceré kraje využívajú sektorový prístup – každý od</w:t>
      </w:r>
      <w:r w:rsidR="00085B32">
        <w:rPr>
          <w:rFonts w:ascii="Arial Narrow" w:eastAsiaTheme="minorHAnsi" w:hAnsi="Arial Narrow" w:cstheme="minorBidi"/>
          <w:sz w:val="22"/>
          <w:szCs w:val="22"/>
          <w:lang w:eastAsia="en-US"/>
        </w:rPr>
        <w:t>bor rieši len vlastné problémy. N</w:t>
      </w:r>
      <w:r w:rsidRPr="00C65CAA">
        <w:rPr>
          <w:rFonts w:ascii="Arial Narrow" w:eastAsiaTheme="minorHAnsi" w:hAnsi="Arial Narrow" w:cstheme="minorBidi"/>
          <w:sz w:val="22"/>
          <w:szCs w:val="22"/>
          <w:lang w:eastAsia="en-US"/>
        </w:rPr>
        <w:t>aopak, odbory</w:t>
      </w:r>
      <w:r w:rsidR="00406605"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ktorých činnosť je výrazne prierezová, ako napr. odbory regionálneho rozvoja, sú často na okraji záujmu vedenia kraja, navyše</w:t>
      </w:r>
      <w:r w:rsidR="00406605"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finančne aj personálne poddimenzované. Táto skutočnosť sa pre</w:t>
      </w:r>
      <w:r w:rsidR="00406605" w:rsidRPr="00C65CAA">
        <w:rPr>
          <w:rFonts w:ascii="Arial Narrow" w:eastAsiaTheme="minorHAnsi" w:hAnsi="Arial Narrow" w:cstheme="minorBidi"/>
          <w:sz w:val="22"/>
          <w:szCs w:val="22"/>
          <w:lang w:eastAsia="en-US"/>
        </w:rPr>
        <w:t>tavuje do tvorby rozpočtov, keď</w:t>
      </w:r>
      <w:r w:rsidRPr="00C65CAA">
        <w:rPr>
          <w:rFonts w:ascii="Arial Narrow" w:eastAsiaTheme="minorHAnsi" w:hAnsi="Arial Narrow" w:cstheme="minorBidi"/>
          <w:sz w:val="22"/>
          <w:szCs w:val="22"/>
          <w:lang w:eastAsia="en-US"/>
        </w:rPr>
        <w:t xml:space="preserve"> programové rozpočty VÚC vykazujú viac-menej iba formálny charakter. V kontext</w:t>
      </w:r>
      <w:r w:rsidR="00D94D93" w:rsidRPr="00C65CAA">
        <w:rPr>
          <w:rFonts w:ascii="Arial Narrow" w:eastAsiaTheme="minorHAnsi" w:hAnsi="Arial Narrow" w:cstheme="minorBidi"/>
          <w:sz w:val="22"/>
          <w:szCs w:val="22"/>
          <w:lang w:eastAsia="en-US"/>
        </w:rPr>
        <w:t>e vyššie definovaných problémov</w:t>
      </w:r>
      <w:r w:rsidRPr="00C65CAA">
        <w:rPr>
          <w:rFonts w:ascii="Arial Narrow" w:eastAsiaTheme="minorHAnsi" w:hAnsi="Arial Narrow" w:cstheme="minorBidi"/>
          <w:sz w:val="22"/>
          <w:szCs w:val="22"/>
          <w:lang w:eastAsia="en-US"/>
        </w:rPr>
        <w:t xml:space="preserve"> sa tak podľa NKÚ</w:t>
      </w:r>
      <w:r w:rsidR="00D94D93" w:rsidRPr="00C65CAA">
        <w:rPr>
          <w:rFonts w:ascii="Arial Narrow" w:eastAsiaTheme="minorHAnsi" w:hAnsi="Arial Narrow" w:cstheme="minorBidi"/>
          <w:sz w:val="22"/>
          <w:szCs w:val="22"/>
          <w:lang w:eastAsia="en-US"/>
        </w:rPr>
        <w:t xml:space="preserve"> SR vytrácajú hlavné ciele, pre </w:t>
      </w:r>
      <w:r w:rsidRPr="00C65CAA">
        <w:rPr>
          <w:rFonts w:ascii="Arial Narrow" w:eastAsiaTheme="minorHAnsi" w:hAnsi="Arial Narrow" w:cstheme="minorBidi"/>
          <w:sz w:val="22"/>
          <w:szCs w:val="22"/>
          <w:lang w:eastAsia="en-US"/>
        </w:rPr>
        <w:t>ktoré boli VÚC zriadené – zvýšiť ekonomickú výkonnosť regiónov, znižovať regionálne rozdiely a pružnejšie reagovať na lokálne výzvy.</w:t>
      </w:r>
    </w:p>
    <w:p w:rsidR="00085B32" w:rsidRDefault="00085B32" w:rsidP="007809C2">
      <w:pPr>
        <w:spacing w:before="120" w:after="120"/>
        <w:ind w:firstLine="708"/>
        <w:jc w:val="both"/>
        <w:rPr>
          <w:rFonts w:ascii="Arial Narrow" w:eastAsiaTheme="minorHAnsi" w:hAnsi="Arial Narrow" w:cstheme="minorBidi"/>
          <w:sz w:val="22"/>
          <w:szCs w:val="22"/>
          <w:lang w:eastAsia="en-US"/>
        </w:rPr>
      </w:pPr>
    </w:p>
    <w:p w:rsidR="00D23611" w:rsidRPr="00C65CAA" w:rsidRDefault="00D23611" w:rsidP="007809C2">
      <w:pPr>
        <w:pStyle w:val="Nadpis2"/>
        <w:numPr>
          <w:ilvl w:val="1"/>
          <w:numId w:val="92"/>
        </w:numPr>
        <w:tabs>
          <w:tab w:val="left" w:pos="1276"/>
        </w:tabs>
        <w:spacing w:before="120" w:after="120"/>
        <w:rPr>
          <w:szCs w:val="22"/>
        </w:rPr>
      </w:pPr>
      <w:r w:rsidRPr="00C65CAA">
        <w:rPr>
          <w:szCs w:val="22"/>
        </w:rPr>
        <w:t xml:space="preserve"> </w:t>
      </w:r>
      <w:bookmarkStart w:id="51" w:name="_Toc529507614"/>
      <w:r w:rsidRPr="00C65CAA">
        <w:rPr>
          <w:szCs w:val="22"/>
        </w:rPr>
        <w:t>Stanovisko k návrhu rozpočtu Sociálnej poisťovne na rok 201</w:t>
      </w:r>
      <w:r w:rsidR="005E6FE7" w:rsidRPr="00C65CAA">
        <w:rPr>
          <w:szCs w:val="22"/>
        </w:rPr>
        <w:t>9</w:t>
      </w:r>
      <w:bookmarkEnd w:id="51"/>
    </w:p>
    <w:p w:rsidR="00534776" w:rsidRPr="00C65CAA" w:rsidRDefault="00534776" w:rsidP="007809C2">
      <w:pPr>
        <w:spacing w:before="120" w:after="120"/>
        <w:ind w:firstLine="709"/>
        <w:jc w:val="both"/>
        <w:rPr>
          <w:rFonts w:ascii="Arial Narrow" w:hAnsi="Arial Narrow"/>
          <w:sz w:val="22"/>
        </w:rPr>
      </w:pPr>
      <w:r w:rsidRPr="00C65CAA">
        <w:rPr>
          <w:rFonts w:ascii="Arial Narrow" w:hAnsi="Arial Narrow"/>
          <w:sz w:val="22"/>
        </w:rPr>
        <w:t xml:space="preserve">Sociálna poisťovňa je verejnoprávnou inštitúciou zriadenou na výkon sociálneho poistenia, pričom svoju činnosť vykonáva podľa zákona č. 461/2003 Z. z. o sociálnom poistení v znení neskorších predpisov. </w:t>
      </w:r>
    </w:p>
    <w:p w:rsidR="00534776" w:rsidRPr="00C65CAA" w:rsidRDefault="00534776" w:rsidP="007809C2">
      <w:pPr>
        <w:spacing w:before="120" w:after="120"/>
        <w:ind w:firstLine="708"/>
        <w:jc w:val="both"/>
        <w:rPr>
          <w:rFonts w:ascii="Arial Narrow" w:hAnsi="Arial Narrow"/>
          <w:sz w:val="22"/>
          <w:szCs w:val="22"/>
        </w:rPr>
      </w:pPr>
      <w:r w:rsidRPr="00C65CAA">
        <w:rPr>
          <w:rFonts w:ascii="Arial Narrow" w:hAnsi="Arial Narrow"/>
          <w:sz w:val="22"/>
          <w:szCs w:val="22"/>
        </w:rPr>
        <w:t xml:space="preserve">Porovnanie bilančného zostatku Sociálnej poisťovne na akruálnej báze v metodike ESA 2010 v návrhu rozpočtu na rok 2019 so schváleným rozpočtom na rok 2018 a skutočným plnením rozpočtu za rok 2017: </w:t>
      </w:r>
    </w:p>
    <w:tbl>
      <w:tblPr>
        <w:tblStyle w:val="Mriekatabuky"/>
        <w:tblW w:w="9212" w:type="dxa"/>
        <w:tblLook w:val="04A0" w:firstRow="1" w:lastRow="0" w:firstColumn="1" w:lastColumn="0" w:noHBand="0" w:noVBand="1"/>
      </w:tblPr>
      <w:tblGrid>
        <w:gridCol w:w="2942"/>
        <w:gridCol w:w="1254"/>
        <w:gridCol w:w="1254"/>
        <w:gridCol w:w="1254"/>
        <w:gridCol w:w="1254"/>
        <w:gridCol w:w="1254"/>
      </w:tblGrid>
      <w:tr w:rsidR="00534776" w:rsidRPr="00C65CAA" w:rsidTr="00534776">
        <w:trPr>
          <w:tblHeader/>
        </w:trPr>
        <w:tc>
          <w:tcPr>
            <w:tcW w:w="2942" w:type="dxa"/>
            <w:vMerge w:val="restart"/>
            <w:tcBorders>
              <w:top w:val="single" w:sz="4" w:space="0" w:color="auto"/>
              <w:left w:val="single" w:sz="4" w:space="0" w:color="auto"/>
              <w:bottom w:val="single" w:sz="4" w:space="0" w:color="auto"/>
              <w:right w:val="single" w:sz="4" w:space="0" w:color="auto"/>
            </w:tcBorders>
            <w:shd w:val="clear" w:color="auto" w:fill="0070C0"/>
            <w:vAlign w:val="center"/>
          </w:tcPr>
          <w:p w:rsidR="00534776" w:rsidRPr="00C65CAA" w:rsidRDefault="00534776" w:rsidP="00B366F3">
            <w:pPr>
              <w:jc w:val="center"/>
              <w:rPr>
                <w:rFonts w:ascii="Arial Narrow" w:eastAsia="Calibri" w:hAnsi="Arial Narrow"/>
                <w:b/>
                <w:bCs/>
                <w:color w:val="FFFFFF" w:themeColor="background1"/>
                <w:sz w:val="20"/>
                <w:szCs w:val="20"/>
              </w:rPr>
            </w:pPr>
            <w:r w:rsidRPr="00C65CAA">
              <w:rPr>
                <w:rFonts w:ascii="Arial Narrow" w:eastAsia="Calibri" w:hAnsi="Arial Narrow"/>
                <w:b/>
                <w:bCs/>
                <w:color w:val="FFFFFF" w:themeColor="background1"/>
                <w:sz w:val="20"/>
                <w:szCs w:val="20"/>
              </w:rPr>
              <w:t>Názov ukazovateľa</w:t>
            </w:r>
          </w:p>
          <w:p w:rsidR="00534776" w:rsidRPr="00C65CAA" w:rsidRDefault="00534776" w:rsidP="00B366F3">
            <w:pPr>
              <w:jc w:val="center"/>
              <w:rPr>
                <w:rFonts w:ascii="Arial Narrow" w:eastAsia="Calibri" w:hAnsi="Arial Narrow"/>
                <w:b/>
                <w:bCs/>
                <w:color w:val="FFFFFF" w:themeColor="background1"/>
                <w:sz w:val="20"/>
                <w:szCs w:val="20"/>
              </w:rPr>
            </w:pPr>
            <w:r w:rsidRPr="00C65CAA">
              <w:rPr>
                <w:rFonts w:ascii="Arial Narrow" w:eastAsia="Calibri" w:hAnsi="Arial Narrow"/>
                <w:b/>
                <w:bCs/>
                <w:color w:val="FFFFFF" w:themeColor="background1"/>
                <w:sz w:val="20"/>
                <w:szCs w:val="20"/>
              </w:rPr>
              <w:t>(v tis. eur)</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0070C0"/>
            <w:vAlign w:val="center"/>
          </w:tcPr>
          <w:p w:rsidR="00534776" w:rsidRPr="00C65CAA" w:rsidRDefault="00534776" w:rsidP="00B366F3">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Skutočnosť</w:t>
            </w:r>
          </w:p>
          <w:p w:rsidR="00534776" w:rsidRPr="00C65CAA" w:rsidRDefault="00534776" w:rsidP="00B366F3">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2017</w:t>
            </w:r>
          </w:p>
        </w:tc>
        <w:tc>
          <w:tcPr>
            <w:tcW w:w="2508"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rsidR="00534776" w:rsidRPr="00C65CAA" w:rsidRDefault="00534776" w:rsidP="00B366F3">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Rozpočet</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0070C0"/>
            <w:vAlign w:val="center"/>
          </w:tcPr>
          <w:p w:rsidR="00534776" w:rsidRPr="00C65CAA" w:rsidRDefault="00534776" w:rsidP="00B366F3">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Rozdiel</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0070C0"/>
            <w:vAlign w:val="center"/>
          </w:tcPr>
          <w:p w:rsidR="00534776" w:rsidRPr="00C65CAA" w:rsidRDefault="00534776" w:rsidP="00B366F3">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Podiel (v %)</w:t>
            </w:r>
          </w:p>
        </w:tc>
      </w:tr>
      <w:tr w:rsidR="00534776" w:rsidRPr="00C65CAA" w:rsidTr="00534776">
        <w:trPr>
          <w:tblHeader/>
        </w:trPr>
        <w:tc>
          <w:tcPr>
            <w:tcW w:w="2942" w:type="dxa"/>
            <w:vMerge/>
            <w:tcBorders>
              <w:top w:val="single" w:sz="4" w:space="0" w:color="auto"/>
              <w:left w:val="single" w:sz="4" w:space="0" w:color="auto"/>
              <w:bottom w:val="single" w:sz="4" w:space="0" w:color="auto"/>
              <w:right w:val="single" w:sz="4" w:space="0" w:color="auto"/>
            </w:tcBorders>
            <w:shd w:val="clear" w:color="auto" w:fill="0070C0"/>
          </w:tcPr>
          <w:p w:rsidR="00534776" w:rsidRPr="00C65CAA" w:rsidRDefault="00534776" w:rsidP="00B366F3">
            <w:pPr>
              <w:jc w:val="both"/>
              <w:rPr>
                <w:rFonts w:ascii="Arial Narrow" w:eastAsia="Calibri" w:hAnsi="Arial Narrow"/>
                <w:color w:val="FFFFFF" w:themeColor="background1"/>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0070C0"/>
          </w:tcPr>
          <w:p w:rsidR="00534776" w:rsidRPr="00C65CAA" w:rsidRDefault="00534776" w:rsidP="00B366F3">
            <w:pPr>
              <w:jc w:val="both"/>
              <w:rPr>
                <w:rFonts w:ascii="Arial Narrow" w:hAnsi="Arial Narrow"/>
                <w:color w:val="FFFFFF" w:themeColor="background1"/>
                <w:sz w:val="20"/>
                <w:szCs w:val="20"/>
              </w:rPr>
            </w:pPr>
          </w:p>
        </w:tc>
        <w:tc>
          <w:tcPr>
            <w:tcW w:w="1254" w:type="dxa"/>
            <w:tcBorders>
              <w:top w:val="single" w:sz="4" w:space="0" w:color="auto"/>
              <w:left w:val="single" w:sz="4" w:space="0" w:color="auto"/>
              <w:bottom w:val="single" w:sz="4" w:space="0" w:color="auto"/>
              <w:right w:val="single" w:sz="4" w:space="0" w:color="auto"/>
            </w:tcBorders>
            <w:shd w:val="clear" w:color="auto" w:fill="0070C0"/>
            <w:vAlign w:val="center"/>
          </w:tcPr>
          <w:p w:rsidR="00534776" w:rsidRPr="00C65CAA" w:rsidRDefault="00534776" w:rsidP="00B366F3">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2018</w:t>
            </w:r>
          </w:p>
        </w:tc>
        <w:tc>
          <w:tcPr>
            <w:tcW w:w="1254" w:type="dxa"/>
            <w:tcBorders>
              <w:top w:val="single" w:sz="4" w:space="0" w:color="auto"/>
              <w:left w:val="single" w:sz="4" w:space="0" w:color="auto"/>
              <w:bottom w:val="single" w:sz="4" w:space="0" w:color="auto"/>
              <w:right w:val="single" w:sz="4" w:space="0" w:color="auto"/>
            </w:tcBorders>
            <w:shd w:val="clear" w:color="auto" w:fill="0070C0"/>
            <w:vAlign w:val="center"/>
          </w:tcPr>
          <w:p w:rsidR="00534776" w:rsidRPr="00C65CAA" w:rsidRDefault="00534776" w:rsidP="00B366F3">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2019</w:t>
            </w:r>
          </w:p>
        </w:tc>
        <w:tc>
          <w:tcPr>
            <w:tcW w:w="1254" w:type="dxa"/>
            <w:vMerge/>
            <w:tcBorders>
              <w:top w:val="single" w:sz="4" w:space="0" w:color="auto"/>
              <w:left w:val="single" w:sz="4" w:space="0" w:color="auto"/>
              <w:bottom w:val="single" w:sz="4" w:space="0" w:color="auto"/>
              <w:right w:val="single" w:sz="4" w:space="0" w:color="auto"/>
            </w:tcBorders>
            <w:shd w:val="clear" w:color="auto" w:fill="0070C0"/>
          </w:tcPr>
          <w:p w:rsidR="00534776" w:rsidRPr="00C65CAA" w:rsidRDefault="00534776" w:rsidP="00B366F3">
            <w:pPr>
              <w:jc w:val="both"/>
              <w:rPr>
                <w:rFonts w:ascii="Arial Narrow" w:hAnsi="Arial Narrow"/>
                <w:color w:val="FFFFFF" w:themeColor="background1"/>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0070C0"/>
          </w:tcPr>
          <w:p w:rsidR="00534776" w:rsidRPr="00C65CAA" w:rsidRDefault="00534776" w:rsidP="00B366F3">
            <w:pPr>
              <w:jc w:val="both"/>
              <w:rPr>
                <w:rFonts w:ascii="Arial Narrow" w:hAnsi="Arial Narrow"/>
                <w:color w:val="FFFFFF" w:themeColor="background1"/>
                <w:sz w:val="20"/>
                <w:szCs w:val="20"/>
              </w:rPr>
            </w:pPr>
          </w:p>
        </w:tc>
      </w:tr>
      <w:tr w:rsidR="00534776" w:rsidRPr="00C65CAA" w:rsidTr="00534776">
        <w:trPr>
          <w:tblHeader/>
        </w:trPr>
        <w:tc>
          <w:tcPr>
            <w:tcW w:w="2942" w:type="dxa"/>
            <w:tcBorders>
              <w:top w:val="single" w:sz="4" w:space="0" w:color="auto"/>
              <w:left w:val="single" w:sz="4" w:space="0" w:color="auto"/>
              <w:bottom w:val="single" w:sz="4" w:space="0" w:color="auto"/>
              <w:right w:val="single" w:sz="4" w:space="0" w:color="auto"/>
            </w:tcBorders>
            <w:shd w:val="clear" w:color="auto" w:fill="auto"/>
            <w:vAlign w:val="center"/>
          </w:tcPr>
          <w:p w:rsidR="00534776" w:rsidRPr="00C65CAA" w:rsidRDefault="00534776" w:rsidP="00B366F3">
            <w:pPr>
              <w:jc w:val="center"/>
              <w:rPr>
                <w:rFonts w:ascii="Arial Narrow" w:hAnsi="Arial Narrow"/>
                <w:bCs/>
                <w:sz w:val="20"/>
                <w:szCs w:val="20"/>
              </w:rPr>
            </w:pPr>
            <w:r w:rsidRPr="00C65CAA">
              <w:rPr>
                <w:rFonts w:ascii="Arial Narrow" w:hAnsi="Arial Narrow"/>
                <w:bCs/>
                <w:sz w:val="20"/>
                <w:szCs w:val="20"/>
              </w:rPr>
              <w:t>a</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534776" w:rsidRPr="00C65CAA" w:rsidRDefault="00534776" w:rsidP="00B366F3">
            <w:pPr>
              <w:jc w:val="center"/>
              <w:rPr>
                <w:rFonts w:ascii="Arial Narrow" w:hAnsi="Arial Narrow"/>
                <w:sz w:val="20"/>
                <w:szCs w:val="20"/>
              </w:rPr>
            </w:pPr>
            <w:r w:rsidRPr="00C65CAA">
              <w:rPr>
                <w:rFonts w:ascii="Arial Narrow" w:hAnsi="Arial Narrow"/>
                <w:sz w:val="20"/>
                <w:szCs w:val="20"/>
              </w:rPr>
              <w:t>1</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534776" w:rsidRPr="00C65CAA" w:rsidRDefault="00534776" w:rsidP="00B366F3">
            <w:pPr>
              <w:jc w:val="center"/>
              <w:rPr>
                <w:rFonts w:ascii="Arial Narrow" w:hAnsi="Arial Narrow"/>
                <w:sz w:val="20"/>
                <w:szCs w:val="20"/>
              </w:rPr>
            </w:pPr>
            <w:r w:rsidRPr="00C65CAA">
              <w:rPr>
                <w:rFonts w:ascii="Arial Narrow" w:hAnsi="Arial Narrow"/>
                <w:sz w:val="20"/>
                <w:szCs w:val="20"/>
              </w:rPr>
              <w:t>2</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534776" w:rsidRPr="00C65CAA" w:rsidRDefault="00534776" w:rsidP="00B366F3">
            <w:pPr>
              <w:jc w:val="center"/>
              <w:rPr>
                <w:rFonts w:ascii="Arial Narrow" w:hAnsi="Arial Narrow"/>
                <w:sz w:val="20"/>
                <w:szCs w:val="20"/>
              </w:rPr>
            </w:pPr>
            <w:r w:rsidRPr="00C65CAA">
              <w:rPr>
                <w:rFonts w:ascii="Arial Narrow" w:hAnsi="Arial Narrow"/>
                <w:sz w:val="20"/>
                <w:szCs w:val="20"/>
              </w:rPr>
              <w:t>3</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534776" w:rsidRPr="00C65CAA" w:rsidRDefault="00534776" w:rsidP="00B366F3">
            <w:pPr>
              <w:jc w:val="center"/>
              <w:rPr>
                <w:rFonts w:ascii="Arial Narrow" w:hAnsi="Arial Narrow"/>
                <w:sz w:val="20"/>
                <w:szCs w:val="20"/>
              </w:rPr>
            </w:pPr>
            <w:r w:rsidRPr="00C65CAA">
              <w:rPr>
                <w:rFonts w:ascii="Arial Narrow" w:hAnsi="Arial Narrow"/>
                <w:sz w:val="20"/>
                <w:szCs w:val="20"/>
              </w:rPr>
              <w:t>3-2</w:t>
            </w:r>
          </w:p>
        </w:tc>
        <w:tc>
          <w:tcPr>
            <w:tcW w:w="1254" w:type="dxa"/>
            <w:tcBorders>
              <w:top w:val="single" w:sz="4" w:space="0" w:color="auto"/>
              <w:left w:val="single" w:sz="4" w:space="0" w:color="auto"/>
              <w:bottom w:val="single" w:sz="4" w:space="0" w:color="auto"/>
              <w:right w:val="single" w:sz="4" w:space="0" w:color="auto"/>
            </w:tcBorders>
            <w:shd w:val="clear" w:color="auto" w:fill="auto"/>
          </w:tcPr>
          <w:p w:rsidR="00534776" w:rsidRPr="00C65CAA" w:rsidRDefault="00534776" w:rsidP="00B366F3">
            <w:pPr>
              <w:jc w:val="center"/>
              <w:rPr>
                <w:rFonts w:ascii="Arial Narrow" w:hAnsi="Arial Narrow"/>
                <w:sz w:val="20"/>
                <w:szCs w:val="20"/>
              </w:rPr>
            </w:pPr>
            <w:r w:rsidRPr="00C65CAA">
              <w:rPr>
                <w:rFonts w:ascii="Arial Narrow" w:hAnsi="Arial Narrow"/>
                <w:sz w:val="20"/>
                <w:szCs w:val="20"/>
              </w:rPr>
              <w:t>3/2*100</w:t>
            </w:r>
          </w:p>
        </w:tc>
      </w:tr>
      <w:tr w:rsidR="00534776" w:rsidRPr="00C65CAA" w:rsidTr="00534776">
        <w:tc>
          <w:tcPr>
            <w:tcW w:w="2942" w:type="dxa"/>
            <w:tcBorders>
              <w:top w:val="single" w:sz="4" w:space="0" w:color="auto"/>
            </w:tcBorders>
            <w:vAlign w:val="center"/>
          </w:tcPr>
          <w:p w:rsidR="00534776" w:rsidRPr="00C65CAA" w:rsidRDefault="00534776" w:rsidP="00B366F3">
            <w:pPr>
              <w:rPr>
                <w:rFonts w:ascii="Arial Narrow" w:hAnsi="Arial Narrow"/>
                <w:bCs/>
                <w:sz w:val="20"/>
                <w:szCs w:val="20"/>
              </w:rPr>
            </w:pPr>
            <w:r w:rsidRPr="00C65CAA">
              <w:rPr>
                <w:rFonts w:ascii="Arial Narrow" w:hAnsi="Arial Narrow"/>
                <w:bCs/>
                <w:sz w:val="20"/>
                <w:szCs w:val="20"/>
              </w:rPr>
              <w:t>Príjmy spolu</w:t>
            </w:r>
          </w:p>
        </w:tc>
        <w:tc>
          <w:tcPr>
            <w:tcW w:w="1254" w:type="dxa"/>
            <w:tcBorders>
              <w:top w:val="single" w:sz="4" w:space="0" w:color="auto"/>
            </w:tcBorders>
            <w:vAlign w:val="center"/>
          </w:tcPr>
          <w:p w:rsidR="00534776" w:rsidRPr="00C65CAA" w:rsidRDefault="00534776" w:rsidP="00B366F3">
            <w:pPr>
              <w:jc w:val="right"/>
              <w:rPr>
                <w:rFonts w:ascii="Arial Narrow" w:hAnsi="Arial Narrow"/>
                <w:bCs/>
                <w:sz w:val="20"/>
                <w:szCs w:val="20"/>
              </w:rPr>
            </w:pPr>
            <w:r w:rsidRPr="00C65CAA">
              <w:rPr>
                <w:rFonts w:ascii="Arial Narrow" w:hAnsi="Arial Narrow"/>
                <w:bCs/>
                <w:sz w:val="20"/>
                <w:szCs w:val="20"/>
              </w:rPr>
              <w:t>8 276 552</w:t>
            </w:r>
          </w:p>
        </w:tc>
        <w:tc>
          <w:tcPr>
            <w:tcW w:w="1254" w:type="dxa"/>
            <w:tcBorders>
              <w:top w:val="single" w:sz="4" w:space="0" w:color="auto"/>
            </w:tcBorders>
            <w:vAlign w:val="center"/>
          </w:tcPr>
          <w:p w:rsidR="00534776" w:rsidRPr="00C65CAA" w:rsidRDefault="00534776" w:rsidP="00B366F3">
            <w:pPr>
              <w:jc w:val="right"/>
              <w:rPr>
                <w:rFonts w:ascii="Arial Narrow" w:hAnsi="Arial Narrow"/>
                <w:bCs/>
                <w:sz w:val="20"/>
                <w:szCs w:val="20"/>
              </w:rPr>
            </w:pPr>
            <w:r w:rsidRPr="00C65CAA">
              <w:rPr>
                <w:rFonts w:ascii="Arial Narrow" w:hAnsi="Arial Narrow"/>
                <w:bCs/>
                <w:sz w:val="20"/>
                <w:szCs w:val="20"/>
              </w:rPr>
              <w:t>8 512 237</w:t>
            </w:r>
          </w:p>
        </w:tc>
        <w:tc>
          <w:tcPr>
            <w:tcW w:w="1254" w:type="dxa"/>
            <w:tcBorders>
              <w:top w:val="single" w:sz="4" w:space="0" w:color="auto"/>
            </w:tcBorders>
            <w:vAlign w:val="center"/>
          </w:tcPr>
          <w:p w:rsidR="00534776" w:rsidRPr="00C65CAA" w:rsidRDefault="00534776" w:rsidP="00B366F3">
            <w:pPr>
              <w:jc w:val="right"/>
              <w:rPr>
                <w:rFonts w:ascii="Arial Narrow" w:hAnsi="Arial Narrow"/>
                <w:bCs/>
                <w:sz w:val="20"/>
                <w:szCs w:val="20"/>
              </w:rPr>
            </w:pPr>
            <w:r w:rsidRPr="00C65CAA">
              <w:rPr>
                <w:rFonts w:ascii="Arial Narrow" w:hAnsi="Arial Narrow"/>
                <w:bCs/>
                <w:sz w:val="20"/>
                <w:szCs w:val="20"/>
              </w:rPr>
              <w:t>9 009 121</w:t>
            </w:r>
          </w:p>
        </w:tc>
        <w:tc>
          <w:tcPr>
            <w:tcW w:w="1254" w:type="dxa"/>
            <w:tcBorders>
              <w:top w:val="single" w:sz="4" w:space="0" w:color="auto"/>
            </w:tcBorders>
            <w:vAlign w:val="center"/>
          </w:tcPr>
          <w:p w:rsidR="00534776" w:rsidRPr="00C65CAA" w:rsidRDefault="00534776" w:rsidP="00B366F3">
            <w:pPr>
              <w:jc w:val="right"/>
              <w:rPr>
                <w:rFonts w:ascii="Arial Narrow" w:hAnsi="Arial Narrow"/>
                <w:bCs/>
                <w:sz w:val="20"/>
                <w:szCs w:val="20"/>
              </w:rPr>
            </w:pPr>
            <w:r w:rsidRPr="00C65CAA">
              <w:rPr>
                <w:rFonts w:ascii="Arial Narrow" w:hAnsi="Arial Narrow"/>
                <w:bCs/>
                <w:sz w:val="20"/>
                <w:szCs w:val="20"/>
              </w:rPr>
              <w:t>496 884</w:t>
            </w:r>
          </w:p>
        </w:tc>
        <w:tc>
          <w:tcPr>
            <w:tcW w:w="1254" w:type="dxa"/>
            <w:tcBorders>
              <w:top w:val="single" w:sz="4" w:space="0" w:color="auto"/>
            </w:tcBorders>
            <w:vAlign w:val="center"/>
          </w:tcPr>
          <w:p w:rsidR="00534776" w:rsidRPr="00C65CAA" w:rsidRDefault="00534776" w:rsidP="00B366F3">
            <w:pPr>
              <w:jc w:val="right"/>
              <w:rPr>
                <w:rFonts w:ascii="Arial Narrow" w:hAnsi="Arial Narrow"/>
                <w:bCs/>
                <w:sz w:val="20"/>
                <w:szCs w:val="20"/>
              </w:rPr>
            </w:pPr>
            <w:r w:rsidRPr="00C65CAA">
              <w:rPr>
                <w:rFonts w:ascii="Arial Narrow" w:hAnsi="Arial Narrow"/>
                <w:bCs/>
                <w:sz w:val="20"/>
                <w:szCs w:val="20"/>
              </w:rPr>
              <w:t>105,8</w:t>
            </w:r>
          </w:p>
        </w:tc>
      </w:tr>
      <w:tr w:rsidR="00534776" w:rsidRPr="00C65CAA" w:rsidTr="00534776">
        <w:tc>
          <w:tcPr>
            <w:tcW w:w="2942" w:type="dxa"/>
            <w:vAlign w:val="center"/>
          </w:tcPr>
          <w:p w:rsidR="00534776" w:rsidRPr="00C65CAA" w:rsidRDefault="00534776" w:rsidP="00B366F3">
            <w:pPr>
              <w:rPr>
                <w:rFonts w:ascii="Arial Narrow" w:hAnsi="Arial Narrow"/>
                <w:bCs/>
                <w:sz w:val="20"/>
                <w:szCs w:val="20"/>
              </w:rPr>
            </w:pPr>
            <w:r w:rsidRPr="00C65CAA">
              <w:rPr>
                <w:rFonts w:ascii="Arial Narrow" w:hAnsi="Arial Narrow"/>
                <w:bCs/>
                <w:sz w:val="20"/>
                <w:szCs w:val="20"/>
              </w:rPr>
              <w:lastRenderedPageBreak/>
              <w:t>Výdavky spolu</w:t>
            </w:r>
          </w:p>
        </w:tc>
        <w:tc>
          <w:tcPr>
            <w:tcW w:w="1254" w:type="dxa"/>
            <w:vAlign w:val="center"/>
          </w:tcPr>
          <w:p w:rsidR="00534776" w:rsidRPr="00C65CAA" w:rsidRDefault="00534776" w:rsidP="00B366F3">
            <w:pPr>
              <w:jc w:val="right"/>
              <w:rPr>
                <w:rFonts w:ascii="Arial Narrow" w:hAnsi="Arial Narrow"/>
                <w:bCs/>
                <w:sz w:val="20"/>
                <w:szCs w:val="20"/>
              </w:rPr>
            </w:pPr>
            <w:r w:rsidRPr="00C65CAA">
              <w:rPr>
                <w:rFonts w:ascii="Arial Narrow" w:hAnsi="Arial Narrow"/>
                <w:bCs/>
                <w:sz w:val="20"/>
                <w:szCs w:val="20"/>
              </w:rPr>
              <w:t>7 710 844</w:t>
            </w:r>
          </w:p>
        </w:tc>
        <w:tc>
          <w:tcPr>
            <w:tcW w:w="1254" w:type="dxa"/>
            <w:vAlign w:val="center"/>
          </w:tcPr>
          <w:p w:rsidR="00534776" w:rsidRPr="00C65CAA" w:rsidRDefault="00534776" w:rsidP="00B366F3">
            <w:pPr>
              <w:jc w:val="right"/>
              <w:rPr>
                <w:rFonts w:ascii="Arial Narrow" w:hAnsi="Arial Narrow"/>
                <w:bCs/>
                <w:sz w:val="20"/>
                <w:szCs w:val="20"/>
              </w:rPr>
            </w:pPr>
            <w:r w:rsidRPr="00C65CAA">
              <w:rPr>
                <w:rFonts w:ascii="Arial Narrow" w:hAnsi="Arial Narrow"/>
                <w:bCs/>
                <w:sz w:val="20"/>
                <w:szCs w:val="20"/>
              </w:rPr>
              <w:t>7 989 682</w:t>
            </w:r>
          </w:p>
        </w:tc>
        <w:tc>
          <w:tcPr>
            <w:tcW w:w="1254" w:type="dxa"/>
            <w:vAlign w:val="center"/>
          </w:tcPr>
          <w:p w:rsidR="00534776" w:rsidRPr="00C65CAA" w:rsidRDefault="00534776" w:rsidP="00B366F3">
            <w:pPr>
              <w:jc w:val="right"/>
              <w:rPr>
                <w:rFonts w:ascii="Arial Narrow" w:hAnsi="Arial Narrow"/>
                <w:bCs/>
                <w:sz w:val="20"/>
                <w:szCs w:val="20"/>
              </w:rPr>
            </w:pPr>
            <w:r w:rsidRPr="00C65CAA">
              <w:rPr>
                <w:rFonts w:ascii="Arial Narrow" w:hAnsi="Arial Narrow"/>
                <w:bCs/>
                <w:sz w:val="20"/>
                <w:szCs w:val="20"/>
              </w:rPr>
              <w:t>8 359 931</w:t>
            </w:r>
          </w:p>
        </w:tc>
        <w:tc>
          <w:tcPr>
            <w:tcW w:w="1254" w:type="dxa"/>
            <w:vAlign w:val="center"/>
          </w:tcPr>
          <w:p w:rsidR="00534776" w:rsidRPr="00C65CAA" w:rsidRDefault="00534776" w:rsidP="00B366F3">
            <w:pPr>
              <w:jc w:val="right"/>
              <w:rPr>
                <w:rFonts w:ascii="Arial Narrow" w:hAnsi="Arial Narrow"/>
                <w:bCs/>
                <w:sz w:val="20"/>
                <w:szCs w:val="20"/>
              </w:rPr>
            </w:pPr>
            <w:r w:rsidRPr="00C65CAA">
              <w:rPr>
                <w:rFonts w:ascii="Arial Narrow" w:hAnsi="Arial Narrow"/>
                <w:bCs/>
                <w:sz w:val="20"/>
                <w:szCs w:val="20"/>
              </w:rPr>
              <w:t>370 249</w:t>
            </w:r>
          </w:p>
        </w:tc>
        <w:tc>
          <w:tcPr>
            <w:tcW w:w="1254" w:type="dxa"/>
            <w:vAlign w:val="center"/>
          </w:tcPr>
          <w:p w:rsidR="00534776" w:rsidRPr="00C65CAA" w:rsidRDefault="00534776" w:rsidP="00B366F3">
            <w:pPr>
              <w:jc w:val="right"/>
              <w:rPr>
                <w:rFonts w:ascii="Arial Narrow" w:hAnsi="Arial Narrow"/>
                <w:bCs/>
                <w:sz w:val="20"/>
                <w:szCs w:val="20"/>
              </w:rPr>
            </w:pPr>
            <w:r w:rsidRPr="00C65CAA">
              <w:rPr>
                <w:rFonts w:ascii="Arial Narrow" w:hAnsi="Arial Narrow"/>
                <w:bCs/>
                <w:sz w:val="20"/>
                <w:szCs w:val="20"/>
              </w:rPr>
              <w:t>104,6</w:t>
            </w:r>
          </w:p>
        </w:tc>
      </w:tr>
      <w:tr w:rsidR="00534776" w:rsidRPr="00C65CAA" w:rsidTr="00534776">
        <w:tc>
          <w:tcPr>
            <w:tcW w:w="2942" w:type="dxa"/>
            <w:vAlign w:val="center"/>
          </w:tcPr>
          <w:p w:rsidR="00534776" w:rsidRPr="00C65CAA" w:rsidRDefault="00534776" w:rsidP="00B366F3">
            <w:pPr>
              <w:rPr>
                <w:rFonts w:ascii="Arial Narrow" w:hAnsi="Arial Narrow"/>
                <w:bCs/>
                <w:sz w:val="20"/>
                <w:szCs w:val="20"/>
              </w:rPr>
            </w:pPr>
            <w:r w:rsidRPr="00C65CAA">
              <w:rPr>
                <w:rFonts w:ascii="Arial Narrow" w:hAnsi="Arial Narrow"/>
                <w:bCs/>
                <w:sz w:val="20"/>
                <w:szCs w:val="20"/>
              </w:rPr>
              <w:t>Celková bilancia spolu</w:t>
            </w:r>
          </w:p>
        </w:tc>
        <w:tc>
          <w:tcPr>
            <w:tcW w:w="1254" w:type="dxa"/>
            <w:vAlign w:val="center"/>
          </w:tcPr>
          <w:p w:rsidR="00534776" w:rsidRPr="00C65CAA" w:rsidRDefault="00534776" w:rsidP="00B366F3">
            <w:pPr>
              <w:jc w:val="right"/>
              <w:rPr>
                <w:rFonts w:ascii="Arial Narrow" w:hAnsi="Arial Narrow"/>
                <w:bCs/>
                <w:sz w:val="20"/>
                <w:szCs w:val="20"/>
              </w:rPr>
            </w:pPr>
            <w:r w:rsidRPr="00C65CAA">
              <w:rPr>
                <w:rFonts w:ascii="Arial Narrow" w:hAnsi="Arial Narrow"/>
                <w:bCs/>
                <w:sz w:val="20"/>
                <w:szCs w:val="20"/>
              </w:rPr>
              <w:t>565 708</w:t>
            </w:r>
          </w:p>
        </w:tc>
        <w:tc>
          <w:tcPr>
            <w:tcW w:w="1254" w:type="dxa"/>
            <w:vAlign w:val="center"/>
          </w:tcPr>
          <w:p w:rsidR="00534776" w:rsidRPr="00C65CAA" w:rsidRDefault="00534776" w:rsidP="00B366F3">
            <w:pPr>
              <w:jc w:val="right"/>
              <w:rPr>
                <w:rFonts w:ascii="Arial Narrow" w:hAnsi="Arial Narrow"/>
                <w:bCs/>
                <w:sz w:val="20"/>
                <w:szCs w:val="20"/>
              </w:rPr>
            </w:pPr>
            <w:r w:rsidRPr="00C65CAA">
              <w:rPr>
                <w:rFonts w:ascii="Arial Narrow" w:hAnsi="Arial Narrow"/>
                <w:bCs/>
                <w:sz w:val="20"/>
                <w:szCs w:val="20"/>
              </w:rPr>
              <w:t>522 555</w:t>
            </w:r>
          </w:p>
        </w:tc>
        <w:tc>
          <w:tcPr>
            <w:tcW w:w="1254" w:type="dxa"/>
            <w:vAlign w:val="center"/>
          </w:tcPr>
          <w:p w:rsidR="00534776" w:rsidRPr="00C65CAA" w:rsidRDefault="00534776" w:rsidP="00B366F3">
            <w:pPr>
              <w:jc w:val="right"/>
              <w:rPr>
                <w:rFonts w:ascii="Arial Narrow" w:hAnsi="Arial Narrow"/>
                <w:bCs/>
                <w:sz w:val="20"/>
                <w:szCs w:val="20"/>
              </w:rPr>
            </w:pPr>
            <w:r w:rsidRPr="00C65CAA">
              <w:rPr>
                <w:rFonts w:ascii="Arial Narrow" w:hAnsi="Arial Narrow"/>
                <w:bCs/>
                <w:sz w:val="20"/>
                <w:szCs w:val="20"/>
              </w:rPr>
              <w:t>649 190</w:t>
            </w:r>
          </w:p>
        </w:tc>
        <w:tc>
          <w:tcPr>
            <w:tcW w:w="1254" w:type="dxa"/>
            <w:vAlign w:val="center"/>
          </w:tcPr>
          <w:p w:rsidR="00534776" w:rsidRPr="00C65CAA" w:rsidRDefault="00534776" w:rsidP="00B366F3">
            <w:pPr>
              <w:jc w:val="right"/>
              <w:rPr>
                <w:rFonts w:ascii="Arial Narrow" w:hAnsi="Arial Narrow"/>
                <w:bCs/>
                <w:sz w:val="20"/>
                <w:szCs w:val="20"/>
              </w:rPr>
            </w:pPr>
            <w:r w:rsidRPr="00C65CAA">
              <w:rPr>
                <w:rFonts w:ascii="Arial Narrow" w:hAnsi="Arial Narrow"/>
                <w:bCs/>
                <w:sz w:val="20"/>
                <w:szCs w:val="20"/>
              </w:rPr>
              <w:t>126 635</w:t>
            </w:r>
          </w:p>
        </w:tc>
        <w:tc>
          <w:tcPr>
            <w:tcW w:w="1254" w:type="dxa"/>
            <w:vAlign w:val="center"/>
          </w:tcPr>
          <w:p w:rsidR="00534776" w:rsidRPr="00C65CAA" w:rsidRDefault="00534776" w:rsidP="00B366F3">
            <w:pPr>
              <w:jc w:val="right"/>
              <w:rPr>
                <w:rFonts w:ascii="Arial Narrow" w:hAnsi="Arial Narrow"/>
                <w:bCs/>
                <w:sz w:val="20"/>
                <w:szCs w:val="20"/>
              </w:rPr>
            </w:pPr>
            <w:r w:rsidRPr="00C65CAA">
              <w:rPr>
                <w:rFonts w:ascii="Arial Narrow" w:hAnsi="Arial Narrow"/>
                <w:bCs/>
                <w:sz w:val="20"/>
                <w:szCs w:val="20"/>
              </w:rPr>
              <w:t>124,2</w:t>
            </w:r>
          </w:p>
        </w:tc>
      </w:tr>
      <w:tr w:rsidR="00534776" w:rsidRPr="00C65CAA" w:rsidTr="00534776">
        <w:tc>
          <w:tcPr>
            <w:tcW w:w="2942" w:type="dxa"/>
            <w:vAlign w:val="center"/>
          </w:tcPr>
          <w:p w:rsidR="00534776" w:rsidRPr="00C65CAA" w:rsidRDefault="00534776" w:rsidP="00B366F3">
            <w:pPr>
              <w:rPr>
                <w:rFonts w:ascii="Arial Narrow" w:hAnsi="Arial Narrow"/>
                <w:bCs/>
                <w:i/>
                <w:iCs/>
                <w:sz w:val="20"/>
                <w:szCs w:val="20"/>
              </w:rPr>
            </w:pPr>
            <w:r w:rsidRPr="00C65CAA">
              <w:rPr>
                <w:rFonts w:ascii="Arial Narrow" w:hAnsi="Arial Narrow"/>
                <w:bCs/>
                <w:i/>
                <w:iCs/>
                <w:sz w:val="20"/>
                <w:szCs w:val="20"/>
              </w:rPr>
              <w:t>vylúčenie finančných operácií</w:t>
            </w:r>
          </w:p>
        </w:tc>
        <w:tc>
          <w:tcPr>
            <w:tcW w:w="1254" w:type="dxa"/>
            <w:vAlign w:val="center"/>
          </w:tcPr>
          <w:p w:rsidR="00534776" w:rsidRPr="00C65CAA" w:rsidRDefault="00534776" w:rsidP="00B366F3">
            <w:pPr>
              <w:jc w:val="right"/>
              <w:rPr>
                <w:rFonts w:ascii="Arial Narrow" w:hAnsi="Arial Narrow"/>
                <w:sz w:val="20"/>
                <w:szCs w:val="20"/>
              </w:rPr>
            </w:pPr>
            <w:r w:rsidRPr="00C65CAA">
              <w:rPr>
                <w:rFonts w:ascii="Arial Narrow" w:hAnsi="Arial Narrow"/>
                <w:sz w:val="20"/>
                <w:szCs w:val="20"/>
              </w:rPr>
              <w:t>-520 403</w:t>
            </w:r>
          </w:p>
        </w:tc>
        <w:tc>
          <w:tcPr>
            <w:tcW w:w="1254" w:type="dxa"/>
            <w:vAlign w:val="center"/>
          </w:tcPr>
          <w:p w:rsidR="00534776" w:rsidRPr="00C65CAA" w:rsidRDefault="00534776" w:rsidP="00B366F3">
            <w:pPr>
              <w:jc w:val="right"/>
              <w:rPr>
                <w:rFonts w:ascii="Arial Narrow" w:hAnsi="Arial Narrow"/>
                <w:sz w:val="20"/>
                <w:szCs w:val="20"/>
              </w:rPr>
            </w:pPr>
            <w:r w:rsidRPr="00C65CAA">
              <w:rPr>
                <w:rFonts w:ascii="Arial Narrow" w:hAnsi="Arial Narrow"/>
                <w:sz w:val="20"/>
                <w:szCs w:val="20"/>
              </w:rPr>
              <w:t>-505 442</w:t>
            </w:r>
          </w:p>
        </w:tc>
        <w:tc>
          <w:tcPr>
            <w:tcW w:w="1254" w:type="dxa"/>
            <w:vAlign w:val="center"/>
          </w:tcPr>
          <w:p w:rsidR="00534776" w:rsidRPr="00C65CAA" w:rsidRDefault="00534776" w:rsidP="00B366F3">
            <w:pPr>
              <w:jc w:val="right"/>
              <w:rPr>
                <w:rFonts w:ascii="Arial Narrow" w:hAnsi="Arial Narrow"/>
                <w:sz w:val="20"/>
                <w:szCs w:val="20"/>
              </w:rPr>
            </w:pPr>
            <w:r w:rsidRPr="00C65CAA">
              <w:rPr>
                <w:rFonts w:ascii="Arial Narrow" w:hAnsi="Arial Narrow"/>
                <w:sz w:val="20"/>
                <w:szCs w:val="20"/>
              </w:rPr>
              <w:t>-619 326</w:t>
            </w:r>
          </w:p>
        </w:tc>
        <w:tc>
          <w:tcPr>
            <w:tcW w:w="1254" w:type="dxa"/>
            <w:vAlign w:val="center"/>
          </w:tcPr>
          <w:p w:rsidR="00534776" w:rsidRPr="00C65CAA" w:rsidRDefault="00534776" w:rsidP="00B366F3">
            <w:pPr>
              <w:jc w:val="right"/>
              <w:rPr>
                <w:rFonts w:ascii="Arial Narrow" w:hAnsi="Arial Narrow"/>
                <w:bCs/>
                <w:sz w:val="20"/>
                <w:szCs w:val="20"/>
              </w:rPr>
            </w:pPr>
            <w:r w:rsidRPr="00C65CAA">
              <w:rPr>
                <w:rFonts w:ascii="Arial Narrow" w:hAnsi="Arial Narrow"/>
                <w:bCs/>
                <w:sz w:val="20"/>
                <w:szCs w:val="20"/>
              </w:rPr>
              <w:t>-113 884</w:t>
            </w:r>
          </w:p>
        </w:tc>
        <w:tc>
          <w:tcPr>
            <w:tcW w:w="1254" w:type="dxa"/>
            <w:vAlign w:val="center"/>
          </w:tcPr>
          <w:p w:rsidR="00534776" w:rsidRPr="00C65CAA" w:rsidRDefault="00534776" w:rsidP="00B366F3">
            <w:pPr>
              <w:jc w:val="right"/>
              <w:rPr>
                <w:rFonts w:ascii="Arial Narrow" w:hAnsi="Arial Narrow"/>
                <w:bCs/>
                <w:sz w:val="20"/>
                <w:szCs w:val="20"/>
              </w:rPr>
            </w:pPr>
            <w:r w:rsidRPr="00C65CAA">
              <w:rPr>
                <w:rFonts w:ascii="Arial Narrow" w:hAnsi="Arial Narrow"/>
                <w:bCs/>
                <w:sz w:val="20"/>
                <w:szCs w:val="20"/>
              </w:rPr>
              <w:t>122,5</w:t>
            </w:r>
          </w:p>
        </w:tc>
      </w:tr>
      <w:tr w:rsidR="00534776" w:rsidRPr="00C65CAA" w:rsidTr="00534776">
        <w:tc>
          <w:tcPr>
            <w:tcW w:w="2942" w:type="dxa"/>
            <w:vAlign w:val="center"/>
          </w:tcPr>
          <w:p w:rsidR="00534776" w:rsidRPr="00C65CAA" w:rsidRDefault="00534776" w:rsidP="00B366F3">
            <w:pPr>
              <w:rPr>
                <w:rFonts w:ascii="Arial Narrow" w:hAnsi="Arial Narrow"/>
                <w:bCs/>
                <w:i/>
                <w:iCs/>
                <w:sz w:val="20"/>
                <w:szCs w:val="20"/>
              </w:rPr>
            </w:pPr>
            <w:r w:rsidRPr="00C65CAA">
              <w:rPr>
                <w:rFonts w:ascii="Arial Narrow" w:hAnsi="Arial Narrow"/>
                <w:bCs/>
                <w:i/>
                <w:iCs/>
                <w:sz w:val="20"/>
                <w:szCs w:val="20"/>
              </w:rPr>
              <w:t>zahrnutie časového rozlíšenia a ostatné úpravy</w:t>
            </w:r>
          </w:p>
        </w:tc>
        <w:tc>
          <w:tcPr>
            <w:tcW w:w="1254" w:type="dxa"/>
            <w:vAlign w:val="center"/>
          </w:tcPr>
          <w:p w:rsidR="00534776" w:rsidRPr="00C65CAA" w:rsidRDefault="00534776" w:rsidP="00B366F3">
            <w:pPr>
              <w:jc w:val="right"/>
              <w:rPr>
                <w:rFonts w:ascii="Arial Narrow" w:hAnsi="Arial Narrow"/>
                <w:sz w:val="20"/>
                <w:szCs w:val="20"/>
              </w:rPr>
            </w:pPr>
            <w:r w:rsidRPr="00C65CAA">
              <w:rPr>
                <w:rFonts w:ascii="Arial Narrow" w:hAnsi="Arial Narrow"/>
                <w:sz w:val="20"/>
                <w:szCs w:val="20"/>
              </w:rPr>
              <w:t xml:space="preserve">-30 552 </w:t>
            </w:r>
          </w:p>
        </w:tc>
        <w:tc>
          <w:tcPr>
            <w:tcW w:w="1254" w:type="dxa"/>
            <w:vAlign w:val="center"/>
          </w:tcPr>
          <w:p w:rsidR="00534776" w:rsidRPr="00C65CAA" w:rsidRDefault="00534776" w:rsidP="00B366F3">
            <w:pPr>
              <w:jc w:val="right"/>
              <w:rPr>
                <w:rFonts w:ascii="Arial Narrow" w:hAnsi="Arial Narrow"/>
                <w:sz w:val="20"/>
                <w:szCs w:val="20"/>
              </w:rPr>
            </w:pPr>
            <w:r w:rsidRPr="00C65CAA">
              <w:rPr>
                <w:rFonts w:ascii="Arial Narrow" w:hAnsi="Arial Narrow"/>
                <w:sz w:val="20"/>
                <w:szCs w:val="20"/>
              </w:rPr>
              <w:t>23 760</w:t>
            </w:r>
          </w:p>
        </w:tc>
        <w:tc>
          <w:tcPr>
            <w:tcW w:w="1254" w:type="dxa"/>
            <w:vAlign w:val="center"/>
          </w:tcPr>
          <w:p w:rsidR="00534776" w:rsidRPr="00C65CAA" w:rsidRDefault="00534776" w:rsidP="00B366F3">
            <w:pPr>
              <w:jc w:val="right"/>
              <w:rPr>
                <w:rFonts w:ascii="Arial Narrow" w:hAnsi="Arial Narrow"/>
                <w:sz w:val="20"/>
                <w:szCs w:val="20"/>
              </w:rPr>
            </w:pPr>
            <w:r w:rsidRPr="00C65CAA">
              <w:rPr>
                <w:rFonts w:ascii="Arial Narrow" w:hAnsi="Arial Narrow"/>
                <w:sz w:val="20"/>
                <w:szCs w:val="20"/>
              </w:rPr>
              <w:t>35 014</w:t>
            </w:r>
          </w:p>
        </w:tc>
        <w:tc>
          <w:tcPr>
            <w:tcW w:w="1254" w:type="dxa"/>
            <w:vAlign w:val="center"/>
          </w:tcPr>
          <w:p w:rsidR="00534776" w:rsidRPr="00C65CAA" w:rsidRDefault="00534776" w:rsidP="00B366F3">
            <w:pPr>
              <w:jc w:val="right"/>
              <w:rPr>
                <w:rFonts w:ascii="Arial Narrow" w:hAnsi="Arial Narrow"/>
                <w:bCs/>
                <w:sz w:val="20"/>
                <w:szCs w:val="20"/>
              </w:rPr>
            </w:pPr>
            <w:r w:rsidRPr="00C65CAA">
              <w:rPr>
                <w:rFonts w:ascii="Arial Narrow" w:hAnsi="Arial Narrow"/>
                <w:bCs/>
                <w:sz w:val="20"/>
                <w:szCs w:val="20"/>
              </w:rPr>
              <w:t>11 254</w:t>
            </w:r>
          </w:p>
        </w:tc>
        <w:tc>
          <w:tcPr>
            <w:tcW w:w="1254" w:type="dxa"/>
            <w:vAlign w:val="center"/>
          </w:tcPr>
          <w:p w:rsidR="00534776" w:rsidRPr="00C65CAA" w:rsidRDefault="00534776" w:rsidP="00B366F3">
            <w:pPr>
              <w:jc w:val="right"/>
              <w:rPr>
                <w:rFonts w:ascii="Arial Narrow" w:hAnsi="Arial Narrow"/>
                <w:bCs/>
                <w:sz w:val="20"/>
                <w:szCs w:val="20"/>
              </w:rPr>
            </w:pPr>
            <w:r w:rsidRPr="00C65CAA">
              <w:rPr>
                <w:rFonts w:ascii="Arial Narrow" w:hAnsi="Arial Narrow"/>
                <w:bCs/>
                <w:sz w:val="20"/>
                <w:szCs w:val="20"/>
              </w:rPr>
              <w:t>147,4</w:t>
            </w:r>
          </w:p>
        </w:tc>
      </w:tr>
      <w:tr w:rsidR="00534776" w:rsidRPr="00C65CAA" w:rsidTr="00534776">
        <w:tc>
          <w:tcPr>
            <w:tcW w:w="2942" w:type="dxa"/>
            <w:vAlign w:val="center"/>
          </w:tcPr>
          <w:p w:rsidR="00534776" w:rsidRPr="00C65CAA" w:rsidRDefault="00534776" w:rsidP="00B366F3">
            <w:pPr>
              <w:rPr>
                <w:rFonts w:ascii="Arial Narrow" w:hAnsi="Arial Narrow"/>
                <w:b/>
                <w:bCs/>
                <w:sz w:val="20"/>
                <w:szCs w:val="20"/>
              </w:rPr>
            </w:pPr>
            <w:r w:rsidRPr="00C65CAA">
              <w:rPr>
                <w:rFonts w:ascii="Arial Narrow" w:hAnsi="Arial Narrow"/>
                <w:b/>
                <w:bCs/>
                <w:sz w:val="20"/>
                <w:szCs w:val="20"/>
              </w:rPr>
              <w:t>Prebytok spolu (ESA 2010)</w:t>
            </w:r>
          </w:p>
        </w:tc>
        <w:tc>
          <w:tcPr>
            <w:tcW w:w="1254" w:type="dxa"/>
            <w:vAlign w:val="center"/>
          </w:tcPr>
          <w:p w:rsidR="00534776" w:rsidRPr="00C65CAA" w:rsidRDefault="00534776" w:rsidP="00B366F3">
            <w:pPr>
              <w:jc w:val="right"/>
              <w:rPr>
                <w:rFonts w:ascii="Arial Narrow" w:hAnsi="Arial Narrow"/>
                <w:b/>
                <w:sz w:val="20"/>
                <w:szCs w:val="20"/>
              </w:rPr>
            </w:pPr>
            <w:r w:rsidRPr="00C65CAA">
              <w:rPr>
                <w:rFonts w:ascii="Arial Narrow" w:hAnsi="Arial Narrow"/>
                <w:b/>
                <w:sz w:val="20"/>
                <w:szCs w:val="20"/>
              </w:rPr>
              <w:t>75 857</w:t>
            </w:r>
          </w:p>
        </w:tc>
        <w:tc>
          <w:tcPr>
            <w:tcW w:w="1254" w:type="dxa"/>
            <w:vAlign w:val="center"/>
          </w:tcPr>
          <w:p w:rsidR="00534776" w:rsidRPr="00C65CAA" w:rsidRDefault="00534776" w:rsidP="00B366F3">
            <w:pPr>
              <w:jc w:val="right"/>
              <w:rPr>
                <w:rFonts w:ascii="Arial Narrow" w:hAnsi="Arial Narrow"/>
                <w:b/>
                <w:sz w:val="20"/>
                <w:szCs w:val="20"/>
              </w:rPr>
            </w:pPr>
            <w:r w:rsidRPr="00C65CAA">
              <w:rPr>
                <w:rFonts w:ascii="Arial Narrow" w:hAnsi="Arial Narrow"/>
                <w:b/>
                <w:sz w:val="20"/>
                <w:szCs w:val="20"/>
              </w:rPr>
              <w:t>40 872</w:t>
            </w:r>
          </w:p>
        </w:tc>
        <w:tc>
          <w:tcPr>
            <w:tcW w:w="1254" w:type="dxa"/>
            <w:vAlign w:val="center"/>
          </w:tcPr>
          <w:p w:rsidR="00534776" w:rsidRPr="00C65CAA" w:rsidRDefault="00534776" w:rsidP="00B366F3">
            <w:pPr>
              <w:jc w:val="right"/>
              <w:rPr>
                <w:rFonts w:ascii="Arial Narrow" w:hAnsi="Arial Narrow"/>
                <w:b/>
                <w:sz w:val="20"/>
                <w:szCs w:val="20"/>
              </w:rPr>
            </w:pPr>
            <w:r w:rsidRPr="00C65CAA">
              <w:rPr>
                <w:rFonts w:ascii="Arial Narrow" w:hAnsi="Arial Narrow"/>
                <w:b/>
                <w:sz w:val="20"/>
                <w:szCs w:val="20"/>
              </w:rPr>
              <w:t>64 878</w:t>
            </w:r>
          </w:p>
        </w:tc>
        <w:tc>
          <w:tcPr>
            <w:tcW w:w="1254" w:type="dxa"/>
            <w:vAlign w:val="center"/>
          </w:tcPr>
          <w:p w:rsidR="00534776" w:rsidRPr="00C65CAA" w:rsidRDefault="00534776" w:rsidP="00B366F3">
            <w:pPr>
              <w:jc w:val="right"/>
              <w:rPr>
                <w:rFonts w:ascii="Arial Narrow" w:hAnsi="Arial Narrow"/>
                <w:b/>
                <w:bCs/>
                <w:sz w:val="20"/>
                <w:szCs w:val="20"/>
              </w:rPr>
            </w:pPr>
            <w:r w:rsidRPr="00C65CAA">
              <w:rPr>
                <w:rFonts w:ascii="Arial Narrow" w:hAnsi="Arial Narrow"/>
                <w:b/>
                <w:bCs/>
                <w:sz w:val="20"/>
                <w:szCs w:val="20"/>
              </w:rPr>
              <w:t>24 006</w:t>
            </w:r>
          </w:p>
        </w:tc>
        <w:tc>
          <w:tcPr>
            <w:tcW w:w="1254" w:type="dxa"/>
            <w:vAlign w:val="center"/>
          </w:tcPr>
          <w:p w:rsidR="00534776" w:rsidRPr="00C65CAA" w:rsidRDefault="00534776" w:rsidP="00B366F3">
            <w:pPr>
              <w:jc w:val="right"/>
              <w:rPr>
                <w:rFonts w:ascii="Arial Narrow" w:hAnsi="Arial Narrow"/>
                <w:b/>
                <w:bCs/>
                <w:sz w:val="20"/>
                <w:szCs w:val="20"/>
              </w:rPr>
            </w:pPr>
            <w:r w:rsidRPr="00C65CAA">
              <w:rPr>
                <w:rFonts w:ascii="Arial Narrow" w:hAnsi="Arial Narrow"/>
                <w:b/>
                <w:bCs/>
                <w:sz w:val="20"/>
                <w:szCs w:val="20"/>
              </w:rPr>
              <w:t>158,7</w:t>
            </w:r>
          </w:p>
        </w:tc>
      </w:tr>
    </w:tbl>
    <w:p w:rsidR="00534776" w:rsidRPr="00C65CAA" w:rsidRDefault="00534776" w:rsidP="00B366F3">
      <w:pPr>
        <w:spacing w:after="100"/>
        <w:jc w:val="both"/>
        <w:rPr>
          <w:rFonts w:ascii="Arial Narrow" w:eastAsiaTheme="minorEastAsia" w:hAnsi="Arial Narrow"/>
          <w:sz w:val="20"/>
          <w:szCs w:val="20"/>
        </w:rPr>
      </w:pPr>
      <w:r w:rsidRPr="00C65CAA">
        <w:rPr>
          <w:rFonts w:ascii="Arial Narrow" w:eastAsiaTheme="minorEastAsia" w:hAnsi="Arial Narrow"/>
          <w:sz w:val="20"/>
          <w:szCs w:val="20"/>
        </w:rPr>
        <w:t xml:space="preserve">Zdroj: Návrh RVS na roky 2019 až 2021 </w:t>
      </w:r>
    </w:p>
    <w:p w:rsidR="00534776" w:rsidRPr="00C65CAA" w:rsidRDefault="00534776" w:rsidP="00256AF8">
      <w:pPr>
        <w:spacing w:before="100" w:after="100"/>
        <w:ind w:firstLine="708"/>
        <w:jc w:val="both"/>
        <w:rPr>
          <w:rFonts w:ascii="Arial Narrow" w:hAnsi="Arial Narrow"/>
          <w:sz w:val="22"/>
          <w:szCs w:val="22"/>
        </w:rPr>
      </w:pPr>
      <w:r w:rsidRPr="00C65CAA">
        <w:rPr>
          <w:rFonts w:ascii="Arial Narrow" w:hAnsi="Arial Narrow"/>
          <w:sz w:val="22"/>
          <w:szCs w:val="22"/>
        </w:rPr>
        <w:t>Prebytok hospodá</w:t>
      </w:r>
      <w:r w:rsidR="00406605" w:rsidRPr="00C65CAA">
        <w:rPr>
          <w:rFonts w:ascii="Arial Narrow" w:hAnsi="Arial Narrow"/>
          <w:sz w:val="22"/>
          <w:szCs w:val="22"/>
        </w:rPr>
        <w:t>renia Sociálnej poisťovne na ak</w:t>
      </w:r>
      <w:r w:rsidR="00A32D67" w:rsidRPr="00C65CAA">
        <w:rPr>
          <w:rFonts w:ascii="Arial Narrow" w:hAnsi="Arial Narrow"/>
          <w:sz w:val="22"/>
          <w:szCs w:val="22"/>
        </w:rPr>
        <w:t>r</w:t>
      </w:r>
      <w:r w:rsidRPr="00C65CAA">
        <w:rPr>
          <w:rFonts w:ascii="Arial Narrow" w:hAnsi="Arial Narrow"/>
          <w:sz w:val="22"/>
          <w:szCs w:val="22"/>
        </w:rPr>
        <w:t>uálnej báze</w:t>
      </w:r>
      <w:r w:rsidR="00406605" w:rsidRPr="00C65CAA">
        <w:rPr>
          <w:rFonts w:ascii="Arial Narrow" w:hAnsi="Arial Narrow"/>
          <w:sz w:val="22"/>
          <w:szCs w:val="22"/>
        </w:rPr>
        <w:t>,</w:t>
      </w:r>
      <w:r w:rsidRPr="00C65CAA">
        <w:rPr>
          <w:rFonts w:ascii="Arial Narrow" w:hAnsi="Arial Narrow"/>
          <w:sz w:val="22"/>
          <w:szCs w:val="22"/>
        </w:rPr>
        <w:t xml:space="preserve"> v metodike ESA 2010</w:t>
      </w:r>
      <w:r w:rsidR="00406605" w:rsidRPr="00C65CAA">
        <w:rPr>
          <w:rFonts w:ascii="Arial Narrow" w:hAnsi="Arial Narrow"/>
          <w:sz w:val="22"/>
          <w:szCs w:val="22"/>
        </w:rPr>
        <w:t>,</w:t>
      </w:r>
      <w:r w:rsidRPr="00C65CAA">
        <w:rPr>
          <w:rFonts w:ascii="Arial Narrow" w:hAnsi="Arial Narrow"/>
          <w:sz w:val="22"/>
          <w:szCs w:val="22"/>
        </w:rPr>
        <w:t xml:space="preserve"> sa v roku 2019 rozpočtuje vo výške 64 878 tis. eur, čo v porovnaní s rokom 2018 predstavuje nárast o 24 006 tis. eur. </w:t>
      </w:r>
    </w:p>
    <w:p w:rsidR="00534776" w:rsidRPr="00C65CAA" w:rsidRDefault="00534776" w:rsidP="00256AF8">
      <w:pPr>
        <w:spacing w:before="100" w:after="100"/>
        <w:ind w:firstLine="708"/>
        <w:jc w:val="both"/>
        <w:rPr>
          <w:rFonts w:ascii="Arial Narrow" w:hAnsi="Arial Narrow"/>
          <w:sz w:val="22"/>
          <w:szCs w:val="22"/>
        </w:rPr>
      </w:pPr>
      <w:r w:rsidRPr="00C65CAA">
        <w:rPr>
          <w:rFonts w:ascii="Arial Narrow" w:hAnsi="Arial Narrow"/>
          <w:sz w:val="22"/>
          <w:szCs w:val="22"/>
        </w:rPr>
        <w:t>Odhad očakávaných príjmov Sociálnej poisťovne nadväzuje na priaznivý vývoj ekonomiky Slovenska a  situáciu na trhu práce (rast HDP, pokles miery nezamestnanosti, zvyšovanie miery zamestnanosti a pod.</w:t>
      </w:r>
      <w:r w:rsidR="00085B32">
        <w:rPr>
          <w:rFonts w:ascii="Arial Narrow" w:hAnsi="Arial Narrow"/>
          <w:sz w:val="22"/>
          <w:szCs w:val="22"/>
        </w:rPr>
        <w:t>)</w:t>
      </w:r>
      <w:r w:rsidRPr="00C65CAA">
        <w:rPr>
          <w:rFonts w:ascii="Arial Narrow" w:hAnsi="Arial Narrow"/>
          <w:sz w:val="22"/>
          <w:szCs w:val="22"/>
        </w:rPr>
        <w:t>, na čo nadväzuje očak</w:t>
      </w:r>
      <w:r w:rsidR="00085B32">
        <w:rPr>
          <w:rFonts w:ascii="Arial Narrow" w:hAnsi="Arial Narrow"/>
          <w:sz w:val="22"/>
          <w:szCs w:val="22"/>
        </w:rPr>
        <w:t>ávaný rast odvodov na poistenie</w:t>
      </w:r>
      <w:r w:rsidRPr="00C65CAA">
        <w:rPr>
          <w:rFonts w:ascii="Arial Narrow" w:hAnsi="Arial Narrow"/>
          <w:sz w:val="22"/>
          <w:szCs w:val="22"/>
        </w:rPr>
        <w:t>. Pri projekcii príjmov z poistného od ekonomicky aktívnych osôb na rok 2019 sa preto predpokladá ich nárast oproti rozpočtu roku 2018</w:t>
      </w:r>
      <w:r w:rsidR="00406605" w:rsidRPr="00C65CAA">
        <w:rPr>
          <w:rFonts w:ascii="Arial Narrow" w:hAnsi="Arial Narrow"/>
          <w:sz w:val="22"/>
          <w:szCs w:val="22"/>
        </w:rPr>
        <w:t>,</w:t>
      </w:r>
      <w:r w:rsidRPr="00C65CAA">
        <w:rPr>
          <w:rFonts w:ascii="Arial Narrow" w:hAnsi="Arial Narrow"/>
          <w:sz w:val="22"/>
          <w:szCs w:val="22"/>
        </w:rPr>
        <w:t xml:space="preserve"> a to až vo výške 496 884 tis. eur, čo je v súlade s očakávaným rastom odvodov na poistné.</w:t>
      </w:r>
    </w:p>
    <w:p w:rsidR="00534776" w:rsidRPr="00C65CAA" w:rsidRDefault="00534776" w:rsidP="00256AF8">
      <w:pPr>
        <w:spacing w:before="100" w:after="100"/>
        <w:ind w:firstLine="708"/>
        <w:jc w:val="both"/>
        <w:rPr>
          <w:rFonts w:ascii="Arial Narrow" w:hAnsi="Arial Narrow"/>
          <w:sz w:val="22"/>
        </w:rPr>
      </w:pPr>
      <w:r w:rsidRPr="00C65CAA">
        <w:rPr>
          <w:rFonts w:ascii="Arial Narrow" w:hAnsi="Arial Narrow"/>
          <w:sz w:val="22"/>
        </w:rPr>
        <w:t>Sociálna poisťovňa vyberá poistné v piatich základných oblastiach – dôchodkové poistenie (starobné a invalidné), nemocenské poistenie, úrazové poistenie, garančné poistenie a poistenie v nezamestnanosti. Zároveň vykonáva aj činnosti v oblasti starobného dôchodkového sporenia (SDS, II. pilier) – vyberá príspevky, registruje zmluvy a je správcom centrálneho informačného ponukového systému. Vybrané poistné prechádza do</w:t>
      </w:r>
      <w:r w:rsidR="00D94D93" w:rsidRPr="00C65CAA">
        <w:rPr>
          <w:rFonts w:ascii="Arial Narrow" w:hAnsi="Arial Narrow"/>
          <w:sz w:val="22"/>
        </w:rPr>
        <w:t> </w:t>
      </w:r>
      <w:r w:rsidRPr="00C65CAA">
        <w:rPr>
          <w:rFonts w:ascii="Arial Narrow" w:hAnsi="Arial Narrow"/>
          <w:sz w:val="22"/>
        </w:rPr>
        <w:t xml:space="preserve">príslušných fondov, pričom nasledujúci graf ilustruje vývoj tvorby a použitia fondov, vrátane transferu zo ŠR prostredníctvom VPS. </w:t>
      </w: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534776" w:rsidRPr="00C65CAA" w:rsidTr="00534776">
        <w:trPr>
          <w:trHeight w:val="189"/>
        </w:trPr>
        <w:tc>
          <w:tcPr>
            <w:tcW w:w="5000" w:type="pct"/>
            <w:tcBorders>
              <w:top w:val="single" w:sz="4" w:space="0" w:color="auto"/>
              <w:left w:val="nil"/>
              <w:bottom w:val="single" w:sz="4" w:space="0" w:color="auto"/>
              <w:right w:val="nil"/>
            </w:tcBorders>
            <w:shd w:val="clear" w:color="auto" w:fill="0070C0"/>
            <w:hideMark/>
          </w:tcPr>
          <w:p w:rsidR="00534776" w:rsidRPr="00C65CAA" w:rsidRDefault="00534776" w:rsidP="00C8633E">
            <w:pPr>
              <w:jc w:val="both"/>
              <w:rPr>
                <w:rFonts w:ascii="Arial Narrow" w:hAnsi="Arial Narrow"/>
                <w:b/>
                <w:color w:val="FFFFFF" w:themeColor="background1"/>
                <w:sz w:val="20"/>
                <w:szCs w:val="20"/>
                <w:lang w:eastAsia="en-US"/>
              </w:rPr>
            </w:pPr>
            <w:r w:rsidRPr="00C65CAA">
              <w:rPr>
                <w:rFonts w:ascii="Arial Narrow" w:hAnsi="Arial Narrow"/>
                <w:b/>
                <w:color w:val="FFFFFF" w:themeColor="background1"/>
                <w:sz w:val="20"/>
                <w:szCs w:val="20"/>
                <w:lang w:eastAsia="en-US"/>
              </w:rPr>
              <w:t>Vývoj tvorby a použitia fondov, vrátane transferu zo ŠR prostredníctvom VPS (v tis. eur)</w:t>
            </w:r>
          </w:p>
        </w:tc>
      </w:tr>
      <w:tr w:rsidR="00534776" w:rsidRPr="00C65CAA" w:rsidTr="00534776">
        <w:tblPrEx>
          <w:tblCellMar>
            <w:left w:w="70" w:type="dxa"/>
            <w:right w:w="70" w:type="dxa"/>
          </w:tblCellMar>
        </w:tblPrEx>
        <w:trPr>
          <w:trHeight w:val="2381"/>
        </w:trPr>
        <w:tc>
          <w:tcPr>
            <w:tcW w:w="5000" w:type="pct"/>
            <w:tcBorders>
              <w:top w:val="single" w:sz="4" w:space="0" w:color="auto"/>
              <w:left w:val="nil"/>
              <w:bottom w:val="single" w:sz="4" w:space="0" w:color="auto"/>
              <w:right w:val="nil"/>
            </w:tcBorders>
            <w:hideMark/>
          </w:tcPr>
          <w:p w:rsidR="00534776" w:rsidRPr="00C65CAA" w:rsidRDefault="00534776" w:rsidP="00C8633E">
            <w:pPr>
              <w:jc w:val="both"/>
              <w:rPr>
                <w:rFonts w:ascii="Arial Narrow" w:hAnsi="Arial Narrow"/>
                <w:lang w:eastAsia="en-US"/>
              </w:rPr>
            </w:pPr>
            <w:r w:rsidRPr="00C65CAA">
              <w:rPr>
                <w:rFonts w:ascii="Arial Narrow" w:hAnsi="Arial Narrow"/>
                <w:noProof/>
              </w:rPr>
              <w:drawing>
                <wp:inline distT="0" distB="0" distL="0" distR="0" wp14:anchorId="39A7D540" wp14:editId="76ACCE7D">
                  <wp:extent cx="5761355" cy="1619250"/>
                  <wp:effectExtent l="0" t="0" r="0" b="0"/>
                  <wp:docPr id="16" name="Graf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bl>
    <w:p w:rsidR="00534776" w:rsidRPr="00C65CAA" w:rsidRDefault="00534776" w:rsidP="00B366F3">
      <w:pPr>
        <w:spacing w:after="100"/>
        <w:jc w:val="both"/>
        <w:rPr>
          <w:rFonts w:ascii="Arial Narrow" w:hAnsi="Arial Narrow"/>
          <w:sz w:val="20"/>
          <w:szCs w:val="20"/>
        </w:rPr>
      </w:pPr>
      <w:r w:rsidRPr="00C65CAA">
        <w:rPr>
          <w:rFonts w:ascii="Arial Narrow" w:hAnsi="Arial Narrow"/>
          <w:sz w:val="20"/>
          <w:szCs w:val="20"/>
        </w:rPr>
        <w:t xml:space="preserve">Zdroj: Návrh rozpočtu SP na roky 2019 </w:t>
      </w:r>
      <w:r w:rsidR="00406605" w:rsidRPr="00C65CAA">
        <w:rPr>
          <w:rFonts w:ascii="Arial Narrow" w:hAnsi="Arial Narrow"/>
          <w:sz w:val="20"/>
          <w:szCs w:val="20"/>
        </w:rPr>
        <w:t>až</w:t>
      </w:r>
      <w:r w:rsidRPr="00C65CAA">
        <w:rPr>
          <w:rFonts w:ascii="Arial Narrow" w:hAnsi="Arial Narrow"/>
          <w:sz w:val="20"/>
          <w:szCs w:val="20"/>
        </w:rPr>
        <w:t xml:space="preserve"> 2021, vlastné spracovanie </w:t>
      </w:r>
    </w:p>
    <w:p w:rsidR="00534776" w:rsidRPr="00C65CAA" w:rsidRDefault="00534776" w:rsidP="00256AF8">
      <w:pPr>
        <w:spacing w:before="100" w:after="100"/>
        <w:ind w:firstLine="708"/>
        <w:jc w:val="both"/>
        <w:rPr>
          <w:rFonts w:ascii="Arial Narrow" w:hAnsi="Arial Narrow"/>
          <w:sz w:val="22"/>
        </w:rPr>
      </w:pPr>
      <w:r w:rsidRPr="00C65CAA">
        <w:rPr>
          <w:rFonts w:ascii="Arial Narrow" w:hAnsi="Arial Narrow"/>
          <w:sz w:val="22"/>
        </w:rPr>
        <w:t xml:space="preserve">Celková tvorba a použitie fondov v jednotlivých rokoch </w:t>
      </w:r>
      <w:r w:rsidR="00085B32">
        <w:rPr>
          <w:rFonts w:ascii="Arial Narrow" w:hAnsi="Arial Narrow"/>
          <w:sz w:val="22"/>
        </w:rPr>
        <w:t xml:space="preserve">je približne </w:t>
      </w:r>
      <w:r w:rsidRPr="00C65CAA">
        <w:rPr>
          <w:rFonts w:ascii="Arial Narrow" w:hAnsi="Arial Narrow"/>
          <w:sz w:val="22"/>
        </w:rPr>
        <w:t>vyrovnané. Od roku 2010 postupne rástli z úrovne 6 mld. eur k rozpočtovaným 8,3 mld. eur v roku 2019. S</w:t>
      </w:r>
      <w:r w:rsidR="00D94D93" w:rsidRPr="00C65CAA">
        <w:rPr>
          <w:rFonts w:ascii="Arial Narrow" w:hAnsi="Arial Narrow"/>
          <w:sz w:val="22"/>
        </w:rPr>
        <w:t xml:space="preserve">ociálnej poisťovni </w:t>
      </w:r>
      <w:r w:rsidRPr="00C65CAA">
        <w:rPr>
          <w:rFonts w:ascii="Arial Narrow" w:hAnsi="Arial Narrow"/>
          <w:sz w:val="22"/>
        </w:rPr>
        <w:t>je každoročne poskytovaný transfer cez VPS</w:t>
      </w:r>
      <w:r w:rsidR="00406605" w:rsidRPr="00C65CAA">
        <w:rPr>
          <w:rFonts w:ascii="Arial Narrow" w:hAnsi="Arial Narrow"/>
          <w:sz w:val="22"/>
        </w:rPr>
        <w:t>,</w:t>
      </w:r>
      <w:r w:rsidRPr="00C65CAA">
        <w:rPr>
          <w:rFonts w:ascii="Arial Narrow" w:hAnsi="Arial Narrow"/>
          <w:sz w:val="22"/>
        </w:rPr>
        <w:t xml:space="preserve"> určený na zabezpečenie platobnej schopnosti a vykrytie deficitného hospodárenia základného fondu starobného poistenia. V rokoch 2010 až 2012 tento transfer osciloval okolo 1,4 mld. eur, následne postupne klesal.</w:t>
      </w:r>
    </w:p>
    <w:p w:rsidR="00534776" w:rsidRPr="00C65CAA" w:rsidRDefault="00534776" w:rsidP="00256AF8">
      <w:pPr>
        <w:spacing w:before="100" w:after="100"/>
        <w:ind w:firstLine="708"/>
        <w:jc w:val="both"/>
        <w:rPr>
          <w:rFonts w:ascii="Arial Narrow" w:hAnsi="Arial Narrow"/>
          <w:sz w:val="22"/>
          <w:szCs w:val="22"/>
        </w:rPr>
      </w:pPr>
      <w:r w:rsidRPr="00C65CAA">
        <w:rPr>
          <w:rFonts w:ascii="Arial Narrow" w:hAnsi="Arial Narrow"/>
          <w:sz w:val="22"/>
          <w:szCs w:val="22"/>
        </w:rPr>
        <w:t>V návrhu rozpočtu verejnej správy na roky 2019 až 2021 sa v rozpočte Sociálnej poisťovne prvýkrát neobjavuje krytie tohto deficitu zo štátneho rozpočtu. Podľa návrhu má byť deficit vykrytý nárastom príjmov z poistenia ekonomicky aktívnych osôb (o 9,4 %), čo vzhľadom na súčasný nárast miery zamestnanosti sa javí ako logický. V prípade nárastu nezamestnanosti</w:t>
      </w:r>
      <w:r w:rsidR="00406605" w:rsidRPr="00C65CAA">
        <w:rPr>
          <w:rFonts w:ascii="Arial Narrow" w:hAnsi="Arial Narrow"/>
          <w:sz w:val="22"/>
          <w:szCs w:val="22"/>
        </w:rPr>
        <w:t>,</w:t>
      </w:r>
      <w:r w:rsidRPr="00C65CAA">
        <w:rPr>
          <w:rFonts w:ascii="Arial Narrow" w:hAnsi="Arial Narrow"/>
          <w:sz w:val="22"/>
          <w:szCs w:val="22"/>
        </w:rPr>
        <w:t xml:space="preserve"> ako jedného z dôsledkov možnej finančnej krízy, môže dôjsť k poklesu týchto príjmov a tým aj k platobnej neschopnosti Sociálnej poisťovne, čo môže klásť zvýšené nároky na finančné prostriedky zo štátneho rozpočtu na vyplácané dôchodky v budúcnosti.</w:t>
      </w:r>
    </w:p>
    <w:p w:rsidR="00534776" w:rsidRPr="00C65CAA" w:rsidRDefault="00534776" w:rsidP="00256AF8">
      <w:pPr>
        <w:spacing w:before="100" w:after="100"/>
        <w:ind w:firstLine="708"/>
        <w:jc w:val="both"/>
        <w:rPr>
          <w:rFonts w:ascii="Arial Narrow" w:hAnsi="Arial Narrow"/>
          <w:sz w:val="22"/>
          <w:szCs w:val="22"/>
        </w:rPr>
      </w:pPr>
      <w:r w:rsidRPr="00C65CAA">
        <w:rPr>
          <w:rFonts w:ascii="Arial Narrow" w:hAnsi="Arial Narrow"/>
          <w:sz w:val="22"/>
          <w:szCs w:val="22"/>
        </w:rPr>
        <w:t xml:space="preserve">NKÚ SR priaznivo hodnotí zavedenie ročného zúčtovania sociálneho poistenia a prechod z mesačných na ročné vymeriavacie základy (na základe novely zákona č. 461/2003 Z. z. o sociálnom poistení), čím sa zabráni znižovaniu platenia odvodov vysoko príjmových skupín obyvateľstva, čo sa pozitívne prejaví na výsledku verejných financií v roku 2021 a to v plánovanej sume 58,6 mil. eur. Ide o implementáciu jedného z navrhovaných opatrení v rámci Revízie výdavkov na politiky trhu práce a sociálne politiky s predpokladanou úsporou 49 mil. eur ročne. </w:t>
      </w:r>
    </w:p>
    <w:p w:rsidR="00534776" w:rsidRPr="00C65CAA" w:rsidRDefault="00534776" w:rsidP="00256AF8">
      <w:pPr>
        <w:spacing w:before="100" w:after="100"/>
        <w:ind w:firstLine="708"/>
        <w:jc w:val="both"/>
        <w:rPr>
          <w:rFonts w:ascii="Arial Narrow" w:hAnsi="Arial Narrow"/>
          <w:sz w:val="22"/>
          <w:szCs w:val="22"/>
        </w:rPr>
      </w:pPr>
      <w:r w:rsidRPr="00C65CAA">
        <w:rPr>
          <w:rFonts w:ascii="Arial Narrow" w:hAnsi="Arial Narrow"/>
          <w:sz w:val="22"/>
          <w:szCs w:val="22"/>
        </w:rPr>
        <w:lastRenderedPageBreak/>
        <w:t>NKÚ SR pripomína ďalšie opatrenia z Revízie výdavkov na politiky trhu práce a sociálnej politiky, ktoré sa nepremietli do návrhu rozpočtu</w:t>
      </w:r>
      <w:r w:rsidR="00406605" w:rsidRPr="00C65CAA">
        <w:rPr>
          <w:rFonts w:ascii="Arial Narrow" w:hAnsi="Arial Narrow"/>
          <w:sz w:val="22"/>
          <w:szCs w:val="22"/>
        </w:rPr>
        <w:t>,</w:t>
      </w:r>
      <w:r w:rsidRPr="00C65CAA">
        <w:rPr>
          <w:rFonts w:ascii="Arial Narrow" w:hAnsi="Arial Narrow"/>
          <w:sz w:val="22"/>
          <w:szCs w:val="22"/>
        </w:rPr>
        <w:t xml:space="preserve"> a to zvýšenie efektívnosti pobočiek Sociálnej poisťovne, kde bola identifikovaná úspora </w:t>
      </w:r>
      <w:r w:rsidR="00085B32">
        <w:rPr>
          <w:rFonts w:ascii="Arial Narrow" w:hAnsi="Arial Narrow"/>
          <w:sz w:val="22"/>
          <w:szCs w:val="22"/>
        </w:rPr>
        <w:t xml:space="preserve">približne </w:t>
      </w:r>
      <w:r w:rsidRPr="00C65CAA">
        <w:rPr>
          <w:rFonts w:ascii="Arial Narrow" w:hAnsi="Arial Narrow"/>
          <w:sz w:val="22"/>
          <w:szCs w:val="22"/>
        </w:rPr>
        <w:t>10 mil. eur v horizonte troch rokov, opatrenia v príprave a hodnotení investícií</w:t>
      </w:r>
      <w:r w:rsidR="00406605" w:rsidRPr="00C65CAA">
        <w:rPr>
          <w:rFonts w:ascii="Arial Narrow" w:hAnsi="Arial Narrow"/>
          <w:sz w:val="22"/>
          <w:szCs w:val="22"/>
        </w:rPr>
        <w:t>,</w:t>
      </w:r>
      <w:r w:rsidRPr="00C65CAA">
        <w:rPr>
          <w:rFonts w:ascii="Arial Narrow" w:hAnsi="Arial Narrow"/>
          <w:sz w:val="22"/>
          <w:szCs w:val="22"/>
        </w:rPr>
        <w:t xml:space="preserve"> ako je napr</w:t>
      </w:r>
      <w:r w:rsidR="00D94D93" w:rsidRPr="00C65CAA">
        <w:rPr>
          <w:rFonts w:ascii="Arial Narrow" w:hAnsi="Arial Narrow"/>
          <w:sz w:val="22"/>
          <w:szCs w:val="22"/>
        </w:rPr>
        <w:t>íklad</w:t>
      </w:r>
      <w:r w:rsidRPr="00C65CAA">
        <w:rPr>
          <w:rFonts w:ascii="Arial Narrow" w:hAnsi="Arial Narrow"/>
          <w:sz w:val="22"/>
          <w:szCs w:val="22"/>
        </w:rPr>
        <w:t xml:space="preserve"> vypracovanie a zverejnenie investičného plánu Sociálnej poisťovne, vypracovanie a zverejnenie štúdií uskutočniteľnosti a analýzy nákladov a prínosov Sociálnej poisťovne pri investíciách nad 40 mil. eur a pod.</w:t>
      </w:r>
    </w:p>
    <w:p w:rsidR="00534776" w:rsidRDefault="00534776" w:rsidP="00256AF8">
      <w:pPr>
        <w:spacing w:before="100" w:after="100"/>
        <w:ind w:firstLine="708"/>
        <w:jc w:val="both"/>
        <w:rPr>
          <w:rFonts w:ascii="Arial Narrow" w:hAnsi="Arial Narrow"/>
          <w:sz w:val="22"/>
          <w:szCs w:val="22"/>
        </w:rPr>
      </w:pPr>
      <w:r w:rsidRPr="00C65CAA">
        <w:rPr>
          <w:rFonts w:ascii="Arial Narrow" w:hAnsi="Arial Narrow"/>
          <w:sz w:val="22"/>
          <w:szCs w:val="22"/>
        </w:rPr>
        <w:t xml:space="preserve">NKÚ SR zároveň odporúča v budúcnosti doplniť rozpočet Sociálnej poisťovne o časť, ktorá sa bude venovať vývoju pohľadávok na poistnom a efektívnosti ich vymáhania. </w:t>
      </w:r>
    </w:p>
    <w:p w:rsidR="00085B32" w:rsidRDefault="00085B32" w:rsidP="00256AF8">
      <w:pPr>
        <w:spacing w:before="100" w:after="100"/>
        <w:ind w:firstLine="708"/>
        <w:jc w:val="both"/>
        <w:rPr>
          <w:rFonts w:ascii="Arial Narrow" w:hAnsi="Arial Narrow"/>
          <w:sz w:val="22"/>
          <w:szCs w:val="22"/>
        </w:rPr>
      </w:pPr>
    </w:p>
    <w:p w:rsidR="00D23611" w:rsidRPr="00C65CAA" w:rsidRDefault="00D23611" w:rsidP="00256AF8">
      <w:pPr>
        <w:pStyle w:val="Nadpis2"/>
        <w:numPr>
          <w:ilvl w:val="1"/>
          <w:numId w:val="92"/>
        </w:numPr>
        <w:tabs>
          <w:tab w:val="left" w:pos="1276"/>
        </w:tabs>
        <w:spacing w:before="100" w:after="100"/>
        <w:rPr>
          <w:szCs w:val="22"/>
        </w:rPr>
      </w:pPr>
      <w:bookmarkStart w:id="52" w:name="_Toc529507615"/>
      <w:r w:rsidRPr="00C65CAA">
        <w:rPr>
          <w:szCs w:val="22"/>
        </w:rPr>
        <w:t>Stanovisko k návrhu rozpočtu verejného zdravotného poistenia na rok 201</w:t>
      </w:r>
      <w:r w:rsidR="005E6FE7" w:rsidRPr="00C65CAA">
        <w:rPr>
          <w:szCs w:val="22"/>
        </w:rPr>
        <w:t>9</w:t>
      </w:r>
      <w:bookmarkEnd w:id="52"/>
    </w:p>
    <w:p w:rsidR="00971721" w:rsidRPr="00C65CAA" w:rsidRDefault="00971721" w:rsidP="00971721">
      <w:pPr>
        <w:autoSpaceDE w:val="0"/>
        <w:autoSpaceDN w:val="0"/>
        <w:adjustRightInd w:val="0"/>
        <w:spacing w:before="120" w:after="120"/>
        <w:ind w:firstLine="708"/>
        <w:jc w:val="both"/>
        <w:rPr>
          <w:rFonts w:ascii="Arial Narrow" w:eastAsiaTheme="minorHAnsi" w:hAnsi="Arial Narrow" w:cs="ArialNarrow"/>
          <w:sz w:val="22"/>
          <w:szCs w:val="22"/>
          <w:lang w:eastAsia="en-US"/>
        </w:rPr>
      </w:pPr>
      <w:r w:rsidRPr="00C65CAA">
        <w:rPr>
          <w:rFonts w:ascii="Arial Narrow" w:eastAsiaTheme="minorHAnsi" w:hAnsi="Arial Narrow" w:cs="ArialNarrow"/>
          <w:sz w:val="22"/>
          <w:szCs w:val="22"/>
          <w:lang w:eastAsia="en-US"/>
        </w:rPr>
        <w:t xml:space="preserve">Zdravotné poistenie osôb slúži na zabezpečenie potrebnej zdravotnej liečebno-preventívnej starostlivosti, pri ťažkom zdravotnom postihnutí a prípadne osobitnej zdravotnej starostlivosti. </w:t>
      </w:r>
    </w:p>
    <w:p w:rsidR="00971721" w:rsidRPr="00C65CAA" w:rsidRDefault="00971721" w:rsidP="00971721">
      <w:pPr>
        <w:autoSpaceDE w:val="0"/>
        <w:autoSpaceDN w:val="0"/>
        <w:adjustRightInd w:val="0"/>
        <w:spacing w:after="120"/>
        <w:ind w:firstLine="708"/>
        <w:jc w:val="both"/>
        <w:rPr>
          <w:rFonts w:ascii="Arial Narrow" w:eastAsiaTheme="minorHAnsi" w:hAnsi="Arial Narrow" w:cs="ArialNarrow"/>
          <w:sz w:val="22"/>
          <w:szCs w:val="22"/>
          <w:lang w:eastAsia="en-US"/>
        </w:rPr>
      </w:pPr>
      <w:r w:rsidRPr="00C65CAA">
        <w:rPr>
          <w:rFonts w:ascii="Arial Narrow" w:eastAsiaTheme="minorHAnsi" w:hAnsi="Arial Narrow" w:cs="ArialNarrow"/>
          <w:sz w:val="22"/>
          <w:szCs w:val="22"/>
          <w:lang w:eastAsia="en-US"/>
        </w:rPr>
        <w:t>Návrh rozpočtu verejného zdravotného poistenia je postavený na aktuálnej septembrovej ma</w:t>
      </w:r>
      <w:r w:rsidR="00406605" w:rsidRPr="00C65CAA">
        <w:rPr>
          <w:rFonts w:ascii="Arial Narrow" w:eastAsiaTheme="minorHAnsi" w:hAnsi="Arial Narrow" w:cs="ArialNarrow"/>
          <w:sz w:val="22"/>
          <w:szCs w:val="22"/>
          <w:lang w:eastAsia="en-US"/>
        </w:rPr>
        <w:t>kroekonomickej, ako aj daňovo-</w:t>
      </w:r>
      <w:r w:rsidRPr="00C65CAA">
        <w:rPr>
          <w:rFonts w:ascii="Arial Narrow" w:eastAsiaTheme="minorHAnsi" w:hAnsi="Arial Narrow" w:cs="ArialNarrow"/>
          <w:sz w:val="22"/>
          <w:szCs w:val="22"/>
          <w:lang w:eastAsia="en-US"/>
        </w:rPr>
        <w:t>odvodovej prognóze.</w:t>
      </w:r>
    </w:p>
    <w:p w:rsidR="00971721" w:rsidRPr="00C65CAA" w:rsidRDefault="00971721" w:rsidP="00971721">
      <w:pPr>
        <w:autoSpaceDE w:val="0"/>
        <w:autoSpaceDN w:val="0"/>
        <w:adjustRightInd w:val="0"/>
        <w:spacing w:after="120"/>
        <w:ind w:firstLine="708"/>
        <w:jc w:val="both"/>
        <w:rPr>
          <w:rFonts w:ascii="Arial Narrow" w:eastAsiaTheme="minorHAnsi" w:hAnsi="Arial Narrow" w:cs="ArialNarrow"/>
          <w:sz w:val="22"/>
          <w:szCs w:val="22"/>
          <w:lang w:eastAsia="en-US"/>
        </w:rPr>
      </w:pPr>
      <w:r w:rsidRPr="00C65CAA">
        <w:rPr>
          <w:rFonts w:ascii="Arial Narrow" w:eastAsiaTheme="minorHAnsi" w:hAnsi="Arial Narrow" w:cs="ArialNarrow"/>
          <w:sz w:val="22"/>
          <w:szCs w:val="22"/>
          <w:lang w:eastAsia="en-US"/>
        </w:rPr>
        <w:t xml:space="preserve">Porovnanie bilančného zostatku verejného zdravotného poistenia na akruálnej báze v metodike ESA 2010 v návrhu rozpočtu na rok 2019 so schváleným rozpočtom na rok 2018 a skutočným plnením rozpočtu za rok 2017: </w:t>
      </w:r>
    </w:p>
    <w:tbl>
      <w:tblPr>
        <w:tblStyle w:val="Mriekatabuky1"/>
        <w:tblW w:w="5000" w:type="pct"/>
        <w:tblLook w:val="04A0" w:firstRow="1" w:lastRow="0" w:firstColumn="1" w:lastColumn="0" w:noHBand="0" w:noVBand="1"/>
      </w:tblPr>
      <w:tblGrid>
        <w:gridCol w:w="3681"/>
        <w:gridCol w:w="1225"/>
        <w:gridCol w:w="1022"/>
        <w:gridCol w:w="1022"/>
        <w:gridCol w:w="875"/>
        <w:gridCol w:w="1238"/>
      </w:tblGrid>
      <w:tr w:rsidR="00971721" w:rsidRPr="00C65CAA" w:rsidTr="00055944">
        <w:trPr>
          <w:tblHeader/>
        </w:trPr>
        <w:tc>
          <w:tcPr>
            <w:tcW w:w="2030"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971721" w:rsidRPr="00C65CAA" w:rsidRDefault="00971721" w:rsidP="00055944">
            <w:pPr>
              <w:jc w:val="center"/>
              <w:rPr>
                <w:rFonts w:ascii="Arial Narrow" w:eastAsia="Calibri" w:hAnsi="Arial Narrow"/>
                <w:b/>
                <w:color w:val="FFFFFF" w:themeColor="background1"/>
                <w:sz w:val="20"/>
                <w:szCs w:val="20"/>
              </w:rPr>
            </w:pPr>
            <w:r w:rsidRPr="00C65CAA">
              <w:rPr>
                <w:rFonts w:ascii="Arial Narrow" w:eastAsia="Calibri" w:hAnsi="Arial Narrow"/>
                <w:b/>
                <w:bCs/>
                <w:color w:val="FFFFFF" w:themeColor="background1"/>
                <w:sz w:val="20"/>
                <w:szCs w:val="20"/>
              </w:rPr>
              <w:t>Názov ukazovateľa (v tis. eur)</w:t>
            </w:r>
          </w:p>
        </w:tc>
        <w:tc>
          <w:tcPr>
            <w:tcW w:w="676"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971721" w:rsidRPr="00C65CAA" w:rsidRDefault="00971721" w:rsidP="00055944">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Skutočnosť</w:t>
            </w:r>
          </w:p>
          <w:p w:rsidR="00971721" w:rsidRPr="00C65CAA" w:rsidRDefault="00971721" w:rsidP="00055944">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2017</w:t>
            </w:r>
          </w:p>
        </w:tc>
        <w:tc>
          <w:tcPr>
            <w:tcW w:w="1128"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971721" w:rsidRPr="00C65CAA" w:rsidRDefault="00971721" w:rsidP="00055944">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Rozpočet</w:t>
            </w:r>
          </w:p>
        </w:tc>
        <w:tc>
          <w:tcPr>
            <w:tcW w:w="483"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971721" w:rsidRPr="00C65CAA" w:rsidRDefault="00971721" w:rsidP="00055944">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Rozdiel</w:t>
            </w:r>
          </w:p>
        </w:tc>
        <w:tc>
          <w:tcPr>
            <w:tcW w:w="683"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971721" w:rsidRPr="00C65CAA" w:rsidRDefault="00971721" w:rsidP="00055944">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Podiel (v %)</w:t>
            </w:r>
          </w:p>
        </w:tc>
      </w:tr>
      <w:tr w:rsidR="00971721" w:rsidRPr="00C65CAA" w:rsidTr="00055944">
        <w:trPr>
          <w:tblHeader/>
        </w:trPr>
        <w:tc>
          <w:tcPr>
            <w:tcW w:w="2030"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rsidR="00971721" w:rsidRPr="00C65CAA" w:rsidRDefault="00971721" w:rsidP="00055944">
            <w:pPr>
              <w:jc w:val="both"/>
              <w:rPr>
                <w:rFonts w:ascii="Arial Narrow" w:eastAsia="Calibri" w:hAnsi="Arial Narrow"/>
                <w:color w:val="FFFFFF" w:themeColor="background1"/>
                <w:sz w:val="20"/>
                <w:szCs w:val="20"/>
              </w:rPr>
            </w:pPr>
          </w:p>
        </w:tc>
        <w:tc>
          <w:tcPr>
            <w:tcW w:w="676"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rsidR="00971721" w:rsidRPr="00C65CAA" w:rsidRDefault="00971721" w:rsidP="00055944">
            <w:pPr>
              <w:jc w:val="both"/>
              <w:rPr>
                <w:rFonts w:ascii="Arial Narrow" w:hAnsi="Arial Narrow"/>
                <w:color w:val="FFFFFF" w:themeColor="background1"/>
                <w:sz w:val="20"/>
                <w:szCs w:val="20"/>
              </w:rPr>
            </w:pPr>
          </w:p>
        </w:tc>
        <w:tc>
          <w:tcPr>
            <w:tcW w:w="5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971721" w:rsidRPr="00C65CAA" w:rsidRDefault="00971721" w:rsidP="00055944">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2018</w:t>
            </w:r>
          </w:p>
        </w:tc>
        <w:tc>
          <w:tcPr>
            <w:tcW w:w="5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971721" w:rsidRPr="00C65CAA" w:rsidRDefault="00971721" w:rsidP="00055944">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2019</w:t>
            </w:r>
          </w:p>
        </w:tc>
        <w:tc>
          <w:tcPr>
            <w:tcW w:w="483"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rsidR="00971721" w:rsidRPr="00C65CAA" w:rsidRDefault="00971721" w:rsidP="00055944">
            <w:pPr>
              <w:jc w:val="both"/>
              <w:rPr>
                <w:rFonts w:ascii="Arial Narrow" w:hAnsi="Arial Narrow"/>
                <w:color w:val="FFFFFF" w:themeColor="background1"/>
                <w:sz w:val="20"/>
                <w:szCs w:val="20"/>
              </w:rPr>
            </w:pPr>
          </w:p>
        </w:tc>
        <w:tc>
          <w:tcPr>
            <w:tcW w:w="683"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rsidR="00971721" w:rsidRPr="00C65CAA" w:rsidRDefault="00971721" w:rsidP="00055944">
            <w:pPr>
              <w:jc w:val="both"/>
              <w:rPr>
                <w:rFonts w:ascii="Arial Narrow" w:hAnsi="Arial Narrow"/>
                <w:color w:val="FFFFFF" w:themeColor="background1"/>
                <w:sz w:val="20"/>
                <w:szCs w:val="20"/>
              </w:rPr>
            </w:pPr>
          </w:p>
        </w:tc>
      </w:tr>
      <w:tr w:rsidR="00971721" w:rsidRPr="00C65CAA" w:rsidTr="00055944">
        <w:trPr>
          <w:tblHeader/>
        </w:trPr>
        <w:tc>
          <w:tcPr>
            <w:tcW w:w="2030" w:type="pct"/>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971721" w:rsidRPr="00C65CAA" w:rsidRDefault="00971721" w:rsidP="00055944">
            <w:pPr>
              <w:jc w:val="center"/>
              <w:rPr>
                <w:rFonts w:ascii="Arial Narrow" w:hAnsi="Arial Narrow"/>
                <w:bCs/>
                <w:sz w:val="20"/>
                <w:szCs w:val="20"/>
              </w:rPr>
            </w:pPr>
            <w:r w:rsidRPr="00C65CAA">
              <w:rPr>
                <w:rFonts w:ascii="Arial Narrow" w:hAnsi="Arial Narrow"/>
                <w:bCs/>
                <w:sz w:val="20"/>
                <w:szCs w:val="20"/>
              </w:rPr>
              <w:t>a</w:t>
            </w:r>
          </w:p>
        </w:tc>
        <w:tc>
          <w:tcPr>
            <w:tcW w:w="676" w:type="pct"/>
            <w:tcBorders>
              <w:top w:val="single" w:sz="4" w:space="0" w:color="FFFFFF" w:themeColor="background1"/>
              <w:left w:val="single" w:sz="4" w:space="0" w:color="auto"/>
              <w:bottom w:val="single" w:sz="4" w:space="0" w:color="auto"/>
              <w:right w:val="single" w:sz="4" w:space="0" w:color="auto"/>
            </w:tcBorders>
            <w:shd w:val="clear" w:color="auto" w:fill="auto"/>
          </w:tcPr>
          <w:p w:rsidR="00971721" w:rsidRPr="00C65CAA" w:rsidRDefault="00971721" w:rsidP="00055944">
            <w:pPr>
              <w:jc w:val="center"/>
              <w:rPr>
                <w:rFonts w:ascii="Arial Narrow" w:hAnsi="Arial Narrow"/>
                <w:sz w:val="20"/>
                <w:szCs w:val="20"/>
              </w:rPr>
            </w:pPr>
            <w:r w:rsidRPr="00C65CAA">
              <w:rPr>
                <w:rFonts w:ascii="Arial Narrow" w:hAnsi="Arial Narrow"/>
                <w:sz w:val="20"/>
                <w:szCs w:val="20"/>
              </w:rPr>
              <w:t>1</w:t>
            </w:r>
          </w:p>
        </w:tc>
        <w:tc>
          <w:tcPr>
            <w:tcW w:w="564" w:type="pct"/>
            <w:tcBorders>
              <w:top w:val="single" w:sz="4" w:space="0" w:color="FFFFFF" w:themeColor="background1"/>
              <w:left w:val="single" w:sz="4" w:space="0" w:color="auto"/>
              <w:bottom w:val="single" w:sz="4" w:space="0" w:color="auto"/>
              <w:right w:val="single" w:sz="4" w:space="0" w:color="auto"/>
            </w:tcBorders>
            <w:shd w:val="clear" w:color="auto" w:fill="auto"/>
          </w:tcPr>
          <w:p w:rsidR="00971721" w:rsidRPr="00C65CAA" w:rsidRDefault="00971721" w:rsidP="00055944">
            <w:pPr>
              <w:jc w:val="center"/>
              <w:rPr>
                <w:rFonts w:ascii="Arial Narrow" w:hAnsi="Arial Narrow"/>
                <w:sz w:val="20"/>
                <w:szCs w:val="20"/>
              </w:rPr>
            </w:pPr>
            <w:r w:rsidRPr="00C65CAA">
              <w:rPr>
                <w:rFonts w:ascii="Arial Narrow" w:hAnsi="Arial Narrow"/>
                <w:sz w:val="20"/>
                <w:szCs w:val="20"/>
              </w:rPr>
              <w:t>2</w:t>
            </w:r>
          </w:p>
        </w:tc>
        <w:tc>
          <w:tcPr>
            <w:tcW w:w="564" w:type="pct"/>
            <w:tcBorders>
              <w:top w:val="single" w:sz="4" w:space="0" w:color="FFFFFF" w:themeColor="background1"/>
              <w:left w:val="single" w:sz="4" w:space="0" w:color="auto"/>
              <w:bottom w:val="single" w:sz="4" w:space="0" w:color="auto"/>
              <w:right w:val="single" w:sz="4" w:space="0" w:color="auto"/>
            </w:tcBorders>
            <w:shd w:val="clear" w:color="auto" w:fill="auto"/>
          </w:tcPr>
          <w:p w:rsidR="00971721" w:rsidRPr="00C65CAA" w:rsidRDefault="00971721" w:rsidP="00055944">
            <w:pPr>
              <w:jc w:val="center"/>
              <w:rPr>
                <w:rFonts w:ascii="Arial Narrow" w:hAnsi="Arial Narrow"/>
                <w:sz w:val="20"/>
                <w:szCs w:val="20"/>
              </w:rPr>
            </w:pPr>
            <w:r w:rsidRPr="00C65CAA">
              <w:rPr>
                <w:rFonts w:ascii="Arial Narrow" w:hAnsi="Arial Narrow"/>
                <w:sz w:val="20"/>
                <w:szCs w:val="20"/>
              </w:rPr>
              <w:t>3</w:t>
            </w:r>
          </w:p>
        </w:tc>
        <w:tc>
          <w:tcPr>
            <w:tcW w:w="483" w:type="pct"/>
            <w:tcBorders>
              <w:top w:val="single" w:sz="4" w:space="0" w:color="FFFFFF" w:themeColor="background1"/>
              <w:left w:val="single" w:sz="4" w:space="0" w:color="auto"/>
              <w:bottom w:val="single" w:sz="4" w:space="0" w:color="auto"/>
              <w:right w:val="single" w:sz="4" w:space="0" w:color="auto"/>
            </w:tcBorders>
            <w:shd w:val="clear" w:color="auto" w:fill="auto"/>
          </w:tcPr>
          <w:p w:rsidR="00971721" w:rsidRPr="00C65CAA" w:rsidRDefault="00971721" w:rsidP="00055944">
            <w:pPr>
              <w:jc w:val="center"/>
              <w:rPr>
                <w:rFonts w:ascii="Arial Narrow" w:hAnsi="Arial Narrow"/>
                <w:sz w:val="20"/>
                <w:szCs w:val="20"/>
              </w:rPr>
            </w:pPr>
            <w:r w:rsidRPr="00C65CAA">
              <w:rPr>
                <w:rFonts w:ascii="Arial Narrow" w:hAnsi="Arial Narrow"/>
                <w:sz w:val="20"/>
                <w:szCs w:val="20"/>
              </w:rPr>
              <w:t>3-2</w:t>
            </w:r>
          </w:p>
        </w:tc>
        <w:tc>
          <w:tcPr>
            <w:tcW w:w="683" w:type="pct"/>
            <w:tcBorders>
              <w:top w:val="single" w:sz="4" w:space="0" w:color="FFFFFF" w:themeColor="background1"/>
              <w:left w:val="single" w:sz="4" w:space="0" w:color="auto"/>
              <w:bottom w:val="single" w:sz="4" w:space="0" w:color="auto"/>
              <w:right w:val="single" w:sz="4" w:space="0" w:color="auto"/>
            </w:tcBorders>
            <w:shd w:val="clear" w:color="auto" w:fill="auto"/>
          </w:tcPr>
          <w:p w:rsidR="00971721" w:rsidRPr="00C65CAA" w:rsidRDefault="00971721" w:rsidP="00055944">
            <w:pPr>
              <w:jc w:val="center"/>
              <w:rPr>
                <w:rFonts w:ascii="Arial Narrow" w:hAnsi="Arial Narrow"/>
                <w:sz w:val="20"/>
                <w:szCs w:val="20"/>
              </w:rPr>
            </w:pPr>
            <w:r w:rsidRPr="00C65CAA">
              <w:rPr>
                <w:rFonts w:ascii="Arial Narrow" w:hAnsi="Arial Narrow"/>
                <w:sz w:val="20"/>
                <w:szCs w:val="20"/>
              </w:rPr>
              <w:t>3/2*100</w:t>
            </w:r>
          </w:p>
        </w:tc>
      </w:tr>
      <w:tr w:rsidR="00971721" w:rsidRPr="00C65CAA" w:rsidTr="00055944">
        <w:tc>
          <w:tcPr>
            <w:tcW w:w="2030" w:type="pct"/>
            <w:tcBorders>
              <w:top w:val="single" w:sz="4" w:space="0" w:color="auto"/>
            </w:tcBorders>
            <w:vAlign w:val="center"/>
          </w:tcPr>
          <w:p w:rsidR="00971721" w:rsidRPr="00C65CAA" w:rsidRDefault="00971721" w:rsidP="00055944">
            <w:pPr>
              <w:rPr>
                <w:rFonts w:ascii="Arial Narrow" w:hAnsi="Arial Narrow"/>
                <w:bCs/>
                <w:sz w:val="20"/>
                <w:szCs w:val="20"/>
              </w:rPr>
            </w:pPr>
            <w:r w:rsidRPr="00C65CAA">
              <w:rPr>
                <w:rFonts w:ascii="Arial Narrow" w:hAnsi="Arial Narrow"/>
                <w:bCs/>
                <w:sz w:val="20"/>
                <w:szCs w:val="20"/>
              </w:rPr>
              <w:t>Príjmy spolu</w:t>
            </w:r>
          </w:p>
        </w:tc>
        <w:tc>
          <w:tcPr>
            <w:tcW w:w="676" w:type="pct"/>
            <w:tcBorders>
              <w:top w:val="single" w:sz="4" w:space="0" w:color="auto"/>
            </w:tcBorders>
            <w:vAlign w:val="center"/>
          </w:tcPr>
          <w:p w:rsidR="00971721" w:rsidRPr="00C65CAA" w:rsidRDefault="00971721" w:rsidP="00055944">
            <w:pPr>
              <w:jc w:val="right"/>
              <w:rPr>
                <w:rFonts w:ascii="Arial Narrow" w:hAnsi="Arial Narrow"/>
                <w:sz w:val="20"/>
                <w:szCs w:val="20"/>
              </w:rPr>
            </w:pPr>
            <w:r w:rsidRPr="00C65CAA">
              <w:rPr>
                <w:rFonts w:ascii="Arial Narrow" w:hAnsi="Arial Narrow"/>
                <w:sz w:val="20"/>
                <w:szCs w:val="20"/>
              </w:rPr>
              <w:t>4 807 849</w:t>
            </w:r>
          </w:p>
        </w:tc>
        <w:tc>
          <w:tcPr>
            <w:tcW w:w="564" w:type="pct"/>
            <w:tcBorders>
              <w:top w:val="single" w:sz="4" w:space="0" w:color="auto"/>
            </w:tcBorders>
            <w:vAlign w:val="center"/>
          </w:tcPr>
          <w:p w:rsidR="00971721" w:rsidRPr="00C65CAA" w:rsidRDefault="00971721" w:rsidP="00055944">
            <w:pPr>
              <w:jc w:val="right"/>
              <w:rPr>
                <w:rFonts w:ascii="Arial Narrow" w:hAnsi="Arial Narrow"/>
                <w:sz w:val="20"/>
                <w:szCs w:val="20"/>
              </w:rPr>
            </w:pPr>
            <w:r w:rsidRPr="00C65CAA">
              <w:rPr>
                <w:rFonts w:ascii="Arial Narrow" w:hAnsi="Arial Narrow"/>
                <w:sz w:val="20"/>
                <w:szCs w:val="20"/>
              </w:rPr>
              <w:t>5 024 131</w:t>
            </w:r>
          </w:p>
        </w:tc>
        <w:tc>
          <w:tcPr>
            <w:tcW w:w="564" w:type="pct"/>
            <w:tcBorders>
              <w:top w:val="single" w:sz="4" w:space="0" w:color="auto"/>
            </w:tcBorders>
            <w:vAlign w:val="center"/>
          </w:tcPr>
          <w:p w:rsidR="00971721" w:rsidRPr="00C65CAA" w:rsidRDefault="00971721" w:rsidP="00055944">
            <w:pPr>
              <w:jc w:val="right"/>
              <w:rPr>
                <w:rFonts w:ascii="Arial Narrow" w:hAnsi="Arial Narrow"/>
                <w:sz w:val="20"/>
                <w:szCs w:val="20"/>
              </w:rPr>
            </w:pPr>
            <w:r w:rsidRPr="00C65CAA">
              <w:rPr>
                <w:rFonts w:ascii="Arial Narrow" w:hAnsi="Arial Narrow"/>
                <w:sz w:val="20"/>
                <w:szCs w:val="20"/>
              </w:rPr>
              <w:t>5 454 757</w:t>
            </w:r>
          </w:p>
        </w:tc>
        <w:tc>
          <w:tcPr>
            <w:tcW w:w="483" w:type="pct"/>
            <w:tcBorders>
              <w:top w:val="single" w:sz="4" w:space="0" w:color="auto"/>
            </w:tcBorders>
          </w:tcPr>
          <w:p w:rsidR="00971721" w:rsidRPr="00C65CAA" w:rsidRDefault="00971721" w:rsidP="00055944">
            <w:pPr>
              <w:jc w:val="right"/>
              <w:rPr>
                <w:rFonts w:ascii="Arial Narrow" w:hAnsi="Arial Narrow"/>
                <w:sz w:val="20"/>
                <w:szCs w:val="20"/>
              </w:rPr>
            </w:pPr>
            <w:r w:rsidRPr="00C65CAA">
              <w:rPr>
                <w:rFonts w:ascii="Arial Narrow" w:hAnsi="Arial Narrow"/>
                <w:sz w:val="20"/>
                <w:szCs w:val="20"/>
              </w:rPr>
              <w:t>430 626</w:t>
            </w:r>
          </w:p>
        </w:tc>
        <w:tc>
          <w:tcPr>
            <w:tcW w:w="683" w:type="pct"/>
            <w:tcBorders>
              <w:top w:val="single" w:sz="4" w:space="0" w:color="auto"/>
            </w:tcBorders>
          </w:tcPr>
          <w:p w:rsidR="00971721" w:rsidRPr="00C65CAA" w:rsidRDefault="00971721" w:rsidP="00055944">
            <w:pPr>
              <w:jc w:val="right"/>
              <w:rPr>
                <w:rFonts w:ascii="Arial Narrow" w:hAnsi="Arial Narrow"/>
                <w:sz w:val="20"/>
                <w:szCs w:val="20"/>
              </w:rPr>
            </w:pPr>
            <w:r w:rsidRPr="00C65CAA">
              <w:rPr>
                <w:rFonts w:ascii="Arial Narrow" w:hAnsi="Arial Narrow"/>
                <w:sz w:val="20"/>
                <w:szCs w:val="20"/>
              </w:rPr>
              <w:t>108,6</w:t>
            </w:r>
          </w:p>
        </w:tc>
      </w:tr>
      <w:tr w:rsidR="00971721" w:rsidRPr="00C65CAA" w:rsidTr="00055944">
        <w:tc>
          <w:tcPr>
            <w:tcW w:w="2030" w:type="pct"/>
            <w:vAlign w:val="center"/>
          </w:tcPr>
          <w:p w:rsidR="00971721" w:rsidRPr="00C65CAA" w:rsidRDefault="00971721" w:rsidP="00055944">
            <w:pPr>
              <w:rPr>
                <w:rFonts w:ascii="Arial Narrow" w:hAnsi="Arial Narrow"/>
                <w:bCs/>
                <w:sz w:val="20"/>
                <w:szCs w:val="20"/>
              </w:rPr>
            </w:pPr>
            <w:r w:rsidRPr="00C65CAA">
              <w:rPr>
                <w:rFonts w:ascii="Arial Narrow" w:hAnsi="Arial Narrow"/>
                <w:bCs/>
                <w:sz w:val="20"/>
                <w:szCs w:val="20"/>
              </w:rPr>
              <w:t>Výdavky spolu</w:t>
            </w:r>
          </w:p>
        </w:tc>
        <w:tc>
          <w:tcPr>
            <w:tcW w:w="676" w:type="pct"/>
            <w:vAlign w:val="center"/>
          </w:tcPr>
          <w:p w:rsidR="00971721" w:rsidRPr="00C65CAA" w:rsidRDefault="00971721" w:rsidP="00055944">
            <w:pPr>
              <w:jc w:val="right"/>
              <w:rPr>
                <w:rFonts w:ascii="Arial Narrow" w:hAnsi="Arial Narrow"/>
                <w:sz w:val="20"/>
                <w:szCs w:val="20"/>
              </w:rPr>
            </w:pPr>
            <w:r w:rsidRPr="00C65CAA">
              <w:rPr>
                <w:rFonts w:ascii="Arial Narrow" w:hAnsi="Arial Narrow"/>
                <w:sz w:val="20"/>
                <w:szCs w:val="20"/>
              </w:rPr>
              <w:t>4 576 428</w:t>
            </w:r>
          </w:p>
        </w:tc>
        <w:tc>
          <w:tcPr>
            <w:tcW w:w="564" w:type="pct"/>
            <w:vAlign w:val="center"/>
          </w:tcPr>
          <w:p w:rsidR="00971721" w:rsidRPr="00C65CAA" w:rsidRDefault="00971721" w:rsidP="00055944">
            <w:pPr>
              <w:jc w:val="right"/>
              <w:rPr>
                <w:rFonts w:ascii="Arial Narrow" w:hAnsi="Arial Narrow"/>
                <w:sz w:val="20"/>
                <w:szCs w:val="20"/>
              </w:rPr>
            </w:pPr>
            <w:r w:rsidRPr="00C65CAA">
              <w:rPr>
                <w:rFonts w:ascii="Arial Narrow" w:hAnsi="Arial Narrow"/>
                <w:sz w:val="20"/>
                <w:szCs w:val="20"/>
              </w:rPr>
              <w:t>4 711 253</w:t>
            </w:r>
          </w:p>
        </w:tc>
        <w:tc>
          <w:tcPr>
            <w:tcW w:w="564" w:type="pct"/>
            <w:vAlign w:val="center"/>
          </w:tcPr>
          <w:p w:rsidR="00971721" w:rsidRPr="00C65CAA" w:rsidRDefault="00971721" w:rsidP="00055944">
            <w:pPr>
              <w:jc w:val="right"/>
              <w:rPr>
                <w:rFonts w:ascii="Arial Narrow" w:hAnsi="Arial Narrow"/>
                <w:sz w:val="20"/>
                <w:szCs w:val="20"/>
              </w:rPr>
            </w:pPr>
            <w:r w:rsidRPr="00C65CAA">
              <w:rPr>
                <w:rFonts w:ascii="Arial Narrow" w:hAnsi="Arial Narrow"/>
                <w:sz w:val="20"/>
                <w:szCs w:val="20"/>
              </w:rPr>
              <w:t>4 930 588</w:t>
            </w:r>
          </w:p>
        </w:tc>
        <w:tc>
          <w:tcPr>
            <w:tcW w:w="483" w:type="pct"/>
          </w:tcPr>
          <w:p w:rsidR="00971721" w:rsidRPr="00C65CAA" w:rsidRDefault="00971721" w:rsidP="00055944">
            <w:pPr>
              <w:jc w:val="right"/>
              <w:rPr>
                <w:rFonts w:ascii="Arial Narrow" w:hAnsi="Arial Narrow"/>
                <w:sz w:val="20"/>
                <w:szCs w:val="20"/>
              </w:rPr>
            </w:pPr>
            <w:r w:rsidRPr="00C65CAA">
              <w:rPr>
                <w:rFonts w:ascii="Arial Narrow" w:hAnsi="Arial Narrow"/>
                <w:sz w:val="20"/>
                <w:szCs w:val="20"/>
              </w:rPr>
              <w:t>219 335</w:t>
            </w:r>
          </w:p>
        </w:tc>
        <w:tc>
          <w:tcPr>
            <w:tcW w:w="683" w:type="pct"/>
          </w:tcPr>
          <w:p w:rsidR="00971721" w:rsidRPr="00C65CAA" w:rsidRDefault="00971721" w:rsidP="00055944">
            <w:pPr>
              <w:jc w:val="right"/>
              <w:rPr>
                <w:rFonts w:ascii="Arial Narrow" w:hAnsi="Arial Narrow"/>
                <w:sz w:val="20"/>
                <w:szCs w:val="20"/>
              </w:rPr>
            </w:pPr>
            <w:r w:rsidRPr="00C65CAA">
              <w:rPr>
                <w:rFonts w:ascii="Arial Narrow" w:hAnsi="Arial Narrow"/>
                <w:sz w:val="20"/>
                <w:szCs w:val="20"/>
              </w:rPr>
              <w:t>104,7</w:t>
            </w:r>
          </w:p>
        </w:tc>
      </w:tr>
      <w:tr w:rsidR="00971721" w:rsidRPr="00C65CAA" w:rsidTr="00055944">
        <w:tc>
          <w:tcPr>
            <w:tcW w:w="2030" w:type="pct"/>
            <w:vAlign w:val="center"/>
          </w:tcPr>
          <w:p w:rsidR="00971721" w:rsidRPr="00C65CAA" w:rsidRDefault="00971721" w:rsidP="00055944">
            <w:pPr>
              <w:rPr>
                <w:rFonts w:ascii="Arial Narrow" w:hAnsi="Arial Narrow"/>
                <w:bCs/>
                <w:sz w:val="20"/>
                <w:szCs w:val="16"/>
              </w:rPr>
            </w:pPr>
            <w:r w:rsidRPr="00C65CAA">
              <w:rPr>
                <w:rFonts w:ascii="Arial Narrow" w:hAnsi="Arial Narrow"/>
                <w:bCs/>
                <w:sz w:val="20"/>
                <w:szCs w:val="16"/>
              </w:rPr>
              <w:t>Celkový prebytok spolu</w:t>
            </w:r>
          </w:p>
        </w:tc>
        <w:tc>
          <w:tcPr>
            <w:tcW w:w="676" w:type="pct"/>
            <w:vAlign w:val="center"/>
          </w:tcPr>
          <w:p w:rsidR="00971721" w:rsidRPr="00C65CAA" w:rsidRDefault="00971721" w:rsidP="00055944">
            <w:pPr>
              <w:jc w:val="right"/>
              <w:rPr>
                <w:rFonts w:ascii="Arial Narrow" w:hAnsi="Arial Narrow"/>
                <w:sz w:val="20"/>
                <w:szCs w:val="20"/>
              </w:rPr>
            </w:pPr>
            <w:r w:rsidRPr="00C65CAA">
              <w:rPr>
                <w:rFonts w:ascii="Arial Narrow" w:hAnsi="Arial Narrow"/>
                <w:sz w:val="20"/>
                <w:szCs w:val="20"/>
              </w:rPr>
              <w:t>231 421</w:t>
            </w:r>
          </w:p>
        </w:tc>
        <w:tc>
          <w:tcPr>
            <w:tcW w:w="564" w:type="pct"/>
            <w:vAlign w:val="center"/>
          </w:tcPr>
          <w:p w:rsidR="00971721" w:rsidRPr="00C65CAA" w:rsidRDefault="00971721" w:rsidP="00055944">
            <w:pPr>
              <w:jc w:val="right"/>
              <w:rPr>
                <w:rFonts w:ascii="Arial Narrow" w:hAnsi="Arial Narrow"/>
                <w:sz w:val="20"/>
                <w:szCs w:val="20"/>
              </w:rPr>
            </w:pPr>
            <w:r w:rsidRPr="00C65CAA">
              <w:rPr>
                <w:rFonts w:ascii="Arial Narrow" w:hAnsi="Arial Narrow"/>
                <w:sz w:val="20"/>
                <w:szCs w:val="20"/>
              </w:rPr>
              <w:t>312 878</w:t>
            </w:r>
          </w:p>
        </w:tc>
        <w:tc>
          <w:tcPr>
            <w:tcW w:w="564" w:type="pct"/>
            <w:vAlign w:val="center"/>
          </w:tcPr>
          <w:p w:rsidR="00971721" w:rsidRPr="00C65CAA" w:rsidRDefault="00971721" w:rsidP="00055944">
            <w:pPr>
              <w:jc w:val="right"/>
              <w:rPr>
                <w:rFonts w:ascii="Arial Narrow" w:hAnsi="Arial Narrow"/>
                <w:sz w:val="20"/>
                <w:szCs w:val="20"/>
              </w:rPr>
            </w:pPr>
            <w:r w:rsidRPr="00C65CAA">
              <w:rPr>
                <w:rFonts w:ascii="Arial Narrow" w:hAnsi="Arial Narrow"/>
                <w:sz w:val="20"/>
                <w:szCs w:val="20"/>
              </w:rPr>
              <w:t>524 169</w:t>
            </w:r>
          </w:p>
        </w:tc>
        <w:tc>
          <w:tcPr>
            <w:tcW w:w="483" w:type="pct"/>
          </w:tcPr>
          <w:p w:rsidR="00971721" w:rsidRPr="00C65CAA" w:rsidRDefault="00971721" w:rsidP="00055944">
            <w:pPr>
              <w:jc w:val="right"/>
              <w:rPr>
                <w:rFonts w:ascii="Arial Narrow" w:hAnsi="Arial Narrow"/>
                <w:sz w:val="20"/>
                <w:szCs w:val="20"/>
              </w:rPr>
            </w:pPr>
            <w:r w:rsidRPr="00C65CAA">
              <w:rPr>
                <w:rFonts w:ascii="Arial Narrow" w:hAnsi="Arial Narrow"/>
                <w:sz w:val="20"/>
                <w:szCs w:val="20"/>
              </w:rPr>
              <w:t>211 291</w:t>
            </w:r>
          </w:p>
        </w:tc>
        <w:tc>
          <w:tcPr>
            <w:tcW w:w="683" w:type="pct"/>
          </w:tcPr>
          <w:p w:rsidR="00971721" w:rsidRPr="00C65CAA" w:rsidRDefault="00971721" w:rsidP="00055944">
            <w:pPr>
              <w:jc w:val="right"/>
              <w:rPr>
                <w:rFonts w:ascii="Arial Narrow" w:hAnsi="Arial Narrow"/>
                <w:sz w:val="20"/>
                <w:szCs w:val="20"/>
              </w:rPr>
            </w:pPr>
            <w:r w:rsidRPr="00C65CAA">
              <w:rPr>
                <w:rFonts w:ascii="Arial Narrow" w:hAnsi="Arial Narrow"/>
                <w:sz w:val="20"/>
                <w:szCs w:val="20"/>
              </w:rPr>
              <w:t>167,5</w:t>
            </w:r>
          </w:p>
        </w:tc>
      </w:tr>
      <w:tr w:rsidR="00971721" w:rsidRPr="00C65CAA" w:rsidTr="00055944">
        <w:tc>
          <w:tcPr>
            <w:tcW w:w="2030" w:type="pct"/>
            <w:vAlign w:val="center"/>
          </w:tcPr>
          <w:p w:rsidR="00971721" w:rsidRPr="00C65CAA" w:rsidRDefault="00971721" w:rsidP="00055944">
            <w:pPr>
              <w:rPr>
                <w:rFonts w:ascii="Arial Narrow" w:hAnsi="Arial Narrow"/>
                <w:bCs/>
                <w:sz w:val="20"/>
                <w:szCs w:val="20"/>
              </w:rPr>
            </w:pPr>
            <w:r w:rsidRPr="00C65CAA">
              <w:rPr>
                <w:rFonts w:ascii="Arial Narrow" w:hAnsi="Arial Narrow"/>
                <w:bCs/>
                <w:sz w:val="20"/>
                <w:szCs w:val="20"/>
              </w:rPr>
              <w:t>Prebytok (+) / schodok (-) spolu (ESA 2010)</w:t>
            </w:r>
          </w:p>
        </w:tc>
        <w:tc>
          <w:tcPr>
            <w:tcW w:w="676" w:type="pct"/>
            <w:vAlign w:val="center"/>
          </w:tcPr>
          <w:p w:rsidR="00971721" w:rsidRPr="00C65CAA" w:rsidRDefault="00971721" w:rsidP="00055944">
            <w:pPr>
              <w:jc w:val="right"/>
              <w:rPr>
                <w:rFonts w:ascii="Arial Narrow" w:hAnsi="Arial Narrow"/>
                <w:sz w:val="20"/>
                <w:szCs w:val="20"/>
              </w:rPr>
            </w:pPr>
            <w:r w:rsidRPr="00C65CAA">
              <w:rPr>
                <w:rFonts w:ascii="Arial Narrow" w:hAnsi="Arial Narrow"/>
                <w:sz w:val="20"/>
                <w:szCs w:val="20"/>
              </w:rPr>
              <w:t xml:space="preserve">166 991 </w:t>
            </w:r>
          </w:p>
        </w:tc>
        <w:tc>
          <w:tcPr>
            <w:tcW w:w="564" w:type="pct"/>
            <w:vAlign w:val="center"/>
          </w:tcPr>
          <w:p w:rsidR="00971721" w:rsidRPr="00C65CAA" w:rsidRDefault="00971721" w:rsidP="00055944">
            <w:pPr>
              <w:jc w:val="right"/>
              <w:rPr>
                <w:rFonts w:ascii="Arial Narrow" w:hAnsi="Arial Narrow"/>
                <w:sz w:val="20"/>
                <w:szCs w:val="20"/>
              </w:rPr>
            </w:pPr>
            <w:r w:rsidRPr="00C65CAA">
              <w:rPr>
                <w:rFonts w:ascii="Arial Narrow" w:hAnsi="Arial Narrow"/>
                <w:sz w:val="20"/>
                <w:szCs w:val="20"/>
              </w:rPr>
              <w:t>130 031</w:t>
            </w:r>
          </w:p>
        </w:tc>
        <w:tc>
          <w:tcPr>
            <w:tcW w:w="564" w:type="pct"/>
            <w:vAlign w:val="center"/>
          </w:tcPr>
          <w:p w:rsidR="00971721" w:rsidRPr="00C65CAA" w:rsidRDefault="00971721" w:rsidP="00055944">
            <w:pPr>
              <w:jc w:val="right"/>
              <w:rPr>
                <w:rFonts w:ascii="Arial Narrow" w:hAnsi="Arial Narrow"/>
                <w:sz w:val="20"/>
                <w:szCs w:val="20"/>
              </w:rPr>
            </w:pPr>
            <w:r w:rsidRPr="00C65CAA">
              <w:rPr>
                <w:rFonts w:ascii="Arial Narrow" w:hAnsi="Arial Narrow"/>
                <w:sz w:val="20"/>
                <w:szCs w:val="20"/>
              </w:rPr>
              <w:t>135 048</w:t>
            </w:r>
          </w:p>
        </w:tc>
        <w:tc>
          <w:tcPr>
            <w:tcW w:w="483" w:type="pct"/>
          </w:tcPr>
          <w:p w:rsidR="00971721" w:rsidRPr="00C65CAA" w:rsidRDefault="00971721" w:rsidP="00055944">
            <w:pPr>
              <w:jc w:val="right"/>
              <w:rPr>
                <w:rFonts w:ascii="Arial Narrow" w:hAnsi="Arial Narrow"/>
                <w:sz w:val="20"/>
                <w:szCs w:val="20"/>
              </w:rPr>
            </w:pPr>
            <w:r w:rsidRPr="00C65CAA">
              <w:rPr>
                <w:rFonts w:ascii="Arial Narrow" w:hAnsi="Arial Narrow"/>
                <w:sz w:val="20"/>
                <w:szCs w:val="20"/>
              </w:rPr>
              <w:t>5 017</w:t>
            </w:r>
          </w:p>
        </w:tc>
        <w:tc>
          <w:tcPr>
            <w:tcW w:w="683" w:type="pct"/>
          </w:tcPr>
          <w:p w:rsidR="00971721" w:rsidRPr="00C65CAA" w:rsidRDefault="00971721" w:rsidP="00055944">
            <w:pPr>
              <w:jc w:val="right"/>
              <w:rPr>
                <w:rFonts w:ascii="Arial Narrow" w:hAnsi="Arial Narrow"/>
                <w:sz w:val="20"/>
                <w:szCs w:val="20"/>
              </w:rPr>
            </w:pPr>
            <w:r w:rsidRPr="00C65CAA">
              <w:rPr>
                <w:rFonts w:ascii="Arial Narrow" w:hAnsi="Arial Narrow"/>
                <w:sz w:val="20"/>
                <w:szCs w:val="20"/>
              </w:rPr>
              <w:t>103,9</w:t>
            </w:r>
          </w:p>
        </w:tc>
      </w:tr>
    </w:tbl>
    <w:p w:rsidR="00971721" w:rsidRPr="00C65CAA" w:rsidRDefault="00971721" w:rsidP="007809C2">
      <w:pPr>
        <w:autoSpaceDE w:val="0"/>
        <w:autoSpaceDN w:val="0"/>
        <w:adjustRightInd w:val="0"/>
        <w:spacing w:after="120"/>
        <w:jc w:val="both"/>
        <w:rPr>
          <w:rFonts w:ascii="Arial Narrow" w:eastAsiaTheme="minorHAnsi" w:hAnsi="Arial Narrow"/>
          <w:sz w:val="20"/>
          <w:lang w:eastAsia="en-US"/>
        </w:rPr>
      </w:pPr>
      <w:r w:rsidRPr="00C65CAA">
        <w:rPr>
          <w:rFonts w:ascii="Arial Narrow" w:eastAsiaTheme="minorHAnsi" w:hAnsi="Arial Narrow"/>
          <w:sz w:val="20"/>
          <w:lang w:eastAsia="en-US"/>
        </w:rPr>
        <w:t>Zdroj: Návrh RVS na roky 2019 až 2021</w:t>
      </w:r>
    </w:p>
    <w:p w:rsidR="00971721" w:rsidRPr="00C65CAA" w:rsidRDefault="00971721" w:rsidP="007809C2">
      <w:pPr>
        <w:autoSpaceDE w:val="0"/>
        <w:autoSpaceDN w:val="0"/>
        <w:adjustRightInd w:val="0"/>
        <w:spacing w:before="120" w:after="120"/>
        <w:ind w:firstLine="708"/>
        <w:jc w:val="both"/>
        <w:rPr>
          <w:rFonts w:ascii="Arial Narrow" w:eastAsiaTheme="minorHAnsi" w:hAnsi="Arial Narrow" w:cs="ArialNarrow"/>
          <w:sz w:val="22"/>
          <w:szCs w:val="22"/>
          <w:lang w:eastAsia="en-US"/>
        </w:rPr>
      </w:pPr>
      <w:r w:rsidRPr="00C65CAA">
        <w:rPr>
          <w:rFonts w:ascii="Arial Narrow" w:eastAsiaTheme="minorHAnsi" w:hAnsi="Arial Narrow" w:cs="ArialNarrow"/>
          <w:sz w:val="22"/>
          <w:szCs w:val="22"/>
          <w:lang w:eastAsia="en-US"/>
        </w:rPr>
        <w:t>Bilančný zostatok hospodárenia verejného zdravotného poistenia na akruálnej báze</w:t>
      </w:r>
      <w:r w:rsidR="00AF333A" w:rsidRPr="00C65CAA">
        <w:rPr>
          <w:rFonts w:ascii="Arial Narrow" w:eastAsiaTheme="minorHAnsi" w:hAnsi="Arial Narrow" w:cs="ArialNarrow"/>
          <w:sz w:val="22"/>
          <w:szCs w:val="22"/>
          <w:lang w:eastAsia="en-US"/>
        </w:rPr>
        <w:t>,</w:t>
      </w:r>
      <w:r w:rsidRPr="00C65CAA">
        <w:rPr>
          <w:rFonts w:ascii="Arial Narrow" w:eastAsiaTheme="minorHAnsi" w:hAnsi="Arial Narrow" w:cs="ArialNarrow"/>
          <w:sz w:val="22"/>
          <w:szCs w:val="22"/>
          <w:lang w:eastAsia="en-US"/>
        </w:rPr>
        <w:t xml:space="preserve"> v metodike ESA 2010</w:t>
      </w:r>
      <w:r w:rsidR="00AF333A" w:rsidRPr="00C65CAA">
        <w:rPr>
          <w:rFonts w:ascii="Arial Narrow" w:eastAsiaTheme="minorHAnsi" w:hAnsi="Arial Narrow" w:cs="ArialNarrow"/>
          <w:sz w:val="22"/>
          <w:szCs w:val="22"/>
          <w:lang w:eastAsia="en-US"/>
        </w:rPr>
        <w:t>,</w:t>
      </w:r>
      <w:r w:rsidRPr="00C65CAA">
        <w:rPr>
          <w:rFonts w:ascii="Arial Narrow" w:eastAsiaTheme="minorHAnsi" w:hAnsi="Arial Narrow" w:cs="ArialNarrow"/>
          <w:sz w:val="22"/>
          <w:szCs w:val="22"/>
          <w:lang w:eastAsia="en-US"/>
        </w:rPr>
        <w:t xml:space="preserve"> je na rok 2019 rozpočtovaný ako prebytkový na úrovni 135 048 tis. eur.</w:t>
      </w:r>
    </w:p>
    <w:p w:rsidR="00971721" w:rsidRPr="00C65CAA" w:rsidRDefault="00971721" w:rsidP="007809C2">
      <w:pPr>
        <w:autoSpaceDE w:val="0"/>
        <w:autoSpaceDN w:val="0"/>
        <w:adjustRightInd w:val="0"/>
        <w:spacing w:before="120" w:after="120"/>
        <w:ind w:firstLine="708"/>
        <w:jc w:val="both"/>
        <w:rPr>
          <w:rFonts w:ascii="Arial Narrow" w:eastAsiaTheme="minorHAnsi" w:hAnsi="Arial Narrow" w:cs="ArialNarrow"/>
          <w:sz w:val="22"/>
          <w:szCs w:val="22"/>
          <w:lang w:eastAsia="en-US"/>
        </w:rPr>
      </w:pPr>
      <w:r w:rsidRPr="00C65CAA">
        <w:rPr>
          <w:rFonts w:ascii="Arial Narrow" w:eastAsiaTheme="minorHAnsi" w:hAnsi="Arial Narrow" w:cs="ArialNarrow"/>
          <w:sz w:val="22"/>
          <w:szCs w:val="22"/>
          <w:lang w:eastAsia="en-US"/>
        </w:rPr>
        <w:t xml:space="preserve">Medziročný nárast príjmov vo verejnom zdravotnom poistení ovplyvní najmä rast daňových príjmov od ekonomicky aktívnych obyvateľov. Ten má medziročne stúpnuť o 386 692 tis. eur na hodnotu 3 962 525 tis. eur. </w:t>
      </w:r>
    </w:p>
    <w:p w:rsidR="00910E03" w:rsidRPr="00085B32" w:rsidRDefault="00910E03" w:rsidP="007809C2">
      <w:pPr>
        <w:autoSpaceDE w:val="0"/>
        <w:autoSpaceDN w:val="0"/>
        <w:spacing w:before="120" w:after="120"/>
        <w:ind w:firstLine="708"/>
        <w:jc w:val="both"/>
        <w:rPr>
          <w:rFonts w:ascii="Arial Narrow" w:hAnsi="Arial Narrow"/>
          <w:sz w:val="22"/>
          <w:szCs w:val="22"/>
        </w:rPr>
      </w:pPr>
      <w:r w:rsidRPr="00085B32">
        <w:rPr>
          <w:rFonts w:ascii="Arial Narrow" w:hAnsi="Arial Narrow"/>
          <w:sz w:val="22"/>
          <w:szCs w:val="22"/>
        </w:rPr>
        <w:t xml:space="preserve">Systém platby štátu za poistencov sa v návrhu RVS na rok 2019 mení. Výška tejto platby by mala byť po novom určená v zákone o štátnom rozpočte. Mala by tak nahradiť doterajšiu fixne stanovenú sadzbu pre štát vo výške 4 % z vymeriavacieho základu, ktorú stanovoval zákon č. 581/2004 Z. Z. o zdravotných poisťovniach, dohľade nad zdravotnou starostlivosťou a o zmene a doplnení niektorých zákonov. Na rok 2019 je výška platby štátu na úrovni 960 000 tis. eur (bez ročného zúčtovania vo výške 32 570 tis. eur), čo znamená pokles oproti rozpočtu 2018 o 259 447 tis. eur. Podľa doterajšej metódy (to zn. na sadzbu poistného), je to len 2,84 % z vymeriavacieho základu.  </w:t>
      </w:r>
    </w:p>
    <w:p w:rsidR="00910E03" w:rsidRPr="00085B32" w:rsidRDefault="00910E03" w:rsidP="007809C2">
      <w:pPr>
        <w:autoSpaceDE w:val="0"/>
        <w:autoSpaceDN w:val="0"/>
        <w:spacing w:before="120" w:after="120"/>
        <w:ind w:firstLine="708"/>
        <w:jc w:val="both"/>
        <w:rPr>
          <w:rFonts w:ascii="Arial Narrow" w:hAnsi="Arial Narrow"/>
          <w:sz w:val="22"/>
          <w:szCs w:val="22"/>
        </w:rPr>
      </w:pPr>
      <w:r w:rsidRPr="00085B32">
        <w:rPr>
          <w:rFonts w:ascii="Arial Narrow" w:hAnsi="Arial Narrow"/>
          <w:sz w:val="22"/>
          <w:szCs w:val="22"/>
        </w:rPr>
        <w:t>Pri prepočte na 1 obyvateľa tak štát plánuje v roku 2019 zaplatiť približne 325,4 eur, čo oproti očakávanej skutočnosti na rok 2018 predstavuje výrazný pokles o 79,1 eur. Naopak</w:t>
      </w:r>
      <w:r w:rsidR="00AF333A" w:rsidRPr="00085B32">
        <w:rPr>
          <w:rFonts w:ascii="Arial Narrow" w:hAnsi="Arial Narrow"/>
          <w:sz w:val="22"/>
          <w:szCs w:val="22"/>
        </w:rPr>
        <w:t>,</w:t>
      </w:r>
      <w:r w:rsidRPr="00085B32">
        <w:rPr>
          <w:rFonts w:ascii="Arial Narrow" w:hAnsi="Arial Narrow"/>
          <w:sz w:val="22"/>
          <w:szCs w:val="22"/>
        </w:rPr>
        <w:t xml:space="preserve"> ekonomicky aktívne osoby zaplatia o 92,8 eur viac</w:t>
      </w:r>
      <w:r w:rsidR="00AF333A" w:rsidRPr="00085B32">
        <w:rPr>
          <w:rFonts w:ascii="Arial Narrow" w:hAnsi="Arial Narrow"/>
          <w:sz w:val="22"/>
          <w:szCs w:val="22"/>
        </w:rPr>
        <w:t>,</w:t>
      </w:r>
      <w:r w:rsidRPr="00085B32">
        <w:rPr>
          <w:rFonts w:ascii="Arial Narrow" w:hAnsi="Arial Narrow"/>
          <w:sz w:val="22"/>
          <w:szCs w:val="22"/>
        </w:rPr>
        <w:t xml:space="preserve"> ako sa očakáva v roku 2018, teda približne 1 440 eur. Z toho vyplýva, že ekonomicky aktívne os</w:t>
      </w:r>
      <w:r w:rsidR="00AF333A" w:rsidRPr="00085B32">
        <w:rPr>
          <w:rFonts w:ascii="Arial Narrow" w:hAnsi="Arial Narrow"/>
          <w:sz w:val="22"/>
          <w:szCs w:val="22"/>
        </w:rPr>
        <w:t>oby budú v roku 2019 platiť 4,4-</w:t>
      </w:r>
      <w:r w:rsidRPr="00085B32">
        <w:rPr>
          <w:rFonts w:ascii="Arial Narrow" w:hAnsi="Arial Narrow"/>
          <w:sz w:val="22"/>
          <w:szCs w:val="22"/>
        </w:rPr>
        <w:t>násobne viac ako plánuje platiť štát za svojich poistencov. Celkovo tak od roku 2016 možno pozorovať roztvárajúce sa nožnice v príjmoch verejného zdravotného poistenia, kedy ekonomicky aktívne osoby prispievajú do systému čoraz viac, naopak</w:t>
      </w:r>
      <w:r w:rsidR="00AF333A" w:rsidRPr="00085B32">
        <w:rPr>
          <w:rFonts w:ascii="Arial Narrow" w:hAnsi="Arial Narrow"/>
          <w:sz w:val="22"/>
          <w:szCs w:val="22"/>
        </w:rPr>
        <w:t>,</w:t>
      </w:r>
      <w:r w:rsidRPr="00085B32">
        <w:rPr>
          <w:rFonts w:ascii="Arial Narrow" w:hAnsi="Arial Narrow"/>
          <w:sz w:val="22"/>
          <w:szCs w:val="22"/>
        </w:rPr>
        <w:t xml:space="preserve"> štát čoraz menej. Kompenzáciu klesajúcej platby za poistencov štátu príjmom od ekonomicky aktívneho obyvateľstva považuje NKÚ SR za nesystémové riešenie. </w:t>
      </w:r>
    </w:p>
    <w:p w:rsidR="00910E03" w:rsidRDefault="00910E03" w:rsidP="007809C2">
      <w:pPr>
        <w:autoSpaceDE w:val="0"/>
        <w:autoSpaceDN w:val="0"/>
        <w:spacing w:before="120" w:after="120"/>
        <w:ind w:firstLine="708"/>
        <w:jc w:val="both"/>
        <w:rPr>
          <w:rFonts w:ascii="Arial Narrow" w:hAnsi="Arial Narrow"/>
          <w:sz w:val="22"/>
          <w:szCs w:val="22"/>
        </w:rPr>
      </w:pPr>
      <w:r w:rsidRPr="00085B32">
        <w:rPr>
          <w:rFonts w:ascii="Arial Narrow" w:hAnsi="Arial Narrow"/>
          <w:sz w:val="22"/>
          <w:szCs w:val="22"/>
        </w:rPr>
        <w:t>Graf zobrazuje koľko zaplatili ročne ekonomicky aktívne osoby a koľko štát za jedného jeho poistenca od roku 2013 s očakávanou skutočnosťou na rok 2018 a prepočtom na rok 2019:</w:t>
      </w:r>
    </w:p>
    <w:p w:rsidR="00085B32" w:rsidRDefault="00085B32">
      <w:pPr>
        <w:spacing w:after="160" w:line="259" w:lineRule="auto"/>
        <w:rPr>
          <w:rFonts w:ascii="Arial Narrow" w:hAnsi="Arial Narrow"/>
          <w:sz w:val="22"/>
          <w:szCs w:val="22"/>
        </w:rPr>
      </w:pPr>
      <w:r>
        <w:rPr>
          <w:rFonts w:ascii="Arial Narrow" w:hAnsi="Arial Narrow"/>
          <w:sz w:val="22"/>
          <w:szCs w:val="22"/>
        </w:rPr>
        <w:br w:type="page"/>
      </w:r>
    </w:p>
    <w:tbl>
      <w:tblPr>
        <w:tblStyle w:val="Mriekatabuky1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971721" w:rsidRPr="00C65CAA" w:rsidTr="00085B32">
        <w:trPr>
          <w:trHeight w:val="245"/>
        </w:trPr>
        <w:tc>
          <w:tcPr>
            <w:tcW w:w="5000" w:type="pct"/>
            <w:tcBorders>
              <w:top w:val="single" w:sz="4" w:space="0" w:color="auto"/>
              <w:bottom w:val="single" w:sz="4" w:space="0" w:color="auto"/>
            </w:tcBorders>
            <w:shd w:val="clear" w:color="auto" w:fill="0070C0"/>
          </w:tcPr>
          <w:p w:rsidR="00971721" w:rsidRPr="00C65CAA" w:rsidRDefault="00971721" w:rsidP="00085B32">
            <w:pPr>
              <w:ind w:firstLine="0"/>
              <w:rPr>
                <w:rFonts w:ascii="Arial Narrow" w:eastAsia="Calibri" w:hAnsi="Arial Narrow"/>
                <w:b/>
                <w:color w:val="FFFFFF"/>
                <w:sz w:val="22"/>
              </w:rPr>
            </w:pPr>
            <w:r w:rsidRPr="00C65CAA">
              <w:rPr>
                <w:rFonts w:ascii="Arial Narrow" w:eastAsia="Calibri" w:hAnsi="Arial Narrow"/>
                <w:b/>
                <w:color w:val="FFFFFF"/>
                <w:sz w:val="22"/>
              </w:rPr>
              <w:lastRenderedPageBreak/>
              <w:t>Vývoj príjmov verejného zdravotného poistenia prepočítaného na 1 osobu od roku 2013, v eur</w:t>
            </w:r>
          </w:p>
        </w:tc>
      </w:tr>
      <w:tr w:rsidR="00971721" w:rsidRPr="00C65CAA" w:rsidTr="00085B32">
        <w:tblPrEx>
          <w:tblCellMar>
            <w:left w:w="70" w:type="dxa"/>
            <w:right w:w="70" w:type="dxa"/>
          </w:tblCellMar>
        </w:tblPrEx>
        <w:trPr>
          <w:trHeight w:val="2721"/>
        </w:trPr>
        <w:tc>
          <w:tcPr>
            <w:tcW w:w="5000" w:type="pct"/>
            <w:tcBorders>
              <w:top w:val="single" w:sz="4" w:space="0" w:color="auto"/>
              <w:bottom w:val="single" w:sz="4" w:space="0" w:color="auto"/>
            </w:tcBorders>
          </w:tcPr>
          <w:p w:rsidR="00971721" w:rsidRPr="00C65CAA" w:rsidRDefault="00971721" w:rsidP="00085B32">
            <w:pPr>
              <w:ind w:hanging="70"/>
              <w:rPr>
                <w:rFonts w:ascii="Arial Narrow" w:eastAsia="Calibri" w:hAnsi="Arial Narrow"/>
              </w:rPr>
            </w:pPr>
            <w:r w:rsidRPr="00C65CAA">
              <w:rPr>
                <w:rFonts w:ascii="Arial Narrow" w:hAnsi="Arial Narrow"/>
                <w:noProof/>
              </w:rPr>
              <w:drawing>
                <wp:inline distT="0" distB="0" distL="0" distR="0" wp14:anchorId="5E7A943C" wp14:editId="1F95A155">
                  <wp:extent cx="5702300" cy="1950720"/>
                  <wp:effectExtent l="0" t="0" r="0" b="0"/>
                  <wp:docPr id="15" name="Graf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bl>
    <w:p w:rsidR="00971721" w:rsidRPr="00C65CAA" w:rsidRDefault="00971721" w:rsidP="00971721">
      <w:pPr>
        <w:autoSpaceDE w:val="0"/>
        <w:autoSpaceDN w:val="0"/>
        <w:adjustRightInd w:val="0"/>
        <w:jc w:val="both"/>
        <w:rPr>
          <w:rFonts w:ascii="Arial Narrow" w:eastAsiaTheme="minorHAnsi" w:hAnsi="Arial Narrow" w:cs="ArialNarrow"/>
          <w:sz w:val="20"/>
          <w:szCs w:val="20"/>
          <w:lang w:eastAsia="en-US"/>
        </w:rPr>
      </w:pPr>
      <w:r w:rsidRPr="00C65CAA">
        <w:rPr>
          <w:rFonts w:ascii="Arial Narrow" w:eastAsiaTheme="minorHAnsi" w:hAnsi="Arial Narrow" w:cs="ArialNarrow"/>
          <w:sz w:val="20"/>
          <w:szCs w:val="20"/>
          <w:lang w:eastAsia="en-US"/>
        </w:rPr>
        <w:t>Zdroj: Návrh ZÚ MZ SR za roky 2013</w:t>
      </w:r>
      <w:r w:rsidR="00A32D67" w:rsidRPr="00C65CAA">
        <w:rPr>
          <w:rFonts w:ascii="Arial Narrow" w:eastAsiaTheme="minorHAnsi" w:hAnsi="Arial Narrow" w:cs="ArialNarrow"/>
          <w:sz w:val="20"/>
          <w:szCs w:val="20"/>
          <w:lang w:eastAsia="en-US"/>
        </w:rPr>
        <w:t xml:space="preserve"> – 2017, Návrh RVS 2019 – 2021,</w:t>
      </w:r>
      <w:r w:rsidRPr="00C65CAA">
        <w:rPr>
          <w:rFonts w:ascii="Arial Narrow" w:eastAsiaTheme="minorHAnsi" w:hAnsi="Arial Narrow" w:cs="ArialNarrow"/>
          <w:sz w:val="20"/>
          <w:szCs w:val="20"/>
          <w:lang w:eastAsia="en-US"/>
        </w:rPr>
        <w:t xml:space="preserve"> ŠÚ SR, vlastné výpočty</w:t>
      </w:r>
    </w:p>
    <w:p w:rsidR="00971721" w:rsidRPr="00C65CAA" w:rsidRDefault="00971721" w:rsidP="00971721">
      <w:pPr>
        <w:autoSpaceDE w:val="0"/>
        <w:autoSpaceDN w:val="0"/>
        <w:adjustRightInd w:val="0"/>
        <w:spacing w:after="120"/>
        <w:jc w:val="both"/>
        <w:rPr>
          <w:rFonts w:ascii="Arial Narrow" w:eastAsiaTheme="minorHAnsi" w:hAnsi="Arial Narrow" w:cs="ArialNarrow"/>
          <w:sz w:val="20"/>
          <w:szCs w:val="20"/>
          <w:lang w:eastAsia="en-US"/>
        </w:rPr>
      </w:pPr>
      <w:r w:rsidRPr="00C65CAA">
        <w:rPr>
          <w:rFonts w:ascii="Arial Narrow" w:eastAsiaTheme="minorHAnsi" w:hAnsi="Arial Narrow" w:cs="ArialNarrow"/>
          <w:sz w:val="20"/>
          <w:szCs w:val="20"/>
          <w:lang w:eastAsia="en-US"/>
        </w:rPr>
        <w:t>Pozn.: na rok 2019 sa odhaduje počet poistencov štátu na 2 950 tis.– odhad MZ SR</w:t>
      </w:r>
    </w:p>
    <w:p w:rsidR="00971721" w:rsidRDefault="00971721" w:rsidP="00971721">
      <w:pPr>
        <w:autoSpaceDE w:val="0"/>
        <w:autoSpaceDN w:val="0"/>
        <w:adjustRightInd w:val="0"/>
        <w:spacing w:after="120"/>
        <w:ind w:firstLine="708"/>
        <w:jc w:val="both"/>
        <w:rPr>
          <w:rFonts w:ascii="Arial Narrow" w:eastAsiaTheme="minorHAnsi" w:hAnsi="Arial Narrow" w:cs="ArialNarrow"/>
          <w:sz w:val="22"/>
          <w:szCs w:val="22"/>
          <w:lang w:eastAsia="en-US"/>
        </w:rPr>
      </w:pPr>
      <w:r w:rsidRPr="00C65CAA">
        <w:rPr>
          <w:rFonts w:ascii="Arial Narrow" w:eastAsiaTheme="minorHAnsi" w:hAnsi="Arial Narrow" w:cs="ArialNarrow"/>
          <w:sz w:val="22"/>
          <w:szCs w:val="22"/>
          <w:lang w:eastAsia="en-US"/>
        </w:rPr>
        <w:t>Celkové výdavky verejného zdravotného poistenia na hotovostnej báze sa majú v roku 2019 medziročne zvýšiť o 2</w:t>
      </w:r>
      <w:r w:rsidR="00085B32">
        <w:rPr>
          <w:rFonts w:ascii="Arial Narrow" w:eastAsiaTheme="minorHAnsi" w:hAnsi="Arial Narrow" w:cs="ArialNarrow"/>
          <w:sz w:val="22"/>
          <w:szCs w:val="22"/>
          <w:lang w:eastAsia="en-US"/>
        </w:rPr>
        <w:t>1</w:t>
      </w:r>
      <w:r w:rsidRPr="00C65CAA">
        <w:rPr>
          <w:rFonts w:ascii="Arial Narrow" w:eastAsiaTheme="minorHAnsi" w:hAnsi="Arial Narrow" w:cs="ArialNarrow"/>
          <w:sz w:val="22"/>
          <w:szCs w:val="22"/>
          <w:lang w:eastAsia="en-US"/>
        </w:rPr>
        <w:t xml:space="preserve">9 </w:t>
      </w:r>
      <w:r w:rsidR="00085B32">
        <w:rPr>
          <w:rFonts w:ascii="Arial Narrow" w:eastAsiaTheme="minorHAnsi" w:hAnsi="Arial Narrow" w:cs="ArialNarrow"/>
          <w:sz w:val="22"/>
          <w:szCs w:val="22"/>
          <w:lang w:eastAsia="en-US"/>
        </w:rPr>
        <w:t>335</w:t>
      </w:r>
      <w:r w:rsidRPr="00C65CAA">
        <w:rPr>
          <w:rFonts w:ascii="Arial Narrow" w:eastAsiaTheme="minorHAnsi" w:hAnsi="Arial Narrow" w:cs="ArialNarrow"/>
          <w:sz w:val="22"/>
          <w:szCs w:val="22"/>
          <w:lang w:eastAsia="en-US"/>
        </w:rPr>
        <w:t xml:space="preserve"> tis. eur. Najvyšší medziročný rast zaznamenajú výdavky poistenia o 236 621 tis. eur na úroveň 4 703 501 tis. eur. Zvýšia sa aj výdavky na úhradu za správu verejného zdravotného poistenia na úroveň 67 979 tis. eur a príspevky na činnosť Úradu pre dohľad nad zdravotnou starostlivosťou, Operačných stredísk záchrannej zdravotnej služby a Národného centra zdravotníckych informácií.  </w:t>
      </w:r>
    </w:p>
    <w:p w:rsidR="00085B32" w:rsidRPr="00C65CAA" w:rsidRDefault="00085B32" w:rsidP="00971721">
      <w:pPr>
        <w:autoSpaceDE w:val="0"/>
        <w:autoSpaceDN w:val="0"/>
        <w:adjustRightInd w:val="0"/>
        <w:spacing w:after="120"/>
        <w:ind w:firstLine="708"/>
        <w:jc w:val="both"/>
        <w:rPr>
          <w:rFonts w:ascii="Arial Narrow" w:eastAsiaTheme="minorHAnsi" w:hAnsi="Arial Narrow" w:cs="ArialNarrow"/>
          <w:sz w:val="22"/>
          <w:szCs w:val="22"/>
          <w:lang w:eastAsia="en-US"/>
        </w:rPr>
      </w:pPr>
    </w:p>
    <w:p w:rsidR="00D23611" w:rsidRPr="00C65CAA" w:rsidRDefault="00D23611" w:rsidP="00256AF8">
      <w:pPr>
        <w:pStyle w:val="Nadpis2"/>
        <w:numPr>
          <w:ilvl w:val="1"/>
          <w:numId w:val="92"/>
        </w:numPr>
        <w:tabs>
          <w:tab w:val="left" w:pos="1276"/>
        </w:tabs>
        <w:spacing w:before="100" w:after="100"/>
        <w:rPr>
          <w:szCs w:val="22"/>
        </w:rPr>
      </w:pPr>
      <w:bookmarkStart w:id="53" w:name="_Toc529507616"/>
      <w:r w:rsidRPr="00C65CAA">
        <w:rPr>
          <w:szCs w:val="22"/>
        </w:rPr>
        <w:t>Stanovisko k súhrnnému rozpočtu za verejné vysoké školy na rok 201</w:t>
      </w:r>
      <w:r w:rsidR="005E6FE7" w:rsidRPr="00C65CAA">
        <w:rPr>
          <w:szCs w:val="22"/>
        </w:rPr>
        <w:t>9</w:t>
      </w:r>
      <w:bookmarkEnd w:id="53"/>
    </w:p>
    <w:p w:rsidR="003621FF" w:rsidRPr="00C65CAA" w:rsidRDefault="003621FF" w:rsidP="00256AF8">
      <w:pPr>
        <w:autoSpaceDE w:val="0"/>
        <w:autoSpaceDN w:val="0"/>
        <w:adjustRightInd w:val="0"/>
        <w:spacing w:before="100" w:after="100"/>
        <w:ind w:firstLine="709"/>
        <w:jc w:val="both"/>
        <w:rPr>
          <w:rFonts w:ascii="Arial Narrow" w:eastAsiaTheme="minorHAnsi" w:hAnsi="Arial Narrow" w:cs="ArialNarrow"/>
          <w:sz w:val="22"/>
          <w:szCs w:val="22"/>
          <w:lang w:eastAsia="en-US"/>
        </w:rPr>
      </w:pPr>
      <w:r w:rsidRPr="00C65CAA">
        <w:rPr>
          <w:rFonts w:ascii="Arial Narrow" w:eastAsiaTheme="minorHAnsi" w:hAnsi="Arial Narrow" w:cs="ArialNarrow"/>
          <w:sz w:val="22"/>
          <w:szCs w:val="22"/>
          <w:lang w:eastAsia="en-US"/>
        </w:rPr>
        <w:t xml:space="preserve">Hospodárenie verejných vysokých škôl je upravené zákonom č. 131/2002 Z. z. o vysokých školách a o zmene a doplnení niektorých zákonov v znení neskorších predpisov. </w:t>
      </w:r>
    </w:p>
    <w:p w:rsidR="003621FF" w:rsidRPr="00C65CAA" w:rsidRDefault="003621FF" w:rsidP="00256AF8">
      <w:pPr>
        <w:autoSpaceDE w:val="0"/>
        <w:autoSpaceDN w:val="0"/>
        <w:adjustRightInd w:val="0"/>
        <w:spacing w:before="100" w:after="100"/>
        <w:ind w:firstLine="708"/>
        <w:jc w:val="both"/>
        <w:rPr>
          <w:rFonts w:ascii="Arial Narrow" w:eastAsiaTheme="minorHAnsi" w:hAnsi="Arial Narrow" w:cs="ArialNarrow"/>
          <w:sz w:val="22"/>
          <w:szCs w:val="22"/>
          <w:lang w:eastAsia="en-US"/>
        </w:rPr>
      </w:pPr>
      <w:r w:rsidRPr="00C65CAA">
        <w:rPr>
          <w:rFonts w:ascii="Arial Narrow" w:eastAsiaTheme="minorHAnsi" w:hAnsi="Arial Narrow" w:cs="ArialNarrow"/>
          <w:sz w:val="22"/>
          <w:szCs w:val="22"/>
          <w:lang w:eastAsia="en-US"/>
        </w:rPr>
        <w:t>Návrh rozpočtu na rok 2019 vychádza z nezávislého postavenia verejných vysokých škôl, ktoré si prijatý transfer rozpisujú plne vo svojej kompetencii.</w:t>
      </w:r>
    </w:p>
    <w:p w:rsidR="003621FF" w:rsidRPr="00C65CAA" w:rsidRDefault="003621FF" w:rsidP="00256AF8">
      <w:pPr>
        <w:autoSpaceDE w:val="0"/>
        <w:autoSpaceDN w:val="0"/>
        <w:adjustRightInd w:val="0"/>
        <w:spacing w:before="100" w:after="100"/>
        <w:ind w:firstLine="708"/>
        <w:jc w:val="both"/>
        <w:rPr>
          <w:rFonts w:ascii="Arial Narrow" w:eastAsiaTheme="minorHAnsi" w:hAnsi="Arial Narrow" w:cs="ArialNarrow"/>
          <w:sz w:val="22"/>
          <w:szCs w:val="22"/>
          <w:lang w:eastAsia="en-US"/>
        </w:rPr>
      </w:pPr>
      <w:r w:rsidRPr="00C65CAA">
        <w:rPr>
          <w:rFonts w:ascii="Arial Narrow" w:eastAsiaTheme="minorHAnsi" w:hAnsi="Arial Narrow" w:cs="ArialNarrow"/>
          <w:sz w:val="22"/>
          <w:szCs w:val="22"/>
          <w:lang w:eastAsia="en-US"/>
        </w:rPr>
        <w:t xml:space="preserve">Porovnanie bilančného zostatku verejných vysokých škôl na akruálnej báze v metodike ESA 2010 v návrhu rozpočtu na rok 2019 so schváleným rozpočtom na rok 2018 a skutočným plnením rozpočtu za rok 2017: </w:t>
      </w:r>
    </w:p>
    <w:tbl>
      <w:tblPr>
        <w:tblStyle w:val="Mriekatabuky"/>
        <w:tblW w:w="5000" w:type="pct"/>
        <w:tblLook w:val="04A0" w:firstRow="1" w:lastRow="0" w:firstColumn="1" w:lastColumn="0" w:noHBand="0" w:noVBand="1"/>
      </w:tblPr>
      <w:tblGrid>
        <w:gridCol w:w="3809"/>
        <w:gridCol w:w="1267"/>
        <w:gridCol w:w="904"/>
        <w:gridCol w:w="906"/>
        <w:gridCol w:w="895"/>
        <w:gridCol w:w="1282"/>
      </w:tblGrid>
      <w:tr w:rsidR="003621FF" w:rsidRPr="00C65CAA" w:rsidTr="00EB05EC">
        <w:trPr>
          <w:tblHeader/>
        </w:trPr>
        <w:tc>
          <w:tcPr>
            <w:tcW w:w="2101"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3621FF" w:rsidRPr="00C65CAA" w:rsidRDefault="003621FF" w:rsidP="00B366F3">
            <w:pPr>
              <w:jc w:val="center"/>
              <w:rPr>
                <w:rFonts w:ascii="Arial Narrow" w:eastAsia="Calibri" w:hAnsi="Arial Narrow"/>
                <w:b/>
                <w:color w:val="FFFFFF" w:themeColor="background1"/>
                <w:sz w:val="20"/>
                <w:szCs w:val="20"/>
              </w:rPr>
            </w:pPr>
            <w:r w:rsidRPr="00C65CAA">
              <w:rPr>
                <w:rFonts w:ascii="Arial Narrow" w:eastAsia="Calibri" w:hAnsi="Arial Narrow"/>
                <w:b/>
                <w:bCs/>
                <w:color w:val="FFFFFF" w:themeColor="background1"/>
                <w:sz w:val="20"/>
                <w:szCs w:val="20"/>
              </w:rPr>
              <w:t>Názov ukazovateľa (v tis. eur)</w:t>
            </w:r>
          </w:p>
        </w:tc>
        <w:tc>
          <w:tcPr>
            <w:tcW w:w="699"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3621FF" w:rsidRPr="00C65CAA" w:rsidRDefault="003621FF" w:rsidP="00B366F3">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Skutočnosť</w:t>
            </w:r>
          </w:p>
          <w:p w:rsidR="003621FF" w:rsidRPr="00C65CAA" w:rsidRDefault="003621FF" w:rsidP="00B366F3">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2017</w:t>
            </w:r>
          </w:p>
        </w:tc>
        <w:tc>
          <w:tcPr>
            <w:tcW w:w="999"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3621FF" w:rsidRPr="00C65CAA" w:rsidRDefault="003621FF" w:rsidP="00B366F3">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Rozpočet</w:t>
            </w:r>
          </w:p>
        </w:tc>
        <w:tc>
          <w:tcPr>
            <w:tcW w:w="494"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3621FF" w:rsidRPr="00C65CAA" w:rsidRDefault="003621FF" w:rsidP="00B366F3">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Rozdiel</w:t>
            </w:r>
          </w:p>
        </w:tc>
        <w:tc>
          <w:tcPr>
            <w:tcW w:w="707"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3621FF" w:rsidRPr="00C65CAA" w:rsidRDefault="003621FF" w:rsidP="00B366F3">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Podiel (v %)</w:t>
            </w:r>
          </w:p>
        </w:tc>
      </w:tr>
      <w:tr w:rsidR="003621FF" w:rsidRPr="00C65CAA" w:rsidTr="00EB05EC">
        <w:trPr>
          <w:tblHeader/>
        </w:trPr>
        <w:tc>
          <w:tcPr>
            <w:tcW w:w="2101"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rsidR="003621FF" w:rsidRPr="00C65CAA" w:rsidRDefault="003621FF" w:rsidP="00B366F3">
            <w:pPr>
              <w:jc w:val="both"/>
              <w:rPr>
                <w:rFonts w:ascii="Arial Narrow" w:eastAsia="Calibri" w:hAnsi="Arial Narrow"/>
                <w:color w:val="FFFFFF" w:themeColor="background1"/>
                <w:sz w:val="20"/>
                <w:szCs w:val="20"/>
              </w:rPr>
            </w:pPr>
          </w:p>
        </w:tc>
        <w:tc>
          <w:tcPr>
            <w:tcW w:w="699"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rsidR="003621FF" w:rsidRPr="00C65CAA" w:rsidRDefault="003621FF" w:rsidP="00B366F3">
            <w:pPr>
              <w:jc w:val="both"/>
              <w:rPr>
                <w:rFonts w:ascii="Arial Narrow" w:hAnsi="Arial Narrow"/>
                <w:color w:val="FFFFFF" w:themeColor="background1"/>
                <w:sz w:val="20"/>
                <w:szCs w:val="20"/>
              </w:rPr>
            </w:pPr>
          </w:p>
        </w:tc>
        <w:tc>
          <w:tcPr>
            <w:tcW w:w="49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3621FF" w:rsidRPr="00C65CAA" w:rsidRDefault="003621FF" w:rsidP="00B366F3">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2018</w:t>
            </w:r>
          </w:p>
        </w:tc>
        <w:tc>
          <w:tcPr>
            <w:tcW w:w="5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3621FF" w:rsidRPr="00C65CAA" w:rsidRDefault="003621FF" w:rsidP="00B366F3">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2019</w:t>
            </w:r>
          </w:p>
        </w:tc>
        <w:tc>
          <w:tcPr>
            <w:tcW w:w="494"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rsidR="003621FF" w:rsidRPr="00C65CAA" w:rsidRDefault="003621FF" w:rsidP="00B366F3">
            <w:pPr>
              <w:jc w:val="both"/>
              <w:rPr>
                <w:rFonts w:ascii="Arial Narrow" w:hAnsi="Arial Narrow"/>
                <w:color w:val="FFFFFF" w:themeColor="background1"/>
                <w:sz w:val="20"/>
                <w:szCs w:val="20"/>
              </w:rPr>
            </w:pPr>
          </w:p>
        </w:tc>
        <w:tc>
          <w:tcPr>
            <w:tcW w:w="707"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C0"/>
          </w:tcPr>
          <w:p w:rsidR="003621FF" w:rsidRPr="00C65CAA" w:rsidRDefault="003621FF" w:rsidP="00B366F3">
            <w:pPr>
              <w:jc w:val="both"/>
              <w:rPr>
                <w:rFonts w:ascii="Arial Narrow" w:hAnsi="Arial Narrow"/>
                <w:color w:val="FFFFFF" w:themeColor="background1"/>
                <w:sz w:val="20"/>
                <w:szCs w:val="20"/>
              </w:rPr>
            </w:pPr>
          </w:p>
        </w:tc>
      </w:tr>
      <w:tr w:rsidR="003621FF" w:rsidRPr="00C65CAA" w:rsidTr="00EB05EC">
        <w:trPr>
          <w:tblHeader/>
        </w:trPr>
        <w:tc>
          <w:tcPr>
            <w:tcW w:w="2101" w:type="pct"/>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3621FF" w:rsidRPr="00C65CAA" w:rsidRDefault="003621FF" w:rsidP="00B366F3">
            <w:pPr>
              <w:jc w:val="center"/>
              <w:rPr>
                <w:rFonts w:ascii="Arial Narrow" w:hAnsi="Arial Narrow"/>
                <w:bCs/>
                <w:sz w:val="20"/>
                <w:szCs w:val="20"/>
              </w:rPr>
            </w:pPr>
            <w:r w:rsidRPr="00C65CAA">
              <w:rPr>
                <w:rFonts w:ascii="Arial Narrow" w:hAnsi="Arial Narrow"/>
                <w:bCs/>
                <w:sz w:val="20"/>
                <w:szCs w:val="20"/>
              </w:rPr>
              <w:t>a</w:t>
            </w:r>
          </w:p>
        </w:tc>
        <w:tc>
          <w:tcPr>
            <w:tcW w:w="699" w:type="pct"/>
            <w:tcBorders>
              <w:top w:val="single" w:sz="4" w:space="0" w:color="FFFFFF" w:themeColor="background1"/>
              <w:left w:val="single" w:sz="4" w:space="0" w:color="auto"/>
              <w:bottom w:val="single" w:sz="4" w:space="0" w:color="auto"/>
              <w:right w:val="single" w:sz="4" w:space="0" w:color="auto"/>
            </w:tcBorders>
            <w:shd w:val="clear" w:color="auto" w:fill="auto"/>
          </w:tcPr>
          <w:p w:rsidR="003621FF" w:rsidRPr="00C65CAA" w:rsidRDefault="003621FF" w:rsidP="00B366F3">
            <w:pPr>
              <w:jc w:val="center"/>
              <w:rPr>
                <w:rFonts w:ascii="Arial Narrow" w:hAnsi="Arial Narrow"/>
                <w:sz w:val="20"/>
                <w:szCs w:val="20"/>
              </w:rPr>
            </w:pPr>
            <w:r w:rsidRPr="00C65CAA">
              <w:rPr>
                <w:rFonts w:ascii="Arial Narrow" w:hAnsi="Arial Narrow"/>
                <w:sz w:val="20"/>
                <w:szCs w:val="20"/>
              </w:rPr>
              <w:t>1</w:t>
            </w:r>
          </w:p>
        </w:tc>
        <w:tc>
          <w:tcPr>
            <w:tcW w:w="499" w:type="pct"/>
            <w:tcBorders>
              <w:top w:val="single" w:sz="4" w:space="0" w:color="FFFFFF" w:themeColor="background1"/>
              <w:left w:val="single" w:sz="4" w:space="0" w:color="auto"/>
              <w:bottom w:val="single" w:sz="4" w:space="0" w:color="auto"/>
              <w:right w:val="single" w:sz="4" w:space="0" w:color="auto"/>
            </w:tcBorders>
            <w:shd w:val="clear" w:color="auto" w:fill="auto"/>
          </w:tcPr>
          <w:p w:rsidR="003621FF" w:rsidRPr="00C65CAA" w:rsidRDefault="003621FF" w:rsidP="00B366F3">
            <w:pPr>
              <w:jc w:val="center"/>
              <w:rPr>
                <w:rFonts w:ascii="Arial Narrow" w:hAnsi="Arial Narrow"/>
                <w:sz w:val="20"/>
                <w:szCs w:val="20"/>
              </w:rPr>
            </w:pPr>
            <w:r w:rsidRPr="00C65CAA">
              <w:rPr>
                <w:rFonts w:ascii="Arial Narrow" w:hAnsi="Arial Narrow"/>
                <w:sz w:val="20"/>
                <w:szCs w:val="20"/>
              </w:rPr>
              <w:t>2</w:t>
            </w:r>
          </w:p>
        </w:tc>
        <w:tc>
          <w:tcPr>
            <w:tcW w:w="500" w:type="pct"/>
            <w:tcBorders>
              <w:top w:val="single" w:sz="4" w:space="0" w:color="FFFFFF" w:themeColor="background1"/>
              <w:left w:val="single" w:sz="4" w:space="0" w:color="auto"/>
              <w:bottom w:val="single" w:sz="4" w:space="0" w:color="auto"/>
              <w:right w:val="single" w:sz="4" w:space="0" w:color="auto"/>
            </w:tcBorders>
            <w:shd w:val="clear" w:color="auto" w:fill="auto"/>
          </w:tcPr>
          <w:p w:rsidR="003621FF" w:rsidRPr="00C65CAA" w:rsidRDefault="003621FF" w:rsidP="00B366F3">
            <w:pPr>
              <w:jc w:val="center"/>
              <w:rPr>
                <w:rFonts w:ascii="Arial Narrow" w:hAnsi="Arial Narrow"/>
                <w:sz w:val="20"/>
                <w:szCs w:val="20"/>
              </w:rPr>
            </w:pPr>
            <w:r w:rsidRPr="00C65CAA">
              <w:rPr>
                <w:rFonts w:ascii="Arial Narrow" w:hAnsi="Arial Narrow"/>
                <w:sz w:val="20"/>
                <w:szCs w:val="20"/>
              </w:rPr>
              <w:t>3</w:t>
            </w:r>
          </w:p>
        </w:tc>
        <w:tc>
          <w:tcPr>
            <w:tcW w:w="494" w:type="pct"/>
            <w:tcBorders>
              <w:top w:val="single" w:sz="4" w:space="0" w:color="FFFFFF" w:themeColor="background1"/>
              <w:left w:val="single" w:sz="4" w:space="0" w:color="auto"/>
              <w:bottom w:val="single" w:sz="4" w:space="0" w:color="auto"/>
              <w:right w:val="single" w:sz="4" w:space="0" w:color="auto"/>
            </w:tcBorders>
            <w:shd w:val="clear" w:color="auto" w:fill="auto"/>
          </w:tcPr>
          <w:p w:rsidR="003621FF" w:rsidRPr="00C65CAA" w:rsidRDefault="003621FF" w:rsidP="00B366F3">
            <w:pPr>
              <w:jc w:val="center"/>
              <w:rPr>
                <w:rFonts w:ascii="Arial Narrow" w:hAnsi="Arial Narrow"/>
                <w:sz w:val="20"/>
                <w:szCs w:val="20"/>
              </w:rPr>
            </w:pPr>
            <w:r w:rsidRPr="00C65CAA">
              <w:rPr>
                <w:rFonts w:ascii="Arial Narrow" w:hAnsi="Arial Narrow"/>
                <w:sz w:val="20"/>
                <w:szCs w:val="20"/>
              </w:rPr>
              <w:t>3-2</w:t>
            </w:r>
          </w:p>
        </w:tc>
        <w:tc>
          <w:tcPr>
            <w:tcW w:w="707" w:type="pct"/>
            <w:tcBorders>
              <w:top w:val="single" w:sz="4" w:space="0" w:color="FFFFFF" w:themeColor="background1"/>
              <w:left w:val="single" w:sz="4" w:space="0" w:color="auto"/>
              <w:bottom w:val="single" w:sz="4" w:space="0" w:color="auto"/>
              <w:right w:val="single" w:sz="4" w:space="0" w:color="auto"/>
            </w:tcBorders>
            <w:shd w:val="clear" w:color="auto" w:fill="auto"/>
          </w:tcPr>
          <w:p w:rsidR="003621FF" w:rsidRPr="00C65CAA" w:rsidRDefault="003621FF" w:rsidP="00B366F3">
            <w:pPr>
              <w:jc w:val="center"/>
              <w:rPr>
                <w:rFonts w:ascii="Arial Narrow" w:hAnsi="Arial Narrow"/>
                <w:sz w:val="20"/>
                <w:szCs w:val="20"/>
              </w:rPr>
            </w:pPr>
            <w:r w:rsidRPr="00C65CAA">
              <w:rPr>
                <w:rFonts w:ascii="Arial Narrow" w:hAnsi="Arial Narrow"/>
                <w:sz w:val="20"/>
                <w:szCs w:val="20"/>
              </w:rPr>
              <w:t>3/2*100</w:t>
            </w:r>
          </w:p>
        </w:tc>
      </w:tr>
      <w:tr w:rsidR="003621FF" w:rsidRPr="00C65CAA" w:rsidTr="00EB05EC">
        <w:tc>
          <w:tcPr>
            <w:tcW w:w="2101" w:type="pct"/>
            <w:tcBorders>
              <w:top w:val="single" w:sz="4" w:space="0" w:color="auto"/>
            </w:tcBorders>
            <w:vAlign w:val="center"/>
          </w:tcPr>
          <w:p w:rsidR="003621FF" w:rsidRPr="00C65CAA" w:rsidRDefault="003621FF" w:rsidP="00B366F3">
            <w:pPr>
              <w:rPr>
                <w:rFonts w:ascii="Arial Narrow" w:hAnsi="Arial Narrow"/>
                <w:bCs/>
                <w:sz w:val="20"/>
                <w:szCs w:val="20"/>
              </w:rPr>
            </w:pPr>
            <w:r w:rsidRPr="00C65CAA">
              <w:rPr>
                <w:rFonts w:ascii="Arial Narrow" w:hAnsi="Arial Narrow"/>
                <w:bCs/>
                <w:sz w:val="20"/>
                <w:szCs w:val="20"/>
              </w:rPr>
              <w:t>Príjmy spolu</w:t>
            </w:r>
          </w:p>
        </w:tc>
        <w:tc>
          <w:tcPr>
            <w:tcW w:w="699" w:type="pct"/>
            <w:tcBorders>
              <w:top w:val="single" w:sz="4" w:space="0" w:color="auto"/>
            </w:tcBorders>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1 029 757</w:t>
            </w:r>
          </w:p>
        </w:tc>
        <w:tc>
          <w:tcPr>
            <w:tcW w:w="499" w:type="pct"/>
            <w:tcBorders>
              <w:top w:val="single" w:sz="4" w:space="0" w:color="auto"/>
            </w:tcBorders>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930 879</w:t>
            </w:r>
          </w:p>
        </w:tc>
        <w:tc>
          <w:tcPr>
            <w:tcW w:w="500" w:type="pct"/>
            <w:tcBorders>
              <w:top w:val="single" w:sz="4" w:space="0" w:color="auto"/>
            </w:tcBorders>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984 090</w:t>
            </w:r>
          </w:p>
        </w:tc>
        <w:tc>
          <w:tcPr>
            <w:tcW w:w="494" w:type="pct"/>
            <w:tcBorders>
              <w:top w:val="single" w:sz="4" w:space="0" w:color="auto"/>
            </w:tcBorders>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53 211</w:t>
            </w:r>
          </w:p>
        </w:tc>
        <w:tc>
          <w:tcPr>
            <w:tcW w:w="707" w:type="pct"/>
            <w:tcBorders>
              <w:top w:val="single" w:sz="4" w:space="0" w:color="auto"/>
            </w:tcBorders>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105,7</w:t>
            </w:r>
          </w:p>
        </w:tc>
      </w:tr>
      <w:tr w:rsidR="003621FF" w:rsidRPr="00C65CAA" w:rsidTr="00EB05EC">
        <w:tc>
          <w:tcPr>
            <w:tcW w:w="2101" w:type="pct"/>
            <w:vAlign w:val="center"/>
          </w:tcPr>
          <w:p w:rsidR="003621FF" w:rsidRPr="00C65CAA" w:rsidRDefault="003621FF" w:rsidP="00B366F3">
            <w:pPr>
              <w:rPr>
                <w:rFonts w:ascii="Arial Narrow" w:hAnsi="Arial Narrow"/>
                <w:bCs/>
                <w:sz w:val="20"/>
                <w:szCs w:val="20"/>
              </w:rPr>
            </w:pPr>
            <w:r w:rsidRPr="00C65CAA">
              <w:rPr>
                <w:rFonts w:ascii="Arial Narrow" w:hAnsi="Arial Narrow"/>
                <w:bCs/>
                <w:sz w:val="20"/>
                <w:szCs w:val="20"/>
              </w:rPr>
              <w:t>Výdavky spolu</w:t>
            </w:r>
          </w:p>
        </w:tc>
        <w:tc>
          <w:tcPr>
            <w:tcW w:w="699" w:type="pct"/>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732 581</w:t>
            </w:r>
          </w:p>
        </w:tc>
        <w:tc>
          <w:tcPr>
            <w:tcW w:w="499" w:type="pct"/>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693 509</w:t>
            </w:r>
          </w:p>
        </w:tc>
        <w:tc>
          <w:tcPr>
            <w:tcW w:w="500" w:type="pct"/>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696 834</w:t>
            </w:r>
          </w:p>
        </w:tc>
        <w:tc>
          <w:tcPr>
            <w:tcW w:w="494" w:type="pct"/>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3 325</w:t>
            </w:r>
          </w:p>
        </w:tc>
        <w:tc>
          <w:tcPr>
            <w:tcW w:w="707" w:type="pct"/>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100,5</w:t>
            </w:r>
          </w:p>
        </w:tc>
      </w:tr>
      <w:tr w:rsidR="003621FF" w:rsidRPr="00C65CAA" w:rsidTr="00EB05EC">
        <w:tc>
          <w:tcPr>
            <w:tcW w:w="2101" w:type="pct"/>
            <w:vAlign w:val="center"/>
          </w:tcPr>
          <w:p w:rsidR="003621FF" w:rsidRPr="00C65CAA" w:rsidRDefault="003621FF" w:rsidP="00B366F3">
            <w:pPr>
              <w:rPr>
                <w:rFonts w:ascii="Arial Narrow" w:hAnsi="Arial Narrow"/>
                <w:bCs/>
                <w:sz w:val="20"/>
                <w:szCs w:val="16"/>
              </w:rPr>
            </w:pPr>
            <w:r w:rsidRPr="00C65CAA">
              <w:rPr>
                <w:rFonts w:ascii="Arial Narrow" w:hAnsi="Arial Narrow"/>
                <w:bCs/>
                <w:sz w:val="20"/>
                <w:szCs w:val="16"/>
              </w:rPr>
              <w:t>Celková bilancia</w:t>
            </w:r>
          </w:p>
        </w:tc>
        <w:tc>
          <w:tcPr>
            <w:tcW w:w="699" w:type="pct"/>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297 176</w:t>
            </w:r>
          </w:p>
        </w:tc>
        <w:tc>
          <w:tcPr>
            <w:tcW w:w="499" w:type="pct"/>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237 370</w:t>
            </w:r>
          </w:p>
        </w:tc>
        <w:tc>
          <w:tcPr>
            <w:tcW w:w="500" w:type="pct"/>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287 256</w:t>
            </w:r>
          </w:p>
        </w:tc>
        <w:tc>
          <w:tcPr>
            <w:tcW w:w="494" w:type="pct"/>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49 886</w:t>
            </w:r>
          </w:p>
        </w:tc>
        <w:tc>
          <w:tcPr>
            <w:tcW w:w="707" w:type="pct"/>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121,0</w:t>
            </w:r>
          </w:p>
        </w:tc>
      </w:tr>
      <w:tr w:rsidR="003621FF" w:rsidRPr="00C65CAA" w:rsidTr="00EB05EC">
        <w:tc>
          <w:tcPr>
            <w:tcW w:w="2101" w:type="pct"/>
            <w:vAlign w:val="center"/>
          </w:tcPr>
          <w:p w:rsidR="003621FF" w:rsidRPr="00C65CAA" w:rsidRDefault="003621FF" w:rsidP="00B366F3">
            <w:pPr>
              <w:rPr>
                <w:rFonts w:ascii="Arial Narrow" w:hAnsi="Arial Narrow"/>
                <w:bCs/>
                <w:sz w:val="20"/>
                <w:szCs w:val="20"/>
              </w:rPr>
            </w:pPr>
            <w:r w:rsidRPr="00C65CAA">
              <w:rPr>
                <w:rFonts w:ascii="Arial Narrow" w:hAnsi="Arial Narrow"/>
                <w:bCs/>
                <w:sz w:val="20"/>
                <w:szCs w:val="20"/>
              </w:rPr>
              <w:t>Prebytok (+) / schodok (-) spolu (ESA 2010)</w:t>
            </w:r>
          </w:p>
        </w:tc>
        <w:tc>
          <w:tcPr>
            <w:tcW w:w="699" w:type="pct"/>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20 353</w:t>
            </w:r>
          </w:p>
        </w:tc>
        <w:tc>
          <w:tcPr>
            <w:tcW w:w="499" w:type="pct"/>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203</w:t>
            </w:r>
          </w:p>
        </w:tc>
        <w:tc>
          <w:tcPr>
            <w:tcW w:w="500" w:type="pct"/>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203</w:t>
            </w:r>
          </w:p>
        </w:tc>
        <w:tc>
          <w:tcPr>
            <w:tcW w:w="494" w:type="pct"/>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0</w:t>
            </w:r>
          </w:p>
        </w:tc>
        <w:tc>
          <w:tcPr>
            <w:tcW w:w="707" w:type="pct"/>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100,0</w:t>
            </w:r>
          </w:p>
        </w:tc>
      </w:tr>
    </w:tbl>
    <w:p w:rsidR="003621FF" w:rsidRPr="00C65CAA" w:rsidRDefault="003621FF" w:rsidP="00B366F3">
      <w:pPr>
        <w:autoSpaceDE w:val="0"/>
        <w:autoSpaceDN w:val="0"/>
        <w:adjustRightInd w:val="0"/>
        <w:jc w:val="both"/>
        <w:rPr>
          <w:rFonts w:ascii="Arial Narrow" w:eastAsiaTheme="minorHAnsi" w:hAnsi="Arial Narrow"/>
          <w:sz w:val="20"/>
          <w:lang w:eastAsia="en-US"/>
        </w:rPr>
      </w:pPr>
      <w:r w:rsidRPr="00C65CAA">
        <w:rPr>
          <w:rFonts w:ascii="Arial Narrow" w:eastAsiaTheme="minorHAnsi" w:hAnsi="Arial Narrow"/>
          <w:sz w:val="20"/>
          <w:lang w:eastAsia="en-US"/>
        </w:rPr>
        <w:t>Zdroj: Návrh RVS na roky 2019 až 2021</w:t>
      </w:r>
    </w:p>
    <w:p w:rsidR="003621FF" w:rsidRPr="00C65CAA" w:rsidRDefault="003621FF" w:rsidP="00563718">
      <w:pPr>
        <w:autoSpaceDE w:val="0"/>
        <w:autoSpaceDN w:val="0"/>
        <w:adjustRightInd w:val="0"/>
        <w:spacing w:before="120" w:after="120"/>
        <w:ind w:firstLine="709"/>
        <w:jc w:val="both"/>
        <w:rPr>
          <w:rFonts w:ascii="Arial Narrow" w:eastAsiaTheme="minorHAnsi" w:hAnsi="Arial Narrow" w:cs="ArialNarrow"/>
          <w:sz w:val="22"/>
          <w:szCs w:val="22"/>
          <w:lang w:eastAsia="en-US"/>
        </w:rPr>
      </w:pPr>
      <w:r w:rsidRPr="00C65CAA">
        <w:rPr>
          <w:rFonts w:ascii="Arial Narrow" w:eastAsiaTheme="minorHAnsi" w:hAnsi="Arial Narrow" w:cs="ArialNarrow"/>
          <w:sz w:val="22"/>
          <w:szCs w:val="22"/>
          <w:lang w:eastAsia="en-US"/>
        </w:rPr>
        <w:t>Bilančný zostatok verejných vysokých škôl v metodike ESA 2010 sa v roku 2019 oproti predchádzajúcemu obdobiu nemení a ostáva na hodnote 203 tis. eur.</w:t>
      </w:r>
    </w:p>
    <w:p w:rsidR="003621FF" w:rsidRPr="00C65CAA" w:rsidRDefault="003621FF" w:rsidP="00563718">
      <w:pPr>
        <w:autoSpaceDE w:val="0"/>
        <w:autoSpaceDN w:val="0"/>
        <w:adjustRightInd w:val="0"/>
        <w:spacing w:before="120" w:after="120"/>
        <w:ind w:firstLine="709"/>
        <w:jc w:val="both"/>
        <w:rPr>
          <w:rFonts w:ascii="Arial Narrow" w:eastAsiaTheme="minorHAnsi" w:hAnsi="Arial Narrow" w:cs="ArialNarrow"/>
          <w:sz w:val="22"/>
          <w:szCs w:val="22"/>
          <w:lang w:eastAsia="en-US"/>
        </w:rPr>
      </w:pPr>
      <w:r w:rsidRPr="00C65CAA">
        <w:rPr>
          <w:rFonts w:ascii="Arial Narrow" w:eastAsiaTheme="minorHAnsi" w:hAnsi="Arial Narrow" w:cs="ArialNarrow"/>
          <w:sz w:val="22"/>
          <w:szCs w:val="22"/>
          <w:lang w:eastAsia="en-US"/>
        </w:rPr>
        <w:t>Celkový rozpočet verejných vysokých škôl na hotovostnej báze zaznamenáva oproti roku 2018 nárast v príjmovej časti o 53 211 tis. eur. Tento nárast sa však už neprejaví na výdavkovej strane, kedy výdavky majú rásť iba o 3 325 tis. eur. Tento nerovnomerný nárast medzi príjmami a výdavkami v konečnom dôsledku spôsobuje aj rast celkovej bilancie na úrovni 49 886 tis. eur. Dôvodom tohto nerovnomerného rastu je plánovaný presun zostatku prostriedkov z predchádzajúcich období na príjmovej strane rozpočtu, kde sa predpokladá medziročný nárast o 50 885 tis. eur (táto operácia sa však pri vykazovaní v metodike ESA 2010 vylučuje, preto celkový prebytok ostáva na rovnakej úrovni ako v rozpočte na rok 2018).</w:t>
      </w:r>
    </w:p>
    <w:p w:rsidR="003621FF" w:rsidRPr="00C65CAA" w:rsidRDefault="003621FF" w:rsidP="00563718">
      <w:pPr>
        <w:autoSpaceDE w:val="0"/>
        <w:autoSpaceDN w:val="0"/>
        <w:adjustRightInd w:val="0"/>
        <w:spacing w:before="120" w:after="120"/>
        <w:ind w:firstLine="709"/>
        <w:jc w:val="both"/>
        <w:rPr>
          <w:rFonts w:ascii="Arial Narrow" w:eastAsiaTheme="minorHAnsi" w:hAnsi="Arial Narrow" w:cs="ArialNarrow"/>
          <w:sz w:val="22"/>
          <w:szCs w:val="22"/>
          <w:lang w:eastAsia="en-US"/>
        </w:rPr>
      </w:pPr>
      <w:r w:rsidRPr="00C65CAA">
        <w:rPr>
          <w:rFonts w:ascii="Arial Narrow" w:eastAsiaTheme="minorHAnsi" w:hAnsi="Arial Narrow" w:cs="ArialNarrow"/>
          <w:sz w:val="22"/>
          <w:szCs w:val="22"/>
          <w:lang w:eastAsia="en-US"/>
        </w:rPr>
        <w:t>Navýšiť sa majú transfery zo štátneho rozpočtu o 7 870 tis. eur</w:t>
      </w:r>
      <w:r w:rsidR="00A6106A" w:rsidRPr="00C65CAA">
        <w:rPr>
          <w:rFonts w:ascii="Arial Narrow" w:eastAsiaTheme="minorHAnsi" w:hAnsi="Arial Narrow" w:cs="ArialNarrow"/>
          <w:sz w:val="22"/>
          <w:szCs w:val="22"/>
          <w:lang w:eastAsia="en-US"/>
        </w:rPr>
        <w:t>,</w:t>
      </w:r>
      <w:r w:rsidRPr="00C65CAA">
        <w:rPr>
          <w:rFonts w:ascii="Arial Narrow" w:eastAsiaTheme="minorHAnsi" w:hAnsi="Arial Narrow" w:cs="ArialNarrow"/>
          <w:sz w:val="22"/>
          <w:szCs w:val="22"/>
          <w:lang w:eastAsia="en-US"/>
        </w:rPr>
        <w:t xml:space="preserve"> určené na valorizáciu platov, naopak</w:t>
      </w:r>
      <w:r w:rsidR="00AF333A" w:rsidRPr="00C65CAA">
        <w:rPr>
          <w:rFonts w:ascii="Arial Narrow" w:eastAsiaTheme="minorHAnsi" w:hAnsi="Arial Narrow" w:cs="ArialNarrow"/>
          <w:sz w:val="22"/>
          <w:szCs w:val="22"/>
          <w:lang w:eastAsia="en-US"/>
        </w:rPr>
        <w:t>,</w:t>
      </w:r>
      <w:r w:rsidRPr="00C65CAA">
        <w:rPr>
          <w:rFonts w:ascii="Arial Narrow" w:eastAsiaTheme="minorHAnsi" w:hAnsi="Arial Narrow" w:cs="ArialNarrow"/>
          <w:sz w:val="22"/>
          <w:szCs w:val="22"/>
          <w:lang w:eastAsia="en-US"/>
        </w:rPr>
        <w:t xml:space="preserve"> transfery zo zdrojov EÚ (OP Ľudské zdroje a OP Výskum a inovácie) majú klesnúť až o 12 100 tis. eur.</w:t>
      </w:r>
    </w:p>
    <w:p w:rsidR="003621FF" w:rsidRPr="00C65CAA" w:rsidRDefault="003621FF" w:rsidP="00563718">
      <w:pPr>
        <w:autoSpaceDE w:val="0"/>
        <w:autoSpaceDN w:val="0"/>
        <w:adjustRightInd w:val="0"/>
        <w:spacing w:before="120" w:after="120"/>
        <w:ind w:firstLine="709"/>
        <w:jc w:val="both"/>
        <w:rPr>
          <w:rFonts w:ascii="Arial Narrow" w:eastAsiaTheme="minorHAnsi" w:hAnsi="Arial Narrow" w:cs="ArialNarrow"/>
          <w:sz w:val="22"/>
          <w:szCs w:val="22"/>
          <w:lang w:eastAsia="en-US"/>
        </w:rPr>
      </w:pPr>
      <w:r w:rsidRPr="00C65CAA">
        <w:rPr>
          <w:rFonts w:ascii="Arial Narrow" w:eastAsiaTheme="minorHAnsi" w:hAnsi="Arial Narrow" w:cs="ArialNarrow"/>
          <w:sz w:val="22"/>
          <w:szCs w:val="22"/>
          <w:lang w:eastAsia="en-US"/>
        </w:rPr>
        <w:t>Výdavky verejných vysokých škôl sú na rok 2019 rozpočtované v celkovej sume 696 834 tis. eur. V rámci bežných výdavkov rastú medziročne iba výdavky na mzdy a odvody, ostatné kategórie majú klesať (pokles bežných transferov v oblasti vedy a výskumu, novoprijatých doktorandov a sociálnych štipendií).</w:t>
      </w:r>
    </w:p>
    <w:p w:rsidR="003621FF" w:rsidRPr="00C65CAA" w:rsidRDefault="003621FF" w:rsidP="00563718">
      <w:pPr>
        <w:autoSpaceDE w:val="0"/>
        <w:autoSpaceDN w:val="0"/>
        <w:adjustRightInd w:val="0"/>
        <w:spacing w:before="120" w:after="120"/>
        <w:ind w:firstLine="709"/>
        <w:jc w:val="both"/>
        <w:rPr>
          <w:rFonts w:ascii="Arial Narrow" w:eastAsiaTheme="minorHAnsi" w:hAnsi="Arial Narrow" w:cs="ArialNarrow"/>
          <w:sz w:val="22"/>
          <w:szCs w:val="22"/>
          <w:lang w:eastAsia="en-US"/>
        </w:rPr>
      </w:pPr>
      <w:r w:rsidRPr="00C65CAA">
        <w:rPr>
          <w:rFonts w:ascii="Arial Narrow" w:eastAsiaTheme="minorHAnsi" w:hAnsi="Arial Narrow" w:cs="ArialNarrow"/>
          <w:sz w:val="22"/>
          <w:szCs w:val="22"/>
          <w:lang w:eastAsia="en-US"/>
        </w:rPr>
        <w:lastRenderedPageBreak/>
        <w:t xml:space="preserve">Kapitálové výdavky majú v rozpočte na rok 2019 zaznamenať medziročný rast o 1 574 tis. eur na úrovni 23 865 tis. eur. Tieto prostriedky sú určené na rekonštrukcie a modernizácie budov verejných vysokých škôl. </w:t>
      </w:r>
    </w:p>
    <w:tbl>
      <w:tblPr>
        <w:tblStyle w:val="Mriekatabuk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3621FF" w:rsidRPr="00085B32" w:rsidTr="00EB05EC">
        <w:trPr>
          <w:trHeight w:val="245"/>
        </w:trPr>
        <w:tc>
          <w:tcPr>
            <w:tcW w:w="5000" w:type="pct"/>
            <w:tcBorders>
              <w:top w:val="single" w:sz="4" w:space="0" w:color="auto"/>
              <w:bottom w:val="single" w:sz="4" w:space="0" w:color="auto"/>
            </w:tcBorders>
            <w:shd w:val="clear" w:color="auto" w:fill="0070C0"/>
          </w:tcPr>
          <w:p w:rsidR="003621FF" w:rsidRPr="00085B32" w:rsidRDefault="003621FF" w:rsidP="00C8633E">
            <w:pPr>
              <w:rPr>
                <w:rFonts w:ascii="Arial Narrow" w:eastAsia="Calibri" w:hAnsi="Arial Narrow"/>
                <w:b/>
                <w:color w:val="FFFFFF"/>
                <w:sz w:val="22"/>
                <w:szCs w:val="22"/>
              </w:rPr>
            </w:pPr>
            <w:r w:rsidRPr="00085B32">
              <w:rPr>
                <w:rFonts w:ascii="Arial Narrow" w:eastAsia="Calibri" w:hAnsi="Arial Narrow"/>
                <w:b/>
                <w:color w:val="FFFFFF"/>
                <w:sz w:val="22"/>
                <w:szCs w:val="22"/>
              </w:rPr>
              <w:t>Miera vysokoškolsky vzdelanej populácie s cieľom do roku 2020 (%, vo vekovej skupine 30 – 34 rokov)</w:t>
            </w:r>
          </w:p>
        </w:tc>
      </w:tr>
      <w:tr w:rsidR="003621FF" w:rsidRPr="00C65CAA" w:rsidTr="00EB05EC">
        <w:tblPrEx>
          <w:tblCellMar>
            <w:left w:w="70" w:type="dxa"/>
            <w:right w:w="70" w:type="dxa"/>
          </w:tblCellMar>
        </w:tblPrEx>
        <w:trPr>
          <w:trHeight w:val="2969"/>
        </w:trPr>
        <w:tc>
          <w:tcPr>
            <w:tcW w:w="5000" w:type="pct"/>
            <w:tcBorders>
              <w:top w:val="single" w:sz="4" w:space="0" w:color="auto"/>
              <w:bottom w:val="single" w:sz="4" w:space="0" w:color="auto"/>
            </w:tcBorders>
          </w:tcPr>
          <w:p w:rsidR="003621FF" w:rsidRPr="00C65CAA" w:rsidRDefault="003621FF" w:rsidP="00C8633E">
            <w:pPr>
              <w:rPr>
                <w:rFonts w:ascii="Arial Narrow" w:eastAsia="Calibri" w:hAnsi="Arial Narrow"/>
              </w:rPr>
            </w:pPr>
            <w:r w:rsidRPr="00C65CAA">
              <w:rPr>
                <w:rFonts w:ascii="Arial Narrow" w:hAnsi="Arial Narrow"/>
                <w:noProof/>
              </w:rPr>
              <w:drawing>
                <wp:inline distT="0" distB="0" distL="0" distR="0" wp14:anchorId="4A5B040F" wp14:editId="20B7868C">
                  <wp:extent cx="5692140" cy="1889760"/>
                  <wp:effectExtent l="0" t="0" r="3810" b="0"/>
                  <wp:docPr id="13" name="Graf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rsidR="003621FF" w:rsidRPr="00C65CAA" w:rsidRDefault="003621FF" w:rsidP="00B366F3">
      <w:pPr>
        <w:autoSpaceDE w:val="0"/>
        <w:autoSpaceDN w:val="0"/>
        <w:adjustRightInd w:val="0"/>
        <w:spacing w:after="100"/>
        <w:jc w:val="both"/>
        <w:rPr>
          <w:rFonts w:ascii="Arial Narrow" w:eastAsiaTheme="minorHAnsi" w:hAnsi="Arial Narrow" w:cs="ArialNarrow"/>
          <w:sz w:val="20"/>
          <w:szCs w:val="20"/>
          <w:lang w:eastAsia="en-US"/>
        </w:rPr>
      </w:pPr>
      <w:r w:rsidRPr="00C65CAA">
        <w:rPr>
          <w:rFonts w:ascii="Arial Narrow" w:eastAsiaTheme="minorHAnsi" w:hAnsi="Arial Narrow" w:cs="ArialNarrow"/>
          <w:sz w:val="20"/>
          <w:szCs w:val="20"/>
          <w:lang w:eastAsia="en-US"/>
        </w:rPr>
        <w:t>Zdroj: Eurostat</w:t>
      </w:r>
    </w:p>
    <w:p w:rsidR="003621FF" w:rsidRPr="00C65CAA" w:rsidRDefault="003621FF" w:rsidP="00563718">
      <w:pPr>
        <w:autoSpaceDE w:val="0"/>
        <w:autoSpaceDN w:val="0"/>
        <w:adjustRightInd w:val="0"/>
        <w:spacing w:before="120" w:after="120"/>
        <w:ind w:firstLine="709"/>
        <w:jc w:val="both"/>
        <w:rPr>
          <w:rFonts w:ascii="Arial Narrow" w:eastAsiaTheme="minorHAnsi" w:hAnsi="Arial Narrow" w:cs="ArialNarrow"/>
          <w:sz w:val="22"/>
          <w:szCs w:val="22"/>
          <w:lang w:eastAsia="en-US"/>
        </w:rPr>
      </w:pPr>
      <w:r w:rsidRPr="00C65CAA">
        <w:rPr>
          <w:rFonts w:ascii="Arial Narrow" w:eastAsiaTheme="minorHAnsi" w:hAnsi="Arial Narrow" w:cs="ArialNarrow"/>
          <w:sz w:val="22"/>
          <w:szCs w:val="22"/>
          <w:lang w:eastAsia="en-US"/>
        </w:rPr>
        <w:t>Miera vysokoškolsky vzdelanej populácie vo vekovej skupine 30 – 34 rokov každoročne narastá a vzhľadom k tomu, že v roku 2014 podiel študujúc</w:t>
      </w:r>
      <w:r w:rsidR="00AF333A" w:rsidRPr="00C65CAA">
        <w:rPr>
          <w:rFonts w:ascii="Arial Narrow" w:eastAsiaTheme="minorHAnsi" w:hAnsi="Arial Narrow" w:cs="ArialNarrow"/>
          <w:sz w:val="22"/>
          <w:szCs w:val="22"/>
          <w:lang w:eastAsia="en-US"/>
        </w:rPr>
        <w:t>ich vysokoškolákov prekročil 40-</w:t>
      </w:r>
      <w:r w:rsidRPr="00C65CAA">
        <w:rPr>
          <w:rFonts w:ascii="Arial Narrow" w:eastAsiaTheme="minorHAnsi" w:hAnsi="Arial Narrow" w:cs="ArialNarrow"/>
          <w:sz w:val="22"/>
          <w:szCs w:val="22"/>
          <w:lang w:eastAsia="en-US"/>
        </w:rPr>
        <w:t>percentný cieľ stratégie, možno konštatovať, že v roku 2020 dôjde k naplneniu cieľa.</w:t>
      </w:r>
    </w:p>
    <w:p w:rsidR="003621FF" w:rsidRDefault="00A6106A" w:rsidP="00563718">
      <w:pPr>
        <w:autoSpaceDE w:val="0"/>
        <w:autoSpaceDN w:val="0"/>
        <w:adjustRightInd w:val="0"/>
        <w:spacing w:before="120" w:after="120"/>
        <w:ind w:firstLine="709"/>
        <w:jc w:val="both"/>
        <w:rPr>
          <w:rFonts w:ascii="Arial Narrow" w:eastAsiaTheme="minorHAnsi" w:hAnsi="Arial Narrow" w:cs="ArialNarrow"/>
          <w:sz w:val="22"/>
          <w:szCs w:val="22"/>
          <w:lang w:eastAsia="en-US"/>
        </w:rPr>
      </w:pPr>
      <w:r w:rsidRPr="00C65CAA">
        <w:rPr>
          <w:rFonts w:ascii="Arial Narrow" w:eastAsiaTheme="minorHAnsi" w:hAnsi="Arial Narrow" w:cs="ArialNarrow"/>
          <w:sz w:val="22"/>
          <w:szCs w:val="22"/>
          <w:lang w:eastAsia="en-US"/>
        </w:rPr>
        <w:t>N</w:t>
      </w:r>
      <w:r w:rsidR="003621FF" w:rsidRPr="00C65CAA">
        <w:rPr>
          <w:rFonts w:ascii="Arial Narrow" w:eastAsiaTheme="minorHAnsi" w:hAnsi="Arial Narrow" w:cs="ArialNarrow"/>
          <w:sz w:val="22"/>
          <w:szCs w:val="22"/>
          <w:lang w:eastAsia="en-US"/>
        </w:rPr>
        <w:t>a obnovu a rekonštrukcie študentských domovov</w:t>
      </w:r>
      <w:r w:rsidRPr="00C65CAA">
        <w:rPr>
          <w:rFonts w:ascii="Arial Narrow" w:eastAsiaTheme="minorHAnsi" w:hAnsi="Arial Narrow" w:cs="ArialNarrow"/>
          <w:sz w:val="22"/>
          <w:szCs w:val="22"/>
          <w:lang w:eastAsia="en-US"/>
        </w:rPr>
        <w:t xml:space="preserve"> mali byť poskytnuté finančné prostriedky vo výške 30 mil. eur v rokoch 2019 a 2020</w:t>
      </w:r>
      <w:r w:rsidR="003621FF" w:rsidRPr="00C65CAA">
        <w:rPr>
          <w:rFonts w:ascii="Arial Narrow" w:eastAsiaTheme="minorHAnsi" w:hAnsi="Arial Narrow" w:cs="ArialNarrow"/>
          <w:sz w:val="22"/>
          <w:szCs w:val="22"/>
          <w:lang w:eastAsia="en-US"/>
        </w:rPr>
        <w:t>. NKÚ SR upozorňuje, že tieto prostriedky v rozp</w:t>
      </w:r>
      <w:r w:rsidRPr="00C65CAA">
        <w:rPr>
          <w:rFonts w:ascii="Arial Narrow" w:eastAsiaTheme="minorHAnsi" w:hAnsi="Arial Narrow" w:cs="ArialNarrow"/>
          <w:sz w:val="22"/>
          <w:szCs w:val="22"/>
          <w:lang w:eastAsia="en-US"/>
        </w:rPr>
        <w:t>očte verejných vysokých škôl na </w:t>
      </w:r>
      <w:r w:rsidR="003621FF" w:rsidRPr="00C65CAA">
        <w:rPr>
          <w:rFonts w:ascii="Arial Narrow" w:eastAsiaTheme="minorHAnsi" w:hAnsi="Arial Narrow" w:cs="ArialNarrow"/>
          <w:sz w:val="22"/>
          <w:szCs w:val="22"/>
          <w:lang w:eastAsia="en-US"/>
        </w:rPr>
        <w:t xml:space="preserve">rok 2019 neboli naplánované a hrozí riziko, že v roku 2019 tieto prostriedky nebudú alokované. Stav študentských domovov vysokých škôl, je v mnohých prípadoch havarijný a prvá </w:t>
      </w:r>
      <w:r w:rsidRPr="00C65CAA">
        <w:rPr>
          <w:rFonts w:ascii="Arial Narrow" w:eastAsiaTheme="minorHAnsi" w:hAnsi="Arial Narrow" w:cs="ArialNarrow"/>
          <w:sz w:val="22"/>
          <w:szCs w:val="22"/>
          <w:lang w:eastAsia="en-US"/>
        </w:rPr>
        <w:t>dotácia z roku 2018 vo výške 20 </w:t>
      </w:r>
      <w:r w:rsidR="003621FF" w:rsidRPr="00C65CAA">
        <w:rPr>
          <w:rFonts w:ascii="Arial Narrow" w:eastAsiaTheme="minorHAnsi" w:hAnsi="Arial Narrow" w:cs="ArialNarrow"/>
          <w:sz w:val="22"/>
          <w:szCs w:val="22"/>
          <w:lang w:eastAsia="en-US"/>
        </w:rPr>
        <w:t>mil. eur nebude na odstránenie modernizačného dlhu v tejto oblasti postačovať. Výška finančných prostriedkov na rekonštrukciu ubytovacích zariadení vysokých škôl</w:t>
      </w:r>
      <w:r w:rsidRPr="00C65CAA">
        <w:rPr>
          <w:rFonts w:ascii="Arial Narrow" w:eastAsiaTheme="minorHAnsi" w:hAnsi="Arial Narrow" w:cs="ArialNarrow"/>
          <w:sz w:val="22"/>
          <w:szCs w:val="22"/>
          <w:lang w:eastAsia="en-US"/>
        </w:rPr>
        <w:t>,</w:t>
      </w:r>
      <w:r w:rsidR="003621FF" w:rsidRPr="00C65CAA">
        <w:rPr>
          <w:rFonts w:ascii="Arial Narrow" w:eastAsiaTheme="minorHAnsi" w:hAnsi="Arial Narrow" w:cs="ArialNarrow"/>
          <w:sz w:val="22"/>
          <w:szCs w:val="22"/>
          <w:lang w:eastAsia="en-US"/>
        </w:rPr>
        <w:t xml:space="preserve"> ako aj ich včasná realizácia, majú vplyv na atraktívnosť vysokoškolského priestoru. Neinvestovanie do tejto infraštruktúry znamená vytváranie neatraktívnych podmienok na štúdium v SR, čo by mohlo viesť k obmedzeniu ich prevádzky a v konečnom dôsledku k zníženiu dostupnosti vzdelania.</w:t>
      </w:r>
    </w:p>
    <w:p w:rsidR="00085B32" w:rsidRPr="00C65CAA" w:rsidRDefault="00085B32" w:rsidP="00563718">
      <w:pPr>
        <w:autoSpaceDE w:val="0"/>
        <w:autoSpaceDN w:val="0"/>
        <w:adjustRightInd w:val="0"/>
        <w:spacing w:before="120" w:after="120"/>
        <w:ind w:firstLine="709"/>
        <w:jc w:val="both"/>
        <w:rPr>
          <w:rFonts w:ascii="Arial Narrow" w:eastAsiaTheme="minorHAnsi" w:hAnsi="Arial Narrow" w:cs="ArialNarrow"/>
          <w:sz w:val="22"/>
          <w:szCs w:val="22"/>
          <w:lang w:eastAsia="en-US"/>
        </w:rPr>
      </w:pPr>
    </w:p>
    <w:p w:rsidR="003621FF" w:rsidRPr="00C65CAA" w:rsidRDefault="003621FF" w:rsidP="00256AF8">
      <w:pPr>
        <w:pStyle w:val="Nadpis2"/>
        <w:numPr>
          <w:ilvl w:val="1"/>
          <w:numId w:val="92"/>
        </w:numPr>
        <w:tabs>
          <w:tab w:val="left" w:pos="1276"/>
        </w:tabs>
        <w:spacing w:before="100" w:after="100"/>
        <w:rPr>
          <w:szCs w:val="22"/>
        </w:rPr>
      </w:pPr>
      <w:bookmarkStart w:id="54" w:name="_Toc497915309"/>
      <w:bookmarkStart w:id="55" w:name="_Toc529507617"/>
      <w:r w:rsidRPr="00C65CAA">
        <w:rPr>
          <w:szCs w:val="22"/>
        </w:rPr>
        <w:t>Stanovisko k návrhu rozpočtu Environmentálneho fondu</w:t>
      </w:r>
      <w:bookmarkEnd w:id="54"/>
      <w:r w:rsidRPr="00C65CAA">
        <w:rPr>
          <w:szCs w:val="22"/>
        </w:rPr>
        <w:t xml:space="preserve"> na rok 2019</w:t>
      </w:r>
      <w:bookmarkEnd w:id="55"/>
    </w:p>
    <w:p w:rsidR="003621FF" w:rsidRPr="00C65CAA" w:rsidRDefault="003621FF"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 xml:space="preserve">Správu EF vykonáva Ministerstvo životného prostredia SR. </w:t>
      </w:r>
    </w:p>
    <w:p w:rsidR="003621FF" w:rsidRPr="00C65CAA" w:rsidRDefault="003621FF"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Porovnanie bilančného zostatku EF na akruálnej báze</w:t>
      </w:r>
      <w:r w:rsidR="00AF333A"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v metodike ESA 20</w:t>
      </w:r>
      <w:r w:rsidR="00A6106A" w:rsidRPr="00C65CAA">
        <w:rPr>
          <w:rFonts w:ascii="Arial Narrow" w:eastAsiaTheme="minorHAnsi" w:hAnsi="Arial Narrow" w:cstheme="minorBidi"/>
          <w:sz w:val="22"/>
          <w:szCs w:val="22"/>
          <w:lang w:eastAsia="en-US"/>
        </w:rPr>
        <w:t>10</w:t>
      </w:r>
      <w:r w:rsidR="00AF333A" w:rsidRPr="00C65CAA">
        <w:rPr>
          <w:rFonts w:ascii="Arial Narrow" w:eastAsiaTheme="minorHAnsi" w:hAnsi="Arial Narrow" w:cstheme="minorBidi"/>
          <w:sz w:val="22"/>
          <w:szCs w:val="22"/>
          <w:lang w:eastAsia="en-US"/>
        </w:rPr>
        <w:t>,</w:t>
      </w:r>
      <w:r w:rsidR="00A6106A" w:rsidRPr="00C65CAA">
        <w:rPr>
          <w:rFonts w:ascii="Arial Narrow" w:eastAsiaTheme="minorHAnsi" w:hAnsi="Arial Narrow" w:cstheme="minorBidi"/>
          <w:sz w:val="22"/>
          <w:szCs w:val="22"/>
          <w:lang w:eastAsia="en-US"/>
        </w:rPr>
        <w:t xml:space="preserve"> v návrhu rozpočtu na rok </w:t>
      </w:r>
      <w:r w:rsidRPr="00C65CAA">
        <w:rPr>
          <w:rFonts w:ascii="Arial Narrow" w:eastAsiaTheme="minorHAnsi" w:hAnsi="Arial Narrow" w:cstheme="minorBidi"/>
          <w:sz w:val="22"/>
          <w:szCs w:val="22"/>
          <w:lang w:eastAsia="en-US"/>
        </w:rPr>
        <w:t>2019 so schváleným rozpočtom na rok 2018 a skutočným plnením rozpočtu za rok 2017:</w:t>
      </w:r>
    </w:p>
    <w:tbl>
      <w:tblPr>
        <w:tblStyle w:val="Mriekatabuky"/>
        <w:tblW w:w="5000" w:type="pct"/>
        <w:tblLook w:val="04A0" w:firstRow="1" w:lastRow="0" w:firstColumn="1" w:lastColumn="0" w:noHBand="0" w:noVBand="1"/>
      </w:tblPr>
      <w:tblGrid>
        <w:gridCol w:w="3198"/>
        <w:gridCol w:w="1133"/>
        <w:gridCol w:w="1039"/>
        <w:gridCol w:w="1231"/>
        <w:gridCol w:w="1231"/>
        <w:gridCol w:w="1231"/>
      </w:tblGrid>
      <w:tr w:rsidR="003621FF" w:rsidRPr="00C65CAA" w:rsidTr="00EB05EC">
        <w:trPr>
          <w:tblHeader/>
        </w:trPr>
        <w:tc>
          <w:tcPr>
            <w:tcW w:w="1765" w:type="pct"/>
            <w:vMerge w:val="restart"/>
            <w:tcBorders>
              <w:top w:val="single" w:sz="4" w:space="0" w:color="auto"/>
              <w:left w:val="single" w:sz="4" w:space="0" w:color="auto"/>
              <w:bottom w:val="single" w:sz="4" w:space="0" w:color="FFFFFF" w:themeColor="background1"/>
              <w:right w:val="single" w:sz="4" w:space="0" w:color="FFFFFF" w:themeColor="background1"/>
            </w:tcBorders>
            <w:shd w:val="clear" w:color="auto" w:fill="0070C0"/>
            <w:vAlign w:val="center"/>
          </w:tcPr>
          <w:p w:rsidR="003621FF" w:rsidRPr="00C65CAA" w:rsidRDefault="003621FF" w:rsidP="00B366F3">
            <w:pPr>
              <w:jc w:val="center"/>
              <w:rPr>
                <w:rFonts w:ascii="Arial Narrow" w:eastAsia="Calibri" w:hAnsi="Arial Narrow"/>
                <w:b/>
                <w:color w:val="FFFFFF" w:themeColor="background1"/>
                <w:sz w:val="20"/>
                <w:szCs w:val="20"/>
              </w:rPr>
            </w:pPr>
            <w:r w:rsidRPr="00C65CAA">
              <w:rPr>
                <w:rFonts w:ascii="Arial Narrow" w:eastAsia="Calibri" w:hAnsi="Arial Narrow"/>
                <w:b/>
                <w:bCs/>
                <w:color w:val="FFFFFF" w:themeColor="background1"/>
                <w:sz w:val="20"/>
                <w:szCs w:val="20"/>
              </w:rPr>
              <w:t>Názov ukazovateľa (v tis. eur)</w:t>
            </w:r>
          </w:p>
        </w:tc>
        <w:tc>
          <w:tcPr>
            <w:tcW w:w="625" w:type="pct"/>
            <w:vMerge w:val="restart"/>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3621FF" w:rsidRPr="00C65CAA" w:rsidRDefault="003621FF" w:rsidP="00B366F3">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Skutočnosť 2017</w:t>
            </w:r>
          </w:p>
        </w:tc>
        <w:tc>
          <w:tcPr>
            <w:tcW w:w="1252" w:type="pct"/>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3621FF" w:rsidRPr="00C65CAA" w:rsidRDefault="003621FF" w:rsidP="00B366F3">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Rozpočet</w:t>
            </w:r>
          </w:p>
        </w:tc>
        <w:tc>
          <w:tcPr>
            <w:tcW w:w="679" w:type="pct"/>
            <w:vMerge w:val="restart"/>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3621FF" w:rsidRPr="00C65CAA" w:rsidRDefault="003621FF" w:rsidP="00B366F3">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Rozdiel</w:t>
            </w:r>
          </w:p>
        </w:tc>
        <w:tc>
          <w:tcPr>
            <w:tcW w:w="679" w:type="pct"/>
            <w:vMerge w:val="restart"/>
            <w:tcBorders>
              <w:top w:val="single" w:sz="4" w:space="0" w:color="auto"/>
              <w:left w:val="single" w:sz="4" w:space="0" w:color="FFFFFF" w:themeColor="background1"/>
              <w:bottom w:val="single" w:sz="4" w:space="0" w:color="FFFFFF" w:themeColor="background1"/>
              <w:right w:val="single" w:sz="4" w:space="0" w:color="auto"/>
            </w:tcBorders>
            <w:shd w:val="clear" w:color="auto" w:fill="0070C0"/>
            <w:vAlign w:val="center"/>
          </w:tcPr>
          <w:p w:rsidR="003621FF" w:rsidRPr="00C65CAA" w:rsidRDefault="003621FF" w:rsidP="00B366F3">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Podiel (v %)</w:t>
            </w:r>
          </w:p>
        </w:tc>
      </w:tr>
      <w:tr w:rsidR="003621FF" w:rsidRPr="00C65CAA" w:rsidTr="00EB05EC">
        <w:trPr>
          <w:tblHeader/>
        </w:trPr>
        <w:tc>
          <w:tcPr>
            <w:tcW w:w="1765" w:type="pct"/>
            <w:vMerge/>
            <w:tcBorders>
              <w:top w:val="single" w:sz="4" w:space="0" w:color="FFFFFF" w:themeColor="background1"/>
              <w:left w:val="single" w:sz="4" w:space="0" w:color="auto"/>
              <w:bottom w:val="single" w:sz="4" w:space="0" w:color="auto"/>
              <w:right w:val="single" w:sz="4" w:space="0" w:color="FFFFFF" w:themeColor="background1"/>
            </w:tcBorders>
            <w:shd w:val="clear" w:color="auto" w:fill="0070C0"/>
          </w:tcPr>
          <w:p w:rsidR="003621FF" w:rsidRPr="00C65CAA" w:rsidRDefault="003621FF" w:rsidP="00B366F3">
            <w:pPr>
              <w:jc w:val="both"/>
              <w:rPr>
                <w:rFonts w:ascii="Arial Narrow" w:eastAsia="Calibri" w:hAnsi="Arial Narrow"/>
                <w:color w:val="FFFFFF" w:themeColor="background1"/>
                <w:sz w:val="20"/>
                <w:szCs w:val="20"/>
              </w:rPr>
            </w:pPr>
          </w:p>
        </w:tc>
        <w:tc>
          <w:tcPr>
            <w:tcW w:w="625" w:type="pct"/>
            <w:vMerge/>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tcPr>
          <w:p w:rsidR="003621FF" w:rsidRPr="00C65CAA" w:rsidRDefault="003621FF" w:rsidP="00B366F3">
            <w:pPr>
              <w:jc w:val="both"/>
              <w:rPr>
                <w:rFonts w:ascii="Arial Narrow" w:hAnsi="Arial Narrow"/>
                <w:color w:val="FFFFFF" w:themeColor="background1"/>
                <w:sz w:val="20"/>
                <w:szCs w:val="20"/>
              </w:rPr>
            </w:pPr>
          </w:p>
        </w:tc>
        <w:tc>
          <w:tcPr>
            <w:tcW w:w="573"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tcPr>
          <w:p w:rsidR="003621FF" w:rsidRPr="00C65CAA" w:rsidRDefault="003621FF" w:rsidP="00B366F3">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2018</w:t>
            </w:r>
          </w:p>
        </w:tc>
        <w:tc>
          <w:tcPr>
            <w:tcW w:w="679"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tcPr>
          <w:p w:rsidR="003621FF" w:rsidRPr="00C65CAA" w:rsidRDefault="003621FF" w:rsidP="00B366F3">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2019</w:t>
            </w:r>
          </w:p>
        </w:tc>
        <w:tc>
          <w:tcPr>
            <w:tcW w:w="679" w:type="pct"/>
            <w:vMerge/>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tcPr>
          <w:p w:rsidR="003621FF" w:rsidRPr="00C65CAA" w:rsidRDefault="003621FF" w:rsidP="00B366F3">
            <w:pPr>
              <w:jc w:val="both"/>
              <w:rPr>
                <w:rFonts w:ascii="Arial Narrow" w:hAnsi="Arial Narrow"/>
                <w:color w:val="FFFFFF" w:themeColor="background1"/>
                <w:sz w:val="20"/>
                <w:szCs w:val="20"/>
              </w:rPr>
            </w:pPr>
          </w:p>
        </w:tc>
        <w:tc>
          <w:tcPr>
            <w:tcW w:w="679" w:type="pct"/>
            <w:vMerge/>
            <w:tcBorders>
              <w:top w:val="single" w:sz="4" w:space="0" w:color="FFFFFF" w:themeColor="background1"/>
              <w:left w:val="single" w:sz="4" w:space="0" w:color="FFFFFF" w:themeColor="background1"/>
              <w:bottom w:val="single" w:sz="4" w:space="0" w:color="auto"/>
              <w:right w:val="single" w:sz="4" w:space="0" w:color="auto"/>
            </w:tcBorders>
            <w:shd w:val="clear" w:color="auto" w:fill="0070C0"/>
          </w:tcPr>
          <w:p w:rsidR="003621FF" w:rsidRPr="00C65CAA" w:rsidRDefault="003621FF" w:rsidP="00B366F3">
            <w:pPr>
              <w:jc w:val="both"/>
              <w:rPr>
                <w:rFonts w:ascii="Arial Narrow" w:hAnsi="Arial Narrow"/>
                <w:color w:val="FFFFFF" w:themeColor="background1"/>
                <w:sz w:val="20"/>
                <w:szCs w:val="20"/>
              </w:rPr>
            </w:pPr>
          </w:p>
        </w:tc>
      </w:tr>
      <w:tr w:rsidR="003621FF" w:rsidRPr="00C65CAA" w:rsidTr="00EB05EC">
        <w:trPr>
          <w:tblHeader/>
        </w:trPr>
        <w:tc>
          <w:tcPr>
            <w:tcW w:w="1765" w:type="pct"/>
            <w:tcBorders>
              <w:top w:val="single" w:sz="4" w:space="0" w:color="auto"/>
              <w:left w:val="single" w:sz="4" w:space="0" w:color="auto"/>
              <w:bottom w:val="single" w:sz="4" w:space="0" w:color="auto"/>
              <w:right w:val="single" w:sz="4" w:space="0" w:color="auto"/>
            </w:tcBorders>
            <w:shd w:val="clear" w:color="auto" w:fill="auto"/>
            <w:vAlign w:val="center"/>
          </w:tcPr>
          <w:p w:rsidR="003621FF" w:rsidRPr="00C65CAA" w:rsidRDefault="003621FF" w:rsidP="00B366F3">
            <w:pPr>
              <w:jc w:val="center"/>
              <w:rPr>
                <w:rFonts w:ascii="Arial Narrow" w:hAnsi="Arial Narrow"/>
                <w:bCs/>
                <w:sz w:val="20"/>
                <w:szCs w:val="20"/>
              </w:rPr>
            </w:pPr>
            <w:r w:rsidRPr="00C65CAA">
              <w:rPr>
                <w:rFonts w:ascii="Arial Narrow" w:hAnsi="Arial Narrow"/>
                <w:bCs/>
                <w:sz w:val="20"/>
                <w:szCs w:val="20"/>
              </w:rPr>
              <w:t>a</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3621FF" w:rsidRPr="00C65CAA" w:rsidRDefault="003621FF" w:rsidP="00B366F3">
            <w:pPr>
              <w:jc w:val="center"/>
              <w:rPr>
                <w:rFonts w:ascii="Arial Narrow" w:hAnsi="Arial Narrow"/>
                <w:sz w:val="20"/>
                <w:szCs w:val="20"/>
              </w:rPr>
            </w:pPr>
            <w:r w:rsidRPr="00C65CAA">
              <w:rPr>
                <w:rFonts w:ascii="Arial Narrow" w:hAnsi="Arial Narrow"/>
                <w:sz w:val="20"/>
                <w:szCs w:val="20"/>
              </w:rPr>
              <w:t>1</w:t>
            </w:r>
          </w:p>
        </w:tc>
        <w:tc>
          <w:tcPr>
            <w:tcW w:w="573" w:type="pct"/>
            <w:tcBorders>
              <w:top w:val="single" w:sz="4" w:space="0" w:color="auto"/>
              <w:left w:val="single" w:sz="4" w:space="0" w:color="auto"/>
              <w:bottom w:val="single" w:sz="4" w:space="0" w:color="auto"/>
              <w:right w:val="single" w:sz="4" w:space="0" w:color="auto"/>
            </w:tcBorders>
            <w:shd w:val="clear" w:color="auto" w:fill="auto"/>
          </w:tcPr>
          <w:p w:rsidR="003621FF" w:rsidRPr="00C65CAA" w:rsidRDefault="003621FF" w:rsidP="00B366F3">
            <w:pPr>
              <w:jc w:val="center"/>
              <w:rPr>
                <w:rFonts w:ascii="Arial Narrow" w:hAnsi="Arial Narrow"/>
                <w:sz w:val="20"/>
                <w:szCs w:val="20"/>
              </w:rPr>
            </w:pPr>
            <w:r w:rsidRPr="00C65CAA">
              <w:rPr>
                <w:rFonts w:ascii="Arial Narrow" w:hAnsi="Arial Narrow"/>
                <w:sz w:val="20"/>
                <w:szCs w:val="20"/>
              </w:rPr>
              <w:t>2</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3621FF" w:rsidRPr="00C65CAA" w:rsidRDefault="003621FF" w:rsidP="00B366F3">
            <w:pPr>
              <w:jc w:val="center"/>
              <w:rPr>
                <w:rFonts w:ascii="Arial Narrow" w:hAnsi="Arial Narrow"/>
                <w:sz w:val="20"/>
                <w:szCs w:val="20"/>
              </w:rPr>
            </w:pPr>
            <w:r w:rsidRPr="00C65CAA">
              <w:rPr>
                <w:rFonts w:ascii="Arial Narrow" w:hAnsi="Arial Narrow"/>
                <w:sz w:val="20"/>
                <w:szCs w:val="20"/>
              </w:rPr>
              <w:t>3</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3621FF" w:rsidRPr="00C65CAA" w:rsidRDefault="003621FF" w:rsidP="00B366F3">
            <w:pPr>
              <w:jc w:val="center"/>
              <w:rPr>
                <w:rFonts w:ascii="Arial Narrow" w:hAnsi="Arial Narrow"/>
                <w:sz w:val="20"/>
                <w:szCs w:val="20"/>
              </w:rPr>
            </w:pPr>
            <w:r w:rsidRPr="00C65CAA">
              <w:rPr>
                <w:rFonts w:ascii="Arial Narrow" w:hAnsi="Arial Narrow"/>
                <w:sz w:val="20"/>
                <w:szCs w:val="20"/>
              </w:rPr>
              <w:t>3-2</w:t>
            </w:r>
          </w:p>
        </w:tc>
        <w:tc>
          <w:tcPr>
            <w:tcW w:w="679" w:type="pct"/>
            <w:tcBorders>
              <w:top w:val="single" w:sz="4" w:space="0" w:color="auto"/>
              <w:left w:val="single" w:sz="4" w:space="0" w:color="auto"/>
              <w:bottom w:val="single" w:sz="4" w:space="0" w:color="auto"/>
              <w:right w:val="single" w:sz="4" w:space="0" w:color="auto"/>
            </w:tcBorders>
            <w:shd w:val="clear" w:color="auto" w:fill="auto"/>
          </w:tcPr>
          <w:p w:rsidR="003621FF" w:rsidRPr="00C65CAA" w:rsidRDefault="003621FF" w:rsidP="00B366F3">
            <w:pPr>
              <w:jc w:val="center"/>
              <w:rPr>
                <w:rFonts w:ascii="Arial Narrow" w:hAnsi="Arial Narrow"/>
                <w:sz w:val="20"/>
                <w:szCs w:val="20"/>
              </w:rPr>
            </w:pPr>
            <w:r w:rsidRPr="00C65CAA">
              <w:rPr>
                <w:rFonts w:ascii="Arial Narrow" w:hAnsi="Arial Narrow"/>
                <w:sz w:val="20"/>
                <w:szCs w:val="20"/>
              </w:rPr>
              <w:t>3/2*100</w:t>
            </w:r>
          </w:p>
        </w:tc>
      </w:tr>
      <w:tr w:rsidR="003621FF" w:rsidRPr="00C65CAA" w:rsidTr="00EB05EC">
        <w:tc>
          <w:tcPr>
            <w:tcW w:w="1765" w:type="pct"/>
            <w:tcBorders>
              <w:top w:val="single" w:sz="4" w:space="0" w:color="auto"/>
            </w:tcBorders>
            <w:vAlign w:val="center"/>
          </w:tcPr>
          <w:p w:rsidR="003621FF" w:rsidRPr="00C65CAA" w:rsidRDefault="003621FF" w:rsidP="00B366F3">
            <w:pPr>
              <w:rPr>
                <w:rFonts w:ascii="Arial Narrow" w:hAnsi="Arial Narrow"/>
                <w:bCs/>
                <w:sz w:val="20"/>
                <w:szCs w:val="20"/>
              </w:rPr>
            </w:pPr>
            <w:r w:rsidRPr="00C65CAA">
              <w:rPr>
                <w:rFonts w:ascii="Arial Narrow" w:hAnsi="Arial Narrow"/>
                <w:bCs/>
                <w:sz w:val="20"/>
                <w:szCs w:val="20"/>
              </w:rPr>
              <w:t>Príjmy spolu</w:t>
            </w:r>
          </w:p>
        </w:tc>
        <w:tc>
          <w:tcPr>
            <w:tcW w:w="625" w:type="pct"/>
            <w:tcBorders>
              <w:top w:val="single" w:sz="4" w:space="0" w:color="auto"/>
            </w:tcBorders>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395 673</w:t>
            </w:r>
          </w:p>
        </w:tc>
        <w:tc>
          <w:tcPr>
            <w:tcW w:w="573" w:type="pct"/>
            <w:tcBorders>
              <w:top w:val="single" w:sz="4" w:space="0" w:color="auto"/>
            </w:tcBorders>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500 393</w:t>
            </w:r>
          </w:p>
        </w:tc>
        <w:tc>
          <w:tcPr>
            <w:tcW w:w="679" w:type="pct"/>
            <w:tcBorders>
              <w:top w:val="single" w:sz="4" w:space="0" w:color="auto"/>
            </w:tcBorders>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691 837</w:t>
            </w:r>
          </w:p>
        </w:tc>
        <w:tc>
          <w:tcPr>
            <w:tcW w:w="679" w:type="pct"/>
            <w:tcBorders>
              <w:top w:val="single" w:sz="4" w:space="0" w:color="auto"/>
            </w:tcBorders>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191 444</w:t>
            </w:r>
          </w:p>
        </w:tc>
        <w:tc>
          <w:tcPr>
            <w:tcW w:w="679" w:type="pct"/>
            <w:tcBorders>
              <w:top w:val="single" w:sz="4" w:space="0" w:color="auto"/>
            </w:tcBorders>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138,3</w:t>
            </w:r>
          </w:p>
        </w:tc>
      </w:tr>
      <w:tr w:rsidR="003621FF" w:rsidRPr="00C65CAA" w:rsidTr="00EB05EC">
        <w:tc>
          <w:tcPr>
            <w:tcW w:w="1765" w:type="pct"/>
            <w:vAlign w:val="center"/>
          </w:tcPr>
          <w:p w:rsidR="003621FF" w:rsidRPr="00C65CAA" w:rsidRDefault="003621FF" w:rsidP="00B366F3">
            <w:pPr>
              <w:rPr>
                <w:rFonts w:ascii="Arial Narrow" w:hAnsi="Arial Narrow"/>
                <w:bCs/>
                <w:sz w:val="20"/>
                <w:szCs w:val="20"/>
              </w:rPr>
            </w:pPr>
            <w:r w:rsidRPr="00C65CAA">
              <w:rPr>
                <w:rFonts w:ascii="Arial Narrow" w:hAnsi="Arial Narrow"/>
                <w:bCs/>
                <w:sz w:val="20"/>
                <w:szCs w:val="20"/>
              </w:rPr>
              <w:t>Výdavky spolu</w:t>
            </w:r>
          </w:p>
        </w:tc>
        <w:tc>
          <w:tcPr>
            <w:tcW w:w="625" w:type="pct"/>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48 441</w:t>
            </w:r>
          </w:p>
        </w:tc>
        <w:tc>
          <w:tcPr>
            <w:tcW w:w="573" w:type="pct"/>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27 027</w:t>
            </w:r>
          </w:p>
        </w:tc>
        <w:tc>
          <w:tcPr>
            <w:tcW w:w="679" w:type="pct"/>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81 851</w:t>
            </w:r>
          </w:p>
        </w:tc>
        <w:tc>
          <w:tcPr>
            <w:tcW w:w="679" w:type="pct"/>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54 824</w:t>
            </w:r>
          </w:p>
        </w:tc>
        <w:tc>
          <w:tcPr>
            <w:tcW w:w="679" w:type="pct"/>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302,8</w:t>
            </w:r>
          </w:p>
        </w:tc>
      </w:tr>
      <w:tr w:rsidR="003621FF" w:rsidRPr="00C65CAA" w:rsidTr="00EB05EC">
        <w:tc>
          <w:tcPr>
            <w:tcW w:w="1765" w:type="pct"/>
            <w:vAlign w:val="center"/>
          </w:tcPr>
          <w:p w:rsidR="003621FF" w:rsidRPr="00C65CAA" w:rsidRDefault="003621FF" w:rsidP="00B366F3">
            <w:pPr>
              <w:rPr>
                <w:rFonts w:ascii="Arial Narrow" w:hAnsi="Arial Narrow"/>
                <w:bCs/>
                <w:sz w:val="20"/>
                <w:szCs w:val="20"/>
              </w:rPr>
            </w:pPr>
            <w:r w:rsidRPr="00C65CAA">
              <w:rPr>
                <w:rFonts w:ascii="Arial Narrow" w:hAnsi="Arial Narrow"/>
                <w:bCs/>
                <w:sz w:val="20"/>
                <w:szCs w:val="20"/>
              </w:rPr>
              <w:t>Celková bilancia</w:t>
            </w:r>
          </w:p>
        </w:tc>
        <w:tc>
          <w:tcPr>
            <w:tcW w:w="625" w:type="pct"/>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347 232</w:t>
            </w:r>
          </w:p>
        </w:tc>
        <w:tc>
          <w:tcPr>
            <w:tcW w:w="573" w:type="pct"/>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473 365</w:t>
            </w:r>
          </w:p>
        </w:tc>
        <w:tc>
          <w:tcPr>
            <w:tcW w:w="679" w:type="pct"/>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609 985</w:t>
            </w:r>
          </w:p>
        </w:tc>
        <w:tc>
          <w:tcPr>
            <w:tcW w:w="679" w:type="pct"/>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136 620</w:t>
            </w:r>
          </w:p>
        </w:tc>
        <w:tc>
          <w:tcPr>
            <w:tcW w:w="679" w:type="pct"/>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128,9</w:t>
            </w:r>
          </w:p>
        </w:tc>
      </w:tr>
      <w:tr w:rsidR="003621FF" w:rsidRPr="00C65CAA" w:rsidTr="00EB05EC">
        <w:tc>
          <w:tcPr>
            <w:tcW w:w="1765" w:type="pct"/>
            <w:vAlign w:val="center"/>
          </w:tcPr>
          <w:p w:rsidR="003621FF" w:rsidRPr="00C65CAA" w:rsidRDefault="003621FF" w:rsidP="00B366F3">
            <w:pPr>
              <w:rPr>
                <w:rFonts w:ascii="Arial Narrow" w:hAnsi="Arial Narrow"/>
                <w:bCs/>
                <w:sz w:val="20"/>
                <w:szCs w:val="20"/>
              </w:rPr>
            </w:pPr>
            <w:r w:rsidRPr="00C65CAA">
              <w:rPr>
                <w:rFonts w:ascii="Arial Narrow" w:hAnsi="Arial Narrow"/>
                <w:bCs/>
                <w:sz w:val="20"/>
                <w:szCs w:val="20"/>
              </w:rPr>
              <w:t>Prebytok spolu (ESA 2010)</w:t>
            </w:r>
          </w:p>
        </w:tc>
        <w:tc>
          <w:tcPr>
            <w:tcW w:w="625" w:type="pct"/>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48 856</w:t>
            </w:r>
          </w:p>
        </w:tc>
        <w:tc>
          <w:tcPr>
            <w:tcW w:w="573" w:type="pct"/>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130 012</w:t>
            </w:r>
          </w:p>
        </w:tc>
        <w:tc>
          <w:tcPr>
            <w:tcW w:w="679" w:type="pct"/>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123 416</w:t>
            </w:r>
          </w:p>
        </w:tc>
        <w:tc>
          <w:tcPr>
            <w:tcW w:w="679" w:type="pct"/>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-6 596</w:t>
            </w:r>
          </w:p>
        </w:tc>
        <w:tc>
          <w:tcPr>
            <w:tcW w:w="679" w:type="pct"/>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94,9</w:t>
            </w:r>
          </w:p>
        </w:tc>
      </w:tr>
    </w:tbl>
    <w:p w:rsidR="003621FF" w:rsidRPr="00C65CAA" w:rsidRDefault="003621FF" w:rsidP="00B366F3">
      <w:pPr>
        <w:autoSpaceDE w:val="0"/>
        <w:autoSpaceDN w:val="0"/>
        <w:adjustRightInd w:val="0"/>
        <w:spacing w:after="100"/>
        <w:jc w:val="both"/>
        <w:rPr>
          <w:rFonts w:ascii="Arial Narrow" w:eastAsiaTheme="minorHAnsi" w:hAnsi="Arial Narrow"/>
          <w:sz w:val="20"/>
          <w:lang w:eastAsia="en-US"/>
        </w:rPr>
      </w:pPr>
      <w:r w:rsidRPr="00C65CAA">
        <w:rPr>
          <w:rFonts w:ascii="Arial Narrow" w:eastAsiaTheme="minorHAnsi" w:hAnsi="Arial Narrow"/>
          <w:sz w:val="20"/>
          <w:lang w:eastAsia="en-US"/>
        </w:rPr>
        <w:t>Zdroj: Návrh RVS na roky 2019 až 2021</w:t>
      </w:r>
    </w:p>
    <w:p w:rsidR="003621FF" w:rsidRPr="00C65CAA" w:rsidRDefault="003621FF"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Celkový rozpočet fondu je zostavený obdobne ako v roku 2018 ako prebytkový, hotovostný prebytok EF sa rozpočtuje v roku 2019 v sume 609 985 tis. eur. Bilančný zostatok EF na konsolidovanej báze v metodike ESA 2010 sa má v roku 2019 znížiť o 6 596 tis. eur na úroveň 123 416 tis. eur.</w:t>
      </w:r>
    </w:p>
    <w:p w:rsidR="003621FF" w:rsidRPr="00C65CAA" w:rsidRDefault="003621FF"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Rozpočet príjmov EF na rok 2019 bol stanovený na úrovni 691 837 tis. eur, čo predstavuje v po</w:t>
      </w:r>
      <w:r w:rsidR="00A6106A" w:rsidRPr="00C65CAA">
        <w:rPr>
          <w:rFonts w:ascii="Arial Narrow" w:eastAsiaTheme="minorHAnsi" w:hAnsi="Arial Narrow" w:cstheme="minorBidi"/>
          <w:sz w:val="22"/>
          <w:szCs w:val="22"/>
          <w:lang w:eastAsia="en-US"/>
        </w:rPr>
        <w:t>rovnaní so </w:t>
      </w:r>
      <w:r w:rsidRPr="00C65CAA">
        <w:rPr>
          <w:rFonts w:ascii="Arial Narrow" w:eastAsiaTheme="minorHAnsi" w:hAnsi="Arial Narrow" w:cstheme="minorBidi"/>
          <w:sz w:val="22"/>
          <w:szCs w:val="22"/>
          <w:lang w:eastAsia="en-US"/>
        </w:rPr>
        <w:t>schváleným rozpočtom na rok 2018 nárast o 191 444 tis. eur</w:t>
      </w:r>
      <w:r w:rsidR="00AF333A"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a to najmä z dôvodu vyššieho zostatku prostriedkov z predchádzajúceho roka (medziročný nárast o 143 217 tis. eur). Takisto sa očakáva nárast príjmu z predaja emisných kvót o 20 000 tis. eur. </w:t>
      </w:r>
    </w:p>
    <w:p w:rsidR="003621FF" w:rsidRPr="00C65CAA" w:rsidRDefault="003621FF" w:rsidP="00256AF8">
      <w:pPr>
        <w:spacing w:before="100" w:after="100"/>
        <w:ind w:firstLine="709"/>
        <w:jc w:val="both"/>
        <w:rPr>
          <w:rFonts w:ascii="Arial Narrow" w:hAnsi="Arial Narrow"/>
          <w:sz w:val="22"/>
          <w:szCs w:val="22"/>
        </w:rPr>
      </w:pPr>
      <w:r w:rsidRPr="00C65CAA">
        <w:rPr>
          <w:rFonts w:ascii="Arial Narrow" w:hAnsi="Arial Narrow"/>
          <w:sz w:val="22"/>
          <w:szCs w:val="22"/>
        </w:rPr>
        <w:t xml:space="preserve">Z pohľadu NKÚ SR by na zlepšenie napĺňania cieľov EF bolo vhodné stanovenie pevného podielu príjmov z aukcií emisných kvót, ktoré by mohli byť použité na projekty fondu. Finančné prostriedky získané z aukcií emisií by mali na 50 % putovať naspäť do životného prostredia, momentálne však slúžia ako rezerva pre štátny rozpočet, </w:t>
      </w:r>
      <w:r w:rsidRPr="00C65CAA">
        <w:rPr>
          <w:rFonts w:ascii="Arial Narrow" w:hAnsi="Arial Narrow"/>
          <w:sz w:val="22"/>
          <w:szCs w:val="22"/>
        </w:rPr>
        <w:lastRenderedPageBreak/>
        <w:t>aj keď sú viazané v EF, iba sa nedajú použiť. Nadhodnocovanie príjmov a podhodnocovanie výdavkov spôsobuje negatívne rozpočtové riziko. Hlavnou príčinou nadhodnocovania príjmov je nadhodnocovanie výnosov z dražby emisných kvót, ktoré majú na príjmoch fondu najväčší podiel. Od roku 2015 dostáva fond</w:t>
      </w:r>
      <w:r w:rsidR="00AF333A" w:rsidRPr="00C65CAA">
        <w:rPr>
          <w:rFonts w:ascii="Arial Narrow" w:hAnsi="Arial Narrow"/>
          <w:sz w:val="22"/>
          <w:szCs w:val="22"/>
        </w:rPr>
        <w:t>,</w:t>
      </w:r>
      <w:r w:rsidRPr="00C65CAA">
        <w:rPr>
          <w:rFonts w:ascii="Arial Narrow" w:hAnsi="Arial Narrow"/>
          <w:sz w:val="22"/>
          <w:szCs w:val="22"/>
        </w:rPr>
        <w:t xml:space="preserve"> okrem svojich ostatných príjmov</w:t>
      </w:r>
      <w:r w:rsidR="00AF333A" w:rsidRPr="00C65CAA">
        <w:rPr>
          <w:rFonts w:ascii="Arial Narrow" w:hAnsi="Arial Narrow"/>
          <w:sz w:val="22"/>
          <w:szCs w:val="22"/>
        </w:rPr>
        <w:t>,</w:t>
      </w:r>
      <w:r w:rsidRPr="00C65CAA">
        <w:rPr>
          <w:rFonts w:ascii="Arial Narrow" w:hAnsi="Arial Narrow"/>
          <w:sz w:val="22"/>
          <w:szCs w:val="22"/>
        </w:rPr>
        <w:t xml:space="preserve"> aj všetky príjmy z aukcií emisných kvót v objeme približne 70 000 tis. eur až 140 000 tis. eur ročne. </w:t>
      </w:r>
    </w:p>
    <w:p w:rsidR="003621FF" w:rsidRPr="00C65CAA" w:rsidRDefault="003621FF"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 xml:space="preserve">Výdavky EF na rok 2019 medziročne </w:t>
      </w:r>
      <w:r w:rsidR="00AF333A" w:rsidRPr="00C65CAA">
        <w:rPr>
          <w:rFonts w:ascii="Arial Narrow" w:eastAsiaTheme="minorHAnsi" w:hAnsi="Arial Narrow" w:cstheme="minorBidi"/>
          <w:sz w:val="22"/>
          <w:szCs w:val="22"/>
          <w:lang w:eastAsia="en-US"/>
        </w:rPr>
        <w:t>vz</w:t>
      </w:r>
      <w:r w:rsidRPr="00C65CAA">
        <w:rPr>
          <w:rFonts w:ascii="Arial Narrow" w:eastAsiaTheme="minorHAnsi" w:hAnsi="Arial Narrow" w:cstheme="minorBidi"/>
          <w:sz w:val="22"/>
          <w:szCs w:val="22"/>
          <w:lang w:eastAsia="en-US"/>
        </w:rPr>
        <w:t xml:space="preserve">rastú oproti rozpočtu na rok 2018 o 54 824 tis. eur. Výrazný medziročný nárast je spôsobený jednak </w:t>
      </w:r>
      <w:r w:rsidR="006E3BB8" w:rsidRPr="00C65CAA">
        <w:rPr>
          <w:rFonts w:ascii="Arial Narrow" w:eastAsiaTheme="minorHAnsi" w:hAnsi="Arial Narrow" w:cstheme="minorBidi"/>
          <w:sz w:val="22"/>
          <w:szCs w:val="22"/>
          <w:lang w:eastAsia="en-US"/>
        </w:rPr>
        <w:t>pripravovanou</w:t>
      </w:r>
      <w:r w:rsidRPr="00C65CAA">
        <w:rPr>
          <w:rFonts w:ascii="Arial Narrow" w:eastAsiaTheme="minorHAnsi" w:hAnsi="Arial Narrow" w:cstheme="minorBidi"/>
          <w:sz w:val="22"/>
          <w:szCs w:val="22"/>
          <w:lang w:eastAsia="en-US"/>
        </w:rPr>
        <w:t xml:space="preserve"> zmenou zákona o poplatk</w:t>
      </w:r>
      <w:r w:rsidR="00AF333A" w:rsidRPr="00C65CAA">
        <w:rPr>
          <w:rFonts w:ascii="Arial Narrow" w:eastAsiaTheme="minorHAnsi" w:hAnsi="Arial Narrow" w:cstheme="minorBidi"/>
          <w:sz w:val="22"/>
          <w:szCs w:val="22"/>
          <w:lang w:eastAsia="en-US"/>
        </w:rPr>
        <w:t>och za uloženie odpadu, keď</w:t>
      </w:r>
      <w:r w:rsidR="006E3BB8" w:rsidRPr="00C65CAA">
        <w:rPr>
          <w:rFonts w:ascii="Arial Narrow" w:eastAsiaTheme="minorHAnsi" w:hAnsi="Arial Narrow" w:cstheme="minorBidi"/>
          <w:sz w:val="22"/>
          <w:szCs w:val="22"/>
          <w:lang w:eastAsia="en-US"/>
        </w:rPr>
        <w:t xml:space="preserve"> na </w:t>
      </w:r>
      <w:r w:rsidRPr="00C65CAA">
        <w:rPr>
          <w:rFonts w:ascii="Arial Narrow" w:eastAsiaTheme="minorHAnsi" w:hAnsi="Arial Narrow" w:cstheme="minorBidi"/>
          <w:sz w:val="22"/>
          <w:szCs w:val="22"/>
          <w:lang w:eastAsia="en-US"/>
        </w:rPr>
        <w:t>jednej strane EF začne prijímať poplatky za uloženie odpadov, no na strane druhej tento príjem fond ďalej použije na financovanie projektov v</w:t>
      </w:r>
      <w:r w:rsidR="00AF333A" w:rsidRPr="00C65CAA">
        <w:rPr>
          <w:rFonts w:ascii="Arial Narrow" w:eastAsiaTheme="minorHAnsi" w:hAnsi="Arial Narrow" w:cstheme="minorBidi"/>
          <w:sz w:val="22"/>
          <w:szCs w:val="22"/>
          <w:lang w:eastAsia="en-US"/>
        </w:rPr>
        <w:t> </w:t>
      </w:r>
      <w:r w:rsidRPr="00C65CAA">
        <w:rPr>
          <w:rFonts w:ascii="Arial Narrow" w:eastAsiaTheme="minorHAnsi" w:hAnsi="Arial Narrow" w:cstheme="minorBidi"/>
          <w:sz w:val="22"/>
          <w:szCs w:val="22"/>
          <w:lang w:eastAsia="en-US"/>
        </w:rPr>
        <w:t>obciach</w:t>
      </w:r>
      <w:r w:rsidR="00AF333A"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podľa zákonom stanovených podmienok. Tento výdavok v podobe bežného transferu pre obce bol na rok 2019 vyčíslený na 14 600 tis. eur. Ďalší medziročný nárast výdavkov spôsobia kapitálové transfery, ktoré rastú o 40 000 tis. eur a budú určené na budo</w:t>
      </w:r>
      <w:r w:rsidR="006E3BB8" w:rsidRPr="00C65CAA">
        <w:rPr>
          <w:rFonts w:ascii="Arial Narrow" w:eastAsiaTheme="minorHAnsi" w:hAnsi="Arial Narrow" w:cstheme="minorBidi"/>
          <w:sz w:val="22"/>
          <w:szCs w:val="22"/>
          <w:lang w:eastAsia="en-US"/>
        </w:rPr>
        <w:t>vanie vodovodov a kanalizácií v </w:t>
      </w:r>
      <w:r w:rsidRPr="00C65CAA">
        <w:rPr>
          <w:rFonts w:ascii="Arial Narrow" w:eastAsiaTheme="minorHAnsi" w:hAnsi="Arial Narrow" w:cstheme="minorBidi"/>
          <w:sz w:val="22"/>
          <w:szCs w:val="22"/>
          <w:lang w:eastAsia="en-US"/>
        </w:rPr>
        <w:t xml:space="preserve">obciach. </w:t>
      </w:r>
    </w:p>
    <w:p w:rsidR="003621FF" w:rsidRDefault="003621FF" w:rsidP="00256AF8">
      <w:pPr>
        <w:spacing w:before="100" w:after="100"/>
        <w:ind w:firstLine="709"/>
        <w:jc w:val="both"/>
        <w:rPr>
          <w:rFonts w:ascii="Arial Narrow" w:hAnsi="Arial Narrow"/>
          <w:sz w:val="22"/>
          <w:szCs w:val="22"/>
        </w:rPr>
      </w:pPr>
      <w:r w:rsidRPr="00C65CAA">
        <w:rPr>
          <w:rFonts w:ascii="Arial Narrow" w:hAnsi="Arial Narrow"/>
          <w:sz w:val="22"/>
          <w:szCs w:val="22"/>
        </w:rPr>
        <w:t>Fond sám nerozhoduje o svojich výdavkoch, ale je každoročne odkázaný na dohodu s MF SR. Pri každej príprave rozpočtu musí fond svoje výdavky prerokúvať s MF SR, hoci podľa európskych záväzkov by malo byť aspoň 50 % príjmov z obchodovania s emisnými kvótami použitých na zelené ciele. Výdavky sa práve z dôvodu týchto rokovaní rastúcim príjmom neprispôsobili – za roky 2016 a 2017 predstavovali priemerne šestinu ročných príjmov fondu. Zostávajúca časť príjmov sa de facto využíva ako rozpočtová rezerva. Zmenu rozpočtovania príjmov je nevyhnutné spojiť s lepším plánovaním výdavkov, ktoré zaručí nedeficitné hospodárenie.</w:t>
      </w:r>
    </w:p>
    <w:p w:rsidR="00085B32" w:rsidRPr="00C65CAA" w:rsidRDefault="00085B32" w:rsidP="00256AF8">
      <w:pPr>
        <w:spacing w:before="100" w:after="100"/>
        <w:ind w:firstLine="709"/>
        <w:jc w:val="both"/>
        <w:rPr>
          <w:rFonts w:ascii="Arial Narrow" w:hAnsi="Arial Narrow"/>
          <w:sz w:val="22"/>
          <w:szCs w:val="22"/>
        </w:rPr>
      </w:pPr>
    </w:p>
    <w:p w:rsidR="003621FF" w:rsidRPr="00C65CAA" w:rsidRDefault="003621FF" w:rsidP="00256AF8">
      <w:pPr>
        <w:pStyle w:val="Nadpis2"/>
        <w:numPr>
          <w:ilvl w:val="1"/>
          <w:numId w:val="92"/>
        </w:numPr>
        <w:tabs>
          <w:tab w:val="left" w:pos="1276"/>
        </w:tabs>
        <w:spacing w:before="100" w:after="100"/>
        <w:rPr>
          <w:szCs w:val="22"/>
        </w:rPr>
      </w:pPr>
      <w:bookmarkStart w:id="56" w:name="_Toc497915308"/>
      <w:bookmarkStart w:id="57" w:name="_Toc529507618"/>
      <w:r w:rsidRPr="00C65CAA">
        <w:rPr>
          <w:szCs w:val="22"/>
        </w:rPr>
        <w:t>Stanovisko k návrhu rozpočtu Štátneho fondu rozvoja bývania na rok 201</w:t>
      </w:r>
      <w:bookmarkEnd w:id="56"/>
      <w:r w:rsidRPr="00C65CAA">
        <w:rPr>
          <w:szCs w:val="22"/>
        </w:rPr>
        <w:t>9</w:t>
      </w:r>
      <w:bookmarkEnd w:id="57"/>
    </w:p>
    <w:p w:rsidR="003621FF" w:rsidRPr="00C65CAA" w:rsidRDefault="003621FF" w:rsidP="00256AF8">
      <w:pPr>
        <w:spacing w:before="100" w:after="100"/>
        <w:ind w:firstLine="709"/>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 xml:space="preserve">Správu ŠFRB vykonáva Ministerstvo dopravy a výstavby SR. </w:t>
      </w:r>
    </w:p>
    <w:p w:rsidR="003621FF" w:rsidRPr="00C65CAA" w:rsidRDefault="003621FF"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Porovnanie bilančného zostatku ŠFRB na akruálnej báze v metodike ESA 20</w:t>
      </w:r>
      <w:r w:rsidR="006E3BB8" w:rsidRPr="00C65CAA">
        <w:rPr>
          <w:rFonts w:ascii="Arial Narrow" w:eastAsiaTheme="minorHAnsi" w:hAnsi="Arial Narrow" w:cstheme="minorBidi"/>
          <w:sz w:val="22"/>
          <w:szCs w:val="22"/>
          <w:lang w:eastAsia="en-US"/>
        </w:rPr>
        <w:t>10 v návrhu rozpočtu na rok </w:t>
      </w:r>
      <w:r w:rsidRPr="00C65CAA">
        <w:rPr>
          <w:rFonts w:ascii="Arial Narrow" w:eastAsiaTheme="minorHAnsi" w:hAnsi="Arial Narrow" w:cstheme="minorBidi"/>
          <w:sz w:val="22"/>
          <w:szCs w:val="22"/>
          <w:lang w:eastAsia="en-US"/>
        </w:rPr>
        <w:t>2019 so schváleným rozpočtom na rok 2018 a skutočným plnením rozpočtu za rok 2017:</w:t>
      </w:r>
    </w:p>
    <w:tbl>
      <w:tblPr>
        <w:tblStyle w:val="Mriekatabuky"/>
        <w:tblW w:w="5000" w:type="pct"/>
        <w:tblLook w:val="04A0" w:firstRow="1" w:lastRow="0" w:firstColumn="1" w:lastColumn="0" w:noHBand="0" w:noVBand="1"/>
      </w:tblPr>
      <w:tblGrid>
        <w:gridCol w:w="3623"/>
        <w:gridCol w:w="1644"/>
        <w:gridCol w:w="861"/>
        <w:gridCol w:w="863"/>
        <w:gridCol w:w="852"/>
        <w:gridCol w:w="1220"/>
      </w:tblGrid>
      <w:tr w:rsidR="003621FF" w:rsidRPr="00C65CAA" w:rsidTr="00EB05EC">
        <w:trPr>
          <w:tblHeader/>
        </w:trPr>
        <w:tc>
          <w:tcPr>
            <w:tcW w:w="1998" w:type="pct"/>
            <w:vMerge w:val="restart"/>
            <w:tcBorders>
              <w:top w:val="single" w:sz="4" w:space="0" w:color="auto"/>
              <w:left w:val="single" w:sz="4" w:space="0" w:color="auto"/>
              <w:bottom w:val="single" w:sz="4" w:space="0" w:color="FFFFFF" w:themeColor="background1"/>
              <w:right w:val="single" w:sz="4" w:space="0" w:color="FFFFFF" w:themeColor="background1"/>
            </w:tcBorders>
            <w:shd w:val="clear" w:color="auto" w:fill="0070C0"/>
            <w:vAlign w:val="center"/>
          </w:tcPr>
          <w:p w:rsidR="003621FF" w:rsidRPr="00C65CAA" w:rsidRDefault="003621FF" w:rsidP="00B366F3">
            <w:pPr>
              <w:jc w:val="center"/>
              <w:rPr>
                <w:rFonts w:ascii="Arial Narrow" w:eastAsia="Calibri" w:hAnsi="Arial Narrow"/>
                <w:b/>
                <w:color w:val="FFFFFF" w:themeColor="background1"/>
                <w:sz w:val="20"/>
                <w:szCs w:val="20"/>
              </w:rPr>
            </w:pPr>
            <w:r w:rsidRPr="00C65CAA">
              <w:rPr>
                <w:rFonts w:ascii="Arial Narrow" w:eastAsia="Calibri" w:hAnsi="Arial Narrow"/>
                <w:b/>
                <w:bCs/>
                <w:color w:val="FFFFFF" w:themeColor="background1"/>
                <w:sz w:val="20"/>
                <w:szCs w:val="20"/>
              </w:rPr>
              <w:t>Názov ukazovateľa (v tis. eur)</w:t>
            </w:r>
          </w:p>
        </w:tc>
        <w:tc>
          <w:tcPr>
            <w:tcW w:w="907" w:type="pct"/>
            <w:vMerge w:val="restart"/>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3621FF" w:rsidRPr="00C65CAA" w:rsidRDefault="003621FF" w:rsidP="00B366F3">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Skutočnosť 2017</w:t>
            </w:r>
          </w:p>
        </w:tc>
        <w:tc>
          <w:tcPr>
            <w:tcW w:w="951" w:type="pct"/>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3621FF" w:rsidRPr="00C65CAA" w:rsidRDefault="003621FF" w:rsidP="00B366F3">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Rozpočet</w:t>
            </w:r>
          </w:p>
        </w:tc>
        <w:tc>
          <w:tcPr>
            <w:tcW w:w="470" w:type="pct"/>
            <w:vMerge w:val="restart"/>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70C0"/>
            <w:vAlign w:val="center"/>
          </w:tcPr>
          <w:p w:rsidR="003621FF" w:rsidRPr="00C65CAA" w:rsidRDefault="003621FF" w:rsidP="00B366F3">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Rozdiel</w:t>
            </w:r>
          </w:p>
        </w:tc>
        <w:tc>
          <w:tcPr>
            <w:tcW w:w="673" w:type="pct"/>
            <w:vMerge w:val="restart"/>
            <w:tcBorders>
              <w:top w:val="single" w:sz="4" w:space="0" w:color="auto"/>
              <w:left w:val="single" w:sz="4" w:space="0" w:color="FFFFFF" w:themeColor="background1"/>
              <w:bottom w:val="single" w:sz="4" w:space="0" w:color="FFFFFF" w:themeColor="background1"/>
              <w:right w:val="single" w:sz="4" w:space="0" w:color="auto"/>
            </w:tcBorders>
            <w:shd w:val="clear" w:color="auto" w:fill="0070C0"/>
            <w:vAlign w:val="center"/>
          </w:tcPr>
          <w:p w:rsidR="003621FF" w:rsidRPr="00C65CAA" w:rsidRDefault="003621FF" w:rsidP="00B366F3">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Podiel (v %)</w:t>
            </w:r>
          </w:p>
        </w:tc>
      </w:tr>
      <w:tr w:rsidR="003621FF" w:rsidRPr="00C65CAA" w:rsidTr="00EB05EC">
        <w:trPr>
          <w:tblHeader/>
        </w:trPr>
        <w:tc>
          <w:tcPr>
            <w:tcW w:w="1998" w:type="pct"/>
            <w:vMerge/>
            <w:tcBorders>
              <w:top w:val="single" w:sz="4" w:space="0" w:color="FFFFFF" w:themeColor="background1"/>
              <w:left w:val="single" w:sz="4" w:space="0" w:color="auto"/>
              <w:bottom w:val="single" w:sz="4" w:space="0" w:color="auto"/>
              <w:right w:val="single" w:sz="4" w:space="0" w:color="FFFFFF" w:themeColor="background1"/>
            </w:tcBorders>
            <w:shd w:val="clear" w:color="auto" w:fill="0070C0"/>
          </w:tcPr>
          <w:p w:rsidR="003621FF" w:rsidRPr="00C65CAA" w:rsidRDefault="003621FF" w:rsidP="00B366F3">
            <w:pPr>
              <w:jc w:val="both"/>
              <w:rPr>
                <w:rFonts w:ascii="Arial Narrow" w:eastAsia="Calibri" w:hAnsi="Arial Narrow"/>
                <w:color w:val="FFFFFF" w:themeColor="background1"/>
                <w:sz w:val="20"/>
                <w:szCs w:val="20"/>
              </w:rPr>
            </w:pPr>
          </w:p>
        </w:tc>
        <w:tc>
          <w:tcPr>
            <w:tcW w:w="907" w:type="pct"/>
            <w:vMerge/>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tcPr>
          <w:p w:rsidR="003621FF" w:rsidRPr="00C65CAA" w:rsidRDefault="003621FF" w:rsidP="00B366F3">
            <w:pPr>
              <w:jc w:val="both"/>
              <w:rPr>
                <w:rFonts w:ascii="Arial Narrow" w:hAnsi="Arial Narrow"/>
                <w:color w:val="FFFFFF" w:themeColor="background1"/>
                <w:sz w:val="20"/>
                <w:szCs w:val="20"/>
              </w:rPr>
            </w:pPr>
          </w:p>
        </w:tc>
        <w:tc>
          <w:tcPr>
            <w:tcW w:w="475"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tcPr>
          <w:p w:rsidR="003621FF" w:rsidRPr="00C65CAA" w:rsidRDefault="003621FF" w:rsidP="00B366F3">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2018</w:t>
            </w:r>
          </w:p>
        </w:tc>
        <w:tc>
          <w:tcPr>
            <w:tcW w:w="476"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vAlign w:val="center"/>
          </w:tcPr>
          <w:p w:rsidR="003621FF" w:rsidRPr="00C65CAA" w:rsidRDefault="003621FF" w:rsidP="00B366F3">
            <w:pPr>
              <w:jc w:val="center"/>
              <w:rPr>
                <w:rFonts w:ascii="Arial Narrow" w:hAnsi="Arial Narrow"/>
                <w:b/>
                <w:color w:val="FFFFFF" w:themeColor="background1"/>
                <w:sz w:val="20"/>
                <w:szCs w:val="20"/>
              </w:rPr>
            </w:pPr>
            <w:r w:rsidRPr="00C65CAA">
              <w:rPr>
                <w:rFonts w:ascii="Arial Narrow" w:hAnsi="Arial Narrow"/>
                <w:b/>
                <w:color w:val="FFFFFF" w:themeColor="background1"/>
                <w:sz w:val="20"/>
                <w:szCs w:val="20"/>
              </w:rPr>
              <w:t>2019</w:t>
            </w:r>
          </w:p>
        </w:tc>
        <w:tc>
          <w:tcPr>
            <w:tcW w:w="470" w:type="pct"/>
            <w:vMerge/>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70C0"/>
          </w:tcPr>
          <w:p w:rsidR="003621FF" w:rsidRPr="00C65CAA" w:rsidRDefault="003621FF" w:rsidP="00B366F3">
            <w:pPr>
              <w:jc w:val="both"/>
              <w:rPr>
                <w:rFonts w:ascii="Arial Narrow" w:hAnsi="Arial Narrow"/>
                <w:color w:val="FFFFFF" w:themeColor="background1"/>
                <w:sz w:val="20"/>
                <w:szCs w:val="20"/>
              </w:rPr>
            </w:pPr>
          </w:p>
        </w:tc>
        <w:tc>
          <w:tcPr>
            <w:tcW w:w="673" w:type="pct"/>
            <w:vMerge/>
            <w:tcBorders>
              <w:top w:val="single" w:sz="4" w:space="0" w:color="FFFFFF" w:themeColor="background1"/>
              <w:left w:val="single" w:sz="4" w:space="0" w:color="FFFFFF" w:themeColor="background1"/>
              <w:bottom w:val="single" w:sz="4" w:space="0" w:color="auto"/>
              <w:right w:val="single" w:sz="4" w:space="0" w:color="auto"/>
            </w:tcBorders>
            <w:shd w:val="clear" w:color="auto" w:fill="0070C0"/>
          </w:tcPr>
          <w:p w:rsidR="003621FF" w:rsidRPr="00C65CAA" w:rsidRDefault="003621FF" w:rsidP="00B366F3">
            <w:pPr>
              <w:jc w:val="both"/>
              <w:rPr>
                <w:rFonts w:ascii="Arial Narrow" w:hAnsi="Arial Narrow"/>
                <w:color w:val="FFFFFF" w:themeColor="background1"/>
                <w:sz w:val="20"/>
                <w:szCs w:val="20"/>
              </w:rPr>
            </w:pPr>
          </w:p>
        </w:tc>
      </w:tr>
      <w:tr w:rsidR="003621FF" w:rsidRPr="00C65CAA" w:rsidTr="00EB05EC">
        <w:trPr>
          <w:tblHeader/>
        </w:trPr>
        <w:tc>
          <w:tcPr>
            <w:tcW w:w="1998" w:type="pct"/>
            <w:tcBorders>
              <w:top w:val="single" w:sz="4" w:space="0" w:color="auto"/>
              <w:left w:val="single" w:sz="4" w:space="0" w:color="auto"/>
              <w:bottom w:val="single" w:sz="4" w:space="0" w:color="auto"/>
              <w:right w:val="single" w:sz="4" w:space="0" w:color="auto"/>
            </w:tcBorders>
            <w:shd w:val="clear" w:color="auto" w:fill="auto"/>
            <w:vAlign w:val="center"/>
          </w:tcPr>
          <w:p w:rsidR="003621FF" w:rsidRPr="00C65CAA" w:rsidRDefault="003621FF" w:rsidP="00B366F3">
            <w:pPr>
              <w:jc w:val="center"/>
              <w:rPr>
                <w:rFonts w:ascii="Arial Narrow" w:hAnsi="Arial Narrow"/>
                <w:bCs/>
                <w:sz w:val="20"/>
                <w:szCs w:val="20"/>
              </w:rPr>
            </w:pPr>
            <w:r w:rsidRPr="00C65CAA">
              <w:rPr>
                <w:rFonts w:ascii="Arial Narrow" w:hAnsi="Arial Narrow"/>
                <w:bCs/>
                <w:sz w:val="20"/>
                <w:szCs w:val="20"/>
              </w:rPr>
              <w:t>a</w:t>
            </w:r>
          </w:p>
        </w:tc>
        <w:tc>
          <w:tcPr>
            <w:tcW w:w="907" w:type="pct"/>
            <w:tcBorders>
              <w:top w:val="single" w:sz="4" w:space="0" w:color="auto"/>
              <w:left w:val="single" w:sz="4" w:space="0" w:color="auto"/>
              <w:bottom w:val="single" w:sz="4" w:space="0" w:color="auto"/>
              <w:right w:val="single" w:sz="4" w:space="0" w:color="auto"/>
            </w:tcBorders>
            <w:shd w:val="clear" w:color="auto" w:fill="auto"/>
          </w:tcPr>
          <w:p w:rsidR="003621FF" w:rsidRPr="00C65CAA" w:rsidRDefault="003621FF" w:rsidP="00B366F3">
            <w:pPr>
              <w:jc w:val="center"/>
              <w:rPr>
                <w:rFonts w:ascii="Arial Narrow" w:hAnsi="Arial Narrow"/>
                <w:sz w:val="20"/>
                <w:szCs w:val="20"/>
              </w:rPr>
            </w:pPr>
            <w:r w:rsidRPr="00C65CAA">
              <w:rPr>
                <w:rFonts w:ascii="Arial Narrow" w:hAnsi="Arial Narrow"/>
                <w:sz w:val="20"/>
                <w:szCs w:val="20"/>
              </w:rPr>
              <w:t>1</w:t>
            </w:r>
          </w:p>
        </w:tc>
        <w:tc>
          <w:tcPr>
            <w:tcW w:w="475" w:type="pct"/>
            <w:tcBorders>
              <w:top w:val="single" w:sz="4" w:space="0" w:color="auto"/>
              <w:left w:val="single" w:sz="4" w:space="0" w:color="auto"/>
              <w:bottom w:val="single" w:sz="4" w:space="0" w:color="auto"/>
              <w:right w:val="single" w:sz="4" w:space="0" w:color="auto"/>
            </w:tcBorders>
            <w:shd w:val="clear" w:color="auto" w:fill="auto"/>
          </w:tcPr>
          <w:p w:rsidR="003621FF" w:rsidRPr="00C65CAA" w:rsidRDefault="003621FF" w:rsidP="00B366F3">
            <w:pPr>
              <w:jc w:val="center"/>
              <w:rPr>
                <w:rFonts w:ascii="Arial Narrow" w:hAnsi="Arial Narrow"/>
                <w:sz w:val="20"/>
                <w:szCs w:val="20"/>
              </w:rPr>
            </w:pPr>
            <w:r w:rsidRPr="00C65CAA">
              <w:rPr>
                <w:rFonts w:ascii="Arial Narrow" w:hAnsi="Arial Narrow"/>
                <w:sz w:val="20"/>
                <w:szCs w:val="20"/>
              </w:rPr>
              <w:t>2</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3621FF" w:rsidRPr="00C65CAA" w:rsidRDefault="003621FF" w:rsidP="00B366F3">
            <w:pPr>
              <w:jc w:val="center"/>
              <w:rPr>
                <w:rFonts w:ascii="Arial Narrow" w:hAnsi="Arial Narrow"/>
                <w:sz w:val="20"/>
                <w:szCs w:val="20"/>
              </w:rPr>
            </w:pPr>
            <w:r w:rsidRPr="00C65CAA">
              <w:rPr>
                <w:rFonts w:ascii="Arial Narrow" w:hAnsi="Arial Narrow"/>
                <w:sz w:val="20"/>
                <w:szCs w:val="20"/>
              </w:rPr>
              <w:t>3</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3621FF" w:rsidRPr="00C65CAA" w:rsidRDefault="003621FF" w:rsidP="00B366F3">
            <w:pPr>
              <w:jc w:val="center"/>
              <w:rPr>
                <w:rFonts w:ascii="Arial Narrow" w:hAnsi="Arial Narrow"/>
                <w:sz w:val="20"/>
                <w:szCs w:val="20"/>
              </w:rPr>
            </w:pPr>
            <w:r w:rsidRPr="00C65CAA">
              <w:rPr>
                <w:rFonts w:ascii="Arial Narrow" w:hAnsi="Arial Narrow"/>
                <w:sz w:val="20"/>
                <w:szCs w:val="20"/>
              </w:rPr>
              <w:t>3-2</w:t>
            </w:r>
          </w:p>
        </w:tc>
        <w:tc>
          <w:tcPr>
            <w:tcW w:w="673" w:type="pct"/>
            <w:tcBorders>
              <w:top w:val="single" w:sz="4" w:space="0" w:color="auto"/>
              <w:left w:val="single" w:sz="4" w:space="0" w:color="auto"/>
              <w:bottom w:val="single" w:sz="4" w:space="0" w:color="auto"/>
              <w:right w:val="single" w:sz="4" w:space="0" w:color="auto"/>
            </w:tcBorders>
            <w:shd w:val="clear" w:color="auto" w:fill="auto"/>
          </w:tcPr>
          <w:p w:rsidR="003621FF" w:rsidRPr="00C65CAA" w:rsidRDefault="003621FF" w:rsidP="00B366F3">
            <w:pPr>
              <w:jc w:val="center"/>
              <w:rPr>
                <w:rFonts w:ascii="Arial Narrow" w:hAnsi="Arial Narrow"/>
                <w:sz w:val="20"/>
                <w:szCs w:val="20"/>
              </w:rPr>
            </w:pPr>
            <w:r w:rsidRPr="00C65CAA">
              <w:rPr>
                <w:rFonts w:ascii="Arial Narrow" w:hAnsi="Arial Narrow"/>
                <w:sz w:val="20"/>
                <w:szCs w:val="20"/>
              </w:rPr>
              <w:t>3/2*100</w:t>
            </w:r>
          </w:p>
        </w:tc>
      </w:tr>
      <w:tr w:rsidR="003621FF" w:rsidRPr="00C65CAA" w:rsidTr="00EB05EC">
        <w:tc>
          <w:tcPr>
            <w:tcW w:w="1998" w:type="pct"/>
            <w:tcBorders>
              <w:top w:val="single" w:sz="4" w:space="0" w:color="auto"/>
            </w:tcBorders>
            <w:vAlign w:val="center"/>
          </w:tcPr>
          <w:p w:rsidR="003621FF" w:rsidRPr="00C65CAA" w:rsidRDefault="003621FF" w:rsidP="00B366F3">
            <w:pPr>
              <w:rPr>
                <w:rFonts w:ascii="Arial Narrow" w:hAnsi="Arial Narrow"/>
                <w:bCs/>
                <w:sz w:val="20"/>
                <w:szCs w:val="20"/>
              </w:rPr>
            </w:pPr>
            <w:r w:rsidRPr="00C65CAA">
              <w:rPr>
                <w:rFonts w:ascii="Arial Narrow" w:hAnsi="Arial Narrow"/>
                <w:bCs/>
                <w:sz w:val="20"/>
                <w:szCs w:val="20"/>
              </w:rPr>
              <w:t>Príjmy spolu</w:t>
            </w:r>
          </w:p>
        </w:tc>
        <w:tc>
          <w:tcPr>
            <w:tcW w:w="907" w:type="pct"/>
            <w:tcBorders>
              <w:top w:val="single" w:sz="4" w:space="0" w:color="auto"/>
            </w:tcBorders>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394 402</w:t>
            </w:r>
          </w:p>
        </w:tc>
        <w:tc>
          <w:tcPr>
            <w:tcW w:w="475" w:type="pct"/>
            <w:tcBorders>
              <w:top w:val="single" w:sz="4" w:space="0" w:color="auto"/>
            </w:tcBorders>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310 337</w:t>
            </w:r>
          </w:p>
        </w:tc>
        <w:tc>
          <w:tcPr>
            <w:tcW w:w="476" w:type="pct"/>
            <w:tcBorders>
              <w:top w:val="single" w:sz="4" w:space="0" w:color="auto"/>
            </w:tcBorders>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323 269</w:t>
            </w:r>
          </w:p>
        </w:tc>
        <w:tc>
          <w:tcPr>
            <w:tcW w:w="470" w:type="pct"/>
            <w:tcBorders>
              <w:top w:val="single" w:sz="4" w:space="0" w:color="auto"/>
            </w:tcBorders>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12 932</w:t>
            </w:r>
          </w:p>
        </w:tc>
        <w:tc>
          <w:tcPr>
            <w:tcW w:w="673" w:type="pct"/>
            <w:tcBorders>
              <w:top w:val="single" w:sz="4" w:space="0" w:color="auto"/>
            </w:tcBorders>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104,2</w:t>
            </w:r>
          </w:p>
        </w:tc>
      </w:tr>
      <w:tr w:rsidR="003621FF" w:rsidRPr="00C65CAA" w:rsidTr="00EB05EC">
        <w:tc>
          <w:tcPr>
            <w:tcW w:w="1998" w:type="pct"/>
            <w:vAlign w:val="center"/>
          </w:tcPr>
          <w:p w:rsidR="003621FF" w:rsidRPr="00C65CAA" w:rsidRDefault="003621FF" w:rsidP="00B366F3">
            <w:pPr>
              <w:rPr>
                <w:rFonts w:ascii="Arial Narrow" w:hAnsi="Arial Narrow"/>
                <w:bCs/>
                <w:sz w:val="20"/>
                <w:szCs w:val="20"/>
              </w:rPr>
            </w:pPr>
            <w:r w:rsidRPr="00C65CAA">
              <w:rPr>
                <w:rFonts w:ascii="Arial Narrow" w:hAnsi="Arial Narrow"/>
                <w:bCs/>
                <w:sz w:val="20"/>
                <w:szCs w:val="20"/>
              </w:rPr>
              <w:t>Výdavky spolu</w:t>
            </w:r>
          </w:p>
        </w:tc>
        <w:tc>
          <w:tcPr>
            <w:tcW w:w="907" w:type="pct"/>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195 054</w:t>
            </w:r>
          </w:p>
        </w:tc>
        <w:tc>
          <w:tcPr>
            <w:tcW w:w="475" w:type="pct"/>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230 877</w:t>
            </w:r>
          </w:p>
        </w:tc>
        <w:tc>
          <w:tcPr>
            <w:tcW w:w="476" w:type="pct"/>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223 247</w:t>
            </w:r>
          </w:p>
        </w:tc>
        <w:tc>
          <w:tcPr>
            <w:tcW w:w="470" w:type="pct"/>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-7 630</w:t>
            </w:r>
          </w:p>
        </w:tc>
        <w:tc>
          <w:tcPr>
            <w:tcW w:w="673" w:type="pct"/>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96,7</w:t>
            </w:r>
          </w:p>
        </w:tc>
      </w:tr>
      <w:tr w:rsidR="003621FF" w:rsidRPr="00C65CAA" w:rsidTr="00EB05EC">
        <w:tc>
          <w:tcPr>
            <w:tcW w:w="1998" w:type="pct"/>
            <w:vAlign w:val="center"/>
          </w:tcPr>
          <w:p w:rsidR="003621FF" w:rsidRPr="00C65CAA" w:rsidRDefault="003621FF" w:rsidP="00B366F3">
            <w:pPr>
              <w:rPr>
                <w:rFonts w:ascii="Arial Narrow" w:hAnsi="Arial Narrow"/>
                <w:bCs/>
                <w:sz w:val="20"/>
                <w:szCs w:val="20"/>
              </w:rPr>
            </w:pPr>
            <w:r w:rsidRPr="00C65CAA">
              <w:rPr>
                <w:rFonts w:ascii="Arial Narrow" w:hAnsi="Arial Narrow"/>
                <w:bCs/>
                <w:sz w:val="20"/>
                <w:szCs w:val="20"/>
              </w:rPr>
              <w:t>Celková bilancia</w:t>
            </w:r>
          </w:p>
        </w:tc>
        <w:tc>
          <w:tcPr>
            <w:tcW w:w="907" w:type="pct"/>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199 348</w:t>
            </w:r>
          </w:p>
        </w:tc>
        <w:tc>
          <w:tcPr>
            <w:tcW w:w="475" w:type="pct"/>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79 460</w:t>
            </w:r>
          </w:p>
        </w:tc>
        <w:tc>
          <w:tcPr>
            <w:tcW w:w="476" w:type="pct"/>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100 022</w:t>
            </w:r>
          </w:p>
        </w:tc>
        <w:tc>
          <w:tcPr>
            <w:tcW w:w="470" w:type="pct"/>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20 562</w:t>
            </w:r>
          </w:p>
        </w:tc>
        <w:tc>
          <w:tcPr>
            <w:tcW w:w="673" w:type="pct"/>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125,9</w:t>
            </w:r>
          </w:p>
        </w:tc>
      </w:tr>
      <w:tr w:rsidR="003621FF" w:rsidRPr="00C65CAA" w:rsidTr="00EB05EC">
        <w:tc>
          <w:tcPr>
            <w:tcW w:w="1998" w:type="pct"/>
            <w:vAlign w:val="center"/>
          </w:tcPr>
          <w:p w:rsidR="003621FF" w:rsidRPr="00C65CAA" w:rsidRDefault="003621FF" w:rsidP="00B366F3">
            <w:pPr>
              <w:rPr>
                <w:rFonts w:ascii="Arial Narrow" w:hAnsi="Arial Narrow"/>
                <w:bCs/>
                <w:sz w:val="20"/>
                <w:szCs w:val="20"/>
              </w:rPr>
            </w:pPr>
            <w:r w:rsidRPr="00C65CAA">
              <w:rPr>
                <w:rFonts w:ascii="Arial Narrow" w:hAnsi="Arial Narrow"/>
                <w:bCs/>
                <w:sz w:val="20"/>
                <w:szCs w:val="20"/>
              </w:rPr>
              <w:t>Prebytok (+) / schodok (-) spolu (ESA 2010)</w:t>
            </w:r>
          </w:p>
        </w:tc>
        <w:tc>
          <w:tcPr>
            <w:tcW w:w="907" w:type="pct"/>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52 866</w:t>
            </w:r>
          </w:p>
        </w:tc>
        <w:tc>
          <w:tcPr>
            <w:tcW w:w="475" w:type="pct"/>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45 254</w:t>
            </w:r>
          </w:p>
        </w:tc>
        <w:tc>
          <w:tcPr>
            <w:tcW w:w="476" w:type="pct"/>
            <w:vAlign w:val="center"/>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45 770</w:t>
            </w:r>
          </w:p>
        </w:tc>
        <w:tc>
          <w:tcPr>
            <w:tcW w:w="470" w:type="pct"/>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516</w:t>
            </w:r>
          </w:p>
        </w:tc>
        <w:tc>
          <w:tcPr>
            <w:tcW w:w="673" w:type="pct"/>
          </w:tcPr>
          <w:p w:rsidR="003621FF" w:rsidRPr="00C65CAA" w:rsidRDefault="003621FF" w:rsidP="00B366F3">
            <w:pPr>
              <w:jc w:val="right"/>
              <w:rPr>
                <w:rFonts w:ascii="Arial Narrow" w:hAnsi="Arial Narrow"/>
                <w:sz w:val="20"/>
                <w:szCs w:val="20"/>
              </w:rPr>
            </w:pPr>
            <w:r w:rsidRPr="00C65CAA">
              <w:rPr>
                <w:rFonts w:ascii="Arial Narrow" w:hAnsi="Arial Narrow"/>
                <w:sz w:val="20"/>
                <w:szCs w:val="20"/>
              </w:rPr>
              <w:t>101,1</w:t>
            </w:r>
          </w:p>
        </w:tc>
      </w:tr>
    </w:tbl>
    <w:p w:rsidR="003621FF" w:rsidRPr="00C65CAA" w:rsidRDefault="003621FF" w:rsidP="00B366F3">
      <w:pPr>
        <w:autoSpaceDE w:val="0"/>
        <w:autoSpaceDN w:val="0"/>
        <w:adjustRightInd w:val="0"/>
        <w:spacing w:after="100"/>
        <w:jc w:val="both"/>
        <w:rPr>
          <w:rFonts w:ascii="Arial Narrow" w:eastAsiaTheme="minorHAnsi" w:hAnsi="Arial Narrow"/>
          <w:sz w:val="20"/>
          <w:lang w:eastAsia="en-US"/>
        </w:rPr>
      </w:pPr>
      <w:r w:rsidRPr="00C65CAA">
        <w:rPr>
          <w:rFonts w:ascii="Arial Narrow" w:eastAsiaTheme="minorHAnsi" w:hAnsi="Arial Narrow"/>
          <w:sz w:val="20"/>
          <w:lang w:eastAsia="en-US"/>
        </w:rPr>
        <w:t>Zdroj: Návrh RVS na roky 2019 až 2021</w:t>
      </w:r>
    </w:p>
    <w:p w:rsidR="003621FF" w:rsidRPr="00C65CAA" w:rsidRDefault="003621FF"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Celkový rozpočet fondu je zostavený</w:t>
      </w:r>
      <w:r w:rsidR="00AF333A"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obdobne ako v roku 2018</w:t>
      </w:r>
      <w:r w:rsidR="00AF333A" w:rsidRPr="00C65CAA">
        <w:rPr>
          <w:rFonts w:ascii="Arial Narrow" w:eastAsiaTheme="minorHAnsi" w:hAnsi="Arial Narrow" w:cstheme="minorBidi"/>
          <w:sz w:val="22"/>
          <w:szCs w:val="22"/>
          <w:lang w:eastAsia="en-US"/>
        </w:rPr>
        <w:t>,</w:t>
      </w:r>
      <w:r w:rsidR="00085B32">
        <w:rPr>
          <w:rFonts w:ascii="Arial Narrow" w:eastAsiaTheme="minorHAnsi" w:hAnsi="Arial Narrow" w:cstheme="minorBidi"/>
          <w:sz w:val="22"/>
          <w:szCs w:val="22"/>
          <w:lang w:eastAsia="en-US"/>
        </w:rPr>
        <w:t xml:space="preserve"> ako prebytkový.</w:t>
      </w:r>
      <w:r w:rsidRPr="00C65CAA">
        <w:rPr>
          <w:rFonts w:ascii="Arial Narrow" w:eastAsiaTheme="minorHAnsi" w:hAnsi="Arial Narrow" w:cstheme="minorBidi"/>
          <w:sz w:val="22"/>
          <w:szCs w:val="22"/>
          <w:lang w:eastAsia="en-US"/>
        </w:rPr>
        <w:t xml:space="preserve"> </w:t>
      </w:r>
      <w:r w:rsidR="00085B32">
        <w:rPr>
          <w:rFonts w:ascii="Arial Narrow" w:eastAsiaTheme="minorHAnsi" w:hAnsi="Arial Narrow" w:cstheme="minorBidi"/>
          <w:sz w:val="22"/>
          <w:szCs w:val="22"/>
          <w:lang w:eastAsia="en-US"/>
        </w:rPr>
        <w:t>H</w:t>
      </w:r>
      <w:r w:rsidRPr="00C65CAA">
        <w:rPr>
          <w:rFonts w:ascii="Arial Narrow" w:eastAsiaTheme="minorHAnsi" w:hAnsi="Arial Narrow" w:cstheme="minorBidi"/>
          <w:sz w:val="22"/>
          <w:szCs w:val="22"/>
          <w:lang w:eastAsia="en-US"/>
        </w:rPr>
        <w:t>otovostný prebytok ŠFRB sa rozpočtuje v roku 2019 v sume 100 022 tis. eur. Bilančný zostatok ŠFRB na konsolidovanej báze</w:t>
      </w:r>
      <w:r w:rsidR="00AF333A"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v metodike ESA 2010</w:t>
      </w:r>
      <w:r w:rsidR="00AF333A"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sa má medziročne zvýšiť o 516 tis. eur na úroveň 45 770 tis. eur.</w:t>
      </w:r>
    </w:p>
    <w:p w:rsidR="003621FF" w:rsidRPr="00C65CAA" w:rsidRDefault="003621FF"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Rozpočet príjmov ŠFRB na rok 2019 bol stanovený na úrovni 323 269 tis. eur, čo predstavuje v porovnaní so schváleným rozpočtom na rok 2018 rast o 12 932 tis. eur</w:t>
      </w:r>
      <w:r w:rsidR="00AF333A" w:rsidRPr="00C65CAA">
        <w:rPr>
          <w:rFonts w:ascii="Arial Narrow" w:eastAsiaTheme="minorHAnsi" w:hAnsi="Arial Narrow" w:cstheme="minorBidi"/>
          <w:sz w:val="22"/>
          <w:szCs w:val="22"/>
          <w:lang w:eastAsia="en-US"/>
        </w:rPr>
        <w:t>,</w:t>
      </w:r>
      <w:r w:rsidRPr="00C65CAA">
        <w:rPr>
          <w:rFonts w:ascii="Arial Narrow" w:eastAsiaTheme="minorHAnsi" w:hAnsi="Arial Narrow" w:cstheme="minorBidi"/>
          <w:sz w:val="22"/>
          <w:szCs w:val="22"/>
          <w:lang w:eastAsia="en-US"/>
        </w:rPr>
        <w:t xml:space="preserve"> a to najmä z dôvodu vyššieho zostatku prostriedkov z predchádzajúceho roka.</w:t>
      </w:r>
    </w:p>
    <w:p w:rsidR="003621FF" w:rsidRPr="00C65CAA" w:rsidRDefault="003621FF"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Výdavky ŠFRB, sú na rok 2019 rozpočtované v celkovej sume 223 247 tis. eur. Rozhodujúcu časť výdavkov predstavujú podpory vo forme úverov na výstavbu a kúpu bytov, obnovu bytových domov a výstavbu zariadení sociálnych služieb v sume 217 000 tis. eur, pričom na tejto položke dochádza k medziročnému poklesu o 8 000 tis. eur. Dôvodom poklesu je skutočnosť, že výšku poskytnutých úverov zo ŠFRB ovplyvňuje očakávaná výška príjmov z predčasne splatených úverov, ktorá má takisto medziročne poklesnúť. ŠFRB predpokladá vynaložiť v roku 2019 aj finančné prostriedky na správu fondu a na bankové služby v s</w:t>
      </w:r>
      <w:bookmarkStart w:id="58" w:name="_GoBack"/>
      <w:bookmarkEnd w:id="58"/>
      <w:r w:rsidRPr="00C65CAA">
        <w:rPr>
          <w:rFonts w:ascii="Arial Narrow" w:eastAsiaTheme="minorHAnsi" w:hAnsi="Arial Narrow" w:cstheme="minorBidi"/>
          <w:sz w:val="22"/>
          <w:szCs w:val="22"/>
          <w:lang w:eastAsia="en-US"/>
        </w:rPr>
        <w:t>ume 6 250 tis. eur.</w:t>
      </w:r>
    </w:p>
    <w:p w:rsidR="003621FF" w:rsidRPr="00C65CAA" w:rsidRDefault="003621FF" w:rsidP="00256AF8">
      <w:pPr>
        <w:spacing w:before="100" w:after="100"/>
        <w:ind w:firstLine="708"/>
        <w:jc w:val="both"/>
        <w:rPr>
          <w:rFonts w:ascii="Arial Narrow" w:eastAsiaTheme="minorHAnsi" w:hAnsi="Arial Narrow" w:cstheme="minorBidi"/>
          <w:sz w:val="22"/>
          <w:szCs w:val="22"/>
          <w:lang w:eastAsia="en-US"/>
        </w:rPr>
      </w:pPr>
      <w:r w:rsidRPr="00C65CAA">
        <w:rPr>
          <w:rFonts w:ascii="Arial Narrow" w:eastAsiaTheme="minorHAnsi" w:hAnsi="Arial Narrow" w:cstheme="minorBidi"/>
          <w:sz w:val="22"/>
          <w:szCs w:val="22"/>
          <w:lang w:eastAsia="en-US"/>
        </w:rPr>
        <w:t>Celkové výdavky ŠFRB v roku 2019</w:t>
      </w:r>
      <w:r w:rsidR="006E3BB8" w:rsidRPr="00C65CAA">
        <w:rPr>
          <w:rFonts w:ascii="Arial Narrow" w:eastAsiaTheme="minorHAnsi" w:hAnsi="Arial Narrow" w:cstheme="minorBidi"/>
          <w:sz w:val="22"/>
          <w:szCs w:val="22"/>
          <w:lang w:eastAsia="en-US"/>
        </w:rPr>
        <w:t xml:space="preserve"> </w:t>
      </w:r>
      <w:r w:rsidRPr="00C65CAA">
        <w:rPr>
          <w:rFonts w:ascii="Arial Narrow" w:eastAsiaTheme="minorHAnsi" w:hAnsi="Arial Narrow" w:cstheme="minorBidi"/>
          <w:sz w:val="22"/>
          <w:szCs w:val="22"/>
          <w:lang w:eastAsia="en-US"/>
        </w:rPr>
        <w:t>z dôvodu spomenutého poklesu poskytnutých úverov budú v por</w:t>
      </w:r>
      <w:r w:rsidR="006E3BB8" w:rsidRPr="00C65CAA">
        <w:rPr>
          <w:rFonts w:ascii="Arial Narrow" w:eastAsiaTheme="minorHAnsi" w:hAnsi="Arial Narrow" w:cstheme="minorBidi"/>
          <w:sz w:val="22"/>
          <w:szCs w:val="22"/>
          <w:lang w:eastAsia="en-US"/>
        </w:rPr>
        <w:t>ovnaní so schváleným rozpočtom na rok</w:t>
      </w:r>
      <w:r w:rsidRPr="00C65CAA">
        <w:rPr>
          <w:rFonts w:ascii="Arial Narrow" w:eastAsiaTheme="minorHAnsi" w:hAnsi="Arial Narrow" w:cstheme="minorBidi"/>
          <w:sz w:val="22"/>
          <w:szCs w:val="22"/>
          <w:lang w:eastAsia="en-US"/>
        </w:rPr>
        <w:t xml:space="preserve"> 2018 nižšie o 7 630 tis. eur. Všetky ostatné kategórie výdavkov (bežné aj kapitálové) majú rásť, príp. ostať na úrovni schváleného rozpočtu na rok 2018.</w:t>
      </w:r>
    </w:p>
    <w:sectPr w:rsidR="003621FF" w:rsidRPr="00C65CAA" w:rsidSect="0047702E">
      <w:headerReference w:type="default" r:id="rId38"/>
      <w:footerReference w:type="default" r:id="rId39"/>
      <w:pgSz w:w="11906" w:h="16838" w:code="9"/>
      <w:pgMar w:top="1417" w:right="1416" w:bottom="1417" w:left="1417" w:header="680" w:footer="737" w:gutter="0"/>
      <w:paperSrc w:first="7" w:other="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DD2" w:rsidRDefault="00346DD2" w:rsidP="00D23611">
      <w:r>
        <w:separator/>
      </w:r>
    </w:p>
  </w:endnote>
  <w:endnote w:type="continuationSeparator" w:id="0">
    <w:p w:rsidR="00346DD2" w:rsidRDefault="00346DD2" w:rsidP="00D23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Myriad Pro">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NeueHaasGroteskDisp W02">
    <w:altName w:val="N Haas Grotesk Display W"/>
    <w:panose1 w:val="00000000000000000000"/>
    <w:charset w:val="EE"/>
    <w:family w:val="swiss"/>
    <w:notTrueType/>
    <w:pitch w:val="default"/>
    <w:sig w:usb0="00000001" w:usb1="00000000" w:usb2="00000000" w:usb3="00000000" w:csb0="00000003" w:csb1="00000000"/>
  </w:font>
  <w:font w:name="Arial CE">
    <w:panose1 w:val="020B0604020202020204"/>
    <w:charset w:val="EE"/>
    <w:family w:val="swiss"/>
    <w:pitch w:val="variable"/>
    <w:sig w:usb0="E0002EFF" w:usb1="C000785B" w:usb2="00000009" w:usb3="00000000" w:csb0="000001FF" w:csb1="00000000"/>
  </w:font>
  <w:font w:name="ArialNarrow">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0"/>
        <w:szCs w:val="20"/>
      </w:rPr>
      <w:id w:val="-1063560357"/>
      <w:docPartObj>
        <w:docPartGallery w:val="Page Numbers (Bottom of Page)"/>
        <w:docPartUnique/>
      </w:docPartObj>
    </w:sdtPr>
    <w:sdtEndPr/>
    <w:sdtContent>
      <w:p w:rsidR="00D41C9B" w:rsidRPr="00C65CAA" w:rsidRDefault="00FA322A" w:rsidP="00C65CAA">
        <w:pPr>
          <w:pStyle w:val="Pta"/>
          <w:jc w:val="center"/>
          <w:rPr>
            <w:rFonts w:ascii="Arial Narrow" w:hAnsi="Arial Narrow"/>
            <w:sz w:val="20"/>
            <w:szCs w:val="20"/>
          </w:rPr>
        </w:pPr>
        <w:r w:rsidRPr="00C65CAA">
          <w:rPr>
            <w:rFonts w:ascii="Arial Narrow" w:hAnsi="Arial Narrow"/>
            <w:sz w:val="20"/>
            <w:szCs w:val="20"/>
          </w:rPr>
          <w:fldChar w:fldCharType="begin"/>
        </w:r>
        <w:r w:rsidRPr="00C65CAA">
          <w:rPr>
            <w:rFonts w:ascii="Arial Narrow" w:hAnsi="Arial Narrow"/>
            <w:sz w:val="20"/>
            <w:szCs w:val="20"/>
          </w:rPr>
          <w:instrText xml:space="preserve"> PAGE   \* MERGEFORMAT </w:instrText>
        </w:r>
        <w:r w:rsidRPr="00C65CAA">
          <w:rPr>
            <w:rFonts w:ascii="Arial Narrow" w:hAnsi="Arial Narrow"/>
            <w:sz w:val="20"/>
            <w:szCs w:val="20"/>
          </w:rPr>
          <w:fldChar w:fldCharType="separate"/>
        </w:r>
        <w:r w:rsidR="00085B32">
          <w:rPr>
            <w:rFonts w:ascii="Arial Narrow" w:hAnsi="Arial Narrow"/>
            <w:noProof/>
            <w:sz w:val="20"/>
            <w:szCs w:val="20"/>
          </w:rPr>
          <w:t>53</w:t>
        </w:r>
        <w:r w:rsidRPr="00C65CAA">
          <w:rPr>
            <w:rFonts w:ascii="Arial Narrow" w:hAnsi="Arial Narrow"/>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DD2" w:rsidRDefault="00346DD2" w:rsidP="00D23611">
      <w:r>
        <w:separator/>
      </w:r>
    </w:p>
  </w:footnote>
  <w:footnote w:type="continuationSeparator" w:id="0">
    <w:p w:rsidR="00346DD2" w:rsidRDefault="00346DD2" w:rsidP="00D23611">
      <w:r>
        <w:continuationSeparator/>
      </w:r>
    </w:p>
  </w:footnote>
  <w:footnote w:id="1">
    <w:p w:rsidR="00D41C9B" w:rsidRPr="00F5060F" w:rsidRDefault="00D41C9B" w:rsidP="006C2FC9">
      <w:pPr>
        <w:pStyle w:val="Textpoznmkypodiarou"/>
        <w:jc w:val="both"/>
        <w:rPr>
          <w:rFonts w:ascii="Arial Narrow" w:hAnsi="Arial Narrow"/>
        </w:rPr>
      </w:pPr>
      <w:r w:rsidRPr="00F5060F">
        <w:rPr>
          <w:rStyle w:val="Odkaznapoznmkupodiarou"/>
          <w:rFonts w:ascii="Arial Narrow" w:hAnsi="Arial Narrow"/>
        </w:rPr>
        <w:footnoteRef/>
      </w:r>
      <w:r w:rsidRPr="00F5060F">
        <w:rPr>
          <w:rFonts w:ascii="Arial Narrow" w:hAnsi="Arial Narrow"/>
        </w:rPr>
        <w:t xml:space="preserve"> Októbrová prognóza MMF znížila ekonomický výhľad pre svet, eurozónu aj Slovensko.</w:t>
      </w:r>
    </w:p>
  </w:footnote>
  <w:footnote w:id="2">
    <w:p w:rsidR="00D41C9B" w:rsidRPr="00D817C9" w:rsidRDefault="00D41C9B" w:rsidP="006C2FC9">
      <w:pPr>
        <w:pStyle w:val="Textpoznmkypodiarou"/>
        <w:jc w:val="both"/>
        <w:rPr>
          <w:rFonts w:ascii="Arial Narrow" w:hAnsi="Arial Narrow"/>
        </w:rPr>
      </w:pPr>
      <w:r w:rsidRPr="00D817C9">
        <w:rPr>
          <w:rStyle w:val="Odkaznapoznmkupodiarou"/>
          <w:rFonts w:ascii="Arial Narrow" w:hAnsi="Arial Narrow"/>
        </w:rPr>
        <w:footnoteRef/>
      </w:r>
      <w:r w:rsidRPr="00D817C9">
        <w:rPr>
          <w:rFonts w:ascii="Arial Narrow" w:hAnsi="Arial Narrow"/>
        </w:rPr>
        <w:t xml:space="preserve"> </w:t>
      </w:r>
      <w:r>
        <w:rPr>
          <w:rFonts w:ascii="Arial Narrow" w:hAnsi="Arial Narrow"/>
        </w:rPr>
        <w:t>Dvaja členovia V</w:t>
      </w:r>
      <w:r w:rsidRPr="00D817C9">
        <w:rPr>
          <w:rFonts w:ascii="Arial Narrow" w:hAnsi="Arial Narrow"/>
        </w:rPr>
        <w:t>ýbor</w:t>
      </w:r>
      <w:r>
        <w:rPr>
          <w:rFonts w:ascii="Arial Narrow" w:hAnsi="Arial Narrow"/>
        </w:rPr>
        <w:t>u</w:t>
      </w:r>
      <w:r w:rsidRPr="00D817C9">
        <w:rPr>
          <w:rFonts w:ascii="Arial Narrow" w:hAnsi="Arial Narrow"/>
        </w:rPr>
        <w:t xml:space="preserve"> pre makroekonomické prognózy označili prognózu ako </w:t>
      </w:r>
      <w:r>
        <w:rPr>
          <w:rFonts w:ascii="Arial Narrow" w:hAnsi="Arial Narrow"/>
        </w:rPr>
        <w:t>realistickú</w:t>
      </w:r>
      <w:r w:rsidRPr="00D817C9">
        <w:rPr>
          <w:rFonts w:ascii="Arial Narrow" w:hAnsi="Arial Narrow"/>
        </w:rPr>
        <w:t>.</w:t>
      </w:r>
    </w:p>
  </w:footnote>
  <w:footnote w:id="3">
    <w:p w:rsidR="00D41C9B" w:rsidRPr="002D682C" w:rsidRDefault="00D41C9B" w:rsidP="00A24373">
      <w:pPr>
        <w:pStyle w:val="Textpoznmkypodiarou"/>
      </w:pPr>
      <w:r w:rsidRPr="002D682C">
        <w:rPr>
          <w:rStyle w:val="Odkaznapoznmkupodiarou"/>
        </w:rPr>
        <w:footnoteRef/>
      </w:r>
      <w:r w:rsidRPr="002D682C">
        <w:t xml:space="preserve"> </w:t>
      </w:r>
      <w:r w:rsidRPr="002D682C">
        <w:rPr>
          <w:rFonts w:ascii="Arial Narrow" w:hAnsi="Arial Narrow"/>
          <w:lang w:eastAsia="cs-CZ"/>
        </w:rPr>
        <w:t>Zvýši sa iba alokácia v rámci OP Ľudské zdroje – Vzdelávanie, medziročne o 58 843 tis. eur; naopak, zníži sa alokácia v rámci OP Výskum a inovácie, medziročne o 36 805 tis. eur</w:t>
      </w:r>
    </w:p>
  </w:footnote>
  <w:footnote w:id="4">
    <w:p w:rsidR="00D41C9B" w:rsidRPr="009F20AB" w:rsidRDefault="00D41C9B" w:rsidP="00A24373">
      <w:pPr>
        <w:pStyle w:val="Textpoznmkypodiarou"/>
        <w:rPr>
          <w:rFonts w:ascii="Arial Narrow" w:hAnsi="Arial Narrow"/>
        </w:rPr>
      </w:pPr>
      <w:r w:rsidRPr="002D682C">
        <w:rPr>
          <w:rStyle w:val="Odkaznapoznmkupodiarou"/>
        </w:rPr>
        <w:footnoteRef/>
      </w:r>
      <w:r w:rsidRPr="002D682C">
        <w:t xml:space="preserve"> </w:t>
      </w:r>
      <w:r w:rsidRPr="002D682C">
        <w:rPr>
          <w:rFonts w:ascii="Arial Narrow" w:hAnsi="Arial Narrow"/>
        </w:rPr>
        <w:t>INŠTITÚT FINANČNEJ POLIT</w:t>
      </w:r>
      <w:r w:rsidRPr="009F20AB">
        <w:rPr>
          <w:rFonts w:ascii="Arial Narrow" w:hAnsi="Arial Narrow"/>
        </w:rPr>
        <w:t>IKY, MINISTERSTVO FINANCIÍ SR. (2018) Inklúzia Rómov je celospoločenskou výzvou. Dostupné na: http://www.finance.gov.sk/Default.aspx?CatID=11824</w:t>
      </w:r>
    </w:p>
  </w:footnote>
  <w:footnote w:id="5">
    <w:p w:rsidR="00D41C9B" w:rsidRPr="00652D0A" w:rsidRDefault="00D41C9B" w:rsidP="00A24373">
      <w:pPr>
        <w:pStyle w:val="Textpoznmkypodiarou"/>
        <w:rPr>
          <w:rFonts w:ascii="Arial Narrow" w:eastAsia="Calibri" w:hAnsi="Arial Narrow"/>
          <w:lang w:eastAsia="en-US"/>
        </w:rPr>
      </w:pPr>
      <w:r>
        <w:rPr>
          <w:rStyle w:val="Odkaznapoznmkupodiarou"/>
        </w:rPr>
        <w:footnoteRef/>
      </w:r>
      <w:r>
        <w:t xml:space="preserve"> </w:t>
      </w:r>
      <w:r w:rsidRPr="00652D0A">
        <w:rPr>
          <w:rFonts w:ascii="Arial Narrow" w:hAnsi="Arial Narrow"/>
        </w:rPr>
        <w:t>INŠTITÚT FINANČNEJ POLITIKY,</w:t>
      </w:r>
      <w:r>
        <w:t xml:space="preserve"> </w:t>
      </w:r>
      <w:r w:rsidRPr="00652D0A">
        <w:rPr>
          <w:rFonts w:ascii="Arial Narrow" w:eastAsia="Calibri" w:hAnsi="Arial Narrow"/>
          <w:lang w:eastAsia="en-US"/>
        </w:rPr>
        <w:t xml:space="preserve">MINISTERSTVO FINANCIÍ SR. (2018) </w:t>
      </w:r>
      <w:r>
        <w:rPr>
          <w:rFonts w:ascii="Arial Narrow" w:eastAsia="Calibri" w:hAnsi="Arial Narrow"/>
          <w:lang w:eastAsia="en-US"/>
        </w:rPr>
        <w:t>Inklúzia Rómov je celospoločenskou výzvou</w:t>
      </w:r>
      <w:r w:rsidRPr="00652D0A">
        <w:rPr>
          <w:rFonts w:ascii="Arial Narrow" w:eastAsia="Calibri" w:hAnsi="Arial Narrow"/>
          <w:lang w:eastAsia="en-US"/>
        </w:rPr>
        <w:t>. Dostupné na: http://www.finance.gov.sk/Default.aspx?CatID=11824</w:t>
      </w:r>
    </w:p>
  </w:footnote>
  <w:footnote w:id="6">
    <w:p w:rsidR="00D41C9B" w:rsidRDefault="00D41C9B" w:rsidP="00FE57DF">
      <w:pPr>
        <w:pStyle w:val="Textpoznmkypodiarou"/>
      </w:pPr>
      <w:r>
        <w:rPr>
          <w:rStyle w:val="Odkaznapoznmkupodiarou"/>
          <w:rFonts w:eastAsiaTheme="majorEastAsia"/>
        </w:rPr>
        <w:footnoteRef/>
      </w:r>
      <w:r>
        <w:t xml:space="preserve"> </w:t>
      </w:r>
      <w:r w:rsidRPr="00B6424A">
        <w:rPr>
          <w:rFonts w:ascii="Arial Narrow" w:hAnsi="Arial Narrow"/>
          <w:sz w:val="18"/>
          <w:szCs w:val="18"/>
        </w:rPr>
        <w:t xml:space="preserve">EK </w:t>
      </w:r>
      <w:r>
        <w:rPr>
          <w:rFonts w:ascii="Arial Narrow" w:hAnsi="Arial Narrow"/>
          <w:sz w:val="18"/>
          <w:szCs w:val="18"/>
        </w:rPr>
        <w:t xml:space="preserve">v priebehu rokov 2017 a 2018 </w:t>
      </w:r>
      <w:r w:rsidRPr="00B6424A">
        <w:rPr>
          <w:rFonts w:ascii="Arial Narrow" w:hAnsi="Arial Narrow"/>
          <w:sz w:val="18"/>
          <w:szCs w:val="18"/>
        </w:rPr>
        <w:t>uhradila záverečné platby za OP Bratislavský kraj a OP INTERACT II.</w:t>
      </w:r>
    </w:p>
  </w:footnote>
  <w:footnote w:id="7">
    <w:p w:rsidR="00D41C9B" w:rsidRPr="00C06A0A" w:rsidRDefault="00D41C9B" w:rsidP="00EB59B2">
      <w:pPr>
        <w:pStyle w:val="Textpoznmkypodiarou"/>
        <w:jc w:val="both"/>
        <w:rPr>
          <w:rFonts w:ascii="Arial Narrow" w:hAnsi="Arial Narrow"/>
          <w:sz w:val="18"/>
          <w:szCs w:val="18"/>
        </w:rPr>
      </w:pPr>
      <w:r w:rsidRPr="00C06A0A">
        <w:rPr>
          <w:rStyle w:val="Odkaznapoznmkupodiarou"/>
          <w:rFonts w:ascii="Arial Narrow" w:eastAsiaTheme="majorEastAsia" w:hAnsi="Arial Narrow"/>
          <w:sz w:val="18"/>
          <w:szCs w:val="18"/>
        </w:rPr>
        <w:footnoteRef/>
      </w:r>
      <w:r w:rsidRPr="00C06A0A">
        <w:rPr>
          <w:rFonts w:ascii="Arial Narrow" w:hAnsi="Arial Narrow"/>
          <w:sz w:val="18"/>
          <w:szCs w:val="18"/>
        </w:rPr>
        <w:t xml:space="preserve"> Výkonnostná rezerva sa týka 8 operačných programov: OP Kvalita životného prostredia, OP Výskum a inovácie, Program rozvoja vidieka, Integrovaný regionálny OP, OP Ľudské zdroje, OP Efektívna verejná správa, OP Integrovaná infraštruktúra a OP Rybné hospodárstvo.</w:t>
      </w:r>
    </w:p>
  </w:footnote>
  <w:footnote w:id="8">
    <w:p w:rsidR="00D41C9B" w:rsidRDefault="00D41C9B" w:rsidP="00EB59B2">
      <w:pPr>
        <w:pStyle w:val="Textpoznmkypodiarou"/>
      </w:pPr>
      <w:r>
        <w:rPr>
          <w:rStyle w:val="Odkaznapoznmkupodiarou"/>
          <w:rFonts w:eastAsiaTheme="majorEastAsia"/>
        </w:rPr>
        <w:footnoteRef/>
      </w:r>
      <w:r>
        <w:t xml:space="preserve"> </w:t>
      </w:r>
      <w:r w:rsidRPr="00B6424A">
        <w:rPr>
          <w:rFonts w:ascii="Arial Narrow" w:hAnsi="Arial Narrow"/>
          <w:sz w:val="18"/>
          <w:szCs w:val="18"/>
        </w:rPr>
        <w:t>Kumulovaná výška d</w:t>
      </w:r>
      <w:r>
        <w:rPr>
          <w:rFonts w:ascii="Arial Narrow" w:hAnsi="Arial Narrow"/>
          <w:sz w:val="18"/>
          <w:szCs w:val="18"/>
        </w:rPr>
        <w:t xml:space="preserve">eklarovaných výdavkov k 30. </w:t>
      </w:r>
      <w:r w:rsidRPr="00B6424A">
        <w:rPr>
          <w:rFonts w:ascii="Arial Narrow" w:hAnsi="Arial Narrow"/>
          <w:sz w:val="18"/>
          <w:szCs w:val="18"/>
        </w:rPr>
        <w:t>6.</w:t>
      </w:r>
      <w:r>
        <w:rPr>
          <w:rFonts w:ascii="Arial Narrow" w:hAnsi="Arial Narrow"/>
          <w:sz w:val="18"/>
          <w:szCs w:val="18"/>
        </w:rPr>
        <w:t xml:space="preserve"> </w:t>
      </w:r>
      <w:r w:rsidRPr="00B6424A">
        <w:rPr>
          <w:rFonts w:ascii="Arial Narrow" w:hAnsi="Arial Narrow"/>
          <w:sz w:val="18"/>
          <w:szCs w:val="18"/>
        </w:rPr>
        <w:t xml:space="preserve">2018 je </w:t>
      </w:r>
      <w:r w:rsidRPr="00B6424A">
        <w:rPr>
          <w:rFonts w:ascii="Arial Narrow" w:hAnsi="Arial Narrow" w:cs="Calibri"/>
          <w:bCs/>
          <w:color w:val="000000"/>
          <w:sz w:val="18"/>
          <w:szCs w:val="18"/>
        </w:rPr>
        <w:t xml:space="preserve">1 414 010 195,51 </w:t>
      </w:r>
      <w:r>
        <w:rPr>
          <w:rFonts w:ascii="Arial Narrow" w:hAnsi="Arial Narrow" w:cs="Calibri"/>
          <w:bCs/>
          <w:color w:val="000000"/>
          <w:sz w:val="18"/>
          <w:szCs w:val="18"/>
        </w:rPr>
        <w:t>eur</w:t>
      </w:r>
    </w:p>
  </w:footnote>
  <w:footnote w:id="9">
    <w:p w:rsidR="00D41C9B" w:rsidRDefault="00D41C9B" w:rsidP="00EB59B2">
      <w:pPr>
        <w:pStyle w:val="Textpoznmkypodiarou"/>
      </w:pPr>
      <w:r>
        <w:rPr>
          <w:rStyle w:val="Odkaznapoznmkupodiarou"/>
          <w:rFonts w:eastAsiaTheme="majorEastAsia"/>
        </w:rPr>
        <w:footnoteRef/>
      </w:r>
      <w:r>
        <w:t xml:space="preserve"> </w:t>
      </w:r>
      <w:r w:rsidR="000926D3">
        <w:rPr>
          <w:rFonts w:ascii="Arial Narrow" w:hAnsi="Arial Narrow"/>
          <w:sz w:val="18"/>
          <w:szCs w:val="18"/>
        </w:rPr>
        <w:t xml:space="preserve">Údaj MF SR k 30. </w:t>
      </w:r>
      <w:r w:rsidRPr="00DF69F9">
        <w:rPr>
          <w:rFonts w:ascii="Arial Narrow" w:hAnsi="Arial Narrow"/>
          <w:sz w:val="18"/>
          <w:szCs w:val="18"/>
        </w:rPr>
        <w:t>9.</w:t>
      </w:r>
      <w:r w:rsidR="000926D3">
        <w:rPr>
          <w:rFonts w:ascii="Arial Narrow" w:hAnsi="Arial Narrow"/>
          <w:sz w:val="18"/>
          <w:szCs w:val="18"/>
        </w:rPr>
        <w:t xml:space="preserve"> </w:t>
      </w:r>
      <w:r w:rsidRPr="00DF69F9">
        <w:rPr>
          <w:rFonts w:ascii="Arial Narrow" w:hAnsi="Arial Narrow"/>
          <w:sz w:val="18"/>
          <w:szCs w:val="18"/>
        </w:rPr>
        <w:t>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C9B" w:rsidRPr="00C65CAA" w:rsidRDefault="00D41C9B" w:rsidP="0047702E">
    <w:pPr>
      <w:pStyle w:val="Hlavika"/>
      <w:jc w:val="center"/>
      <w:rPr>
        <w:rFonts w:ascii="Arial Narrow" w:hAnsi="Arial Narrow"/>
        <w:sz w:val="20"/>
        <w:szCs w:val="20"/>
      </w:rPr>
    </w:pPr>
    <w:r w:rsidRPr="00C65CAA">
      <w:rPr>
        <w:rFonts w:ascii="Arial Narrow" w:hAnsi="Arial Narrow"/>
        <w:sz w:val="20"/>
        <w:szCs w:val="20"/>
      </w:rPr>
      <w:t>Stanovisko Najvyššieho kontrolného úradu SR</w:t>
    </w:r>
  </w:p>
  <w:p w:rsidR="00D41C9B" w:rsidRPr="00C65CAA" w:rsidRDefault="00D41C9B" w:rsidP="0047702E">
    <w:pPr>
      <w:pStyle w:val="Hlavika"/>
      <w:tabs>
        <w:tab w:val="left" w:pos="1276"/>
      </w:tabs>
      <w:jc w:val="center"/>
      <w:rPr>
        <w:rFonts w:ascii="Arial Narrow" w:hAnsi="Arial Narrow"/>
        <w:sz w:val="20"/>
        <w:szCs w:val="20"/>
      </w:rPr>
    </w:pPr>
    <w:r w:rsidRPr="00C65CAA">
      <w:rPr>
        <w:rFonts w:ascii="Arial Narrow" w:hAnsi="Arial Narrow"/>
        <w:sz w:val="20"/>
        <w:szCs w:val="20"/>
      </w:rPr>
      <w:t>k návrhu štátneho rozpočtu na rok 2019</w:t>
    </w:r>
  </w:p>
  <w:p w:rsidR="00D41C9B" w:rsidRPr="00C65CAA" w:rsidRDefault="00D41C9B">
    <w:pPr>
      <w:pStyle w:val="Hlavika"/>
      <w:tabs>
        <w:tab w:val="left" w:pos="709"/>
      </w:tabs>
      <w:rPr>
        <w:rFonts w:ascii="Arial Narrow" w:hAnsi="Arial Narrow"/>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413"/>
    <w:multiLevelType w:val="multilevel"/>
    <w:tmpl w:val="041B001F"/>
    <w:styleLink w:val="tl1"/>
    <w:lvl w:ilvl="0">
      <w:start w:val="1"/>
      <w:numFmt w:val="decimal"/>
      <w:lvlText w:val="%1."/>
      <w:lvlJc w:val="left"/>
      <w:pPr>
        <w:ind w:left="360" w:hanging="360"/>
      </w:pPr>
    </w:lvl>
    <w:lvl w:ilvl="1">
      <w:start w:val="1"/>
      <w:numFmt w:val="decimal"/>
      <w:lvlText w:val="%1.%2."/>
      <w:lvlJc w:val="left"/>
      <w:pPr>
        <w:ind w:left="82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3049DC"/>
    <w:multiLevelType w:val="multilevel"/>
    <w:tmpl w:val="041B001F"/>
    <w:styleLink w:val="tl111"/>
    <w:lvl w:ilvl="0">
      <w:start w:val="3"/>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1B7406"/>
    <w:multiLevelType w:val="multilevel"/>
    <w:tmpl w:val="475874BE"/>
    <w:styleLink w:val="tl431"/>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AE3ABD"/>
    <w:multiLevelType w:val="hybridMultilevel"/>
    <w:tmpl w:val="AE125FA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6870C87"/>
    <w:multiLevelType w:val="multilevel"/>
    <w:tmpl w:val="2BB083BA"/>
    <w:styleLink w:val="tl44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9E4B59"/>
    <w:multiLevelType w:val="multilevel"/>
    <w:tmpl w:val="041B001F"/>
    <w:styleLink w:val="tl5"/>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9B1DC8"/>
    <w:multiLevelType w:val="multilevel"/>
    <w:tmpl w:val="041B001F"/>
    <w:styleLink w:val="tl2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783BC8"/>
    <w:multiLevelType w:val="hybridMultilevel"/>
    <w:tmpl w:val="64580106"/>
    <w:styleLink w:val="tl381"/>
    <w:lvl w:ilvl="0" w:tplc="8ECE05B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C4C6209"/>
    <w:multiLevelType w:val="multilevel"/>
    <w:tmpl w:val="E6306166"/>
    <w:styleLink w:val="tl391"/>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CA67455"/>
    <w:multiLevelType w:val="multilevel"/>
    <w:tmpl w:val="C4FA6116"/>
    <w:styleLink w:val="tl401"/>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0856055"/>
    <w:multiLevelType w:val="hybridMultilevel"/>
    <w:tmpl w:val="F42014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1201E8A"/>
    <w:multiLevelType w:val="multilevel"/>
    <w:tmpl w:val="75AA722A"/>
    <w:styleLink w:val="tl30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14B1E56"/>
    <w:multiLevelType w:val="multilevel"/>
    <w:tmpl w:val="041B001F"/>
    <w:styleLink w:val="tl15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2433BAC"/>
    <w:multiLevelType w:val="hybridMultilevel"/>
    <w:tmpl w:val="DA7C7370"/>
    <w:styleLink w:val="tl291"/>
    <w:lvl w:ilvl="0" w:tplc="D70EE91A">
      <w:start w:val="7"/>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2E7490C"/>
    <w:multiLevelType w:val="multilevel"/>
    <w:tmpl w:val="D6144FC8"/>
    <w:styleLink w:val="tl522"/>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3BA055E"/>
    <w:multiLevelType w:val="multilevel"/>
    <w:tmpl w:val="DACC562C"/>
    <w:styleLink w:val="tl461"/>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4A7066D"/>
    <w:multiLevelType w:val="multilevel"/>
    <w:tmpl w:val="041B001D"/>
    <w:styleLink w:val="tl10"/>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5166BF"/>
    <w:multiLevelType w:val="multilevel"/>
    <w:tmpl w:val="041B001D"/>
    <w:styleLink w:val="tl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60F6FDF"/>
    <w:multiLevelType w:val="hybridMultilevel"/>
    <w:tmpl w:val="19F29C2A"/>
    <w:styleLink w:val="tl3611"/>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177944AB"/>
    <w:multiLevelType w:val="multilevel"/>
    <w:tmpl w:val="041B001F"/>
    <w:styleLink w:val="tl33"/>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8A239D3"/>
    <w:multiLevelType w:val="multilevel"/>
    <w:tmpl w:val="FF4470A6"/>
    <w:styleLink w:val="tl221"/>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ACE1301"/>
    <w:multiLevelType w:val="multilevel"/>
    <w:tmpl w:val="041B001F"/>
    <w:styleLink w:val="tl22"/>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B6E779F"/>
    <w:multiLevelType w:val="multilevel"/>
    <w:tmpl w:val="041B001F"/>
    <w:styleLink w:val="tl47"/>
    <w:lvl w:ilvl="0">
      <w:start w:val="4"/>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BD205E6"/>
    <w:multiLevelType w:val="hybridMultilevel"/>
    <w:tmpl w:val="DE7003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1C6C1AF6"/>
    <w:multiLevelType w:val="multilevel"/>
    <w:tmpl w:val="B4187828"/>
    <w:styleLink w:val="tl271"/>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E525C03"/>
    <w:multiLevelType w:val="multilevel"/>
    <w:tmpl w:val="041B001F"/>
    <w:styleLink w:val="tl39"/>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3EC3D3C"/>
    <w:multiLevelType w:val="multilevel"/>
    <w:tmpl w:val="041B001D"/>
    <w:styleLink w:val="tl10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51967ED"/>
    <w:multiLevelType w:val="multilevel"/>
    <w:tmpl w:val="041B001F"/>
    <w:styleLink w:val="tl28"/>
    <w:lvl w:ilvl="0">
      <w:start w:val="2"/>
      <w:numFmt w:val="decimal"/>
      <w:lvlText w:val="%1."/>
      <w:lvlJc w:val="left"/>
      <w:pPr>
        <w:ind w:left="360" w:hanging="360"/>
      </w:pPr>
    </w:lvl>
    <w:lvl w:ilvl="1">
      <w:start w:val="1"/>
      <w:numFmt w:val="decimal"/>
      <w:lvlText w:val="%1.%2."/>
      <w:lvlJc w:val="left"/>
      <w:pPr>
        <w:ind w:left="82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6303CBC"/>
    <w:multiLevelType w:val="multilevel"/>
    <w:tmpl w:val="235ABA8C"/>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27373493"/>
    <w:multiLevelType w:val="hybridMultilevel"/>
    <w:tmpl w:val="EEC6B2AA"/>
    <w:lvl w:ilvl="0" w:tplc="BFDE347C">
      <w:start w:val="4"/>
      <w:numFmt w:val="bullet"/>
      <w:lvlText w:val="-"/>
      <w:lvlJc w:val="left"/>
      <w:pPr>
        <w:ind w:left="360" w:hanging="360"/>
      </w:pPr>
      <w:rPr>
        <w:rFonts w:ascii="Times New Roman" w:eastAsia="Times New Roman" w:hAnsi="Times New Roman" w:cs="Times New Roman" w:hint="default"/>
        <w:color w:val="auto"/>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77E472B"/>
    <w:multiLevelType w:val="multilevel"/>
    <w:tmpl w:val="F092AC2C"/>
    <w:styleLink w:val="tl451"/>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8B60490"/>
    <w:multiLevelType w:val="hybridMultilevel"/>
    <w:tmpl w:val="55B210CE"/>
    <w:lvl w:ilvl="0" w:tplc="39807344">
      <w:start w:val="1"/>
      <w:numFmt w:val="bullet"/>
      <w:lvlText w:val=""/>
      <w:lvlJc w:val="left"/>
      <w:pPr>
        <w:ind w:left="-129" w:hanging="360"/>
      </w:pPr>
      <w:rPr>
        <w:rFonts w:ascii="Symbol" w:hAnsi="Symbol" w:hint="default"/>
      </w:rPr>
    </w:lvl>
    <w:lvl w:ilvl="1" w:tplc="041B0003">
      <w:start w:val="1"/>
      <w:numFmt w:val="bullet"/>
      <w:lvlText w:val="o"/>
      <w:lvlJc w:val="left"/>
      <w:pPr>
        <w:ind w:left="591" w:hanging="360"/>
      </w:pPr>
      <w:rPr>
        <w:rFonts w:ascii="Courier New" w:hAnsi="Courier New" w:cs="Courier New" w:hint="default"/>
      </w:rPr>
    </w:lvl>
    <w:lvl w:ilvl="2" w:tplc="041B0005">
      <w:start w:val="1"/>
      <w:numFmt w:val="bullet"/>
      <w:lvlText w:val=""/>
      <w:lvlJc w:val="left"/>
      <w:pPr>
        <w:ind w:left="1311" w:hanging="360"/>
      </w:pPr>
      <w:rPr>
        <w:rFonts w:ascii="Wingdings" w:hAnsi="Wingdings" w:hint="default"/>
      </w:rPr>
    </w:lvl>
    <w:lvl w:ilvl="3" w:tplc="041B0001">
      <w:start w:val="1"/>
      <w:numFmt w:val="bullet"/>
      <w:lvlText w:val=""/>
      <w:lvlJc w:val="left"/>
      <w:pPr>
        <w:ind w:left="2031" w:hanging="360"/>
      </w:pPr>
      <w:rPr>
        <w:rFonts w:ascii="Symbol" w:hAnsi="Symbol" w:hint="default"/>
      </w:rPr>
    </w:lvl>
    <w:lvl w:ilvl="4" w:tplc="041B0003">
      <w:start w:val="1"/>
      <w:numFmt w:val="bullet"/>
      <w:lvlText w:val="o"/>
      <w:lvlJc w:val="left"/>
      <w:pPr>
        <w:ind w:left="2751" w:hanging="360"/>
      </w:pPr>
      <w:rPr>
        <w:rFonts w:ascii="Courier New" w:hAnsi="Courier New" w:cs="Courier New" w:hint="default"/>
      </w:rPr>
    </w:lvl>
    <w:lvl w:ilvl="5" w:tplc="041B0005">
      <w:start w:val="1"/>
      <w:numFmt w:val="bullet"/>
      <w:lvlText w:val=""/>
      <w:lvlJc w:val="left"/>
      <w:pPr>
        <w:ind w:left="3471" w:hanging="360"/>
      </w:pPr>
      <w:rPr>
        <w:rFonts w:ascii="Wingdings" w:hAnsi="Wingdings" w:hint="default"/>
      </w:rPr>
    </w:lvl>
    <w:lvl w:ilvl="6" w:tplc="041B0001">
      <w:start w:val="1"/>
      <w:numFmt w:val="bullet"/>
      <w:lvlText w:val=""/>
      <w:lvlJc w:val="left"/>
      <w:pPr>
        <w:ind w:left="4191" w:hanging="360"/>
      </w:pPr>
      <w:rPr>
        <w:rFonts w:ascii="Symbol" w:hAnsi="Symbol" w:hint="default"/>
      </w:rPr>
    </w:lvl>
    <w:lvl w:ilvl="7" w:tplc="041B0003">
      <w:start w:val="1"/>
      <w:numFmt w:val="bullet"/>
      <w:lvlText w:val="o"/>
      <w:lvlJc w:val="left"/>
      <w:pPr>
        <w:ind w:left="4911" w:hanging="360"/>
      </w:pPr>
      <w:rPr>
        <w:rFonts w:ascii="Courier New" w:hAnsi="Courier New" w:cs="Courier New" w:hint="default"/>
      </w:rPr>
    </w:lvl>
    <w:lvl w:ilvl="8" w:tplc="041B0005">
      <w:start w:val="1"/>
      <w:numFmt w:val="bullet"/>
      <w:lvlText w:val=""/>
      <w:lvlJc w:val="left"/>
      <w:pPr>
        <w:ind w:left="5631" w:hanging="360"/>
      </w:pPr>
      <w:rPr>
        <w:rFonts w:ascii="Wingdings" w:hAnsi="Wingdings" w:hint="default"/>
      </w:rPr>
    </w:lvl>
  </w:abstractNum>
  <w:abstractNum w:abstractNumId="32" w15:restartNumberingAfterBreak="0">
    <w:nsid w:val="29F4369C"/>
    <w:multiLevelType w:val="hybridMultilevel"/>
    <w:tmpl w:val="DB4A547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15:restartNumberingAfterBreak="0">
    <w:nsid w:val="2A831E8F"/>
    <w:multiLevelType w:val="multilevel"/>
    <w:tmpl w:val="B232BBC2"/>
    <w:styleLink w:val="tl181"/>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C085E57"/>
    <w:multiLevelType w:val="hybridMultilevel"/>
    <w:tmpl w:val="EB780812"/>
    <w:lvl w:ilvl="0" w:tplc="041B0001">
      <w:start w:val="1"/>
      <w:numFmt w:val="bullet"/>
      <w:lvlText w:val=""/>
      <w:lvlJc w:val="left"/>
      <w:pPr>
        <w:ind w:left="1079" w:hanging="360"/>
      </w:pPr>
      <w:rPr>
        <w:rFonts w:ascii="Symbol" w:hAnsi="Symbol" w:hint="default"/>
      </w:rPr>
    </w:lvl>
    <w:lvl w:ilvl="1" w:tplc="041B0003" w:tentative="1">
      <w:start w:val="1"/>
      <w:numFmt w:val="bullet"/>
      <w:lvlText w:val="o"/>
      <w:lvlJc w:val="left"/>
      <w:pPr>
        <w:ind w:left="1799" w:hanging="360"/>
      </w:pPr>
      <w:rPr>
        <w:rFonts w:ascii="Courier New" w:hAnsi="Courier New" w:cs="Courier New" w:hint="default"/>
      </w:rPr>
    </w:lvl>
    <w:lvl w:ilvl="2" w:tplc="041B0005" w:tentative="1">
      <w:start w:val="1"/>
      <w:numFmt w:val="bullet"/>
      <w:lvlText w:val=""/>
      <w:lvlJc w:val="left"/>
      <w:pPr>
        <w:ind w:left="2519" w:hanging="360"/>
      </w:pPr>
      <w:rPr>
        <w:rFonts w:ascii="Wingdings" w:hAnsi="Wingdings" w:hint="default"/>
      </w:rPr>
    </w:lvl>
    <w:lvl w:ilvl="3" w:tplc="041B0001" w:tentative="1">
      <w:start w:val="1"/>
      <w:numFmt w:val="bullet"/>
      <w:lvlText w:val=""/>
      <w:lvlJc w:val="left"/>
      <w:pPr>
        <w:ind w:left="3239" w:hanging="360"/>
      </w:pPr>
      <w:rPr>
        <w:rFonts w:ascii="Symbol" w:hAnsi="Symbol" w:hint="default"/>
      </w:rPr>
    </w:lvl>
    <w:lvl w:ilvl="4" w:tplc="041B0003" w:tentative="1">
      <w:start w:val="1"/>
      <w:numFmt w:val="bullet"/>
      <w:lvlText w:val="o"/>
      <w:lvlJc w:val="left"/>
      <w:pPr>
        <w:ind w:left="3959" w:hanging="360"/>
      </w:pPr>
      <w:rPr>
        <w:rFonts w:ascii="Courier New" w:hAnsi="Courier New" w:cs="Courier New" w:hint="default"/>
      </w:rPr>
    </w:lvl>
    <w:lvl w:ilvl="5" w:tplc="041B0005" w:tentative="1">
      <w:start w:val="1"/>
      <w:numFmt w:val="bullet"/>
      <w:lvlText w:val=""/>
      <w:lvlJc w:val="left"/>
      <w:pPr>
        <w:ind w:left="4679" w:hanging="360"/>
      </w:pPr>
      <w:rPr>
        <w:rFonts w:ascii="Wingdings" w:hAnsi="Wingdings" w:hint="default"/>
      </w:rPr>
    </w:lvl>
    <w:lvl w:ilvl="6" w:tplc="041B0001" w:tentative="1">
      <w:start w:val="1"/>
      <w:numFmt w:val="bullet"/>
      <w:lvlText w:val=""/>
      <w:lvlJc w:val="left"/>
      <w:pPr>
        <w:ind w:left="5399" w:hanging="360"/>
      </w:pPr>
      <w:rPr>
        <w:rFonts w:ascii="Symbol" w:hAnsi="Symbol" w:hint="default"/>
      </w:rPr>
    </w:lvl>
    <w:lvl w:ilvl="7" w:tplc="041B0003" w:tentative="1">
      <w:start w:val="1"/>
      <w:numFmt w:val="bullet"/>
      <w:lvlText w:val="o"/>
      <w:lvlJc w:val="left"/>
      <w:pPr>
        <w:ind w:left="6119" w:hanging="360"/>
      </w:pPr>
      <w:rPr>
        <w:rFonts w:ascii="Courier New" w:hAnsi="Courier New" w:cs="Courier New" w:hint="default"/>
      </w:rPr>
    </w:lvl>
    <w:lvl w:ilvl="8" w:tplc="041B0005" w:tentative="1">
      <w:start w:val="1"/>
      <w:numFmt w:val="bullet"/>
      <w:lvlText w:val=""/>
      <w:lvlJc w:val="left"/>
      <w:pPr>
        <w:ind w:left="6839" w:hanging="360"/>
      </w:pPr>
      <w:rPr>
        <w:rFonts w:ascii="Wingdings" w:hAnsi="Wingdings" w:hint="default"/>
      </w:rPr>
    </w:lvl>
  </w:abstractNum>
  <w:abstractNum w:abstractNumId="35" w15:restartNumberingAfterBreak="0">
    <w:nsid w:val="2E8A1E12"/>
    <w:multiLevelType w:val="multilevel"/>
    <w:tmpl w:val="041B001F"/>
    <w:styleLink w:val="tl2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F0A59D7"/>
    <w:multiLevelType w:val="hybridMultilevel"/>
    <w:tmpl w:val="A19C445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7" w15:restartNumberingAfterBreak="0">
    <w:nsid w:val="2FEF0EB6"/>
    <w:multiLevelType w:val="multilevel"/>
    <w:tmpl w:val="08DC4C3E"/>
    <w:styleLink w:val="tl4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03B7CC2"/>
    <w:multiLevelType w:val="multilevel"/>
    <w:tmpl w:val="041B001F"/>
    <w:styleLink w:val="tl8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0D463DC"/>
    <w:multiLevelType w:val="hybridMultilevel"/>
    <w:tmpl w:val="860E611E"/>
    <w:styleLink w:val="tl281"/>
    <w:lvl w:ilvl="0" w:tplc="F72AD0B6">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1042574"/>
    <w:multiLevelType w:val="multilevel"/>
    <w:tmpl w:val="041B001F"/>
    <w:styleLink w:val="tl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1E54C70"/>
    <w:multiLevelType w:val="multilevel"/>
    <w:tmpl w:val="794E08BA"/>
    <w:styleLink w:val="tl91"/>
    <w:lvl w:ilvl="0">
      <w:start w:val="2"/>
      <w:numFmt w:val="decimal"/>
      <w:lvlText w:val="%1."/>
      <w:lvlJc w:val="left"/>
      <w:pPr>
        <w:ind w:left="454" w:hanging="360"/>
      </w:pPr>
      <w:rPr>
        <w:rFonts w:hint="default"/>
      </w:rPr>
    </w:lvl>
    <w:lvl w:ilvl="1">
      <w:start w:val="1"/>
      <w:numFmt w:val="decimal"/>
      <w:isLgl/>
      <w:lvlText w:val="%1.%2."/>
      <w:lvlJc w:val="left"/>
      <w:pPr>
        <w:ind w:left="754" w:hanging="360"/>
      </w:pPr>
      <w:rPr>
        <w:rFonts w:hint="default"/>
      </w:rPr>
    </w:lvl>
    <w:lvl w:ilvl="2">
      <w:start w:val="1"/>
      <w:numFmt w:val="decimal"/>
      <w:isLgl/>
      <w:lvlText w:val="%1.%2.%3."/>
      <w:lvlJc w:val="left"/>
      <w:pPr>
        <w:ind w:left="1414"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74" w:hanging="1080"/>
      </w:pPr>
      <w:rPr>
        <w:rFonts w:hint="default"/>
      </w:rPr>
    </w:lvl>
    <w:lvl w:ilvl="5">
      <w:start w:val="1"/>
      <w:numFmt w:val="decimal"/>
      <w:isLgl/>
      <w:lvlText w:val="%1.%2.%3.%4.%5.%6."/>
      <w:lvlJc w:val="left"/>
      <w:pPr>
        <w:ind w:left="2674" w:hanging="1080"/>
      </w:pPr>
      <w:rPr>
        <w:rFonts w:hint="default"/>
      </w:rPr>
    </w:lvl>
    <w:lvl w:ilvl="6">
      <w:start w:val="1"/>
      <w:numFmt w:val="decimal"/>
      <w:isLgl/>
      <w:lvlText w:val="%1.%2.%3.%4.%5.%6.%7."/>
      <w:lvlJc w:val="left"/>
      <w:pPr>
        <w:ind w:left="3334" w:hanging="1440"/>
      </w:pPr>
      <w:rPr>
        <w:rFonts w:hint="default"/>
      </w:rPr>
    </w:lvl>
    <w:lvl w:ilvl="7">
      <w:start w:val="1"/>
      <w:numFmt w:val="decimal"/>
      <w:isLgl/>
      <w:lvlText w:val="%1.%2.%3.%4.%5.%6.%7.%8."/>
      <w:lvlJc w:val="left"/>
      <w:pPr>
        <w:ind w:left="3634" w:hanging="1440"/>
      </w:pPr>
      <w:rPr>
        <w:rFonts w:hint="default"/>
      </w:rPr>
    </w:lvl>
    <w:lvl w:ilvl="8">
      <w:start w:val="1"/>
      <w:numFmt w:val="decimal"/>
      <w:isLgl/>
      <w:lvlText w:val="%1.%2.%3.%4.%5.%6.%7.%8.%9."/>
      <w:lvlJc w:val="left"/>
      <w:pPr>
        <w:ind w:left="4294" w:hanging="1800"/>
      </w:pPr>
      <w:rPr>
        <w:rFonts w:hint="default"/>
      </w:rPr>
    </w:lvl>
  </w:abstractNum>
  <w:abstractNum w:abstractNumId="42" w15:restartNumberingAfterBreak="0">
    <w:nsid w:val="32FF0C96"/>
    <w:multiLevelType w:val="hybridMultilevel"/>
    <w:tmpl w:val="7F22C93A"/>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3" w15:restartNumberingAfterBreak="0">
    <w:nsid w:val="34BA7EA1"/>
    <w:multiLevelType w:val="hybridMultilevel"/>
    <w:tmpl w:val="26E6CA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35E41722"/>
    <w:multiLevelType w:val="multilevel"/>
    <w:tmpl w:val="0A7208E8"/>
    <w:styleLink w:val="tl27"/>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5F358F5"/>
    <w:multiLevelType w:val="multilevel"/>
    <w:tmpl w:val="041B001D"/>
    <w:styleLink w:val="tl49"/>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365B0324"/>
    <w:multiLevelType w:val="multilevel"/>
    <w:tmpl w:val="D3889E32"/>
    <w:styleLink w:val="tl34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7267AAE"/>
    <w:multiLevelType w:val="hybridMultilevel"/>
    <w:tmpl w:val="4648B51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38E6193F"/>
    <w:multiLevelType w:val="multilevel"/>
    <w:tmpl w:val="041B001F"/>
    <w:styleLink w:val="tl4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BE913A0"/>
    <w:multiLevelType w:val="hybridMultilevel"/>
    <w:tmpl w:val="B510A202"/>
    <w:styleLink w:val="tl351"/>
    <w:lvl w:ilvl="0" w:tplc="BBBCA78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CBE0E83"/>
    <w:multiLevelType w:val="multilevel"/>
    <w:tmpl w:val="041B001F"/>
    <w:styleLink w:val="tl361"/>
    <w:lvl w:ilvl="0">
      <w:start w:val="1"/>
      <w:numFmt w:val="decimal"/>
      <w:lvlText w:val="%1."/>
      <w:lvlJc w:val="left"/>
      <w:pPr>
        <w:ind w:left="360" w:hanging="360"/>
      </w:pPr>
    </w:lvl>
    <w:lvl w:ilvl="1">
      <w:start w:val="1"/>
      <w:numFmt w:val="decimal"/>
      <w:lvlText w:val="%1.%2."/>
      <w:lvlJc w:val="left"/>
      <w:pPr>
        <w:ind w:left="82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F2A77F4"/>
    <w:multiLevelType w:val="multilevel"/>
    <w:tmpl w:val="041B001F"/>
    <w:styleLink w:val="tl9"/>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FE566CA"/>
    <w:multiLevelType w:val="multilevel"/>
    <w:tmpl w:val="041B001F"/>
    <w:styleLink w:val="tl5231"/>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40610C69"/>
    <w:multiLevelType w:val="hybridMultilevel"/>
    <w:tmpl w:val="A574D5A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4" w15:restartNumberingAfterBreak="0">
    <w:nsid w:val="41290A75"/>
    <w:multiLevelType w:val="multilevel"/>
    <w:tmpl w:val="041B001F"/>
    <w:styleLink w:val="tl36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1687D9B"/>
    <w:multiLevelType w:val="multilevel"/>
    <w:tmpl w:val="486A8B38"/>
    <w:styleLink w:val="tl3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2673AAB"/>
    <w:multiLevelType w:val="multilevel"/>
    <w:tmpl w:val="041B001F"/>
    <w:styleLink w:val="tl13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307322B"/>
    <w:multiLevelType w:val="hybridMultilevel"/>
    <w:tmpl w:val="EE2C8EA8"/>
    <w:lvl w:ilvl="0" w:tplc="03BA7296">
      <w:start w:val="1"/>
      <w:numFmt w:val="bullet"/>
      <w:lvlText w:val="−"/>
      <w:lvlJc w:val="left"/>
      <w:pPr>
        <w:ind w:left="717" w:hanging="360"/>
      </w:pPr>
      <w:rPr>
        <w:rFonts w:ascii="Arial Narrow" w:hAnsi="Arial Narrow" w:hint="default"/>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58" w15:restartNumberingAfterBreak="0">
    <w:nsid w:val="44164741"/>
    <w:multiLevelType w:val="multilevel"/>
    <w:tmpl w:val="041B001F"/>
    <w:styleLink w:val="tl3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4996189"/>
    <w:multiLevelType w:val="multilevel"/>
    <w:tmpl w:val="041B001F"/>
    <w:styleLink w:val="tl37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5341781"/>
    <w:multiLevelType w:val="multilevel"/>
    <w:tmpl w:val="041B001D"/>
    <w:styleLink w:val="tl20"/>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566289A"/>
    <w:multiLevelType w:val="hybridMultilevel"/>
    <w:tmpl w:val="A460869C"/>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62" w15:restartNumberingAfterBreak="0">
    <w:nsid w:val="46002072"/>
    <w:multiLevelType w:val="multilevel"/>
    <w:tmpl w:val="1778C2BE"/>
    <w:lvl w:ilvl="0">
      <w:start w:val="1"/>
      <w:numFmt w:val="decimal"/>
      <w:lvlText w:val="%1."/>
      <w:lvlJc w:val="left"/>
      <w:pPr>
        <w:ind w:left="360" w:hanging="360"/>
      </w:pPr>
      <w:rPr>
        <w:rFonts w:hint="default"/>
      </w:rPr>
    </w:lvl>
    <w:lvl w:ilvl="1">
      <w:start w:val="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470F480D"/>
    <w:multiLevelType w:val="hybridMultilevel"/>
    <w:tmpl w:val="BA3651AC"/>
    <w:lvl w:ilvl="0" w:tplc="041B0001">
      <w:start w:val="1"/>
      <w:numFmt w:val="bullet"/>
      <w:lvlText w:val=""/>
      <w:lvlJc w:val="left"/>
      <w:pPr>
        <w:ind w:left="-1080" w:hanging="360"/>
      </w:pPr>
      <w:rPr>
        <w:rFonts w:ascii="Symbol" w:hAnsi="Symbol" w:hint="default"/>
      </w:rPr>
    </w:lvl>
    <w:lvl w:ilvl="1" w:tplc="A784EA68">
      <w:numFmt w:val="bullet"/>
      <w:lvlText w:val="-"/>
      <w:lvlJc w:val="left"/>
      <w:pPr>
        <w:ind w:left="-24" w:hanging="696"/>
      </w:pPr>
      <w:rPr>
        <w:rFonts w:ascii="Arial Narrow" w:eastAsiaTheme="minorHAnsi" w:hAnsi="Arial Narrow" w:cstheme="minorBidi" w:hint="default"/>
      </w:rPr>
    </w:lvl>
    <w:lvl w:ilvl="2" w:tplc="041B0005" w:tentative="1">
      <w:start w:val="1"/>
      <w:numFmt w:val="bullet"/>
      <w:lvlText w:val=""/>
      <w:lvlJc w:val="left"/>
      <w:pPr>
        <w:ind w:left="360" w:hanging="360"/>
      </w:pPr>
      <w:rPr>
        <w:rFonts w:ascii="Wingdings" w:hAnsi="Wingdings" w:hint="default"/>
      </w:rPr>
    </w:lvl>
    <w:lvl w:ilvl="3" w:tplc="041B0001" w:tentative="1">
      <w:start w:val="1"/>
      <w:numFmt w:val="bullet"/>
      <w:lvlText w:val=""/>
      <w:lvlJc w:val="left"/>
      <w:pPr>
        <w:ind w:left="1080" w:hanging="360"/>
      </w:pPr>
      <w:rPr>
        <w:rFonts w:ascii="Symbol" w:hAnsi="Symbol" w:hint="default"/>
      </w:rPr>
    </w:lvl>
    <w:lvl w:ilvl="4" w:tplc="041B0003" w:tentative="1">
      <w:start w:val="1"/>
      <w:numFmt w:val="bullet"/>
      <w:lvlText w:val="o"/>
      <w:lvlJc w:val="left"/>
      <w:pPr>
        <w:ind w:left="1800" w:hanging="360"/>
      </w:pPr>
      <w:rPr>
        <w:rFonts w:ascii="Courier New" w:hAnsi="Courier New" w:cs="Courier New" w:hint="default"/>
      </w:rPr>
    </w:lvl>
    <w:lvl w:ilvl="5" w:tplc="041B0005" w:tentative="1">
      <w:start w:val="1"/>
      <w:numFmt w:val="bullet"/>
      <w:lvlText w:val=""/>
      <w:lvlJc w:val="left"/>
      <w:pPr>
        <w:ind w:left="2520" w:hanging="360"/>
      </w:pPr>
      <w:rPr>
        <w:rFonts w:ascii="Wingdings" w:hAnsi="Wingdings" w:hint="default"/>
      </w:rPr>
    </w:lvl>
    <w:lvl w:ilvl="6" w:tplc="041B0001" w:tentative="1">
      <w:start w:val="1"/>
      <w:numFmt w:val="bullet"/>
      <w:lvlText w:val=""/>
      <w:lvlJc w:val="left"/>
      <w:pPr>
        <w:ind w:left="3240" w:hanging="360"/>
      </w:pPr>
      <w:rPr>
        <w:rFonts w:ascii="Symbol" w:hAnsi="Symbol" w:hint="default"/>
      </w:rPr>
    </w:lvl>
    <w:lvl w:ilvl="7" w:tplc="041B0003" w:tentative="1">
      <w:start w:val="1"/>
      <w:numFmt w:val="bullet"/>
      <w:lvlText w:val="o"/>
      <w:lvlJc w:val="left"/>
      <w:pPr>
        <w:ind w:left="3960" w:hanging="360"/>
      </w:pPr>
      <w:rPr>
        <w:rFonts w:ascii="Courier New" w:hAnsi="Courier New" w:cs="Courier New" w:hint="default"/>
      </w:rPr>
    </w:lvl>
    <w:lvl w:ilvl="8" w:tplc="041B0005" w:tentative="1">
      <w:start w:val="1"/>
      <w:numFmt w:val="bullet"/>
      <w:lvlText w:val=""/>
      <w:lvlJc w:val="left"/>
      <w:pPr>
        <w:ind w:left="4680" w:hanging="360"/>
      </w:pPr>
      <w:rPr>
        <w:rFonts w:ascii="Wingdings" w:hAnsi="Wingdings" w:hint="default"/>
      </w:rPr>
    </w:lvl>
  </w:abstractNum>
  <w:abstractNum w:abstractNumId="64" w15:restartNumberingAfterBreak="0">
    <w:nsid w:val="478C0D50"/>
    <w:multiLevelType w:val="multilevel"/>
    <w:tmpl w:val="041B001F"/>
    <w:styleLink w:val="tl1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7EB3972"/>
    <w:multiLevelType w:val="multilevel"/>
    <w:tmpl w:val="041B001F"/>
    <w:styleLink w:val="tl1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808146E"/>
    <w:multiLevelType w:val="multilevel"/>
    <w:tmpl w:val="7BB2FD8C"/>
    <w:styleLink w:val="tl20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482A46A5"/>
    <w:multiLevelType w:val="multilevel"/>
    <w:tmpl w:val="041B001F"/>
    <w:styleLink w:val="tl2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87D239C"/>
    <w:multiLevelType w:val="multilevel"/>
    <w:tmpl w:val="041B001F"/>
    <w:styleLink w:val="t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88969EB"/>
    <w:multiLevelType w:val="multilevel"/>
    <w:tmpl w:val="A2ECD4DA"/>
    <w:styleLink w:val="tl211"/>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497B4877"/>
    <w:multiLevelType w:val="multilevel"/>
    <w:tmpl w:val="DC761874"/>
    <w:styleLink w:val="tl321"/>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49C9641F"/>
    <w:multiLevelType w:val="hybridMultilevel"/>
    <w:tmpl w:val="9216BFD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4CCD1A0F"/>
    <w:multiLevelType w:val="multilevel"/>
    <w:tmpl w:val="041B001D"/>
    <w:styleLink w:val="tl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4E402D05"/>
    <w:multiLevelType w:val="multilevel"/>
    <w:tmpl w:val="F118CD4C"/>
    <w:styleLink w:val="tl1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4E4043B0"/>
    <w:multiLevelType w:val="multilevel"/>
    <w:tmpl w:val="041B001F"/>
    <w:styleLink w:val="tl5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4F720DBD"/>
    <w:multiLevelType w:val="multilevel"/>
    <w:tmpl w:val="6756A6BC"/>
    <w:styleLink w:val="tl422"/>
    <w:lvl w:ilvl="0">
      <w:start w:val="8"/>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02276AB"/>
    <w:multiLevelType w:val="multilevel"/>
    <w:tmpl w:val="041B001F"/>
    <w:styleLink w:val="tl17"/>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0436984"/>
    <w:multiLevelType w:val="multilevel"/>
    <w:tmpl w:val="041B001D"/>
    <w:styleLink w:val="tl7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2194035"/>
    <w:multiLevelType w:val="multilevel"/>
    <w:tmpl w:val="A6300FD4"/>
    <w:styleLink w:val="tl50"/>
    <w:lvl w:ilvl="0">
      <w:start w:val="2"/>
      <w:numFmt w:val="decimal"/>
      <w:lvlText w:val="%1."/>
      <w:lvlJc w:val="left"/>
      <w:pPr>
        <w:ind w:left="720" w:hanging="360"/>
      </w:pPr>
      <w:rPr>
        <w:rFonts w:eastAsia="Calibri" w:hint="default"/>
        <w:b/>
        <w:sz w:val="24"/>
        <w:szCs w:val="24"/>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52292E50"/>
    <w:multiLevelType w:val="multilevel"/>
    <w:tmpl w:val="4DEA7188"/>
    <w:styleLink w:val="tl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530F1FBB"/>
    <w:multiLevelType w:val="multilevel"/>
    <w:tmpl w:val="041B001D"/>
    <w:styleLink w:val="tl4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54120855"/>
    <w:multiLevelType w:val="hybridMultilevel"/>
    <w:tmpl w:val="853CD86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2" w15:restartNumberingAfterBreak="0">
    <w:nsid w:val="5505730F"/>
    <w:multiLevelType w:val="multilevel"/>
    <w:tmpl w:val="27403034"/>
    <w:styleLink w:val="tl191"/>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57093D71"/>
    <w:multiLevelType w:val="multilevel"/>
    <w:tmpl w:val="589A7464"/>
    <w:styleLink w:val="tl261"/>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58295885"/>
    <w:multiLevelType w:val="multilevel"/>
    <w:tmpl w:val="4C084042"/>
    <w:styleLink w:val="tl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59C062C3"/>
    <w:multiLevelType w:val="multilevel"/>
    <w:tmpl w:val="041B001D"/>
    <w:styleLink w:val="tl3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C1569FA"/>
    <w:multiLevelType w:val="multilevel"/>
    <w:tmpl w:val="3E4ECACE"/>
    <w:styleLink w:val="tl411"/>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CEE5B02"/>
    <w:multiLevelType w:val="hybridMultilevel"/>
    <w:tmpl w:val="36665F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15:restartNumberingAfterBreak="0">
    <w:nsid w:val="62E25250"/>
    <w:multiLevelType w:val="multilevel"/>
    <w:tmpl w:val="041B001F"/>
    <w:styleLink w:val="tl1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647355C5"/>
    <w:multiLevelType w:val="multilevel"/>
    <w:tmpl w:val="041B001F"/>
    <w:styleLink w:val="tl19"/>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674D429E"/>
    <w:multiLevelType w:val="multilevel"/>
    <w:tmpl w:val="DACC562C"/>
    <w:styleLink w:val="tl471"/>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67F73023"/>
    <w:multiLevelType w:val="multilevel"/>
    <w:tmpl w:val="041B001D"/>
    <w:styleLink w:val="tl422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687345B5"/>
    <w:multiLevelType w:val="multilevel"/>
    <w:tmpl w:val="9A9842D2"/>
    <w:styleLink w:val="tl241"/>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68A14430"/>
    <w:multiLevelType w:val="multilevel"/>
    <w:tmpl w:val="12AEE9F8"/>
    <w:styleLink w:val="tl1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69C56A8A"/>
    <w:multiLevelType w:val="hybridMultilevel"/>
    <w:tmpl w:val="E426429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5" w15:restartNumberingAfterBreak="0">
    <w:nsid w:val="6A5D4E16"/>
    <w:multiLevelType w:val="multilevel"/>
    <w:tmpl w:val="041B001F"/>
    <w:styleLink w:val="tl1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6A7840F9"/>
    <w:multiLevelType w:val="multilevel"/>
    <w:tmpl w:val="A692B2A4"/>
    <w:styleLink w:val="tl311"/>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6AB7409F"/>
    <w:multiLevelType w:val="multilevel"/>
    <w:tmpl w:val="041B001F"/>
    <w:styleLink w:val="tl6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6AE50ED0"/>
    <w:multiLevelType w:val="multilevel"/>
    <w:tmpl w:val="041B001F"/>
    <w:styleLink w:val="tl331"/>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6B305C31"/>
    <w:multiLevelType w:val="hybridMultilevel"/>
    <w:tmpl w:val="742EA6A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0" w15:restartNumberingAfterBreak="0">
    <w:nsid w:val="6D8435A9"/>
    <w:multiLevelType w:val="multilevel"/>
    <w:tmpl w:val="38580220"/>
    <w:styleLink w:val="tl210"/>
    <w:lvl w:ilvl="0">
      <w:start w:val="1"/>
      <w:numFmt w:val="decimal"/>
      <w:lvlText w:val="%1."/>
      <w:lvlJc w:val="left"/>
      <w:pPr>
        <w:ind w:left="360" w:hanging="360"/>
      </w:pPr>
      <w:rPr>
        <w:rFonts w:hint="default"/>
      </w:rPr>
    </w:lvl>
    <w:lvl w:ilvl="1">
      <w:start w:val="1"/>
      <w:numFmt w:val="decimal"/>
      <w:lvlText w:val="%1.%2."/>
      <w:lvlJc w:val="left"/>
      <w:pPr>
        <w:ind w:left="82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6E3C3D2B"/>
    <w:multiLevelType w:val="multilevel"/>
    <w:tmpl w:val="52F874C2"/>
    <w:styleLink w:val="tl171"/>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6F2A6004"/>
    <w:multiLevelType w:val="hybridMultilevel"/>
    <w:tmpl w:val="99F4B6A0"/>
    <w:lvl w:ilvl="0" w:tplc="459E1B12">
      <w:start w:val="138"/>
      <w:numFmt w:val="bullet"/>
      <w:lvlText w:val="-"/>
      <w:lvlJc w:val="left"/>
      <w:pPr>
        <w:ind w:left="360" w:hanging="360"/>
      </w:pPr>
      <w:rPr>
        <w:rFonts w:ascii="Arial Narrow" w:eastAsiaTheme="minorHAnsi" w:hAnsi="Arial Narrow" w:cstheme="minorBid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3" w15:restartNumberingAfterBreak="0">
    <w:nsid w:val="708870B0"/>
    <w:multiLevelType w:val="hybridMultilevel"/>
    <w:tmpl w:val="D7822B6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4" w15:restartNumberingAfterBreak="0">
    <w:nsid w:val="714B0A44"/>
    <w:multiLevelType w:val="multilevel"/>
    <w:tmpl w:val="C1103644"/>
    <w:styleLink w:val="tl12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7220798F"/>
    <w:multiLevelType w:val="multilevel"/>
    <w:tmpl w:val="041B001F"/>
    <w:styleLink w:val="tl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748851FC"/>
    <w:multiLevelType w:val="multilevel"/>
    <w:tmpl w:val="041B001D"/>
    <w:styleLink w:val="tl24"/>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74FE1721"/>
    <w:multiLevelType w:val="multilevel"/>
    <w:tmpl w:val="6B3686F8"/>
    <w:styleLink w:val="tl36"/>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751906C9"/>
    <w:multiLevelType w:val="multilevel"/>
    <w:tmpl w:val="10A8765A"/>
    <w:styleLink w:val="tl49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75BF7122"/>
    <w:multiLevelType w:val="multilevel"/>
    <w:tmpl w:val="8100477A"/>
    <w:styleLink w:val="tl421"/>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76C23FC3"/>
    <w:multiLevelType w:val="multilevel"/>
    <w:tmpl w:val="F7865838"/>
    <w:styleLink w:val="tl231"/>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78D66A22"/>
    <w:multiLevelType w:val="multilevel"/>
    <w:tmpl w:val="041B001F"/>
    <w:styleLink w:val="tl31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7B53722E"/>
    <w:multiLevelType w:val="hybridMultilevel"/>
    <w:tmpl w:val="B08C7B50"/>
    <w:lvl w:ilvl="0" w:tplc="00BEBB1C">
      <w:numFmt w:val="bullet"/>
      <w:lvlText w:val="-"/>
      <w:lvlJc w:val="left"/>
      <w:pPr>
        <w:ind w:left="360" w:hanging="360"/>
      </w:pPr>
      <w:rPr>
        <w:rFonts w:ascii="Arial Narrow" w:eastAsiaTheme="minorHAnsi" w:hAnsi="Arial Narrow" w:cstheme="minorBid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3" w15:restartNumberingAfterBreak="0">
    <w:nsid w:val="7D480E1E"/>
    <w:multiLevelType w:val="hybridMultilevel"/>
    <w:tmpl w:val="6B1434BC"/>
    <w:lvl w:ilvl="0" w:tplc="D6A03EE2">
      <w:numFmt w:val="bullet"/>
      <w:lvlText w:val="-"/>
      <w:lvlJc w:val="left"/>
      <w:pPr>
        <w:ind w:left="360" w:hanging="360"/>
      </w:pPr>
      <w:rPr>
        <w:rFonts w:hint="default"/>
        <w:b w:val="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4" w15:restartNumberingAfterBreak="0">
    <w:nsid w:val="7D4F02D8"/>
    <w:multiLevelType w:val="multilevel"/>
    <w:tmpl w:val="14DEDA02"/>
    <w:styleLink w:val="tl25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7EB06FA3"/>
    <w:multiLevelType w:val="multilevel"/>
    <w:tmpl w:val="2FD2D390"/>
    <w:styleLink w:val="tl29"/>
    <w:lvl w:ilvl="0">
      <w:start w:val="2"/>
      <w:numFmt w:val="decimal"/>
      <w:lvlText w:val="%1."/>
      <w:lvlJc w:val="left"/>
      <w:pPr>
        <w:ind w:left="360" w:hanging="360"/>
      </w:pPr>
      <w:rPr>
        <w:rFonts w:hint="default"/>
      </w:rPr>
    </w:lvl>
    <w:lvl w:ilvl="1">
      <w:start w:val="2"/>
      <w:numFmt w:val="decimal"/>
      <w:lvlText w:val="%1.%2."/>
      <w:lvlJc w:val="left"/>
      <w:pPr>
        <w:ind w:left="82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7F774D36"/>
    <w:multiLevelType w:val="multilevel"/>
    <w:tmpl w:val="041B001F"/>
    <w:styleLink w:val="tl16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3"/>
  </w:num>
  <w:num w:numId="2">
    <w:abstractNumId w:val="18"/>
  </w:num>
  <w:num w:numId="3">
    <w:abstractNumId w:val="0"/>
  </w:num>
  <w:num w:numId="4">
    <w:abstractNumId w:val="50"/>
  </w:num>
  <w:num w:numId="5">
    <w:abstractNumId w:val="84"/>
  </w:num>
  <w:num w:numId="6">
    <w:abstractNumId w:val="40"/>
  </w:num>
  <w:num w:numId="7">
    <w:abstractNumId w:val="68"/>
  </w:num>
  <w:num w:numId="8">
    <w:abstractNumId w:val="5"/>
  </w:num>
  <w:num w:numId="9">
    <w:abstractNumId w:val="79"/>
  </w:num>
  <w:num w:numId="10">
    <w:abstractNumId w:val="52"/>
  </w:num>
  <w:num w:numId="11">
    <w:abstractNumId w:val="75"/>
  </w:num>
  <w:num w:numId="12">
    <w:abstractNumId w:val="51"/>
  </w:num>
  <w:num w:numId="13">
    <w:abstractNumId w:val="16"/>
  </w:num>
  <w:num w:numId="14">
    <w:abstractNumId w:val="88"/>
  </w:num>
  <w:num w:numId="15">
    <w:abstractNumId w:val="64"/>
  </w:num>
  <w:num w:numId="16">
    <w:abstractNumId w:val="73"/>
  </w:num>
  <w:num w:numId="17">
    <w:abstractNumId w:val="65"/>
  </w:num>
  <w:num w:numId="18">
    <w:abstractNumId w:val="91"/>
  </w:num>
  <w:num w:numId="19">
    <w:abstractNumId w:val="105"/>
  </w:num>
  <w:num w:numId="20">
    <w:abstractNumId w:val="76"/>
  </w:num>
  <w:num w:numId="21">
    <w:abstractNumId w:val="72"/>
  </w:num>
  <w:num w:numId="22">
    <w:abstractNumId w:val="89"/>
  </w:num>
  <w:num w:numId="23">
    <w:abstractNumId w:val="60"/>
  </w:num>
  <w:num w:numId="24">
    <w:abstractNumId w:val="6"/>
  </w:num>
  <w:num w:numId="25">
    <w:abstractNumId w:val="21"/>
  </w:num>
  <w:num w:numId="26">
    <w:abstractNumId w:val="35"/>
  </w:num>
  <w:num w:numId="27">
    <w:abstractNumId w:val="106"/>
  </w:num>
  <w:num w:numId="28">
    <w:abstractNumId w:val="111"/>
  </w:num>
  <w:num w:numId="29">
    <w:abstractNumId w:val="67"/>
  </w:num>
  <w:num w:numId="30">
    <w:abstractNumId w:val="44"/>
  </w:num>
  <w:num w:numId="31">
    <w:abstractNumId w:val="27"/>
  </w:num>
  <w:num w:numId="32">
    <w:abstractNumId w:val="115"/>
  </w:num>
  <w:num w:numId="33">
    <w:abstractNumId w:val="100"/>
  </w:num>
  <w:num w:numId="34">
    <w:abstractNumId w:val="58"/>
  </w:num>
  <w:num w:numId="35">
    <w:abstractNumId w:val="55"/>
  </w:num>
  <w:num w:numId="36">
    <w:abstractNumId w:val="19"/>
  </w:num>
  <w:num w:numId="37">
    <w:abstractNumId w:val="48"/>
  </w:num>
  <w:num w:numId="38">
    <w:abstractNumId w:val="74"/>
  </w:num>
  <w:num w:numId="39">
    <w:abstractNumId w:val="107"/>
  </w:num>
  <w:num w:numId="40">
    <w:abstractNumId w:val="97"/>
  </w:num>
  <w:num w:numId="41">
    <w:abstractNumId w:val="85"/>
  </w:num>
  <w:num w:numId="42">
    <w:abstractNumId w:val="25"/>
  </w:num>
  <w:num w:numId="43">
    <w:abstractNumId w:val="77"/>
  </w:num>
  <w:num w:numId="44">
    <w:abstractNumId w:val="38"/>
  </w:num>
  <w:num w:numId="45">
    <w:abstractNumId w:val="41"/>
  </w:num>
  <w:num w:numId="46">
    <w:abstractNumId w:val="26"/>
  </w:num>
  <w:num w:numId="47">
    <w:abstractNumId w:val="17"/>
  </w:num>
  <w:num w:numId="48">
    <w:abstractNumId w:val="1"/>
  </w:num>
  <w:num w:numId="49">
    <w:abstractNumId w:val="80"/>
  </w:num>
  <w:num w:numId="50">
    <w:abstractNumId w:val="22"/>
  </w:num>
  <w:num w:numId="51">
    <w:abstractNumId w:val="104"/>
  </w:num>
  <w:num w:numId="52">
    <w:abstractNumId w:val="56"/>
  </w:num>
  <w:num w:numId="53">
    <w:abstractNumId w:val="45"/>
  </w:num>
  <w:num w:numId="54">
    <w:abstractNumId w:val="95"/>
  </w:num>
  <w:num w:numId="55">
    <w:abstractNumId w:val="12"/>
  </w:num>
  <w:num w:numId="56">
    <w:abstractNumId w:val="116"/>
  </w:num>
  <w:num w:numId="57">
    <w:abstractNumId w:val="101"/>
  </w:num>
  <w:num w:numId="58">
    <w:abstractNumId w:val="33"/>
  </w:num>
  <w:num w:numId="59">
    <w:abstractNumId w:val="82"/>
  </w:num>
  <w:num w:numId="60">
    <w:abstractNumId w:val="66"/>
  </w:num>
  <w:num w:numId="61">
    <w:abstractNumId w:val="69"/>
  </w:num>
  <w:num w:numId="62">
    <w:abstractNumId w:val="20"/>
  </w:num>
  <w:num w:numId="63">
    <w:abstractNumId w:val="110"/>
  </w:num>
  <w:num w:numId="64">
    <w:abstractNumId w:val="92"/>
  </w:num>
  <w:num w:numId="65">
    <w:abstractNumId w:val="114"/>
  </w:num>
  <w:num w:numId="66">
    <w:abstractNumId w:val="83"/>
  </w:num>
  <w:num w:numId="67">
    <w:abstractNumId w:val="24"/>
  </w:num>
  <w:num w:numId="68">
    <w:abstractNumId w:val="39"/>
  </w:num>
  <w:num w:numId="69">
    <w:abstractNumId w:val="13"/>
  </w:num>
  <w:num w:numId="70">
    <w:abstractNumId w:val="11"/>
  </w:num>
  <w:num w:numId="71">
    <w:abstractNumId w:val="96"/>
  </w:num>
  <w:num w:numId="72">
    <w:abstractNumId w:val="70"/>
  </w:num>
  <w:num w:numId="73">
    <w:abstractNumId w:val="98"/>
  </w:num>
  <w:num w:numId="74">
    <w:abstractNumId w:val="46"/>
  </w:num>
  <w:num w:numId="75">
    <w:abstractNumId w:val="49"/>
  </w:num>
  <w:num w:numId="76">
    <w:abstractNumId w:val="54"/>
  </w:num>
  <w:num w:numId="77">
    <w:abstractNumId w:val="59"/>
  </w:num>
  <w:num w:numId="78">
    <w:abstractNumId w:val="7"/>
  </w:num>
  <w:num w:numId="79">
    <w:abstractNumId w:val="8"/>
  </w:num>
  <w:num w:numId="80">
    <w:abstractNumId w:val="9"/>
  </w:num>
  <w:num w:numId="81">
    <w:abstractNumId w:val="86"/>
  </w:num>
  <w:num w:numId="82">
    <w:abstractNumId w:val="109"/>
  </w:num>
  <w:num w:numId="83">
    <w:abstractNumId w:val="2"/>
  </w:num>
  <w:num w:numId="84">
    <w:abstractNumId w:val="4"/>
  </w:num>
  <w:num w:numId="85">
    <w:abstractNumId w:val="30"/>
  </w:num>
  <w:num w:numId="86">
    <w:abstractNumId w:val="15"/>
  </w:num>
  <w:num w:numId="87">
    <w:abstractNumId w:val="90"/>
  </w:num>
  <w:num w:numId="88">
    <w:abstractNumId w:val="14"/>
  </w:num>
  <w:num w:numId="89">
    <w:abstractNumId w:val="37"/>
  </w:num>
  <w:num w:numId="90">
    <w:abstractNumId w:val="108"/>
  </w:num>
  <w:num w:numId="91">
    <w:abstractNumId w:val="78"/>
  </w:num>
  <w:num w:numId="92">
    <w:abstractNumId w:val="28"/>
  </w:num>
  <w:num w:numId="93">
    <w:abstractNumId w:val="87"/>
  </w:num>
  <w:num w:numId="94">
    <w:abstractNumId w:val="10"/>
  </w:num>
  <w:num w:numId="95">
    <w:abstractNumId w:val="43"/>
  </w:num>
  <w:num w:numId="96">
    <w:abstractNumId w:val="99"/>
  </w:num>
  <w:num w:numId="97">
    <w:abstractNumId w:val="32"/>
  </w:num>
  <w:num w:numId="98">
    <w:abstractNumId w:val="3"/>
  </w:num>
  <w:num w:numId="99">
    <w:abstractNumId w:val="29"/>
  </w:num>
  <w:num w:numId="100">
    <w:abstractNumId w:val="113"/>
  </w:num>
  <w:num w:numId="101">
    <w:abstractNumId w:val="36"/>
  </w:num>
  <w:num w:numId="102">
    <w:abstractNumId w:val="102"/>
  </w:num>
  <w:num w:numId="103">
    <w:abstractNumId w:val="34"/>
  </w:num>
  <w:num w:numId="104">
    <w:abstractNumId w:val="61"/>
  </w:num>
  <w:num w:numId="105">
    <w:abstractNumId w:val="81"/>
  </w:num>
  <w:num w:numId="106">
    <w:abstractNumId w:val="31"/>
  </w:num>
  <w:num w:numId="107">
    <w:abstractNumId w:val="94"/>
  </w:num>
  <w:num w:numId="108">
    <w:abstractNumId w:val="112"/>
  </w:num>
  <w:num w:numId="109">
    <w:abstractNumId w:val="42"/>
  </w:num>
  <w:num w:numId="110">
    <w:abstractNumId w:val="53"/>
  </w:num>
  <w:num w:numId="111">
    <w:abstractNumId w:val="71"/>
  </w:num>
  <w:num w:numId="112">
    <w:abstractNumId w:val="23"/>
  </w:num>
  <w:num w:numId="113">
    <w:abstractNumId w:val="63"/>
  </w:num>
  <w:num w:numId="114">
    <w:abstractNumId w:val="103"/>
  </w:num>
  <w:num w:numId="115">
    <w:abstractNumId w:val="47"/>
  </w:num>
  <w:num w:numId="116">
    <w:abstractNumId w:val="62"/>
  </w:num>
  <w:num w:numId="117">
    <w:abstractNumId w:val="57"/>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611"/>
    <w:rsid w:val="00011F12"/>
    <w:rsid w:val="00014528"/>
    <w:rsid w:val="00014875"/>
    <w:rsid w:val="0002246A"/>
    <w:rsid w:val="0002576D"/>
    <w:rsid w:val="00025F13"/>
    <w:rsid w:val="00030B35"/>
    <w:rsid w:val="00035217"/>
    <w:rsid w:val="000425D5"/>
    <w:rsid w:val="00051478"/>
    <w:rsid w:val="00055944"/>
    <w:rsid w:val="00066CAD"/>
    <w:rsid w:val="0007404B"/>
    <w:rsid w:val="00085B32"/>
    <w:rsid w:val="00090281"/>
    <w:rsid w:val="0009228D"/>
    <w:rsid w:val="000926D3"/>
    <w:rsid w:val="000943C4"/>
    <w:rsid w:val="00095372"/>
    <w:rsid w:val="000A2022"/>
    <w:rsid w:val="000C6721"/>
    <w:rsid w:val="000F298F"/>
    <w:rsid w:val="00102B1F"/>
    <w:rsid w:val="001065C1"/>
    <w:rsid w:val="00116B8F"/>
    <w:rsid w:val="00116E2C"/>
    <w:rsid w:val="00122345"/>
    <w:rsid w:val="0013540D"/>
    <w:rsid w:val="00137F85"/>
    <w:rsid w:val="001410A1"/>
    <w:rsid w:val="00155EEE"/>
    <w:rsid w:val="00171A05"/>
    <w:rsid w:val="00183766"/>
    <w:rsid w:val="001A1E46"/>
    <w:rsid w:val="001B4503"/>
    <w:rsid w:val="001D0D49"/>
    <w:rsid w:val="001D2AD7"/>
    <w:rsid w:val="002026D7"/>
    <w:rsid w:val="00211063"/>
    <w:rsid w:val="00214B5C"/>
    <w:rsid w:val="002219D1"/>
    <w:rsid w:val="0022485B"/>
    <w:rsid w:val="00226A8F"/>
    <w:rsid w:val="00232CCA"/>
    <w:rsid w:val="002409B7"/>
    <w:rsid w:val="00245510"/>
    <w:rsid w:val="00246EC8"/>
    <w:rsid w:val="00256AF8"/>
    <w:rsid w:val="00286D91"/>
    <w:rsid w:val="00287985"/>
    <w:rsid w:val="002A56FA"/>
    <w:rsid w:val="002A7BAB"/>
    <w:rsid w:val="002B311D"/>
    <w:rsid w:val="002B528A"/>
    <w:rsid w:val="002B5822"/>
    <w:rsid w:val="002C17F9"/>
    <w:rsid w:val="002C27F4"/>
    <w:rsid w:val="002D682C"/>
    <w:rsid w:val="002D7929"/>
    <w:rsid w:val="002E684C"/>
    <w:rsid w:val="002F2822"/>
    <w:rsid w:val="0031506C"/>
    <w:rsid w:val="003306A1"/>
    <w:rsid w:val="0033644F"/>
    <w:rsid w:val="00346DD2"/>
    <w:rsid w:val="00350EAD"/>
    <w:rsid w:val="003621FF"/>
    <w:rsid w:val="003628F3"/>
    <w:rsid w:val="003742C5"/>
    <w:rsid w:val="00375B44"/>
    <w:rsid w:val="00382037"/>
    <w:rsid w:val="00387229"/>
    <w:rsid w:val="003A02F4"/>
    <w:rsid w:val="003A76DC"/>
    <w:rsid w:val="003B5350"/>
    <w:rsid w:val="003C1CE1"/>
    <w:rsid w:val="003F4AD2"/>
    <w:rsid w:val="00406605"/>
    <w:rsid w:val="0041267C"/>
    <w:rsid w:val="00420D46"/>
    <w:rsid w:val="00433714"/>
    <w:rsid w:val="0044082F"/>
    <w:rsid w:val="004434A5"/>
    <w:rsid w:val="0045036F"/>
    <w:rsid w:val="004531D5"/>
    <w:rsid w:val="00454199"/>
    <w:rsid w:val="00462CC7"/>
    <w:rsid w:val="00472D2A"/>
    <w:rsid w:val="00474D54"/>
    <w:rsid w:val="0047702E"/>
    <w:rsid w:val="00485240"/>
    <w:rsid w:val="004938A7"/>
    <w:rsid w:val="004B0283"/>
    <w:rsid w:val="004B1D0B"/>
    <w:rsid w:val="004C14BE"/>
    <w:rsid w:val="004D4CC6"/>
    <w:rsid w:val="004D7185"/>
    <w:rsid w:val="004E6C6E"/>
    <w:rsid w:val="00502C72"/>
    <w:rsid w:val="00505DD7"/>
    <w:rsid w:val="00533AD2"/>
    <w:rsid w:val="00534776"/>
    <w:rsid w:val="00537D03"/>
    <w:rsid w:val="00540655"/>
    <w:rsid w:val="00540827"/>
    <w:rsid w:val="0056008D"/>
    <w:rsid w:val="00563718"/>
    <w:rsid w:val="00574F06"/>
    <w:rsid w:val="0059661E"/>
    <w:rsid w:val="005A6644"/>
    <w:rsid w:val="005E6FE7"/>
    <w:rsid w:val="005F7D0F"/>
    <w:rsid w:val="00601DE6"/>
    <w:rsid w:val="0061007C"/>
    <w:rsid w:val="00623B3F"/>
    <w:rsid w:val="00631161"/>
    <w:rsid w:val="00643DC6"/>
    <w:rsid w:val="00646403"/>
    <w:rsid w:val="00655839"/>
    <w:rsid w:val="006B0033"/>
    <w:rsid w:val="006B1F35"/>
    <w:rsid w:val="006C0F0E"/>
    <w:rsid w:val="006C2FC9"/>
    <w:rsid w:val="006C51D0"/>
    <w:rsid w:val="006E3BB8"/>
    <w:rsid w:val="006E7CA2"/>
    <w:rsid w:val="006F040E"/>
    <w:rsid w:val="006F162F"/>
    <w:rsid w:val="007106CA"/>
    <w:rsid w:val="007137D2"/>
    <w:rsid w:val="00713D30"/>
    <w:rsid w:val="00776F8C"/>
    <w:rsid w:val="0077700D"/>
    <w:rsid w:val="007809C2"/>
    <w:rsid w:val="007979A2"/>
    <w:rsid w:val="007C2431"/>
    <w:rsid w:val="007E707E"/>
    <w:rsid w:val="007F3975"/>
    <w:rsid w:val="007F6D4F"/>
    <w:rsid w:val="00820578"/>
    <w:rsid w:val="0083441E"/>
    <w:rsid w:val="00836773"/>
    <w:rsid w:val="008400D2"/>
    <w:rsid w:val="00840C0C"/>
    <w:rsid w:val="00841A67"/>
    <w:rsid w:val="00847610"/>
    <w:rsid w:val="008655F9"/>
    <w:rsid w:val="00876878"/>
    <w:rsid w:val="008773B2"/>
    <w:rsid w:val="008830F2"/>
    <w:rsid w:val="008A7EC8"/>
    <w:rsid w:val="008C04C3"/>
    <w:rsid w:val="008C14C1"/>
    <w:rsid w:val="008C235C"/>
    <w:rsid w:val="008C3347"/>
    <w:rsid w:val="008D0A9B"/>
    <w:rsid w:val="008D3840"/>
    <w:rsid w:val="008D5746"/>
    <w:rsid w:val="008E0327"/>
    <w:rsid w:val="009014F5"/>
    <w:rsid w:val="00910607"/>
    <w:rsid w:val="00910E03"/>
    <w:rsid w:val="009173B5"/>
    <w:rsid w:val="00917D93"/>
    <w:rsid w:val="00926B43"/>
    <w:rsid w:val="0095527E"/>
    <w:rsid w:val="00957A55"/>
    <w:rsid w:val="009649CB"/>
    <w:rsid w:val="00971721"/>
    <w:rsid w:val="00972CEB"/>
    <w:rsid w:val="0097698E"/>
    <w:rsid w:val="009801CB"/>
    <w:rsid w:val="00986C46"/>
    <w:rsid w:val="009879BE"/>
    <w:rsid w:val="00990A13"/>
    <w:rsid w:val="009947D5"/>
    <w:rsid w:val="00996FB7"/>
    <w:rsid w:val="009A1687"/>
    <w:rsid w:val="009B2528"/>
    <w:rsid w:val="009D2164"/>
    <w:rsid w:val="009E20E8"/>
    <w:rsid w:val="00A06D41"/>
    <w:rsid w:val="00A116A8"/>
    <w:rsid w:val="00A24373"/>
    <w:rsid w:val="00A32D67"/>
    <w:rsid w:val="00A43C4F"/>
    <w:rsid w:val="00A6106A"/>
    <w:rsid w:val="00A66915"/>
    <w:rsid w:val="00A71DD7"/>
    <w:rsid w:val="00A724D0"/>
    <w:rsid w:val="00A900AB"/>
    <w:rsid w:val="00A92FF3"/>
    <w:rsid w:val="00A97135"/>
    <w:rsid w:val="00AA0A1F"/>
    <w:rsid w:val="00AA4062"/>
    <w:rsid w:val="00AB1E08"/>
    <w:rsid w:val="00AC00DC"/>
    <w:rsid w:val="00AD079A"/>
    <w:rsid w:val="00AD4EBC"/>
    <w:rsid w:val="00AD6555"/>
    <w:rsid w:val="00AE0A5F"/>
    <w:rsid w:val="00AE1E8B"/>
    <w:rsid w:val="00AF333A"/>
    <w:rsid w:val="00B01186"/>
    <w:rsid w:val="00B07EDA"/>
    <w:rsid w:val="00B323AF"/>
    <w:rsid w:val="00B366F3"/>
    <w:rsid w:val="00B50386"/>
    <w:rsid w:val="00B50423"/>
    <w:rsid w:val="00B51933"/>
    <w:rsid w:val="00B80018"/>
    <w:rsid w:val="00B80F30"/>
    <w:rsid w:val="00B82220"/>
    <w:rsid w:val="00B83864"/>
    <w:rsid w:val="00BA55E8"/>
    <w:rsid w:val="00BC2273"/>
    <w:rsid w:val="00BD4174"/>
    <w:rsid w:val="00BF0CE0"/>
    <w:rsid w:val="00BF31E8"/>
    <w:rsid w:val="00C04BC8"/>
    <w:rsid w:val="00C11912"/>
    <w:rsid w:val="00C24AD1"/>
    <w:rsid w:val="00C32DFA"/>
    <w:rsid w:val="00C406AF"/>
    <w:rsid w:val="00C448C8"/>
    <w:rsid w:val="00C44C9F"/>
    <w:rsid w:val="00C6165F"/>
    <w:rsid w:val="00C65CAA"/>
    <w:rsid w:val="00C75038"/>
    <w:rsid w:val="00C8633E"/>
    <w:rsid w:val="00CD063B"/>
    <w:rsid w:val="00CD4C07"/>
    <w:rsid w:val="00CD56C3"/>
    <w:rsid w:val="00CD6933"/>
    <w:rsid w:val="00D060A3"/>
    <w:rsid w:val="00D23611"/>
    <w:rsid w:val="00D2518D"/>
    <w:rsid w:val="00D25921"/>
    <w:rsid w:val="00D303AC"/>
    <w:rsid w:val="00D33D1A"/>
    <w:rsid w:val="00D41C9B"/>
    <w:rsid w:val="00D41F81"/>
    <w:rsid w:val="00D5001F"/>
    <w:rsid w:val="00D6428C"/>
    <w:rsid w:val="00D94D93"/>
    <w:rsid w:val="00DA0D01"/>
    <w:rsid w:val="00DB019B"/>
    <w:rsid w:val="00DB10CE"/>
    <w:rsid w:val="00DB18D2"/>
    <w:rsid w:val="00DC61B9"/>
    <w:rsid w:val="00DD6DCC"/>
    <w:rsid w:val="00DE3443"/>
    <w:rsid w:val="00DE66BF"/>
    <w:rsid w:val="00DF24F1"/>
    <w:rsid w:val="00E12EC0"/>
    <w:rsid w:val="00E12F3B"/>
    <w:rsid w:val="00E1765B"/>
    <w:rsid w:val="00E21554"/>
    <w:rsid w:val="00E34F74"/>
    <w:rsid w:val="00E36B73"/>
    <w:rsid w:val="00E43C65"/>
    <w:rsid w:val="00E5533C"/>
    <w:rsid w:val="00E6047F"/>
    <w:rsid w:val="00E742A4"/>
    <w:rsid w:val="00E745F8"/>
    <w:rsid w:val="00E94E13"/>
    <w:rsid w:val="00EA24BE"/>
    <w:rsid w:val="00EB05EC"/>
    <w:rsid w:val="00EB59B2"/>
    <w:rsid w:val="00EC79A1"/>
    <w:rsid w:val="00EF24CF"/>
    <w:rsid w:val="00F027E9"/>
    <w:rsid w:val="00F228E1"/>
    <w:rsid w:val="00F26833"/>
    <w:rsid w:val="00F270FB"/>
    <w:rsid w:val="00F44294"/>
    <w:rsid w:val="00F74870"/>
    <w:rsid w:val="00F75C9A"/>
    <w:rsid w:val="00F82FC3"/>
    <w:rsid w:val="00F83611"/>
    <w:rsid w:val="00F86944"/>
    <w:rsid w:val="00F90007"/>
    <w:rsid w:val="00FA322A"/>
    <w:rsid w:val="00FB139F"/>
    <w:rsid w:val="00FB3F0B"/>
    <w:rsid w:val="00FC3875"/>
    <w:rsid w:val="00FC5B72"/>
    <w:rsid w:val="00FD07FB"/>
    <w:rsid w:val="00FD0FFF"/>
    <w:rsid w:val="00FE0BD6"/>
    <w:rsid w:val="00FE52BE"/>
    <w:rsid w:val="00FE57DF"/>
    <w:rsid w:val="00FF178A"/>
    <w:rsid w:val="00FF603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C6CA6B9"/>
  <w15:docId w15:val="{C22C3EEC-09BD-4FD8-8F58-B8E4E2CE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23611"/>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D23611"/>
    <w:pPr>
      <w:jc w:val="both"/>
      <w:outlineLvl w:val="0"/>
    </w:pPr>
    <w:rPr>
      <w:rFonts w:eastAsiaTheme="minorEastAsia"/>
      <w:b/>
    </w:rPr>
  </w:style>
  <w:style w:type="paragraph" w:styleId="Nadpis2">
    <w:name w:val="heading 2"/>
    <w:basedOn w:val="Zkladntext"/>
    <w:link w:val="Nadpis2Char"/>
    <w:uiPriority w:val="9"/>
    <w:qFormat/>
    <w:rsid w:val="00D23611"/>
    <w:pPr>
      <w:spacing w:after="0"/>
      <w:jc w:val="both"/>
      <w:outlineLvl w:val="1"/>
    </w:pPr>
    <w:rPr>
      <w:rFonts w:ascii="Arial Narrow" w:hAnsi="Arial Narrow"/>
      <w:b/>
      <w:sz w:val="22"/>
    </w:rPr>
  </w:style>
  <w:style w:type="paragraph" w:styleId="Nadpis3">
    <w:name w:val="heading 3"/>
    <w:basedOn w:val="Zkladntext"/>
    <w:next w:val="Normlny"/>
    <w:link w:val="Nadpis3Char"/>
    <w:uiPriority w:val="9"/>
    <w:unhideWhenUsed/>
    <w:qFormat/>
    <w:rsid w:val="00D23611"/>
    <w:pPr>
      <w:tabs>
        <w:tab w:val="left" w:pos="709"/>
      </w:tabs>
      <w:spacing w:after="0"/>
      <w:jc w:val="both"/>
      <w:outlineLvl w:val="2"/>
    </w:pPr>
    <w:rPr>
      <w:rFonts w:ascii="Arial Narrow" w:hAnsi="Arial Narrow"/>
      <w:b/>
      <w:sz w:val="22"/>
    </w:rPr>
  </w:style>
  <w:style w:type="paragraph" w:styleId="Nadpis4">
    <w:name w:val="heading 4"/>
    <w:basedOn w:val="Odsekzoznamu"/>
    <w:next w:val="Normlny"/>
    <w:link w:val="Nadpis4Char"/>
    <w:uiPriority w:val="9"/>
    <w:unhideWhenUsed/>
    <w:qFormat/>
    <w:rsid w:val="00D23611"/>
    <w:pPr>
      <w:ind w:left="0"/>
      <w:jc w:val="both"/>
      <w:outlineLvl w:val="3"/>
    </w:pPr>
    <w:rPr>
      <w:rFonts w:eastAsia="Calibri"/>
      <w:b/>
      <w:lang w:eastAsia="en-US"/>
    </w:rPr>
  </w:style>
  <w:style w:type="paragraph" w:styleId="Nadpis5">
    <w:name w:val="heading 5"/>
    <w:basedOn w:val="Odsekzoznamu"/>
    <w:next w:val="Normlny"/>
    <w:link w:val="Nadpis5Char"/>
    <w:uiPriority w:val="9"/>
    <w:unhideWhenUsed/>
    <w:qFormat/>
    <w:rsid w:val="00D23611"/>
    <w:pPr>
      <w:spacing w:after="200" w:line="276" w:lineRule="auto"/>
      <w:ind w:left="0"/>
      <w:outlineLvl w:val="4"/>
    </w:pPr>
    <w:rPr>
      <w:rFonts w:eastAsia="Calibri"/>
      <w:b/>
      <w:lang w:eastAsia="en-US"/>
    </w:rPr>
  </w:style>
  <w:style w:type="paragraph" w:styleId="Nadpis8">
    <w:name w:val="heading 8"/>
    <w:basedOn w:val="Normlny"/>
    <w:next w:val="Normlny"/>
    <w:link w:val="Nadpis8Char"/>
    <w:uiPriority w:val="9"/>
    <w:semiHidden/>
    <w:unhideWhenUsed/>
    <w:qFormat/>
    <w:rsid w:val="00D23611"/>
    <w:pPr>
      <w:keepNext/>
      <w:keepLines/>
      <w:spacing w:before="200"/>
      <w:jc w:val="both"/>
      <w:outlineLvl w:val="7"/>
    </w:pPr>
    <w:rPr>
      <w:rFonts w:asciiTheme="majorHAnsi" w:eastAsiaTheme="majorEastAsia" w:hAnsiTheme="majorHAnsi" w:cstheme="majorBidi"/>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23611"/>
    <w:rPr>
      <w:rFonts w:ascii="Times New Roman" w:eastAsiaTheme="minorEastAsia" w:hAnsi="Times New Roman" w:cs="Times New Roman"/>
      <w:b/>
      <w:sz w:val="24"/>
      <w:szCs w:val="24"/>
      <w:lang w:eastAsia="sk-SK"/>
    </w:rPr>
  </w:style>
  <w:style w:type="character" w:customStyle="1" w:styleId="Nadpis2Char">
    <w:name w:val="Nadpis 2 Char"/>
    <w:basedOn w:val="Predvolenpsmoodseku"/>
    <w:link w:val="Nadpis2"/>
    <w:uiPriority w:val="9"/>
    <w:rsid w:val="00D23611"/>
    <w:rPr>
      <w:rFonts w:ascii="Arial Narrow" w:eastAsia="Times New Roman" w:hAnsi="Arial Narrow" w:cs="Times New Roman"/>
      <w:b/>
      <w:szCs w:val="24"/>
      <w:lang w:eastAsia="sk-SK"/>
    </w:rPr>
  </w:style>
  <w:style w:type="character" w:customStyle="1" w:styleId="Nadpis3Char">
    <w:name w:val="Nadpis 3 Char"/>
    <w:basedOn w:val="Predvolenpsmoodseku"/>
    <w:link w:val="Nadpis3"/>
    <w:uiPriority w:val="9"/>
    <w:rsid w:val="00D23611"/>
    <w:rPr>
      <w:rFonts w:ascii="Arial Narrow" w:eastAsia="Times New Roman" w:hAnsi="Arial Narrow" w:cs="Times New Roman"/>
      <w:b/>
      <w:szCs w:val="24"/>
      <w:lang w:eastAsia="sk-SK"/>
    </w:rPr>
  </w:style>
  <w:style w:type="character" w:customStyle="1" w:styleId="Nadpis4Char">
    <w:name w:val="Nadpis 4 Char"/>
    <w:basedOn w:val="Predvolenpsmoodseku"/>
    <w:link w:val="Nadpis4"/>
    <w:uiPriority w:val="9"/>
    <w:rsid w:val="00D23611"/>
    <w:rPr>
      <w:rFonts w:ascii="Times New Roman" w:eastAsia="Calibri" w:hAnsi="Times New Roman" w:cs="Times New Roman"/>
      <w:b/>
      <w:sz w:val="24"/>
      <w:szCs w:val="24"/>
    </w:rPr>
  </w:style>
  <w:style w:type="character" w:customStyle="1" w:styleId="Nadpis5Char">
    <w:name w:val="Nadpis 5 Char"/>
    <w:basedOn w:val="Predvolenpsmoodseku"/>
    <w:link w:val="Nadpis5"/>
    <w:uiPriority w:val="9"/>
    <w:rsid w:val="00D23611"/>
    <w:rPr>
      <w:rFonts w:ascii="Times New Roman" w:eastAsia="Calibri" w:hAnsi="Times New Roman" w:cs="Times New Roman"/>
      <w:b/>
      <w:sz w:val="24"/>
      <w:szCs w:val="24"/>
    </w:rPr>
  </w:style>
  <w:style w:type="character" w:customStyle="1" w:styleId="Nadpis8Char">
    <w:name w:val="Nadpis 8 Char"/>
    <w:basedOn w:val="Predvolenpsmoodseku"/>
    <w:link w:val="Nadpis8"/>
    <w:uiPriority w:val="9"/>
    <w:semiHidden/>
    <w:rsid w:val="00D23611"/>
    <w:rPr>
      <w:rFonts w:asciiTheme="majorHAnsi" w:eastAsiaTheme="majorEastAsia" w:hAnsiTheme="majorHAnsi" w:cstheme="majorBidi"/>
      <w:color w:val="404040" w:themeColor="text1" w:themeTint="BF"/>
      <w:sz w:val="20"/>
      <w:szCs w:val="20"/>
      <w:lang w:eastAsia="sk-SK"/>
    </w:rPr>
  </w:style>
  <w:style w:type="paragraph" w:styleId="Hlavika">
    <w:name w:val="header"/>
    <w:basedOn w:val="Normlny"/>
    <w:link w:val="HlavikaChar"/>
    <w:uiPriority w:val="99"/>
    <w:rsid w:val="00D23611"/>
    <w:pPr>
      <w:tabs>
        <w:tab w:val="center" w:pos="4703"/>
        <w:tab w:val="right" w:pos="9406"/>
      </w:tabs>
    </w:pPr>
  </w:style>
  <w:style w:type="character" w:customStyle="1" w:styleId="HlavikaChar">
    <w:name w:val="Hlavička Char"/>
    <w:basedOn w:val="Predvolenpsmoodseku"/>
    <w:link w:val="Hlavika"/>
    <w:uiPriority w:val="99"/>
    <w:rsid w:val="00D23611"/>
    <w:rPr>
      <w:rFonts w:ascii="Times New Roman" w:eastAsia="Times New Roman" w:hAnsi="Times New Roman" w:cs="Times New Roman"/>
      <w:sz w:val="24"/>
      <w:szCs w:val="24"/>
      <w:lang w:eastAsia="sk-SK"/>
    </w:rPr>
  </w:style>
  <w:style w:type="paragraph" w:styleId="Pta">
    <w:name w:val="footer"/>
    <w:basedOn w:val="Normlny"/>
    <w:link w:val="PtaChar"/>
    <w:uiPriority w:val="99"/>
    <w:rsid w:val="00D23611"/>
    <w:pPr>
      <w:tabs>
        <w:tab w:val="center" w:pos="4703"/>
        <w:tab w:val="right" w:pos="9406"/>
      </w:tabs>
    </w:pPr>
  </w:style>
  <w:style w:type="character" w:customStyle="1" w:styleId="PtaChar">
    <w:name w:val="Päta Char"/>
    <w:basedOn w:val="Predvolenpsmoodseku"/>
    <w:link w:val="Pta"/>
    <w:uiPriority w:val="99"/>
    <w:rsid w:val="00D23611"/>
    <w:rPr>
      <w:rFonts w:ascii="Times New Roman" w:eastAsia="Times New Roman" w:hAnsi="Times New Roman" w:cs="Times New Roman"/>
      <w:sz w:val="24"/>
      <w:szCs w:val="24"/>
      <w:lang w:eastAsia="sk-SK"/>
    </w:rPr>
  </w:style>
  <w:style w:type="character" w:styleId="slostrany">
    <w:name w:val="page number"/>
    <w:basedOn w:val="Predvolenpsmoodseku"/>
    <w:rsid w:val="00D23611"/>
  </w:style>
  <w:style w:type="paragraph" w:styleId="Zarkazkladnhotextu">
    <w:name w:val="Body Text Indent"/>
    <w:basedOn w:val="Normlny"/>
    <w:link w:val="ZarkazkladnhotextuChar"/>
    <w:rsid w:val="00D23611"/>
    <w:pPr>
      <w:ind w:left="426" w:hanging="426"/>
      <w:jc w:val="both"/>
    </w:pPr>
    <w:rPr>
      <w:szCs w:val="20"/>
    </w:rPr>
  </w:style>
  <w:style w:type="character" w:customStyle="1" w:styleId="ZarkazkladnhotextuChar">
    <w:name w:val="Zarážka základného textu Char"/>
    <w:basedOn w:val="Predvolenpsmoodseku"/>
    <w:link w:val="Zarkazkladnhotextu"/>
    <w:rsid w:val="00D23611"/>
    <w:rPr>
      <w:rFonts w:ascii="Times New Roman" w:eastAsia="Times New Roman" w:hAnsi="Times New Roman" w:cs="Times New Roman"/>
      <w:sz w:val="24"/>
      <w:szCs w:val="20"/>
      <w:lang w:eastAsia="sk-SK"/>
    </w:rPr>
  </w:style>
  <w:style w:type="paragraph" w:styleId="Odsekzoznamu">
    <w:name w:val="List Paragraph"/>
    <w:aliases w:val="body,Odsek zoznamu2,Odsek,Odsek zoznamu1,Dot pt,No Spacing1,List Paragraph Char Char Char,Indicator Text,Numbered Para 1,List Paragraph à moi,Odsek zoznamu4,LISTA,Listaszerű bekezdés2,Listaszerű bekezdés3,Listaszerű bekezdés1,3"/>
    <w:basedOn w:val="Normlny"/>
    <w:link w:val="OdsekzoznamuChar"/>
    <w:uiPriority w:val="34"/>
    <w:qFormat/>
    <w:rsid w:val="00D23611"/>
    <w:pPr>
      <w:ind w:left="720"/>
      <w:contextualSpacing/>
    </w:pPr>
  </w:style>
  <w:style w:type="paragraph" w:styleId="Zkladntext">
    <w:name w:val="Body Text"/>
    <w:basedOn w:val="Normlny"/>
    <w:link w:val="ZkladntextChar"/>
    <w:unhideWhenUsed/>
    <w:rsid w:val="00D23611"/>
    <w:pPr>
      <w:spacing w:after="120"/>
    </w:pPr>
  </w:style>
  <w:style w:type="character" w:customStyle="1" w:styleId="ZkladntextChar">
    <w:name w:val="Základný text Char"/>
    <w:basedOn w:val="Predvolenpsmoodseku"/>
    <w:link w:val="Zkladntext"/>
    <w:rsid w:val="00D23611"/>
    <w:rPr>
      <w:rFonts w:ascii="Times New Roman" w:eastAsia="Times New Roman" w:hAnsi="Times New Roman" w:cs="Times New Roman"/>
      <w:sz w:val="24"/>
      <w:szCs w:val="24"/>
      <w:lang w:eastAsia="sk-SK"/>
    </w:rPr>
  </w:style>
  <w:style w:type="table" w:styleId="Mriekatabuky">
    <w:name w:val="Table Grid"/>
    <w:basedOn w:val="Normlnatabuka"/>
    <w:uiPriority w:val="39"/>
    <w:rsid w:val="00D236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riadkovania">
    <w:name w:val="No Spacing"/>
    <w:link w:val="BezriadkovaniaChar"/>
    <w:uiPriority w:val="1"/>
    <w:qFormat/>
    <w:rsid w:val="00D23611"/>
    <w:pPr>
      <w:spacing w:after="0" w:line="240" w:lineRule="auto"/>
      <w:jc w:val="both"/>
    </w:pPr>
    <w:rPr>
      <w:rFonts w:ascii="Times New Roman" w:hAnsi="Times New Roman"/>
      <w:sz w:val="24"/>
    </w:rPr>
  </w:style>
  <w:style w:type="character" w:customStyle="1" w:styleId="BezriadkovaniaChar">
    <w:name w:val="Bez riadkovania Char"/>
    <w:basedOn w:val="Predvolenpsmoodseku"/>
    <w:link w:val="Bezriadkovania"/>
    <w:uiPriority w:val="1"/>
    <w:locked/>
    <w:rsid w:val="00D23611"/>
    <w:rPr>
      <w:rFonts w:ascii="Times New Roman" w:hAnsi="Times New Roman"/>
      <w:sz w:val="24"/>
    </w:rPr>
  </w:style>
  <w:style w:type="paragraph" w:styleId="Textbubliny">
    <w:name w:val="Balloon Text"/>
    <w:basedOn w:val="Normlny"/>
    <w:link w:val="TextbublinyChar"/>
    <w:uiPriority w:val="99"/>
    <w:semiHidden/>
    <w:unhideWhenUsed/>
    <w:rsid w:val="00D23611"/>
    <w:rPr>
      <w:rFonts w:ascii="Tahoma" w:hAnsi="Tahoma" w:cs="Tahoma"/>
      <w:sz w:val="16"/>
      <w:szCs w:val="16"/>
    </w:rPr>
  </w:style>
  <w:style w:type="character" w:customStyle="1" w:styleId="TextbublinyChar">
    <w:name w:val="Text bubliny Char"/>
    <w:basedOn w:val="Predvolenpsmoodseku"/>
    <w:link w:val="Textbubliny"/>
    <w:uiPriority w:val="99"/>
    <w:semiHidden/>
    <w:rsid w:val="00D23611"/>
    <w:rPr>
      <w:rFonts w:ascii="Tahoma" w:eastAsia="Times New Roman" w:hAnsi="Tahoma" w:cs="Tahoma"/>
      <w:sz w:val="16"/>
      <w:szCs w:val="16"/>
      <w:lang w:eastAsia="sk-SK"/>
    </w:rPr>
  </w:style>
  <w:style w:type="numbering" w:customStyle="1" w:styleId="Bezzoznamu1">
    <w:name w:val="Bez zoznamu1"/>
    <w:next w:val="Bezzoznamu"/>
    <w:uiPriority w:val="99"/>
    <w:semiHidden/>
    <w:unhideWhenUsed/>
    <w:rsid w:val="00D23611"/>
  </w:style>
  <w:style w:type="numbering" w:customStyle="1" w:styleId="tl1">
    <w:name w:val="Štýl1"/>
    <w:uiPriority w:val="99"/>
    <w:rsid w:val="00D23611"/>
    <w:pPr>
      <w:numPr>
        <w:numId w:val="3"/>
      </w:numPr>
    </w:pPr>
  </w:style>
  <w:style w:type="numbering" w:customStyle="1" w:styleId="tl3">
    <w:name w:val="Štýl3"/>
    <w:uiPriority w:val="99"/>
    <w:rsid w:val="00D23611"/>
    <w:pPr>
      <w:numPr>
        <w:numId w:val="5"/>
      </w:numPr>
    </w:pPr>
  </w:style>
  <w:style w:type="numbering" w:customStyle="1" w:styleId="tl2">
    <w:name w:val="Štýl2"/>
    <w:uiPriority w:val="99"/>
    <w:rsid w:val="00D23611"/>
    <w:pPr>
      <w:numPr>
        <w:numId w:val="6"/>
      </w:numPr>
    </w:pPr>
  </w:style>
  <w:style w:type="numbering" w:customStyle="1" w:styleId="tl4">
    <w:name w:val="Štýl4"/>
    <w:uiPriority w:val="99"/>
    <w:rsid w:val="00D23611"/>
    <w:pPr>
      <w:numPr>
        <w:numId w:val="7"/>
      </w:numPr>
    </w:pPr>
  </w:style>
  <w:style w:type="numbering" w:customStyle="1" w:styleId="tl5">
    <w:name w:val="Štýl5"/>
    <w:uiPriority w:val="99"/>
    <w:rsid w:val="00D23611"/>
    <w:pPr>
      <w:numPr>
        <w:numId w:val="8"/>
      </w:numPr>
    </w:pPr>
  </w:style>
  <w:style w:type="numbering" w:customStyle="1" w:styleId="tl6">
    <w:name w:val="Štýl6"/>
    <w:uiPriority w:val="99"/>
    <w:rsid w:val="00D23611"/>
    <w:pPr>
      <w:numPr>
        <w:numId w:val="9"/>
      </w:numPr>
    </w:pPr>
  </w:style>
  <w:style w:type="numbering" w:customStyle="1" w:styleId="tl7">
    <w:name w:val="Štýl7"/>
    <w:uiPriority w:val="99"/>
    <w:rsid w:val="00D23611"/>
  </w:style>
  <w:style w:type="numbering" w:customStyle="1" w:styleId="tl8">
    <w:name w:val="Štýl8"/>
    <w:uiPriority w:val="99"/>
    <w:rsid w:val="00D23611"/>
  </w:style>
  <w:style w:type="numbering" w:customStyle="1" w:styleId="tl9">
    <w:name w:val="Štýl9"/>
    <w:uiPriority w:val="99"/>
    <w:rsid w:val="00D23611"/>
    <w:pPr>
      <w:numPr>
        <w:numId w:val="12"/>
      </w:numPr>
    </w:pPr>
  </w:style>
  <w:style w:type="numbering" w:customStyle="1" w:styleId="tl10">
    <w:name w:val="Štýl10"/>
    <w:uiPriority w:val="99"/>
    <w:rsid w:val="00D23611"/>
    <w:pPr>
      <w:numPr>
        <w:numId w:val="13"/>
      </w:numPr>
    </w:pPr>
  </w:style>
  <w:style w:type="numbering" w:customStyle="1" w:styleId="tl11">
    <w:name w:val="Štýl11"/>
    <w:uiPriority w:val="99"/>
    <w:rsid w:val="00D23611"/>
    <w:pPr>
      <w:numPr>
        <w:numId w:val="14"/>
      </w:numPr>
    </w:pPr>
  </w:style>
  <w:style w:type="numbering" w:customStyle="1" w:styleId="tl12">
    <w:name w:val="Štýl12"/>
    <w:uiPriority w:val="99"/>
    <w:rsid w:val="00D23611"/>
    <w:pPr>
      <w:numPr>
        <w:numId w:val="15"/>
      </w:numPr>
    </w:pPr>
  </w:style>
  <w:style w:type="numbering" w:customStyle="1" w:styleId="tl13">
    <w:name w:val="Štýl13"/>
    <w:uiPriority w:val="99"/>
    <w:rsid w:val="00D23611"/>
    <w:pPr>
      <w:numPr>
        <w:numId w:val="16"/>
      </w:numPr>
    </w:pPr>
  </w:style>
  <w:style w:type="numbering" w:customStyle="1" w:styleId="tl14">
    <w:name w:val="Štýl14"/>
    <w:uiPriority w:val="99"/>
    <w:rsid w:val="00D23611"/>
    <w:pPr>
      <w:numPr>
        <w:numId w:val="17"/>
      </w:numPr>
    </w:pPr>
  </w:style>
  <w:style w:type="numbering" w:customStyle="1" w:styleId="tl15">
    <w:name w:val="Štýl15"/>
    <w:uiPriority w:val="99"/>
    <w:rsid w:val="00D23611"/>
  </w:style>
  <w:style w:type="numbering" w:customStyle="1" w:styleId="tl16">
    <w:name w:val="Štýl16"/>
    <w:uiPriority w:val="99"/>
    <w:rsid w:val="00D23611"/>
    <w:pPr>
      <w:numPr>
        <w:numId w:val="19"/>
      </w:numPr>
    </w:pPr>
  </w:style>
  <w:style w:type="numbering" w:customStyle="1" w:styleId="tl17">
    <w:name w:val="Štýl17"/>
    <w:uiPriority w:val="99"/>
    <w:rsid w:val="00D23611"/>
    <w:pPr>
      <w:numPr>
        <w:numId w:val="20"/>
      </w:numPr>
    </w:pPr>
  </w:style>
  <w:style w:type="numbering" w:customStyle="1" w:styleId="tl18">
    <w:name w:val="Štýl18"/>
    <w:uiPriority w:val="99"/>
    <w:rsid w:val="00D23611"/>
    <w:pPr>
      <w:numPr>
        <w:numId w:val="21"/>
      </w:numPr>
    </w:pPr>
  </w:style>
  <w:style w:type="numbering" w:customStyle="1" w:styleId="tl19">
    <w:name w:val="Štýl19"/>
    <w:uiPriority w:val="99"/>
    <w:rsid w:val="00D23611"/>
    <w:pPr>
      <w:numPr>
        <w:numId w:val="22"/>
      </w:numPr>
    </w:pPr>
  </w:style>
  <w:style w:type="numbering" w:customStyle="1" w:styleId="tl20">
    <w:name w:val="Štýl20"/>
    <w:uiPriority w:val="99"/>
    <w:rsid w:val="00D23611"/>
    <w:pPr>
      <w:numPr>
        <w:numId w:val="23"/>
      </w:numPr>
    </w:pPr>
  </w:style>
  <w:style w:type="numbering" w:customStyle="1" w:styleId="tl21">
    <w:name w:val="Štýl21"/>
    <w:uiPriority w:val="99"/>
    <w:rsid w:val="00D23611"/>
    <w:pPr>
      <w:numPr>
        <w:numId w:val="24"/>
      </w:numPr>
    </w:pPr>
  </w:style>
  <w:style w:type="numbering" w:customStyle="1" w:styleId="tl22">
    <w:name w:val="Štýl22"/>
    <w:uiPriority w:val="99"/>
    <w:rsid w:val="00D23611"/>
    <w:pPr>
      <w:numPr>
        <w:numId w:val="25"/>
      </w:numPr>
    </w:pPr>
  </w:style>
  <w:style w:type="numbering" w:customStyle="1" w:styleId="tl23">
    <w:name w:val="Štýl23"/>
    <w:uiPriority w:val="99"/>
    <w:rsid w:val="00D23611"/>
    <w:pPr>
      <w:numPr>
        <w:numId w:val="26"/>
      </w:numPr>
    </w:pPr>
  </w:style>
  <w:style w:type="numbering" w:customStyle="1" w:styleId="tl24">
    <w:name w:val="Štýl24"/>
    <w:uiPriority w:val="99"/>
    <w:rsid w:val="00D23611"/>
    <w:pPr>
      <w:numPr>
        <w:numId w:val="27"/>
      </w:numPr>
    </w:pPr>
  </w:style>
  <w:style w:type="numbering" w:customStyle="1" w:styleId="tl25">
    <w:name w:val="Štýl25"/>
    <w:uiPriority w:val="99"/>
    <w:rsid w:val="00D23611"/>
  </w:style>
  <w:style w:type="numbering" w:customStyle="1" w:styleId="tl26">
    <w:name w:val="Štýl26"/>
    <w:uiPriority w:val="99"/>
    <w:rsid w:val="00D23611"/>
    <w:pPr>
      <w:numPr>
        <w:numId w:val="29"/>
      </w:numPr>
    </w:pPr>
  </w:style>
  <w:style w:type="numbering" w:customStyle="1" w:styleId="tl27">
    <w:name w:val="Štýl27"/>
    <w:uiPriority w:val="99"/>
    <w:rsid w:val="00D23611"/>
    <w:pPr>
      <w:numPr>
        <w:numId w:val="30"/>
      </w:numPr>
    </w:pPr>
  </w:style>
  <w:style w:type="numbering" w:customStyle="1" w:styleId="tl28">
    <w:name w:val="Štýl28"/>
    <w:uiPriority w:val="99"/>
    <w:rsid w:val="00D23611"/>
    <w:pPr>
      <w:numPr>
        <w:numId w:val="31"/>
      </w:numPr>
    </w:pPr>
  </w:style>
  <w:style w:type="numbering" w:customStyle="1" w:styleId="tl29">
    <w:name w:val="Štýl29"/>
    <w:uiPriority w:val="99"/>
    <w:rsid w:val="00D23611"/>
    <w:pPr>
      <w:numPr>
        <w:numId w:val="32"/>
      </w:numPr>
    </w:pPr>
  </w:style>
  <w:style w:type="numbering" w:customStyle="1" w:styleId="tl30">
    <w:name w:val="Štýl30"/>
    <w:uiPriority w:val="99"/>
    <w:rsid w:val="00D23611"/>
  </w:style>
  <w:style w:type="numbering" w:customStyle="1" w:styleId="tl31">
    <w:name w:val="Štýl31"/>
    <w:uiPriority w:val="99"/>
    <w:rsid w:val="00D23611"/>
    <w:pPr>
      <w:numPr>
        <w:numId w:val="34"/>
      </w:numPr>
    </w:pPr>
  </w:style>
  <w:style w:type="numbering" w:customStyle="1" w:styleId="tl32">
    <w:name w:val="Štýl32"/>
    <w:uiPriority w:val="99"/>
    <w:rsid w:val="00D23611"/>
    <w:pPr>
      <w:numPr>
        <w:numId w:val="35"/>
      </w:numPr>
    </w:pPr>
  </w:style>
  <w:style w:type="numbering" w:customStyle="1" w:styleId="tl33">
    <w:name w:val="Štýl33"/>
    <w:uiPriority w:val="99"/>
    <w:rsid w:val="00D23611"/>
    <w:pPr>
      <w:numPr>
        <w:numId w:val="36"/>
      </w:numPr>
    </w:pPr>
  </w:style>
  <w:style w:type="numbering" w:customStyle="1" w:styleId="tl34">
    <w:name w:val="Štýl34"/>
    <w:uiPriority w:val="99"/>
    <w:rsid w:val="00D23611"/>
  </w:style>
  <w:style w:type="numbering" w:customStyle="1" w:styleId="tl35">
    <w:name w:val="Štýl35"/>
    <w:uiPriority w:val="99"/>
    <w:rsid w:val="00D23611"/>
  </w:style>
  <w:style w:type="table" w:customStyle="1" w:styleId="Mriekatabuky1">
    <w:name w:val="Mriežka tabuľky1"/>
    <w:basedOn w:val="Normlnatabuka"/>
    <w:uiPriority w:val="39"/>
    <w:rsid w:val="00D2361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23611"/>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Bezzoznamu11">
    <w:name w:val="Bez zoznamu11"/>
    <w:next w:val="Bezzoznamu"/>
    <w:uiPriority w:val="99"/>
    <w:semiHidden/>
    <w:unhideWhenUsed/>
    <w:rsid w:val="00D23611"/>
  </w:style>
  <w:style w:type="paragraph" w:customStyle="1" w:styleId="Zkladntext1">
    <w:name w:val="Základný text1"/>
    <w:basedOn w:val="Normlny"/>
    <w:next w:val="Zkladntext"/>
    <w:semiHidden/>
    <w:rsid w:val="00D23611"/>
    <w:pPr>
      <w:spacing w:after="200" w:line="276" w:lineRule="auto"/>
    </w:pPr>
    <w:rPr>
      <w:rFonts w:asciiTheme="minorHAnsi" w:eastAsiaTheme="minorHAnsi" w:hAnsiTheme="minorHAnsi" w:cstheme="minorBidi"/>
      <w:sz w:val="22"/>
      <w:szCs w:val="20"/>
      <w:lang w:eastAsia="en-US"/>
    </w:rPr>
  </w:style>
  <w:style w:type="character" w:styleId="Hypertextovprepojenie">
    <w:name w:val="Hyperlink"/>
    <w:basedOn w:val="Predvolenpsmoodseku"/>
    <w:uiPriority w:val="99"/>
    <w:unhideWhenUsed/>
    <w:rsid w:val="00D23611"/>
    <w:rPr>
      <w:color w:val="0000FF"/>
      <w:u w:val="single"/>
    </w:rPr>
  </w:style>
  <w:style w:type="character" w:styleId="Siln">
    <w:name w:val="Strong"/>
    <w:basedOn w:val="Predvolenpsmoodseku"/>
    <w:uiPriority w:val="22"/>
    <w:qFormat/>
    <w:rsid w:val="00D23611"/>
    <w:rPr>
      <w:b/>
      <w:bCs/>
    </w:rPr>
  </w:style>
  <w:style w:type="paragraph" w:styleId="Normlnywebov">
    <w:name w:val="Normal (Web)"/>
    <w:basedOn w:val="Normlny"/>
    <w:uiPriority w:val="99"/>
    <w:unhideWhenUsed/>
    <w:rsid w:val="00D23611"/>
    <w:pPr>
      <w:spacing w:before="100" w:beforeAutospacing="1" w:after="100" w:afterAutospacing="1"/>
    </w:pPr>
  </w:style>
  <w:style w:type="character" w:customStyle="1" w:styleId="ZkladntextChar1">
    <w:name w:val="Základný text Char1"/>
    <w:basedOn w:val="Predvolenpsmoodseku"/>
    <w:uiPriority w:val="99"/>
    <w:semiHidden/>
    <w:rsid w:val="00D23611"/>
    <w:rPr>
      <w:rFonts w:ascii="Times New Roman" w:hAnsi="Times New Roman"/>
      <w:sz w:val="24"/>
    </w:rPr>
  </w:style>
  <w:style w:type="character" w:styleId="PouitHypertextovPrepojenie">
    <w:name w:val="FollowedHyperlink"/>
    <w:basedOn w:val="Predvolenpsmoodseku"/>
    <w:uiPriority w:val="99"/>
    <w:semiHidden/>
    <w:unhideWhenUsed/>
    <w:rsid w:val="00D23611"/>
    <w:rPr>
      <w:color w:val="954F72" w:themeColor="followedHyperlink"/>
      <w:u w:val="single"/>
    </w:rPr>
  </w:style>
  <w:style w:type="numbering" w:customStyle="1" w:styleId="tl36">
    <w:name w:val="Štýl36"/>
    <w:uiPriority w:val="99"/>
    <w:rsid w:val="00D23611"/>
    <w:pPr>
      <w:numPr>
        <w:numId w:val="39"/>
      </w:numPr>
    </w:pPr>
  </w:style>
  <w:style w:type="numbering" w:customStyle="1" w:styleId="tl361">
    <w:name w:val="Štýl361"/>
    <w:uiPriority w:val="99"/>
    <w:rsid w:val="00D23611"/>
    <w:pPr>
      <w:numPr>
        <w:numId w:val="4"/>
      </w:numPr>
    </w:pPr>
  </w:style>
  <w:style w:type="numbering" w:customStyle="1" w:styleId="tl37">
    <w:name w:val="Štýl37"/>
    <w:uiPriority w:val="99"/>
    <w:rsid w:val="00D23611"/>
  </w:style>
  <w:style w:type="numbering" w:customStyle="1" w:styleId="tl38">
    <w:name w:val="Štýl38"/>
    <w:uiPriority w:val="99"/>
    <w:rsid w:val="00D23611"/>
    <w:pPr>
      <w:numPr>
        <w:numId w:val="41"/>
      </w:numPr>
    </w:pPr>
  </w:style>
  <w:style w:type="numbering" w:customStyle="1" w:styleId="Bezzoznamu2">
    <w:name w:val="Bez zoznamu2"/>
    <w:next w:val="Bezzoznamu"/>
    <w:uiPriority w:val="99"/>
    <w:semiHidden/>
    <w:unhideWhenUsed/>
    <w:rsid w:val="00D23611"/>
  </w:style>
  <w:style w:type="character" w:customStyle="1" w:styleId="tl1Char">
    <w:name w:val="Štýl1 Char"/>
    <w:basedOn w:val="Predvolenpsmoodseku"/>
    <w:rsid w:val="00D23611"/>
    <w:rPr>
      <w:rFonts w:ascii="Times New Roman" w:eastAsia="Times New Roman" w:hAnsi="Times New Roman" w:cs="Times New Roman"/>
      <w:sz w:val="24"/>
      <w:szCs w:val="20"/>
      <w:lang w:eastAsia="cs-CZ"/>
    </w:rPr>
  </w:style>
  <w:style w:type="character" w:customStyle="1" w:styleId="tl2Char">
    <w:name w:val="Štýl2 Char"/>
    <w:basedOn w:val="tl1Char"/>
    <w:rsid w:val="00D23611"/>
    <w:rPr>
      <w:rFonts w:ascii="Times New Roman" w:eastAsia="Times New Roman" w:hAnsi="Times New Roman" w:cs="Times New Roman"/>
      <w:sz w:val="24"/>
      <w:szCs w:val="20"/>
      <w:lang w:eastAsia="cs-CZ"/>
    </w:rPr>
  </w:style>
  <w:style w:type="character" w:customStyle="1" w:styleId="tl3Char">
    <w:name w:val="Štýl3 Char"/>
    <w:basedOn w:val="Predvolenpsmoodseku"/>
    <w:rsid w:val="00D23611"/>
    <w:rPr>
      <w:rFonts w:ascii="Times New Roman" w:eastAsia="Times New Roman" w:hAnsi="Times New Roman" w:cs="Times New Roman"/>
      <w:sz w:val="24"/>
      <w:szCs w:val="20"/>
      <w:lang w:eastAsia="cs-CZ"/>
    </w:rPr>
  </w:style>
  <w:style w:type="table" w:customStyle="1" w:styleId="Mriekatabuky2">
    <w:name w:val="Mriežka tabuľky2"/>
    <w:basedOn w:val="Normlnatabuka"/>
    <w:next w:val="Mriekatabuky"/>
    <w:uiPriority w:val="59"/>
    <w:rsid w:val="00D236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tl39">
    <w:name w:val="Štýl39"/>
    <w:uiPriority w:val="99"/>
    <w:rsid w:val="00D23611"/>
    <w:pPr>
      <w:numPr>
        <w:numId w:val="42"/>
      </w:numPr>
    </w:pPr>
  </w:style>
  <w:style w:type="numbering" w:customStyle="1" w:styleId="tl40">
    <w:name w:val="Štýl40"/>
    <w:uiPriority w:val="99"/>
    <w:rsid w:val="00D23611"/>
  </w:style>
  <w:style w:type="numbering" w:customStyle="1" w:styleId="tl41">
    <w:name w:val="Štýl41"/>
    <w:uiPriority w:val="99"/>
    <w:rsid w:val="00D23611"/>
  </w:style>
  <w:style w:type="numbering" w:customStyle="1" w:styleId="tl42">
    <w:name w:val="Štýl42"/>
    <w:uiPriority w:val="99"/>
    <w:rsid w:val="00D23611"/>
  </w:style>
  <w:style w:type="numbering" w:customStyle="1" w:styleId="tl43">
    <w:name w:val="Štýl43"/>
    <w:uiPriority w:val="99"/>
    <w:rsid w:val="00D23611"/>
  </w:style>
  <w:style w:type="numbering" w:customStyle="1" w:styleId="tl44">
    <w:name w:val="Štýl44"/>
    <w:uiPriority w:val="99"/>
    <w:rsid w:val="00D23611"/>
    <w:pPr>
      <w:numPr>
        <w:numId w:val="47"/>
      </w:numPr>
    </w:pPr>
  </w:style>
  <w:style w:type="numbering" w:customStyle="1" w:styleId="tl45">
    <w:name w:val="Štýl45"/>
    <w:uiPriority w:val="99"/>
    <w:rsid w:val="00D23611"/>
  </w:style>
  <w:style w:type="numbering" w:customStyle="1" w:styleId="tl46">
    <w:name w:val="Štýl46"/>
    <w:uiPriority w:val="99"/>
    <w:rsid w:val="00D23611"/>
    <w:pPr>
      <w:numPr>
        <w:numId w:val="49"/>
      </w:numPr>
    </w:pPr>
  </w:style>
  <w:style w:type="numbering" w:customStyle="1" w:styleId="tl47">
    <w:name w:val="Štýl47"/>
    <w:uiPriority w:val="99"/>
    <w:rsid w:val="00D23611"/>
    <w:pPr>
      <w:numPr>
        <w:numId w:val="50"/>
      </w:numPr>
    </w:pPr>
  </w:style>
  <w:style w:type="numbering" w:customStyle="1" w:styleId="tl52">
    <w:name w:val="Štýl52"/>
    <w:uiPriority w:val="99"/>
    <w:rsid w:val="00D23611"/>
  </w:style>
  <w:style w:type="table" w:customStyle="1" w:styleId="Mriekatabuky11">
    <w:name w:val="Mriežka tabuľky11"/>
    <w:basedOn w:val="Normlnatabuka"/>
    <w:uiPriority w:val="59"/>
    <w:rsid w:val="00D23611"/>
    <w:pPr>
      <w:spacing w:after="0" w:line="240" w:lineRule="auto"/>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521">
    <w:name w:val="Štýl521"/>
    <w:uiPriority w:val="99"/>
    <w:rsid w:val="00D23611"/>
  </w:style>
  <w:style w:type="numbering" w:customStyle="1" w:styleId="tl48">
    <w:name w:val="Štýl48"/>
    <w:uiPriority w:val="99"/>
    <w:rsid w:val="00D23611"/>
  </w:style>
  <w:style w:type="numbering" w:customStyle="1" w:styleId="tl49">
    <w:name w:val="Štýl49"/>
    <w:uiPriority w:val="99"/>
    <w:rsid w:val="00D23611"/>
    <w:pPr>
      <w:numPr>
        <w:numId w:val="53"/>
      </w:numPr>
    </w:pPr>
  </w:style>
  <w:style w:type="table" w:customStyle="1" w:styleId="Mriekatabuky3">
    <w:name w:val="Mriežka tabuľky3"/>
    <w:basedOn w:val="Normlnatabuka"/>
    <w:next w:val="Mriekatabuky"/>
    <w:uiPriority w:val="59"/>
    <w:rsid w:val="00D23611"/>
    <w:pPr>
      <w:spacing w:after="0" w:line="240" w:lineRule="auto"/>
    </w:pPr>
    <w:rPr>
      <w:rFonts w:eastAsiaTheme="minorEastAsia"/>
      <w:lang w:eastAsia="sk-S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Bezzoznamu3">
    <w:name w:val="Bez zoznamu3"/>
    <w:next w:val="Bezzoznamu"/>
    <w:uiPriority w:val="99"/>
    <w:semiHidden/>
    <w:unhideWhenUsed/>
    <w:rsid w:val="00D23611"/>
  </w:style>
  <w:style w:type="numbering" w:customStyle="1" w:styleId="tl110">
    <w:name w:val="Štýl110"/>
    <w:uiPriority w:val="99"/>
    <w:rsid w:val="00D23611"/>
    <w:pPr>
      <w:numPr>
        <w:numId w:val="1"/>
      </w:numPr>
    </w:pPr>
  </w:style>
  <w:style w:type="numbering" w:customStyle="1" w:styleId="tl310">
    <w:name w:val="Štýl310"/>
    <w:uiPriority w:val="99"/>
    <w:rsid w:val="00D23611"/>
    <w:pPr>
      <w:numPr>
        <w:numId w:val="28"/>
      </w:numPr>
    </w:pPr>
  </w:style>
  <w:style w:type="numbering" w:customStyle="1" w:styleId="tl210">
    <w:name w:val="Štýl210"/>
    <w:uiPriority w:val="99"/>
    <w:rsid w:val="00D23611"/>
    <w:pPr>
      <w:numPr>
        <w:numId w:val="33"/>
      </w:numPr>
    </w:pPr>
  </w:style>
  <w:style w:type="numbering" w:customStyle="1" w:styleId="tl410">
    <w:name w:val="Štýl410"/>
    <w:uiPriority w:val="99"/>
    <w:rsid w:val="00D23611"/>
    <w:pPr>
      <w:numPr>
        <w:numId w:val="37"/>
      </w:numPr>
    </w:pPr>
  </w:style>
  <w:style w:type="numbering" w:customStyle="1" w:styleId="tl51">
    <w:name w:val="Štýl51"/>
    <w:uiPriority w:val="99"/>
    <w:rsid w:val="00D23611"/>
    <w:pPr>
      <w:numPr>
        <w:numId w:val="38"/>
      </w:numPr>
    </w:pPr>
  </w:style>
  <w:style w:type="numbering" w:customStyle="1" w:styleId="tl61">
    <w:name w:val="Štýl61"/>
    <w:uiPriority w:val="99"/>
    <w:rsid w:val="00D23611"/>
    <w:pPr>
      <w:numPr>
        <w:numId w:val="40"/>
      </w:numPr>
    </w:pPr>
  </w:style>
  <w:style w:type="numbering" w:customStyle="1" w:styleId="tl71">
    <w:name w:val="Štýl71"/>
    <w:uiPriority w:val="99"/>
    <w:rsid w:val="00D23611"/>
    <w:pPr>
      <w:numPr>
        <w:numId w:val="43"/>
      </w:numPr>
    </w:pPr>
  </w:style>
  <w:style w:type="numbering" w:customStyle="1" w:styleId="tl81">
    <w:name w:val="Štýl81"/>
    <w:uiPriority w:val="99"/>
    <w:rsid w:val="00D23611"/>
    <w:pPr>
      <w:numPr>
        <w:numId w:val="44"/>
      </w:numPr>
    </w:pPr>
  </w:style>
  <w:style w:type="numbering" w:customStyle="1" w:styleId="tl91">
    <w:name w:val="Štýl91"/>
    <w:uiPriority w:val="99"/>
    <w:rsid w:val="00D23611"/>
    <w:pPr>
      <w:numPr>
        <w:numId w:val="45"/>
      </w:numPr>
    </w:pPr>
  </w:style>
  <w:style w:type="numbering" w:customStyle="1" w:styleId="tl101">
    <w:name w:val="Štýl101"/>
    <w:uiPriority w:val="99"/>
    <w:rsid w:val="00D23611"/>
    <w:pPr>
      <w:numPr>
        <w:numId w:val="46"/>
      </w:numPr>
    </w:pPr>
  </w:style>
  <w:style w:type="numbering" w:customStyle="1" w:styleId="tl111">
    <w:name w:val="Štýl111"/>
    <w:uiPriority w:val="99"/>
    <w:rsid w:val="00D23611"/>
    <w:pPr>
      <w:numPr>
        <w:numId w:val="48"/>
      </w:numPr>
    </w:pPr>
  </w:style>
  <w:style w:type="numbering" w:customStyle="1" w:styleId="tl121">
    <w:name w:val="Štýl121"/>
    <w:uiPriority w:val="99"/>
    <w:rsid w:val="00D23611"/>
    <w:pPr>
      <w:numPr>
        <w:numId w:val="51"/>
      </w:numPr>
    </w:pPr>
  </w:style>
  <w:style w:type="numbering" w:customStyle="1" w:styleId="tl131">
    <w:name w:val="Štýl131"/>
    <w:uiPriority w:val="99"/>
    <w:rsid w:val="00D23611"/>
    <w:pPr>
      <w:numPr>
        <w:numId w:val="52"/>
      </w:numPr>
    </w:pPr>
  </w:style>
  <w:style w:type="numbering" w:customStyle="1" w:styleId="tl141">
    <w:name w:val="Štýl141"/>
    <w:uiPriority w:val="99"/>
    <w:rsid w:val="00D23611"/>
    <w:pPr>
      <w:numPr>
        <w:numId w:val="54"/>
      </w:numPr>
    </w:pPr>
  </w:style>
  <w:style w:type="numbering" w:customStyle="1" w:styleId="tl151">
    <w:name w:val="Štýl151"/>
    <w:uiPriority w:val="99"/>
    <w:rsid w:val="00D23611"/>
    <w:pPr>
      <w:numPr>
        <w:numId w:val="55"/>
      </w:numPr>
    </w:pPr>
  </w:style>
  <w:style w:type="numbering" w:customStyle="1" w:styleId="tl161">
    <w:name w:val="Štýl161"/>
    <w:uiPriority w:val="99"/>
    <w:rsid w:val="00D23611"/>
    <w:pPr>
      <w:numPr>
        <w:numId w:val="56"/>
      </w:numPr>
    </w:pPr>
  </w:style>
  <w:style w:type="numbering" w:customStyle="1" w:styleId="tl171">
    <w:name w:val="Štýl171"/>
    <w:uiPriority w:val="99"/>
    <w:rsid w:val="00D23611"/>
    <w:pPr>
      <w:numPr>
        <w:numId w:val="57"/>
      </w:numPr>
    </w:pPr>
  </w:style>
  <w:style w:type="numbering" w:customStyle="1" w:styleId="tl181">
    <w:name w:val="Štýl181"/>
    <w:uiPriority w:val="99"/>
    <w:rsid w:val="00D23611"/>
    <w:pPr>
      <w:numPr>
        <w:numId w:val="58"/>
      </w:numPr>
    </w:pPr>
  </w:style>
  <w:style w:type="numbering" w:customStyle="1" w:styleId="tl191">
    <w:name w:val="Štýl191"/>
    <w:uiPriority w:val="99"/>
    <w:rsid w:val="00D23611"/>
    <w:pPr>
      <w:numPr>
        <w:numId w:val="59"/>
      </w:numPr>
    </w:pPr>
  </w:style>
  <w:style w:type="numbering" w:customStyle="1" w:styleId="tl201">
    <w:name w:val="Štýl201"/>
    <w:uiPriority w:val="99"/>
    <w:rsid w:val="00D23611"/>
    <w:pPr>
      <w:numPr>
        <w:numId w:val="60"/>
      </w:numPr>
    </w:pPr>
  </w:style>
  <w:style w:type="numbering" w:customStyle="1" w:styleId="tl211">
    <w:name w:val="Štýl211"/>
    <w:uiPriority w:val="99"/>
    <w:rsid w:val="00D23611"/>
    <w:pPr>
      <w:numPr>
        <w:numId w:val="61"/>
      </w:numPr>
    </w:pPr>
  </w:style>
  <w:style w:type="numbering" w:customStyle="1" w:styleId="tl221">
    <w:name w:val="Štýl221"/>
    <w:uiPriority w:val="99"/>
    <w:rsid w:val="00D23611"/>
    <w:pPr>
      <w:numPr>
        <w:numId w:val="62"/>
      </w:numPr>
    </w:pPr>
  </w:style>
  <w:style w:type="numbering" w:customStyle="1" w:styleId="tl231">
    <w:name w:val="Štýl231"/>
    <w:uiPriority w:val="99"/>
    <w:rsid w:val="00D23611"/>
    <w:pPr>
      <w:numPr>
        <w:numId w:val="63"/>
      </w:numPr>
    </w:pPr>
  </w:style>
  <w:style w:type="numbering" w:customStyle="1" w:styleId="tl241">
    <w:name w:val="Štýl241"/>
    <w:uiPriority w:val="99"/>
    <w:rsid w:val="00D23611"/>
    <w:pPr>
      <w:numPr>
        <w:numId w:val="64"/>
      </w:numPr>
    </w:pPr>
  </w:style>
  <w:style w:type="numbering" w:customStyle="1" w:styleId="tl251">
    <w:name w:val="Štýl251"/>
    <w:uiPriority w:val="99"/>
    <w:rsid w:val="00D23611"/>
    <w:pPr>
      <w:numPr>
        <w:numId w:val="65"/>
      </w:numPr>
    </w:pPr>
  </w:style>
  <w:style w:type="numbering" w:customStyle="1" w:styleId="tl261">
    <w:name w:val="Štýl261"/>
    <w:uiPriority w:val="99"/>
    <w:rsid w:val="00D23611"/>
    <w:pPr>
      <w:numPr>
        <w:numId w:val="66"/>
      </w:numPr>
    </w:pPr>
  </w:style>
  <w:style w:type="numbering" w:customStyle="1" w:styleId="tl271">
    <w:name w:val="Štýl271"/>
    <w:uiPriority w:val="99"/>
    <w:rsid w:val="00D23611"/>
    <w:pPr>
      <w:numPr>
        <w:numId w:val="67"/>
      </w:numPr>
    </w:pPr>
  </w:style>
  <w:style w:type="numbering" w:customStyle="1" w:styleId="tl281">
    <w:name w:val="Štýl281"/>
    <w:uiPriority w:val="99"/>
    <w:rsid w:val="00D23611"/>
    <w:pPr>
      <w:numPr>
        <w:numId w:val="68"/>
      </w:numPr>
    </w:pPr>
  </w:style>
  <w:style w:type="numbering" w:customStyle="1" w:styleId="tl291">
    <w:name w:val="Štýl291"/>
    <w:uiPriority w:val="99"/>
    <w:rsid w:val="00D23611"/>
    <w:pPr>
      <w:numPr>
        <w:numId w:val="69"/>
      </w:numPr>
    </w:pPr>
  </w:style>
  <w:style w:type="numbering" w:customStyle="1" w:styleId="tl301">
    <w:name w:val="Štýl301"/>
    <w:uiPriority w:val="99"/>
    <w:rsid w:val="00D23611"/>
    <w:pPr>
      <w:numPr>
        <w:numId w:val="70"/>
      </w:numPr>
    </w:pPr>
  </w:style>
  <w:style w:type="numbering" w:customStyle="1" w:styleId="tl311">
    <w:name w:val="Štýl311"/>
    <w:uiPriority w:val="99"/>
    <w:rsid w:val="00D23611"/>
    <w:pPr>
      <w:numPr>
        <w:numId w:val="71"/>
      </w:numPr>
    </w:pPr>
  </w:style>
  <w:style w:type="numbering" w:customStyle="1" w:styleId="tl321">
    <w:name w:val="Štýl321"/>
    <w:uiPriority w:val="99"/>
    <w:rsid w:val="00D23611"/>
    <w:pPr>
      <w:numPr>
        <w:numId w:val="72"/>
      </w:numPr>
    </w:pPr>
  </w:style>
  <w:style w:type="numbering" w:customStyle="1" w:styleId="tl331">
    <w:name w:val="Štýl331"/>
    <w:uiPriority w:val="99"/>
    <w:rsid w:val="00D23611"/>
    <w:pPr>
      <w:numPr>
        <w:numId w:val="73"/>
      </w:numPr>
    </w:pPr>
  </w:style>
  <w:style w:type="numbering" w:customStyle="1" w:styleId="tl341">
    <w:name w:val="Štýl341"/>
    <w:uiPriority w:val="99"/>
    <w:rsid w:val="00D23611"/>
    <w:pPr>
      <w:numPr>
        <w:numId w:val="74"/>
      </w:numPr>
    </w:pPr>
  </w:style>
  <w:style w:type="numbering" w:customStyle="1" w:styleId="tl351">
    <w:name w:val="Štýl351"/>
    <w:uiPriority w:val="99"/>
    <w:rsid w:val="00D23611"/>
    <w:pPr>
      <w:numPr>
        <w:numId w:val="75"/>
      </w:numPr>
    </w:pPr>
  </w:style>
  <w:style w:type="numbering" w:customStyle="1" w:styleId="Bezzoznamu12">
    <w:name w:val="Bez zoznamu12"/>
    <w:next w:val="Bezzoznamu"/>
    <w:uiPriority w:val="99"/>
    <w:semiHidden/>
    <w:unhideWhenUsed/>
    <w:rsid w:val="00D23611"/>
  </w:style>
  <w:style w:type="numbering" w:customStyle="1" w:styleId="tl362">
    <w:name w:val="Štýl362"/>
    <w:uiPriority w:val="99"/>
    <w:rsid w:val="00D23611"/>
    <w:pPr>
      <w:numPr>
        <w:numId w:val="76"/>
      </w:numPr>
    </w:pPr>
  </w:style>
  <w:style w:type="numbering" w:customStyle="1" w:styleId="tl3611">
    <w:name w:val="Štýl3611"/>
    <w:uiPriority w:val="99"/>
    <w:rsid w:val="00D23611"/>
    <w:pPr>
      <w:numPr>
        <w:numId w:val="2"/>
      </w:numPr>
    </w:pPr>
  </w:style>
  <w:style w:type="numbering" w:customStyle="1" w:styleId="tl371">
    <w:name w:val="Štýl371"/>
    <w:uiPriority w:val="99"/>
    <w:rsid w:val="00D23611"/>
    <w:pPr>
      <w:numPr>
        <w:numId w:val="77"/>
      </w:numPr>
    </w:pPr>
  </w:style>
  <w:style w:type="numbering" w:customStyle="1" w:styleId="tl381">
    <w:name w:val="Štýl381"/>
    <w:uiPriority w:val="99"/>
    <w:rsid w:val="00D23611"/>
    <w:pPr>
      <w:numPr>
        <w:numId w:val="78"/>
      </w:numPr>
    </w:pPr>
  </w:style>
  <w:style w:type="numbering" w:customStyle="1" w:styleId="Bezzoznamu21">
    <w:name w:val="Bez zoznamu21"/>
    <w:next w:val="Bezzoznamu"/>
    <w:uiPriority w:val="99"/>
    <w:semiHidden/>
    <w:unhideWhenUsed/>
    <w:rsid w:val="00D23611"/>
  </w:style>
  <w:style w:type="numbering" w:customStyle="1" w:styleId="tl391">
    <w:name w:val="Štýl391"/>
    <w:uiPriority w:val="99"/>
    <w:rsid w:val="00D23611"/>
    <w:pPr>
      <w:numPr>
        <w:numId w:val="79"/>
      </w:numPr>
    </w:pPr>
  </w:style>
  <w:style w:type="numbering" w:customStyle="1" w:styleId="tl401">
    <w:name w:val="Štýl401"/>
    <w:uiPriority w:val="99"/>
    <w:rsid w:val="00D23611"/>
    <w:pPr>
      <w:numPr>
        <w:numId w:val="80"/>
      </w:numPr>
    </w:pPr>
  </w:style>
  <w:style w:type="numbering" w:customStyle="1" w:styleId="tl411">
    <w:name w:val="Štýl411"/>
    <w:uiPriority w:val="99"/>
    <w:rsid w:val="00D23611"/>
    <w:pPr>
      <w:numPr>
        <w:numId w:val="81"/>
      </w:numPr>
    </w:pPr>
  </w:style>
  <w:style w:type="numbering" w:customStyle="1" w:styleId="tl421">
    <w:name w:val="Štýl421"/>
    <w:uiPriority w:val="99"/>
    <w:rsid w:val="00D23611"/>
    <w:pPr>
      <w:numPr>
        <w:numId w:val="82"/>
      </w:numPr>
    </w:pPr>
  </w:style>
  <w:style w:type="numbering" w:customStyle="1" w:styleId="tl431">
    <w:name w:val="Štýl431"/>
    <w:uiPriority w:val="99"/>
    <w:rsid w:val="00D23611"/>
    <w:pPr>
      <w:numPr>
        <w:numId w:val="83"/>
      </w:numPr>
    </w:pPr>
  </w:style>
  <w:style w:type="numbering" w:customStyle="1" w:styleId="tl441">
    <w:name w:val="Štýl441"/>
    <w:uiPriority w:val="99"/>
    <w:rsid w:val="00D23611"/>
    <w:pPr>
      <w:numPr>
        <w:numId w:val="84"/>
      </w:numPr>
    </w:pPr>
  </w:style>
  <w:style w:type="numbering" w:customStyle="1" w:styleId="tl451">
    <w:name w:val="Štýl451"/>
    <w:uiPriority w:val="99"/>
    <w:rsid w:val="00D23611"/>
    <w:pPr>
      <w:numPr>
        <w:numId w:val="85"/>
      </w:numPr>
    </w:pPr>
  </w:style>
  <w:style w:type="numbering" w:customStyle="1" w:styleId="tl461">
    <w:name w:val="Štýl461"/>
    <w:uiPriority w:val="99"/>
    <w:rsid w:val="00D23611"/>
    <w:pPr>
      <w:numPr>
        <w:numId w:val="86"/>
      </w:numPr>
    </w:pPr>
  </w:style>
  <w:style w:type="numbering" w:customStyle="1" w:styleId="tl471">
    <w:name w:val="Štýl471"/>
    <w:uiPriority w:val="99"/>
    <w:rsid w:val="00D23611"/>
    <w:pPr>
      <w:numPr>
        <w:numId w:val="87"/>
      </w:numPr>
    </w:pPr>
  </w:style>
  <w:style w:type="numbering" w:customStyle="1" w:styleId="tl522">
    <w:name w:val="Štýl522"/>
    <w:uiPriority w:val="99"/>
    <w:rsid w:val="00D23611"/>
    <w:pPr>
      <w:numPr>
        <w:numId w:val="88"/>
      </w:numPr>
    </w:pPr>
  </w:style>
  <w:style w:type="numbering" w:customStyle="1" w:styleId="tl5211">
    <w:name w:val="Štýl5211"/>
    <w:uiPriority w:val="99"/>
    <w:rsid w:val="00D23611"/>
  </w:style>
  <w:style w:type="numbering" w:customStyle="1" w:styleId="tl481">
    <w:name w:val="Štýl481"/>
    <w:uiPriority w:val="99"/>
    <w:rsid w:val="00D23611"/>
    <w:pPr>
      <w:numPr>
        <w:numId w:val="89"/>
      </w:numPr>
    </w:pPr>
  </w:style>
  <w:style w:type="numbering" w:customStyle="1" w:styleId="tl491">
    <w:name w:val="Štýl491"/>
    <w:uiPriority w:val="99"/>
    <w:rsid w:val="00D23611"/>
    <w:pPr>
      <w:numPr>
        <w:numId w:val="90"/>
      </w:numPr>
    </w:pPr>
  </w:style>
  <w:style w:type="paragraph" w:customStyle="1" w:styleId="NormalList">
    <w:name w:val="NormalList"/>
    <w:basedOn w:val="Normlny"/>
    <w:qFormat/>
    <w:rsid w:val="00D23611"/>
    <w:pPr>
      <w:jc w:val="both"/>
    </w:pPr>
    <w:rPr>
      <w:rFonts w:ascii="Arial Narrow" w:hAnsi="Arial Narrow" w:cs="Book Antiqua"/>
      <w:sz w:val="22"/>
      <w:szCs w:val="22"/>
      <w:lang w:eastAsia="en-US"/>
    </w:rPr>
  </w:style>
  <w:style w:type="paragraph" w:styleId="Textpoznmkypodiarou">
    <w:name w:val="footnote text"/>
    <w:aliases w:val="Footnote Text Char2,Footnote Text Char1 Char,Footnote Text Char2 Char Char,Footnote Text Char1 Char Char Char,Footnote Text Char2 Char Char Char Char,Footnote Text Char Char1 Char Char Char Char,Footnote Text Char1,f"/>
    <w:basedOn w:val="Normlny"/>
    <w:link w:val="TextpoznmkypodiarouChar"/>
    <w:uiPriority w:val="99"/>
    <w:unhideWhenUsed/>
    <w:qFormat/>
    <w:rsid w:val="00D23611"/>
    <w:rPr>
      <w:sz w:val="20"/>
      <w:szCs w:val="20"/>
    </w:rPr>
  </w:style>
  <w:style w:type="character" w:customStyle="1" w:styleId="TextpoznmkypodiarouChar">
    <w:name w:val="Text poznámky pod čiarou Char"/>
    <w:aliases w:val="Footnote Text Char2 Char,Footnote Text Char1 Char Char,Footnote Text Char2 Char Char Char,Footnote Text Char1 Char Char Char Char,Footnote Text Char2 Char Char Char Char Char,Footnote Text Char1 Char1,f Char"/>
    <w:basedOn w:val="Predvolenpsmoodseku"/>
    <w:link w:val="Textpoznmkypodiarou"/>
    <w:uiPriority w:val="99"/>
    <w:rsid w:val="00D23611"/>
    <w:rPr>
      <w:rFonts w:ascii="Times New Roman" w:eastAsia="Times New Roman" w:hAnsi="Times New Roman" w:cs="Times New Roman"/>
      <w:sz w:val="20"/>
      <w:szCs w:val="20"/>
      <w:lang w:eastAsia="sk-SK"/>
    </w:rPr>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Footnote symbol"/>
    <w:basedOn w:val="Predvolenpsmoodseku"/>
    <w:uiPriority w:val="99"/>
    <w:unhideWhenUsed/>
    <w:rsid w:val="00D23611"/>
    <w:rPr>
      <w:rFonts w:cs="Times New Roman"/>
      <w:vertAlign w:val="superscript"/>
    </w:rPr>
  </w:style>
  <w:style w:type="numbering" w:customStyle="1" w:styleId="Bezzoznamu4">
    <w:name w:val="Bez zoznamu4"/>
    <w:next w:val="Bezzoznamu"/>
    <w:uiPriority w:val="99"/>
    <w:semiHidden/>
    <w:unhideWhenUsed/>
    <w:rsid w:val="00D23611"/>
  </w:style>
  <w:style w:type="table" w:customStyle="1" w:styleId="Mriekatabuky4">
    <w:name w:val="Mriežka tabuľky4"/>
    <w:basedOn w:val="Normlnatabuka"/>
    <w:next w:val="Mriekatabuky"/>
    <w:uiPriority w:val="59"/>
    <w:rsid w:val="00D23611"/>
    <w:pPr>
      <w:spacing w:after="0" w:line="240" w:lineRule="auto"/>
      <w:ind w:firstLine="709"/>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A8"/>
    <w:uiPriority w:val="99"/>
    <w:rsid w:val="00D23611"/>
    <w:rPr>
      <w:rFonts w:cs="Myriad Pro"/>
      <w:color w:val="000000"/>
      <w:sz w:val="11"/>
      <w:szCs w:val="11"/>
    </w:rPr>
  </w:style>
  <w:style w:type="character" w:styleId="Zstupntext">
    <w:name w:val="Placeholder Text"/>
    <w:basedOn w:val="Predvolenpsmoodseku"/>
    <w:uiPriority w:val="99"/>
    <w:rsid w:val="00D23611"/>
    <w:rPr>
      <w:color w:val="808080"/>
    </w:rPr>
  </w:style>
  <w:style w:type="table" w:customStyle="1" w:styleId="Mriekatabuky111">
    <w:name w:val="Mriežka tabuľky111"/>
    <w:basedOn w:val="Normlnatabuka"/>
    <w:uiPriority w:val="59"/>
    <w:rsid w:val="00D23611"/>
    <w:pPr>
      <w:spacing w:after="0" w:line="240" w:lineRule="auto"/>
      <w:ind w:firstLine="709"/>
      <w:jc w:val="both"/>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523">
    <w:name w:val="Štýl523"/>
    <w:uiPriority w:val="99"/>
    <w:rsid w:val="00D23611"/>
  </w:style>
  <w:style w:type="numbering" w:customStyle="1" w:styleId="tl5212">
    <w:name w:val="Štýl5212"/>
    <w:uiPriority w:val="99"/>
    <w:rsid w:val="00D23611"/>
  </w:style>
  <w:style w:type="table" w:customStyle="1" w:styleId="Mriekatabuky1111">
    <w:name w:val="Mriežka tabuľky1111"/>
    <w:basedOn w:val="Normlnatabuka"/>
    <w:uiPriority w:val="59"/>
    <w:rsid w:val="00D23611"/>
    <w:pPr>
      <w:spacing w:after="0" w:line="240" w:lineRule="auto"/>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12">
    <w:name w:val="Mriežka tabuľky12"/>
    <w:basedOn w:val="Normlnatabuka"/>
    <w:next w:val="Mriekatabuky"/>
    <w:uiPriority w:val="59"/>
    <w:rsid w:val="00D236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ulok">
    <w:name w:val="titulok"/>
    <w:basedOn w:val="Normlny"/>
    <w:qFormat/>
    <w:rsid w:val="00D23611"/>
    <w:pPr>
      <w:spacing w:before="100" w:beforeAutospacing="1" w:after="100" w:afterAutospacing="1"/>
      <w:jc w:val="center"/>
    </w:pPr>
    <w:rPr>
      <w:rFonts w:ascii="Arial" w:hAnsi="Arial" w:cs="Arial"/>
      <w:b/>
      <w:bCs/>
      <w:color w:val="007060"/>
    </w:rPr>
  </w:style>
  <w:style w:type="table" w:customStyle="1" w:styleId="Mriekatabuky13">
    <w:name w:val="Mriežka tabuľky13"/>
    <w:basedOn w:val="Normlnatabuka"/>
    <w:next w:val="Mriekatabuky"/>
    <w:uiPriority w:val="59"/>
    <w:rsid w:val="00D23611"/>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
    <w:name w:val="Bez zoznamu5"/>
    <w:next w:val="Bezzoznamu"/>
    <w:uiPriority w:val="99"/>
    <w:semiHidden/>
    <w:unhideWhenUsed/>
    <w:rsid w:val="00D23611"/>
  </w:style>
  <w:style w:type="table" w:customStyle="1" w:styleId="Mriekatabuky5">
    <w:name w:val="Mriežka tabuľky5"/>
    <w:basedOn w:val="Normlnatabuka"/>
    <w:next w:val="Mriekatabuky"/>
    <w:uiPriority w:val="59"/>
    <w:rsid w:val="00D23611"/>
    <w:pPr>
      <w:spacing w:after="0" w:line="240" w:lineRule="auto"/>
    </w:pPr>
    <w:rPr>
      <w:rFonts w:eastAsiaTheme="minorEastAsia"/>
      <w:lang w:eastAsia="sk-S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kladntext10">
    <w:name w:val="Základní text1"/>
    <w:rsid w:val="00D23611"/>
    <w:pPr>
      <w:widowControl w:val="0"/>
      <w:spacing w:after="0" w:line="240" w:lineRule="auto"/>
    </w:pPr>
    <w:rPr>
      <w:rFonts w:ascii="Times New Roman" w:eastAsia="Times New Roman" w:hAnsi="Times New Roman" w:cs="Times New Roman"/>
      <w:color w:val="000000"/>
      <w:sz w:val="24"/>
      <w:szCs w:val="24"/>
      <w:lang w:eastAsia="sk-SK"/>
    </w:rPr>
  </w:style>
  <w:style w:type="paragraph" w:styleId="Nzov">
    <w:name w:val="Title"/>
    <w:basedOn w:val="Normlny"/>
    <w:link w:val="NzovChar"/>
    <w:qFormat/>
    <w:rsid w:val="00D23611"/>
    <w:pPr>
      <w:jc w:val="center"/>
    </w:pPr>
    <w:rPr>
      <w:b/>
      <w:szCs w:val="20"/>
    </w:rPr>
  </w:style>
  <w:style w:type="character" w:customStyle="1" w:styleId="NzovChar">
    <w:name w:val="Názov Char"/>
    <w:basedOn w:val="Predvolenpsmoodseku"/>
    <w:link w:val="Nzov"/>
    <w:rsid w:val="00D23611"/>
    <w:rPr>
      <w:rFonts w:ascii="Times New Roman" w:eastAsia="Times New Roman" w:hAnsi="Times New Roman" w:cs="Times New Roman"/>
      <w:b/>
      <w:sz w:val="24"/>
      <w:szCs w:val="20"/>
      <w:lang w:eastAsia="sk-SK"/>
    </w:rPr>
  </w:style>
  <w:style w:type="paragraph" w:customStyle="1" w:styleId="l41">
    <w:name w:val="l41"/>
    <w:basedOn w:val="Normlny"/>
    <w:rsid w:val="00D23611"/>
    <w:pPr>
      <w:jc w:val="both"/>
    </w:pPr>
  </w:style>
  <w:style w:type="paragraph" w:styleId="Zarkazkladnhotextu2">
    <w:name w:val="Body Text Indent 2"/>
    <w:basedOn w:val="Normlny"/>
    <w:link w:val="Zarkazkladnhotextu2Char"/>
    <w:uiPriority w:val="99"/>
    <w:unhideWhenUsed/>
    <w:rsid w:val="00D23611"/>
    <w:pPr>
      <w:spacing w:after="120" w:line="480" w:lineRule="auto"/>
      <w:ind w:left="283"/>
    </w:pPr>
    <w:rPr>
      <w:rFonts w:asciiTheme="minorHAnsi" w:eastAsiaTheme="minorEastAsia" w:hAnsiTheme="minorHAnsi" w:cstheme="minorBidi"/>
      <w:sz w:val="22"/>
      <w:szCs w:val="22"/>
    </w:rPr>
  </w:style>
  <w:style w:type="character" w:customStyle="1" w:styleId="Zarkazkladnhotextu2Char">
    <w:name w:val="Zarážka základného textu 2 Char"/>
    <w:basedOn w:val="Predvolenpsmoodseku"/>
    <w:link w:val="Zarkazkladnhotextu2"/>
    <w:uiPriority w:val="99"/>
    <w:rsid w:val="00D23611"/>
    <w:rPr>
      <w:rFonts w:eastAsiaTheme="minorEastAsia"/>
      <w:lang w:eastAsia="sk-SK"/>
    </w:rPr>
  </w:style>
  <w:style w:type="numbering" w:customStyle="1" w:styleId="tl422">
    <w:name w:val="Štýl422"/>
    <w:uiPriority w:val="99"/>
    <w:rsid w:val="00D23611"/>
    <w:pPr>
      <w:numPr>
        <w:numId w:val="11"/>
      </w:numPr>
    </w:pPr>
  </w:style>
  <w:style w:type="paragraph" w:styleId="Hlavikaobsahu">
    <w:name w:val="TOC Heading"/>
    <w:basedOn w:val="Nadpis1"/>
    <w:next w:val="Normlny"/>
    <w:uiPriority w:val="39"/>
    <w:semiHidden/>
    <w:unhideWhenUsed/>
    <w:qFormat/>
    <w:rsid w:val="00D23611"/>
    <w:pPr>
      <w:keepNext/>
      <w:keepLines/>
      <w:spacing w:before="480" w:line="276" w:lineRule="auto"/>
      <w:jc w:val="left"/>
      <w:outlineLvl w:val="9"/>
    </w:pPr>
    <w:rPr>
      <w:rFonts w:asciiTheme="majorHAnsi" w:eastAsiaTheme="majorEastAsia" w:hAnsiTheme="majorHAnsi" w:cstheme="majorBidi"/>
      <w:bCs/>
      <w:color w:val="2E74B5" w:themeColor="accent1" w:themeShade="BF"/>
      <w:sz w:val="28"/>
      <w:szCs w:val="28"/>
      <w:lang w:eastAsia="en-US"/>
    </w:rPr>
  </w:style>
  <w:style w:type="paragraph" w:styleId="Obsah1">
    <w:name w:val="toc 1"/>
    <w:basedOn w:val="Normlny"/>
    <w:next w:val="Normlny"/>
    <w:autoRedefine/>
    <w:uiPriority w:val="39"/>
    <w:unhideWhenUsed/>
    <w:qFormat/>
    <w:rsid w:val="00D23611"/>
    <w:pPr>
      <w:spacing w:before="240" w:after="120"/>
    </w:pPr>
    <w:rPr>
      <w:rFonts w:asciiTheme="minorHAnsi" w:hAnsiTheme="minorHAnsi"/>
      <w:b/>
      <w:bCs/>
      <w:sz w:val="20"/>
      <w:szCs w:val="20"/>
    </w:rPr>
  </w:style>
  <w:style w:type="paragraph" w:styleId="Obsah2">
    <w:name w:val="toc 2"/>
    <w:basedOn w:val="Normlny"/>
    <w:next w:val="Normlny"/>
    <w:autoRedefine/>
    <w:uiPriority w:val="39"/>
    <w:unhideWhenUsed/>
    <w:qFormat/>
    <w:rsid w:val="00D23611"/>
    <w:pPr>
      <w:spacing w:before="120"/>
      <w:ind w:left="240"/>
    </w:pPr>
    <w:rPr>
      <w:rFonts w:asciiTheme="minorHAnsi" w:hAnsiTheme="minorHAnsi"/>
      <w:i/>
      <w:iCs/>
      <w:sz w:val="20"/>
      <w:szCs w:val="20"/>
    </w:rPr>
  </w:style>
  <w:style w:type="paragraph" w:styleId="Obsah3">
    <w:name w:val="toc 3"/>
    <w:basedOn w:val="Normlny"/>
    <w:next w:val="Normlny"/>
    <w:autoRedefine/>
    <w:uiPriority w:val="39"/>
    <w:unhideWhenUsed/>
    <w:qFormat/>
    <w:rsid w:val="00D23611"/>
    <w:pPr>
      <w:ind w:left="480"/>
    </w:pPr>
    <w:rPr>
      <w:rFonts w:asciiTheme="minorHAnsi" w:hAnsiTheme="minorHAnsi"/>
      <w:sz w:val="20"/>
      <w:szCs w:val="20"/>
    </w:rPr>
  </w:style>
  <w:style w:type="paragraph" w:styleId="Obsah4">
    <w:name w:val="toc 4"/>
    <w:basedOn w:val="Normlny"/>
    <w:next w:val="Normlny"/>
    <w:autoRedefine/>
    <w:uiPriority w:val="39"/>
    <w:unhideWhenUsed/>
    <w:rsid w:val="00D23611"/>
    <w:pPr>
      <w:ind w:left="720"/>
    </w:pPr>
    <w:rPr>
      <w:rFonts w:asciiTheme="minorHAnsi" w:hAnsiTheme="minorHAnsi"/>
      <w:sz w:val="20"/>
      <w:szCs w:val="20"/>
    </w:rPr>
  </w:style>
  <w:style w:type="paragraph" w:styleId="Obsah5">
    <w:name w:val="toc 5"/>
    <w:basedOn w:val="Normlny"/>
    <w:next w:val="Normlny"/>
    <w:autoRedefine/>
    <w:uiPriority w:val="39"/>
    <w:unhideWhenUsed/>
    <w:rsid w:val="00D23611"/>
    <w:pPr>
      <w:ind w:left="960"/>
    </w:pPr>
    <w:rPr>
      <w:rFonts w:asciiTheme="minorHAnsi" w:hAnsiTheme="minorHAnsi"/>
      <w:sz w:val="20"/>
      <w:szCs w:val="20"/>
    </w:rPr>
  </w:style>
  <w:style w:type="numbering" w:customStyle="1" w:styleId="tl50">
    <w:name w:val="Štýl50"/>
    <w:uiPriority w:val="99"/>
    <w:rsid w:val="00D23611"/>
    <w:pPr>
      <w:numPr>
        <w:numId w:val="91"/>
      </w:numPr>
    </w:pPr>
  </w:style>
  <w:style w:type="paragraph" w:customStyle="1" w:styleId="Pa10">
    <w:name w:val="Pa10"/>
    <w:basedOn w:val="Default"/>
    <w:next w:val="Default"/>
    <w:uiPriority w:val="99"/>
    <w:rsid w:val="00D23611"/>
    <w:pPr>
      <w:spacing w:line="197" w:lineRule="atLeast"/>
    </w:pPr>
    <w:rPr>
      <w:rFonts w:ascii="Myriad Pro" w:hAnsi="Myriad Pro" w:cstheme="minorBidi"/>
      <w:color w:val="auto"/>
    </w:rPr>
  </w:style>
  <w:style w:type="paragraph" w:customStyle="1" w:styleId="Pa1">
    <w:name w:val="Pa1"/>
    <w:basedOn w:val="Default"/>
    <w:next w:val="Default"/>
    <w:uiPriority w:val="99"/>
    <w:rsid w:val="00D23611"/>
    <w:pPr>
      <w:spacing w:line="197" w:lineRule="atLeast"/>
    </w:pPr>
    <w:rPr>
      <w:rFonts w:ascii="Myriad Pro" w:hAnsi="Myriad Pro" w:cstheme="minorBidi"/>
      <w:color w:val="auto"/>
    </w:rPr>
  </w:style>
  <w:style w:type="paragraph" w:customStyle="1" w:styleId="Pa11">
    <w:name w:val="Pa11"/>
    <w:basedOn w:val="Default"/>
    <w:next w:val="Default"/>
    <w:uiPriority w:val="99"/>
    <w:rsid w:val="00D23611"/>
    <w:pPr>
      <w:spacing w:line="177" w:lineRule="atLeast"/>
    </w:pPr>
    <w:rPr>
      <w:rFonts w:ascii="Myriad Pro" w:hAnsi="Myriad Pro" w:cstheme="minorBidi"/>
      <w:color w:val="auto"/>
    </w:rPr>
  </w:style>
  <w:style w:type="paragraph" w:customStyle="1" w:styleId="Pa12">
    <w:name w:val="Pa12"/>
    <w:basedOn w:val="Default"/>
    <w:next w:val="Default"/>
    <w:uiPriority w:val="99"/>
    <w:rsid w:val="00D23611"/>
    <w:pPr>
      <w:spacing w:line="177" w:lineRule="atLeast"/>
    </w:pPr>
    <w:rPr>
      <w:rFonts w:ascii="Myriad Pro" w:hAnsi="Myriad Pro" w:cstheme="minorBidi"/>
      <w:color w:val="auto"/>
    </w:rPr>
  </w:style>
  <w:style w:type="paragraph" w:customStyle="1" w:styleId="Pa13">
    <w:name w:val="Pa13"/>
    <w:basedOn w:val="Default"/>
    <w:next w:val="Default"/>
    <w:uiPriority w:val="99"/>
    <w:rsid w:val="00D23611"/>
    <w:pPr>
      <w:spacing w:line="177" w:lineRule="atLeast"/>
    </w:pPr>
    <w:rPr>
      <w:rFonts w:ascii="Myriad Pro" w:hAnsi="Myriad Pro" w:cstheme="minorBidi"/>
      <w:color w:val="auto"/>
    </w:rPr>
  </w:style>
  <w:style w:type="paragraph" w:customStyle="1" w:styleId="Pa14">
    <w:name w:val="Pa14"/>
    <w:basedOn w:val="Default"/>
    <w:next w:val="Default"/>
    <w:uiPriority w:val="99"/>
    <w:rsid w:val="00D23611"/>
    <w:pPr>
      <w:spacing w:line="157" w:lineRule="atLeast"/>
    </w:pPr>
    <w:rPr>
      <w:rFonts w:ascii="Myriad Pro" w:hAnsi="Myriad Pro" w:cstheme="minorBidi"/>
      <w:color w:val="auto"/>
    </w:rPr>
  </w:style>
  <w:style w:type="numbering" w:customStyle="1" w:styleId="Bezzoznamu6">
    <w:name w:val="Bez zoznamu6"/>
    <w:next w:val="Bezzoznamu"/>
    <w:uiPriority w:val="99"/>
    <w:semiHidden/>
    <w:unhideWhenUsed/>
    <w:rsid w:val="00D23611"/>
  </w:style>
  <w:style w:type="table" w:customStyle="1" w:styleId="Mriekatabuky6">
    <w:name w:val="Mriežka tabuľky6"/>
    <w:basedOn w:val="Normlnatabuka"/>
    <w:next w:val="Mriekatabuky"/>
    <w:uiPriority w:val="59"/>
    <w:rsid w:val="00D2361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D23611"/>
    <w:rPr>
      <w:sz w:val="16"/>
      <w:szCs w:val="16"/>
    </w:rPr>
  </w:style>
  <w:style w:type="paragraph" w:styleId="Textkomentra">
    <w:name w:val="annotation text"/>
    <w:basedOn w:val="Normlny"/>
    <w:link w:val="TextkomentraChar"/>
    <w:uiPriority w:val="99"/>
    <w:unhideWhenUsed/>
    <w:rsid w:val="00D23611"/>
    <w:pPr>
      <w:spacing w:after="200"/>
    </w:pPr>
    <w:rPr>
      <w:rFonts w:asciiTheme="minorHAnsi" w:eastAsiaTheme="minorEastAsia" w:hAnsiTheme="minorHAnsi" w:cstheme="minorBidi"/>
      <w:sz w:val="20"/>
      <w:szCs w:val="20"/>
    </w:rPr>
  </w:style>
  <w:style w:type="character" w:customStyle="1" w:styleId="TextkomentraChar">
    <w:name w:val="Text komentára Char"/>
    <w:basedOn w:val="Predvolenpsmoodseku"/>
    <w:link w:val="Textkomentra"/>
    <w:uiPriority w:val="99"/>
    <w:rsid w:val="00D23611"/>
    <w:rPr>
      <w:rFonts w:eastAsiaTheme="minorEastAsia"/>
      <w:sz w:val="20"/>
      <w:szCs w:val="20"/>
      <w:lang w:eastAsia="sk-SK"/>
    </w:rPr>
  </w:style>
  <w:style w:type="paragraph" w:styleId="Predmetkomentra">
    <w:name w:val="annotation subject"/>
    <w:basedOn w:val="Textkomentra"/>
    <w:next w:val="Textkomentra"/>
    <w:link w:val="PredmetkomentraChar"/>
    <w:uiPriority w:val="99"/>
    <w:semiHidden/>
    <w:unhideWhenUsed/>
    <w:rsid w:val="00D23611"/>
    <w:rPr>
      <w:b/>
      <w:bCs/>
    </w:rPr>
  </w:style>
  <w:style w:type="character" w:customStyle="1" w:styleId="PredmetkomentraChar">
    <w:name w:val="Predmet komentára Char"/>
    <w:basedOn w:val="TextkomentraChar"/>
    <w:link w:val="Predmetkomentra"/>
    <w:uiPriority w:val="99"/>
    <w:semiHidden/>
    <w:rsid w:val="00D23611"/>
    <w:rPr>
      <w:rFonts w:eastAsiaTheme="minorEastAsia"/>
      <w:b/>
      <w:bCs/>
      <w:sz w:val="20"/>
      <w:szCs w:val="20"/>
      <w:lang w:eastAsia="sk-SK"/>
    </w:rPr>
  </w:style>
  <w:style w:type="paragraph" w:customStyle="1" w:styleId="Pa36">
    <w:name w:val="Pa36"/>
    <w:basedOn w:val="Default"/>
    <w:next w:val="Default"/>
    <w:uiPriority w:val="99"/>
    <w:rsid w:val="00D23611"/>
    <w:pPr>
      <w:spacing w:line="221" w:lineRule="atLeast"/>
    </w:pPr>
    <w:rPr>
      <w:rFonts w:ascii="Calibri" w:hAnsi="Calibri" w:cstheme="minorBidi"/>
      <w:color w:val="auto"/>
    </w:rPr>
  </w:style>
  <w:style w:type="paragraph" w:customStyle="1" w:styleId="Pa45">
    <w:name w:val="Pa45"/>
    <w:basedOn w:val="Default"/>
    <w:next w:val="Default"/>
    <w:uiPriority w:val="99"/>
    <w:rsid w:val="00D23611"/>
    <w:pPr>
      <w:spacing w:line="221" w:lineRule="atLeast"/>
    </w:pPr>
    <w:rPr>
      <w:rFonts w:ascii="Calibri" w:hAnsi="Calibri" w:cstheme="minorBidi"/>
      <w:color w:val="auto"/>
    </w:rPr>
  </w:style>
  <w:style w:type="character" w:customStyle="1" w:styleId="OdsekzoznamuChar">
    <w:name w:val="Odsek zoznamu Char"/>
    <w:aliases w:val="body Char,Odsek zoznamu2 Char,Odsek Char,Odsek zoznamu1 Char,Dot pt Char,No Spacing1 Char,List Paragraph Char Char Char Char,Indicator Text Char,Numbered Para 1 Char,List Paragraph à moi Char,Odsek zoznamu4 Char,LISTA Char,3 Char"/>
    <w:link w:val="Odsekzoznamu"/>
    <w:uiPriority w:val="34"/>
    <w:qFormat/>
    <w:locked/>
    <w:rsid w:val="00D23611"/>
    <w:rPr>
      <w:rFonts w:ascii="Times New Roman" w:eastAsia="Times New Roman" w:hAnsi="Times New Roman" w:cs="Times New Roman"/>
      <w:sz w:val="24"/>
      <w:szCs w:val="24"/>
      <w:lang w:eastAsia="sk-SK"/>
    </w:rPr>
  </w:style>
  <w:style w:type="numbering" w:customStyle="1" w:styleId="tl162">
    <w:name w:val="Štýl162"/>
    <w:uiPriority w:val="99"/>
    <w:rsid w:val="00D23611"/>
  </w:style>
  <w:style w:type="numbering" w:customStyle="1" w:styleId="tl5231">
    <w:name w:val="Štýl5231"/>
    <w:uiPriority w:val="99"/>
    <w:rsid w:val="00D23611"/>
    <w:pPr>
      <w:numPr>
        <w:numId w:val="10"/>
      </w:numPr>
    </w:pPr>
  </w:style>
  <w:style w:type="numbering" w:customStyle="1" w:styleId="tl4221">
    <w:name w:val="Štýl4221"/>
    <w:uiPriority w:val="99"/>
    <w:rsid w:val="00D23611"/>
    <w:pPr>
      <w:numPr>
        <w:numId w:val="18"/>
      </w:numPr>
    </w:pPr>
  </w:style>
  <w:style w:type="character" w:styleId="PremennHTML">
    <w:name w:val="HTML Variable"/>
    <w:basedOn w:val="Predvolenpsmoodseku"/>
    <w:uiPriority w:val="99"/>
    <w:semiHidden/>
    <w:unhideWhenUsed/>
    <w:rsid w:val="00D23611"/>
    <w:rPr>
      <w:b/>
      <w:bCs/>
      <w:i w:val="0"/>
      <w:iCs w:val="0"/>
    </w:rPr>
  </w:style>
  <w:style w:type="paragraph" w:customStyle="1" w:styleId="l51">
    <w:name w:val="l51"/>
    <w:basedOn w:val="Normlny"/>
    <w:rsid w:val="00D23611"/>
    <w:pPr>
      <w:jc w:val="both"/>
    </w:pPr>
  </w:style>
  <w:style w:type="character" w:customStyle="1" w:styleId="mw-headline">
    <w:name w:val="mw-headline"/>
    <w:basedOn w:val="Predvolenpsmoodseku"/>
    <w:rsid w:val="00D23611"/>
  </w:style>
  <w:style w:type="character" w:customStyle="1" w:styleId="mw-editsection">
    <w:name w:val="mw-editsection"/>
    <w:basedOn w:val="Predvolenpsmoodseku"/>
    <w:rsid w:val="00D23611"/>
  </w:style>
  <w:style w:type="character" w:customStyle="1" w:styleId="mw-editsection-bracket">
    <w:name w:val="mw-editsection-bracket"/>
    <w:basedOn w:val="Predvolenpsmoodseku"/>
    <w:rsid w:val="00D23611"/>
  </w:style>
  <w:style w:type="character" w:customStyle="1" w:styleId="mw-editsection-divider">
    <w:name w:val="mw-editsection-divider"/>
    <w:basedOn w:val="Predvolenpsmoodseku"/>
    <w:rsid w:val="00D23611"/>
  </w:style>
  <w:style w:type="table" w:customStyle="1" w:styleId="Mriekatabuky7">
    <w:name w:val="Mriežka tabuľky7"/>
    <w:basedOn w:val="Normlnatabuka"/>
    <w:next w:val="Mriekatabuky"/>
    <w:uiPriority w:val="59"/>
    <w:rsid w:val="00D2361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7">
    <w:name w:val="Bez zoznamu7"/>
    <w:next w:val="Bezzoznamu"/>
    <w:uiPriority w:val="99"/>
    <w:semiHidden/>
    <w:unhideWhenUsed/>
    <w:rsid w:val="00D23611"/>
  </w:style>
  <w:style w:type="numbering" w:customStyle="1" w:styleId="Bezzoznamu13">
    <w:name w:val="Bez zoznamu13"/>
    <w:next w:val="Bezzoznamu"/>
    <w:uiPriority w:val="99"/>
    <w:semiHidden/>
    <w:unhideWhenUsed/>
    <w:rsid w:val="00D23611"/>
  </w:style>
  <w:style w:type="numbering" w:customStyle="1" w:styleId="Bezzoznamu111">
    <w:name w:val="Bez zoznamu111"/>
    <w:next w:val="Bezzoznamu"/>
    <w:uiPriority w:val="99"/>
    <w:semiHidden/>
    <w:unhideWhenUsed/>
    <w:rsid w:val="00D23611"/>
  </w:style>
  <w:style w:type="numbering" w:customStyle="1" w:styleId="tl112">
    <w:name w:val="Štýl112"/>
    <w:uiPriority w:val="99"/>
    <w:rsid w:val="00D23611"/>
  </w:style>
  <w:style w:type="numbering" w:customStyle="1" w:styleId="tl312">
    <w:name w:val="Štýl312"/>
    <w:uiPriority w:val="99"/>
    <w:rsid w:val="00D23611"/>
  </w:style>
  <w:style w:type="numbering" w:customStyle="1" w:styleId="tl212">
    <w:name w:val="Štýl212"/>
    <w:uiPriority w:val="99"/>
    <w:rsid w:val="00D23611"/>
  </w:style>
  <w:style w:type="numbering" w:customStyle="1" w:styleId="tl412">
    <w:name w:val="Štýl412"/>
    <w:uiPriority w:val="99"/>
    <w:rsid w:val="00D23611"/>
  </w:style>
  <w:style w:type="numbering" w:customStyle="1" w:styleId="tl53">
    <w:name w:val="Štýl53"/>
    <w:uiPriority w:val="99"/>
    <w:rsid w:val="00D23611"/>
  </w:style>
  <w:style w:type="numbering" w:customStyle="1" w:styleId="tl62">
    <w:name w:val="Štýl62"/>
    <w:uiPriority w:val="99"/>
    <w:rsid w:val="00D23611"/>
  </w:style>
  <w:style w:type="numbering" w:customStyle="1" w:styleId="tl72">
    <w:name w:val="Štýl72"/>
    <w:uiPriority w:val="99"/>
    <w:rsid w:val="00D23611"/>
  </w:style>
  <w:style w:type="numbering" w:customStyle="1" w:styleId="tl82">
    <w:name w:val="Štýl82"/>
    <w:uiPriority w:val="99"/>
    <w:rsid w:val="00D23611"/>
  </w:style>
  <w:style w:type="numbering" w:customStyle="1" w:styleId="tl92">
    <w:name w:val="Štýl92"/>
    <w:uiPriority w:val="99"/>
    <w:rsid w:val="00D23611"/>
  </w:style>
  <w:style w:type="numbering" w:customStyle="1" w:styleId="tl102">
    <w:name w:val="Štýl102"/>
    <w:uiPriority w:val="99"/>
    <w:rsid w:val="00D23611"/>
  </w:style>
  <w:style w:type="numbering" w:customStyle="1" w:styleId="tl113">
    <w:name w:val="Štýl113"/>
    <w:uiPriority w:val="99"/>
    <w:rsid w:val="00D23611"/>
  </w:style>
  <w:style w:type="numbering" w:customStyle="1" w:styleId="tl122">
    <w:name w:val="Štýl122"/>
    <w:uiPriority w:val="99"/>
    <w:rsid w:val="00D23611"/>
  </w:style>
  <w:style w:type="numbering" w:customStyle="1" w:styleId="tl132">
    <w:name w:val="Štýl132"/>
    <w:uiPriority w:val="99"/>
    <w:rsid w:val="00D23611"/>
  </w:style>
  <w:style w:type="numbering" w:customStyle="1" w:styleId="tl142">
    <w:name w:val="Štýl142"/>
    <w:uiPriority w:val="99"/>
    <w:rsid w:val="00D23611"/>
  </w:style>
  <w:style w:type="numbering" w:customStyle="1" w:styleId="tl152">
    <w:name w:val="Štýl152"/>
    <w:uiPriority w:val="99"/>
    <w:rsid w:val="00D23611"/>
  </w:style>
  <w:style w:type="numbering" w:customStyle="1" w:styleId="tl163">
    <w:name w:val="Štýl163"/>
    <w:uiPriority w:val="99"/>
    <w:rsid w:val="00D23611"/>
  </w:style>
  <w:style w:type="numbering" w:customStyle="1" w:styleId="tl172">
    <w:name w:val="Štýl172"/>
    <w:uiPriority w:val="99"/>
    <w:rsid w:val="00D23611"/>
  </w:style>
  <w:style w:type="numbering" w:customStyle="1" w:styleId="tl182">
    <w:name w:val="Štýl182"/>
    <w:uiPriority w:val="99"/>
    <w:rsid w:val="00D23611"/>
  </w:style>
  <w:style w:type="numbering" w:customStyle="1" w:styleId="tl192">
    <w:name w:val="Štýl192"/>
    <w:uiPriority w:val="99"/>
    <w:rsid w:val="00D23611"/>
  </w:style>
  <w:style w:type="numbering" w:customStyle="1" w:styleId="tl202">
    <w:name w:val="Štýl202"/>
    <w:uiPriority w:val="99"/>
    <w:rsid w:val="00D23611"/>
  </w:style>
  <w:style w:type="numbering" w:customStyle="1" w:styleId="tl213">
    <w:name w:val="Štýl213"/>
    <w:uiPriority w:val="99"/>
    <w:rsid w:val="00D23611"/>
  </w:style>
  <w:style w:type="numbering" w:customStyle="1" w:styleId="tl222">
    <w:name w:val="Štýl222"/>
    <w:uiPriority w:val="99"/>
    <w:rsid w:val="00D23611"/>
  </w:style>
  <w:style w:type="numbering" w:customStyle="1" w:styleId="tl232">
    <w:name w:val="Štýl232"/>
    <w:uiPriority w:val="99"/>
    <w:rsid w:val="00D23611"/>
  </w:style>
  <w:style w:type="numbering" w:customStyle="1" w:styleId="tl242">
    <w:name w:val="Štýl242"/>
    <w:uiPriority w:val="99"/>
    <w:rsid w:val="00D23611"/>
  </w:style>
  <w:style w:type="numbering" w:customStyle="1" w:styleId="tl252">
    <w:name w:val="Štýl252"/>
    <w:uiPriority w:val="99"/>
    <w:rsid w:val="00D23611"/>
  </w:style>
  <w:style w:type="numbering" w:customStyle="1" w:styleId="tl262">
    <w:name w:val="Štýl262"/>
    <w:uiPriority w:val="99"/>
    <w:rsid w:val="00D23611"/>
  </w:style>
  <w:style w:type="numbering" w:customStyle="1" w:styleId="tl272">
    <w:name w:val="Štýl272"/>
    <w:uiPriority w:val="99"/>
    <w:rsid w:val="00D23611"/>
  </w:style>
  <w:style w:type="numbering" w:customStyle="1" w:styleId="tl282">
    <w:name w:val="Štýl282"/>
    <w:uiPriority w:val="99"/>
    <w:rsid w:val="00D23611"/>
  </w:style>
  <w:style w:type="numbering" w:customStyle="1" w:styleId="tl292">
    <w:name w:val="Štýl292"/>
    <w:uiPriority w:val="99"/>
    <w:rsid w:val="00D23611"/>
  </w:style>
  <w:style w:type="numbering" w:customStyle="1" w:styleId="tl302">
    <w:name w:val="Štýl302"/>
    <w:uiPriority w:val="99"/>
    <w:rsid w:val="00D23611"/>
  </w:style>
  <w:style w:type="numbering" w:customStyle="1" w:styleId="tl313">
    <w:name w:val="Štýl313"/>
    <w:uiPriority w:val="99"/>
    <w:rsid w:val="00D23611"/>
  </w:style>
  <w:style w:type="numbering" w:customStyle="1" w:styleId="tl322">
    <w:name w:val="Štýl322"/>
    <w:uiPriority w:val="99"/>
    <w:rsid w:val="00D23611"/>
  </w:style>
  <w:style w:type="numbering" w:customStyle="1" w:styleId="tl332">
    <w:name w:val="Štýl332"/>
    <w:uiPriority w:val="99"/>
    <w:rsid w:val="00D23611"/>
  </w:style>
  <w:style w:type="numbering" w:customStyle="1" w:styleId="tl342">
    <w:name w:val="Štýl342"/>
    <w:uiPriority w:val="99"/>
    <w:rsid w:val="00D23611"/>
  </w:style>
  <w:style w:type="numbering" w:customStyle="1" w:styleId="tl352">
    <w:name w:val="Štýl352"/>
    <w:uiPriority w:val="99"/>
    <w:rsid w:val="00D23611"/>
  </w:style>
  <w:style w:type="numbering" w:customStyle="1" w:styleId="Bezzoznamu1111">
    <w:name w:val="Bez zoznamu1111"/>
    <w:next w:val="Bezzoznamu"/>
    <w:uiPriority w:val="99"/>
    <w:semiHidden/>
    <w:unhideWhenUsed/>
    <w:rsid w:val="00D23611"/>
  </w:style>
  <w:style w:type="numbering" w:customStyle="1" w:styleId="tl363">
    <w:name w:val="Štýl363"/>
    <w:uiPriority w:val="99"/>
    <w:rsid w:val="00D23611"/>
  </w:style>
  <w:style w:type="numbering" w:customStyle="1" w:styleId="tl3612">
    <w:name w:val="Štýl3612"/>
    <w:uiPriority w:val="99"/>
    <w:rsid w:val="00D23611"/>
  </w:style>
  <w:style w:type="numbering" w:customStyle="1" w:styleId="tl372">
    <w:name w:val="Štýl372"/>
    <w:uiPriority w:val="99"/>
    <w:rsid w:val="00D23611"/>
  </w:style>
  <w:style w:type="numbering" w:customStyle="1" w:styleId="tl382">
    <w:name w:val="Štýl382"/>
    <w:uiPriority w:val="99"/>
    <w:rsid w:val="00D23611"/>
  </w:style>
  <w:style w:type="numbering" w:customStyle="1" w:styleId="Bezzoznamu22">
    <w:name w:val="Bez zoznamu22"/>
    <w:next w:val="Bezzoznamu"/>
    <w:uiPriority w:val="99"/>
    <w:semiHidden/>
    <w:unhideWhenUsed/>
    <w:rsid w:val="00D23611"/>
  </w:style>
  <w:style w:type="numbering" w:customStyle="1" w:styleId="tl392">
    <w:name w:val="Štýl392"/>
    <w:uiPriority w:val="99"/>
    <w:rsid w:val="00D23611"/>
  </w:style>
  <w:style w:type="numbering" w:customStyle="1" w:styleId="tl402">
    <w:name w:val="Štýl402"/>
    <w:uiPriority w:val="99"/>
    <w:rsid w:val="00D23611"/>
  </w:style>
  <w:style w:type="numbering" w:customStyle="1" w:styleId="tl413">
    <w:name w:val="Štýl413"/>
    <w:uiPriority w:val="99"/>
    <w:rsid w:val="00D23611"/>
  </w:style>
  <w:style w:type="numbering" w:customStyle="1" w:styleId="tl423">
    <w:name w:val="Štýl423"/>
    <w:uiPriority w:val="99"/>
    <w:rsid w:val="00D23611"/>
  </w:style>
  <w:style w:type="numbering" w:customStyle="1" w:styleId="tl432">
    <w:name w:val="Štýl432"/>
    <w:uiPriority w:val="99"/>
    <w:rsid w:val="00D23611"/>
  </w:style>
  <w:style w:type="numbering" w:customStyle="1" w:styleId="tl442">
    <w:name w:val="Štýl442"/>
    <w:uiPriority w:val="99"/>
    <w:rsid w:val="00D23611"/>
  </w:style>
  <w:style w:type="numbering" w:customStyle="1" w:styleId="tl452">
    <w:name w:val="Štýl452"/>
    <w:uiPriority w:val="99"/>
    <w:rsid w:val="00D23611"/>
  </w:style>
  <w:style w:type="numbering" w:customStyle="1" w:styleId="tl462">
    <w:name w:val="Štýl462"/>
    <w:uiPriority w:val="99"/>
    <w:rsid w:val="00D23611"/>
  </w:style>
  <w:style w:type="numbering" w:customStyle="1" w:styleId="tl472">
    <w:name w:val="Štýl472"/>
    <w:uiPriority w:val="99"/>
    <w:rsid w:val="00D23611"/>
  </w:style>
  <w:style w:type="numbering" w:customStyle="1" w:styleId="tl524">
    <w:name w:val="Štýl524"/>
    <w:uiPriority w:val="99"/>
    <w:rsid w:val="00D23611"/>
  </w:style>
  <w:style w:type="numbering" w:customStyle="1" w:styleId="tl5213">
    <w:name w:val="Štýl5213"/>
    <w:uiPriority w:val="99"/>
    <w:rsid w:val="00D23611"/>
  </w:style>
  <w:style w:type="numbering" w:customStyle="1" w:styleId="tl482">
    <w:name w:val="Štýl482"/>
    <w:uiPriority w:val="99"/>
    <w:rsid w:val="00D23611"/>
  </w:style>
  <w:style w:type="numbering" w:customStyle="1" w:styleId="tl492">
    <w:name w:val="Štýl492"/>
    <w:uiPriority w:val="99"/>
    <w:rsid w:val="00D23611"/>
  </w:style>
  <w:style w:type="numbering" w:customStyle="1" w:styleId="Bezzoznamu31">
    <w:name w:val="Bez zoznamu31"/>
    <w:next w:val="Bezzoznamu"/>
    <w:uiPriority w:val="99"/>
    <w:semiHidden/>
    <w:unhideWhenUsed/>
    <w:rsid w:val="00D23611"/>
  </w:style>
  <w:style w:type="numbering" w:customStyle="1" w:styleId="tl1101">
    <w:name w:val="Štýl1101"/>
    <w:uiPriority w:val="99"/>
    <w:rsid w:val="00D23611"/>
  </w:style>
  <w:style w:type="numbering" w:customStyle="1" w:styleId="tl3101">
    <w:name w:val="Štýl3101"/>
    <w:uiPriority w:val="99"/>
    <w:rsid w:val="00D23611"/>
  </w:style>
  <w:style w:type="numbering" w:customStyle="1" w:styleId="tl2101">
    <w:name w:val="Štýl2101"/>
    <w:uiPriority w:val="99"/>
    <w:rsid w:val="00D23611"/>
  </w:style>
  <w:style w:type="numbering" w:customStyle="1" w:styleId="tl4101">
    <w:name w:val="Štýl4101"/>
    <w:uiPriority w:val="99"/>
    <w:rsid w:val="00D23611"/>
  </w:style>
  <w:style w:type="numbering" w:customStyle="1" w:styleId="tl511">
    <w:name w:val="Štýl511"/>
    <w:uiPriority w:val="99"/>
    <w:rsid w:val="00D23611"/>
  </w:style>
  <w:style w:type="numbering" w:customStyle="1" w:styleId="tl611">
    <w:name w:val="Štýl611"/>
    <w:uiPriority w:val="99"/>
    <w:rsid w:val="00D23611"/>
  </w:style>
  <w:style w:type="numbering" w:customStyle="1" w:styleId="tl711">
    <w:name w:val="Štýl711"/>
    <w:uiPriority w:val="99"/>
    <w:rsid w:val="00D23611"/>
  </w:style>
  <w:style w:type="numbering" w:customStyle="1" w:styleId="tl811">
    <w:name w:val="Štýl811"/>
    <w:uiPriority w:val="99"/>
    <w:rsid w:val="00D23611"/>
  </w:style>
  <w:style w:type="numbering" w:customStyle="1" w:styleId="tl911">
    <w:name w:val="Štýl911"/>
    <w:uiPriority w:val="99"/>
    <w:rsid w:val="00D23611"/>
  </w:style>
  <w:style w:type="numbering" w:customStyle="1" w:styleId="tl1011">
    <w:name w:val="Štýl1011"/>
    <w:uiPriority w:val="99"/>
    <w:rsid w:val="00D23611"/>
  </w:style>
  <w:style w:type="numbering" w:customStyle="1" w:styleId="tl1111">
    <w:name w:val="Štýl1111"/>
    <w:uiPriority w:val="99"/>
    <w:rsid w:val="00D23611"/>
  </w:style>
  <w:style w:type="numbering" w:customStyle="1" w:styleId="tl1211">
    <w:name w:val="Štýl1211"/>
    <w:uiPriority w:val="99"/>
    <w:rsid w:val="00D23611"/>
  </w:style>
  <w:style w:type="numbering" w:customStyle="1" w:styleId="tl1311">
    <w:name w:val="Štýl1311"/>
    <w:uiPriority w:val="99"/>
    <w:rsid w:val="00D23611"/>
  </w:style>
  <w:style w:type="numbering" w:customStyle="1" w:styleId="tl1411">
    <w:name w:val="Štýl1411"/>
    <w:uiPriority w:val="99"/>
    <w:rsid w:val="00D23611"/>
  </w:style>
  <w:style w:type="numbering" w:customStyle="1" w:styleId="tl1511">
    <w:name w:val="Štýl1511"/>
    <w:uiPriority w:val="99"/>
    <w:rsid w:val="00D23611"/>
  </w:style>
  <w:style w:type="numbering" w:customStyle="1" w:styleId="tl1611">
    <w:name w:val="Štýl1611"/>
    <w:uiPriority w:val="99"/>
    <w:rsid w:val="00D23611"/>
  </w:style>
  <w:style w:type="numbering" w:customStyle="1" w:styleId="tl1711">
    <w:name w:val="Štýl1711"/>
    <w:uiPriority w:val="99"/>
    <w:rsid w:val="00D23611"/>
  </w:style>
  <w:style w:type="numbering" w:customStyle="1" w:styleId="tl1811">
    <w:name w:val="Štýl1811"/>
    <w:uiPriority w:val="99"/>
    <w:rsid w:val="00D23611"/>
  </w:style>
  <w:style w:type="numbering" w:customStyle="1" w:styleId="tl1911">
    <w:name w:val="Štýl1911"/>
    <w:uiPriority w:val="99"/>
    <w:rsid w:val="00D23611"/>
  </w:style>
  <w:style w:type="numbering" w:customStyle="1" w:styleId="tl2011">
    <w:name w:val="Štýl2011"/>
    <w:uiPriority w:val="99"/>
    <w:rsid w:val="00D23611"/>
  </w:style>
  <w:style w:type="numbering" w:customStyle="1" w:styleId="tl2111">
    <w:name w:val="Štýl2111"/>
    <w:uiPriority w:val="99"/>
    <w:rsid w:val="00D23611"/>
  </w:style>
  <w:style w:type="numbering" w:customStyle="1" w:styleId="tl2211">
    <w:name w:val="Štýl2211"/>
    <w:uiPriority w:val="99"/>
    <w:rsid w:val="00D23611"/>
  </w:style>
  <w:style w:type="numbering" w:customStyle="1" w:styleId="tl2311">
    <w:name w:val="Štýl2311"/>
    <w:uiPriority w:val="99"/>
    <w:rsid w:val="00D23611"/>
  </w:style>
  <w:style w:type="numbering" w:customStyle="1" w:styleId="tl2411">
    <w:name w:val="Štýl2411"/>
    <w:uiPriority w:val="99"/>
    <w:rsid w:val="00D23611"/>
  </w:style>
  <w:style w:type="numbering" w:customStyle="1" w:styleId="tl2511">
    <w:name w:val="Štýl2511"/>
    <w:uiPriority w:val="99"/>
    <w:rsid w:val="00D23611"/>
  </w:style>
  <w:style w:type="numbering" w:customStyle="1" w:styleId="tl2611">
    <w:name w:val="Štýl2611"/>
    <w:uiPriority w:val="99"/>
    <w:rsid w:val="00D23611"/>
  </w:style>
  <w:style w:type="numbering" w:customStyle="1" w:styleId="tl2711">
    <w:name w:val="Štýl2711"/>
    <w:uiPriority w:val="99"/>
    <w:rsid w:val="00D23611"/>
  </w:style>
  <w:style w:type="numbering" w:customStyle="1" w:styleId="tl2811">
    <w:name w:val="Štýl2811"/>
    <w:uiPriority w:val="99"/>
    <w:rsid w:val="00D23611"/>
  </w:style>
  <w:style w:type="numbering" w:customStyle="1" w:styleId="tl2911">
    <w:name w:val="Štýl2911"/>
    <w:uiPriority w:val="99"/>
    <w:rsid w:val="00D23611"/>
  </w:style>
  <w:style w:type="numbering" w:customStyle="1" w:styleId="tl3011">
    <w:name w:val="Štýl3011"/>
    <w:uiPriority w:val="99"/>
    <w:rsid w:val="00D23611"/>
  </w:style>
  <w:style w:type="numbering" w:customStyle="1" w:styleId="tl3111">
    <w:name w:val="Štýl3111"/>
    <w:uiPriority w:val="99"/>
    <w:rsid w:val="00D23611"/>
  </w:style>
  <w:style w:type="numbering" w:customStyle="1" w:styleId="tl3211">
    <w:name w:val="Štýl3211"/>
    <w:uiPriority w:val="99"/>
    <w:rsid w:val="00D23611"/>
  </w:style>
  <w:style w:type="numbering" w:customStyle="1" w:styleId="tl3311">
    <w:name w:val="Štýl3311"/>
    <w:uiPriority w:val="99"/>
    <w:rsid w:val="00D23611"/>
  </w:style>
  <w:style w:type="numbering" w:customStyle="1" w:styleId="tl3411">
    <w:name w:val="Štýl3411"/>
    <w:uiPriority w:val="99"/>
    <w:rsid w:val="00D23611"/>
  </w:style>
  <w:style w:type="numbering" w:customStyle="1" w:styleId="tl3511">
    <w:name w:val="Štýl3511"/>
    <w:uiPriority w:val="99"/>
    <w:rsid w:val="00D23611"/>
  </w:style>
  <w:style w:type="numbering" w:customStyle="1" w:styleId="Bezzoznamu121">
    <w:name w:val="Bez zoznamu121"/>
    <w:next w:val="Bezzoznamu"/>
    <w:uiPriority w:val="99"/>
    <w:semiHidden/>
    <w:unhideWhenUsed/>
    <w:rsid w:val="00D23611"/>
  </w:style>
  <w:style w:type="numbering" w:customStyle="1" w:styleId="tl3621">
    <w:name w:val="Štýl3621"/>
    <w:uiPriority w:val="99"/>
    <w:rsid w:val="00D23611"/>
  </w:style>
  <w:style w:type="numbering" w:customStyle="1" w:styleId="tl36111">
    <w:name w:val="Štýl36111"/>
    <w:uiPriority w:val="99"/>
    <w:rsid w:val="00D23611"/>
  </w:style>
  <w:style w:type="numbering" w:customStyle="1" w:styleId="tl3711">
    <w:name w:val="Štýl3711"/>
    <w:uiPriority w:val="99"/>
    <w:rsid w:val="00D23611"/>
  </w:style>
  <w:style w:type="numbering" w:customStyle="1" w:styleId="tl3811">
    <w:name w:val="Štýl3811"/>
    <w:uiPriority w:val="99"/>
    <w:rsid w:val="00D23611"/>
  </w:style>
  <w:style w:type="numbering" w:customStyle="1" w:styleId="Bezzoznamu211">
    <w:name w:val="Bez zoznamu211"/>
    <w:next w:val="Bezzoznamu"/>
    <w:uiPriority w:val="99"/>
    <w:semiHidden/>
    <w:unhideWhenUsed/>
    <w:rsid w:val="00D23611"/>
  </w:style>
  <w:style w:type="numbering" w:customStyle="1" w:styleId="tl3911">
    <w:name w:val="Štýl3911"/>
    <w:uiPriority w:val="99"/>
    <w:rsid w:val="00D23611"/>
  </w:style>
  <w:style w:type="numbering" w:customStyle="1" w:styleId="tl4011">
    <w:name w:val="Štýl4011"/>
    <w:uiPriority w:val="99"/>
    <w:rsid w:val="00D23611"/>
  </w:style>
  <w:style w:type="numbering" w:customStyle="1" w:styleId="tl4111">
    <w:name w:val="Štýl4111"/>
    <w:uiPriority w:val="99"/>
    <w:rsid w:val="00D23611"/>
  </w:style>
  <w:style w:type="numbering" w:customStyle="1" w:styleId="tl4211">
    <w:name w:val="Štýl4211"/>
    <w:uiPriority w:val="99"/>
    <w:rsid w:val="00D23611"/>
  </w:style>
  <w:style w:type="numbering" w:customStyle="1" w:styleId="tl4311">
    <w:name w:val="Štýl4311"/>
    <w:uiPriority w:val="99"/>
    <w:rsid w:val="00D23611"/>
  </w:style>
  <w:style w:type="numbering" w:customStyle="1" w:styleId="tl4411">
    <w:name w:val="Štýl4411"/>
    <w:uiPriority w:val="99"/>
    <w:rsid w:val="00D23611"/>
  </w:style>
  <w:style w:type="numbering" w:customStyle="1" w:styleId="tl4511">
    <w:name w:val="Štýl4511"/>
    <w:uiPriority w:val="99"/>
    <w:rsid w:val="00D23611"/>
  </w:style>
  <w:style w:type="numbering" w:customStyle="1" w:styleId="tl4611">
    <w:name w:val="Štýl4611"/>
    <w:uiPriority w:val="99"/>
    <w:rsid w:val="00D23611"/>
  </w:style>
  <w:style w:type="numbering" w:customStyle="1" w:styleId="tl4711">
    <w:name w:val="Štýl4711"/>
    <w:uiPriority w:val="99"/>
    <w:rsid w:val="00D23611"/>
  </w:style>
  <w:style w:type="numbering" w:customStyle="1" w:styleId="tl5221">
    <w:name w:val="Štýl5221"/>
    <w:uiPriority w:val="99"/>
    <w:rsid w:val="00D23611"/>
  </w:style>
  <w:style w:type="numbering" w:customStyle="1" w:styleId="tl52111">
    <w:name w:val="Štýl52111"/>
    <w:uiPriority w:val="99"/>
    <w:rsid w:val="00D23611"/>
  </w:style>
  <w:style w:type="numbering" w:customStyle="1" w:styleId="tl4811">
    <w:name w:val="Štýl4811"/>
    <w:uiPriority w:val="99"/>
    <w:rsid w:val="00D23611"/>
  </w:style>
  <w:style w:type="numbering" w:customStyle="1" w:styleId="tl4911">
    <w:name w:val="Štýl4911"/>
    <w:uiPriority w:val="99"/>
    <w:rsid w:val="00D23611"/>
  </w:style>
  <w:style w:type="numbering" w:customStyle="1" w:styleId="Bezzoznamu41">
    <w:name w:val="Bez zoznamu41"/>
    <w:next w:val="Bezzoznamu"/>
    <w:uiPriority w:val="99"/>
    <w:semiHidden/>
    <w:unhideWhenUsed/>
    <w:rsid w:val="00D23611"/>
  </w:style>
  <w:style w:type="numbering" w:customStyle="1" w:styleId="tl5232">
    <w:name w:val="Štýl5232"/>
    <w:uiPriority w:val="99"/>
    <w:rsid w:val="00D23611"/>
  </w:style>
  <w:style w:type="numbering" w:customStyle="1" w:styleId="tl52121">
    <w:name w:val="Štýl52121"/>
    <w:uiPriority w:val="99"/>
    <w:rsid w:val="00D23611"/>
  </w:style>
  <w:style w:type="numbering" w:customStyle="1" w:styleId="Bezzoznamu51">
    <w:name w:val="Bez zoznamu51"/>
    <w:next w:val="Bezzoznamu"/>
    <w:uiPriority w:val="99"/>
    <w:semiHidden/>
    <w:unhideWhenUsed/>
    <w:rsid w:val="00D23611"/>
  </w:style>
  <w:style w:type="numbering" w:customStyle="1" w:styleId="tl4222">
    <w:name w:val="Štýl4222"/>
    <w:uiPriority w:val="99"/>
    <w:rsid w:val="00D23611"/>
  </w:style>
  <w:style w:type="numbering" w:customStyle="1" w:styleId="tl501">
    <w:name w:val="Štýl501"/>
    <w:uiPriority w:val="99"/>
    <w:rsid w:val="00D23611"/>
  </w:style>
  <w:style w:type="numbering" w:customStyle="1" w:styleId="Bezzoznamu61">
    <w:name w:val="Bez zoznamu61"/>
    <w:next w:val="Bezzoznamu"/>
    <w:uiPriority w:val="99"/>
    <w:semiHidden/>
    <w:unhideWhenUsed/>
    <w:rsid w:val="00D23611"/>
  </w:style>
  <w:style w:type="numbering" w:customStyle="1" w:styleId="tl1621">
    <w:name w:val="Štýl1621"/>
    <w:uiPriority w:val="99"/>
    <w:rsid w:val="00D23611"/>
  </w:style>
  <w:style w:type="numbering" w:customStyle="1" w:styleId="tl52311">
    <w:name w:val="Štýl52311"/>
    <w:uiPriority w:val="99"/>
    <w:rsid w:val="00D23611"/>
  </w:style>
  <w:style w:type="numbering" w:customStyle="1" w:styleId="tl42211">
    <w:name w:val="Štýl42211"/>
    <w:uiPriority w:val="99"/>
    <w:rsid w:val="00D23611"/>
  </w:style>
  <w:style w:type="paragraph" w:styleId="Zarkazkladnhotextu3">
    <w:name w:val="Body Text Indent 3"/>
    <w:basedOn w:val="Normlny"/>
    <w:link w:val="Zarkazkladnhotextu3Char"/>
    <w:uiPriority w:val="99"/>
    <w:semiHidden/>
    <w:unhideWhenUsed/>
    <w:rsid w:val="00D23611"/>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D23611"/>
    <w:rPr>
      <w:rFonts w:ascii="Times New Roman" w:eastAsia="Times New Roman" w:hAnsi="Times New Roman" w:cs="Times New Roman"/>
      <w:sz w:val="16"/>
      <w:szCs w:val="16"/>
      <w:lang w:eastAsia="sk-SK"/>
    </w:rPr>
  </w:style>
  <w:style w:type="paragraph" w:customStyle="1" w:styleId="tandard6za">
    <w:name w:val="štandard 6 za"/>
    <w:basedOn w:val="Zarkazkladnhotextu"/>
    <w:uiPriority w:val="99"/>
    <w:rsid w:val="00D23611"/>
    <w:pPr>
      <w:spacing w:after="120"/>
      <w:ind w:left="0" w:firstLine="0"/>
    </w:pPr>
    <w:rPr>
      <w:lang w:val="en-US"/>
    </w:rPr>
  </w:style>
  <w:style w:type="character" w:customStyle="1" w:styleId="Textzstupnhosymbolu1">
    <w:name w:val="Text zástupného symbolu1"/>
    <w:semiHidden/>
    <w:rsid w:val="00D23611"/>
    <w:rPr>
      <w:rFonts w:cs="Times New Roman"/>
      <w:color w:val="808080"/>
    </w:rPr>
  </w:style>
  <w:style w:type="character" w:styleId="Zvraznenie">
    <w:name w:val="Emphasis"/>
    <w:basedOn w:val="Predvolenpsmoodseku"/>
    <w:uiPriority w:val="20"/>
    <w:qFormat/>
    <w:rsid w:val="00D23611"/>
    <w:rPr>
      <w:b/>
      <w:bCs/>
      <w:i w:val="0"/>
      <w:iCs w:val="0"/>
    </w:rPr>
  </w:style>
  <w:style w:type="character" w:customStyle="1" w:styleId="st1">
    <w:name w:val="st1"/>
    <w:basedOn w:val="Predvolenpsmoodseku"/>
    <w:rsid w:val="00D23611"/>
  </w:style>
  <w:style w:type="paragraph" w:styleId="Obsah6">
    <w:name w:val="toc 6"/>
    <w:basedOn w:val="Normlny"/>
    <w:next w:val="Normlny"/>
    <w:autoRedefine/>
    <w:uiPriority w:val="39"/>
    <w:unhideWhenUsed/>
    <w:rsid w:val="00D23611"/>
    <w:pPr>
      <w:ind w:left="1200"/>
    </w:pPr>
    <w:rPr>
      <w:rFonts w:asciiTheme="minorHAnsi" w:hAnsiTheme="minorHAnsi"/>
      <w:sz w:val="20"/>
      <w:szCs w:val="20"/>
    </w:rPr>
  </w:style>
  <w:style w:type="paragraph" w:styleId="Obsah7">
    <w:name w:val="toc 7"/>
    <w:basedOn w:val="Normlny"/>
    <w:next w:val="Normlny"/>
    <w:autoRedefine/>
    <w:uiPriority w:val="39"/>
    <w:unhideWhenUsed/>
    <w:rsid w:val="00D23611"/>
    <w:pPr>
      <w:ind w:left="1440"/>
    </w:pPr>
    <w:rPr>
      <w:rFonts w:asciiTheme="minorHAnsi" w:hAnsiTheme="minorHAnsi"/>
      <w:sz w:val="20"/>
      <w:szCs w:val="20"/>
    </w:rPr>
  </w:style>
  <w:style w:type="paragraph" w:styleId="Obsah8">
    <w:name w:val="toc 8"/>
    <w:basedOn w:val="Normlny"/>
    <w:next w:val="Normlny"/>
    <w:autoRedefine/>
    <w:uiPriority w:val="39"/>
    <w:unhideWhenUsed/>
    <w:rsid w:val="00D23611"/>
    <w:pPr>
      <w:ind w:left="1680"/>
    </w:pPr>
    <w:rPr>
      <w:rFonts w:asciiTheme="minorHAnsi" w:hAnsiTheme="minorHAnsi"/>
      <w:sz w:val="20"/>
      <w:szCs w:val="20"/>
    </w:rPr>
  </w:style>
  <w:style w:type="paragraph" w:styleId="Obsah9">
    <w:name w:val="toc 9"/>
    <w:basedOn w:val="Normlny"/>
    <w:next w:val="Normlny"/>
    <w:autoRedefine/>
    <w:uiPriority w:val="39"/>
    <w:unhideWhenUsed/>
    <w:rsid w:val="00D23611"/>
    <w:pPr>
      <w:ind w:left="1920"/>
    </w:pPr>
    <w:rPr>
      <w:rFonts w:asciiTheme="minorHAnsi" w:hAnsiTheme="minorHAnsi"/>
      <w:sz w:val="20"/>
      <w:szCs w:val="20"/>
    </w:rPr>
  </w:style>
  <w:style w:type="table" w:customStyle="1" w:styleId="Mriekatabuky8">
    <w:name w:val="Mriežka tabuľky8"/>
    <w:basedOn w:val="Normlnatabuka"/>
    <w:next w:val="Mriekatabuky"/>
    <w:uiPriority w:val="39"/>
    <w:rsid w:val="00D23611"/>
    <w:pPr>
      <w:spacing w:after="0" w:line="240" w:lineRule="auto"/>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9">
    <w:name w:val="Mriežka tabuľky9"/>
    <w:basedOn w:val="Normlnatabuka"/>
    <w:next w:val="Mriekatabuky"/>
    <w:uiPriority w:val="59"/>
    <w:rsid w:val="00D23611"/>
    <w:pPr>
      <w:spacing w:after="0" w:line="240" w:lineRule="auto"/>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0">
    <w:name w:val="Mriežka tabuľky10"/>
    <w:basedOn w:val="Normlnatabuka"/>
    <w:next w:val="Mriekatabuky"/>
    <w:uiPriority w:val="59"/>
    <w:rsid w:val="00D23611"/>
    <w:pPr>
      <w:spacing w:after="0" w:line="240" w:lineRule="auto"/>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31"/>
    <w:basedOn w:val="Normlny"/>
    <w:next w:val="Odsekzoznamu"/>
    <w:uiPriority w:val="34"/>
    <w:qFormat/>
    <w:rsid w:val="00D6428C"/>
    <w:pPr>
      <w:ind w:left="720"/>
      <w:contextualSpacing/>
    </w:pPr>
    <w:rPr>
      <w:rFonts w:cstheme="minorBidi"/>
      <w:szCs w:val="22"/>
    </w:rPr>
  </w:style>
  <w:style w:type="paragraph" w:customStyle="1" w:styleId="Popis1">
    <w:name w:val="Popis1"/>
    <w:basedOn w:val="Normlny"/>
    <w:next w:val="Normlny"/>
    <w:uiPriority w:val="35"/>
    <w:unhideWhenUsed/>
    <w:qFormat/>
    <w:rsid w:val="00D6428C"/>
    <w:pPr>
      <w:spacing w:after="200"/>
    </w:pPr>
    <w:rPr>
      <w:rFonts w:ascii="Arial Narrow" w:eastAsiaTheme="minorHAnsi" w:hAnsi="Arial Narrow" w:cstheme="minorBidi"/>
      <w:i/>
      <w:iCs/>
      <w:color w:val="1F497D"/>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544601">
      <w:bodyDiv w:val="1"/>
      <w:marLeft w:val="0"/>
      <w:marRight w:val="0"/>
      <w:marTop w:val="0"/>
      <w:marBottom w:val="0"/>
      <w:divBdr>
        <w:top w:val="none" w:sz="0" w:space="0" w:color="auto"/>
        <w:left w:val="none" w:sz="0" w:space="0" w:color="auto"/>
        <w:bottom w:val="none" w:sz="0" w:space="0" w:color="auto"/>
        <w:right w:val="none" w:sz="0" w:space="0" w:color="auto"/>
      </w:divBdr>
    </w:div>
    <w:div w:id="557472118">
      <w:bodyDiv w:val="1"/>
      <w:marLeft w:val="0"/>
      <w:marRight w:val="0"/>
      <w:marTop w:val="0"/>
      <w:marBottom w:val="0"/>
      <w:divBdr>
        <w:top w:val="none" w:sz="0" w:space="0" w:color="auto"/>
        <w:left w:val="none" w:sz="0" w:space="0" w:color="auto"/>
        <w:bottom w:val="none" w:sz="0" w:space="0" w:color="auto"/>
        <w:right w:val="none" w:sz="0" w:space="0" w:color="auto"/>
      </w:divBdr>
    </w:div>
    <w:div w:id="592788625">
      <w:bodyDiv w:val="1"/>
      <w:marLeft w:val="0"/>
      <w:marRight w:val="0"/>
      <w:marTop w:val="0"/>
      <w:marBottom w:val="0"/>
      <w:divBdr>
        <w:top w:val="none" w:sz="0" w:space="0" w:color="auto"/>
        <w:left w:val="none" w:sz="0" w:space="0" w:color="auto"/>
        <w:bottom w:val="none" w:sz="0" w:space="0" w:color="auto"/>
        <w:right w:val="none" w:sz="0" w:space="0" w:color="auto"/>
      </w:divBdr>
    </w:div>
    <w:div w:id="600382656">
      <w:bodyDiv w:val="1"/>
      <w:marLeft w:val="0"/>
      <w:marRight w:val="0"/>
      <w:marTop w:val="0"/>
      <w:marBottom w:val="0"/>
      <w:divBdr>
        <w:top w:val="none" w:sz="0" w:space="0" w:color="auto"/>
        <w:left w:val="none" w:sz="0" w:space="0" w:color="auto"/>
        <w:bottom w:val="none" w:sz="0" w:space="0" w:color="auto"/>
        <w:right w:val="none" w:sz="0" w:space="0" w:color="auto"/>
      </w:divBdr>
    </w:div>
    <w:div w:id="825971504">
      <w:bodyDiv w:val="1"/>
      <w:marLeft w:val="0"/>
      <w:marRight w:val="0"/>
      <w:marTop w:val="0"/>
      <w:marBottom w:val="0"/>
      <w:divBdr>
        <w:top w:val="none" w:sz="0" w:space="0" w:color="auto"/>
        <w:left w:val="none" w:sz="0" w:space="0" w:color="auto"/>
        <w:bottom w:val="none" w:sz="0" w:space="0" w:color="auto"/>
        <w:right w:val="none" w:sz="0" w:space="0" w:color="auto"/>
      </w:divBdr>
    </w:div>
    <w:div w:id="1056978092">
      <w:bodyDiv w:val="1"/>
      <w:marLeft w:val="0"/>
      <w:marRight w:val="0"/>
      <w:marTop w:val="0"/>
      <w:marBottom w:val="0"/>
      <w:divBdr>
        <w:top w:val="none" w:sz="0" w:space="0" w:color="auto"/>
        <w:left w:val="none" w:sz="0" w:space="0" w:color="auto"/>
        <w:bottom w:val="none" w:sz="0" w:space="0" w:color="auto"/>
        <w:right w:val="none" w:sz="0" w:space="0" w:color="auto"/>
      </w:divBdr>
    </w:div>
    <w:div w:id="1066102773">
      <w:bodyDiv w:val="1"/>
      <w:marLeft w:val="0"/>
      <w:marRight w:val="0"/>
      <w:marTop w:val="0"/>
      <w:marBottom w:val="0"/>
      <w:divBdr>
        <w:top w:val="none" w:sz="0" w:space="0" w:color="auto"/>
        <w:left w:val="none" w:sz="0" w:space="0" w:color="auto"/>
        <w:bottom w:val="none" w:sz="0" w:space="0" w:color="auto"/>
        <w:right w:val="none" w:sz="0" w:space="0" w:color="auto"/>
      </w:divBdr>
    </w:div>
    <w:div w:id="1226525936">
      <w:bodyDiv w:val="1"/>
      <w:marLeft w:val="0"/>
      <w:marRight w:val="0"/>
      <w:marTop w:val="0"/>
      <w:marBottom w:val="0"/>
      <w:divBdr>
        <w:top w:val="none" w:sz="0" w:space="0" w:color="auto"/>
        <w:left w:val="none" w:sz="0" w:space="0" w:color="auto"/>
        <w:bottom w:val="none" w:sz="0" w:space="0" w:color="auto"/>
        <w:right w:val="none" w:sz="0" w:space="0" w:color="auto"/>
      </w:divBdr>
    </w:div>
    <w:div w:id="1509249004">
      <w:bodyDiv w:val="1"/>
      <w:marLeft w:val="0"/>
      <w:marRight w:val="0"/>
      <w:marTop w:val="0"/>
      <w:marBottom w:val="0"/>
      <w:divBdr>
        <w:top w:val="none" w:sz="0" w:space="0" w:color="auto"/>
        <w:left w:val="none" w:sz="0" w:space="0" w:color="auto"/>
        <w:bottom w:val="none" w:sz="0" w:space="0" w:color="auto"/>
        <w:right w:val="none" w:sz="0" w:space="0" w:color="auto"/>
      </w:divBdr>
    </w:div>
    <w:div w:id="1645813253">
      <w:bodyDiv w:val="1"/>
      <w:marLeft w:val="0"/>
      <w:marRight w:val="0"/>
      <w:marTop w:val="0"/>
      <w:marBottom w:val="0"/>
      <w:divBdr>
        <w:top w:val="none" w:sz="0" w:space="0" w:color="auto"/>
        <w:left w:val="none" w:sz="0" w:space="0" w:color="auto"/>
        <w:bottom w:val="none" w:sz="0" w:space="0" w:color="auto"/>
        <w:right w:val="none" w:sz="0" w:space="0" w:color="auto"/>
      </w:divBdr>
    </w:div>
    <w:div w:id="1676805267">
      <w:bodyDiv w:val="1"/>
      <w:marLeft w:val="0"/>
      <w:marRight w:val="0"/>
      <w:marTop w:val="0"/>
      <w:marBottom w:val="0"/>
      <w:divBdr>
        <w:top w:val="none" w:sz="0" w:space="0" w:color="auto"/>
        <w:left w:val="none" w:sz="0" w:space="0" w:color="auto"/>
        <w:bottom w:val="none" w:sz="0" w:space="0" w:color="auto"/>
        <w:right w:val="none" w:sz="0" w:space="0" w:color="auto"/>
      </w:divBdr>
    </w:div>
    <w:div w:id="1766417210">
      <w:bodyDiv w:val="1"/>
      <w:marLeft w:val="0"/>
      <w:marRight w:val="0"/>
      <w:marTop w:val="0"/>
      <w:marBottom w:val="0"/>
      <w:divBdr>
        <w:top w:val="none" w:sz="0" w:space="0" w:color="auto"/>
        <w:left w:val="none" w:sz="0" w:space="0" w:color="auto"/>
        <w:bottom w:val="none" w:sz="0" w:space="0" w:color="auto"/>
        <w:right w:val="none" w:sz="0" w:space="0" w:color="auto"/>
      </w:divBdr>
    </w:div>
    <w:div w:id="1773359322">
      <w:bodyDiv w:val="1"/>
      <w:marLeft w:val="0"/>
      <w:marRight w:val="0"/>
      <w:marTop w:val="0"/>
      <w:marBottom w:val="0"/>
      <w:divBdr>
        <w:top w:val="none" w:sz="0" w:space="0" w:color="auto"/>
        <w:left w:val="none" w:sz="0" w:space="0" w:color="auto"/>
        <w:bottom w:val="none" w:sz="0" w:space="0" w:color="auto"/>
        <w:right w:val="none" w:sz="0" w:space="0" w:color="auto"/>
      </w:divBdr>
    </w:div>
    <w:div w:id="1867675827">
      <w:bodyDiv w:val="1"/>
      <w:marLeft w:val="0"/>
      <w:marRight w:val="0"/>
      <w:marTop w:val="0"/>
      <w:marBottom w:val="0"/>
      <w:divBdr>
        <w:top w:val="none" w:sz="0" w:space="0" w:color="auto"/>
        <w:left w:val="none" w:sz="0" w:space="0" w:color="auto"/>
        <w:bottom w:val="none" w:sz="0" w:space="0" w:color="auto"/>
        <w:right w:val="none" w:sz="0" w:space="0" w:color="auto"/>
      </w:divBdr>
    </w:div>
    <w:div w:id="1920097794">
      <w:bodyDiv w:val="1"/>
      <w:marLeft w:val="0"/>
      <w:marRight w:val="0"/>
      <w:marTop w:val="0"/>
      <w:marBottom w:val="0"/>
      <w:divBdr>
        <w:top w:val="none" w:sz="0" w:space="0" w:color="auto"/>
        <w:left w:val="none" w:sz="0" w:space="0" w:color="auto"/>
        <w:bottom w:val="none" w:sz="0" w:space="0" w:color="auto"/>
        <w:right w:val="none" w:sz="0" w:space="0" w:color="auto"/>
      </w:divBdr>
    </w:div>
    <w:div w:id="1925141477">
      <w:bodyDiv w:val="1"/>
      <w:marLeft w:val="0"/>
      <w:marRight w:val="0"/>
      <w:marTop w:val="0"/>
      <w:marBottom w:val="0"/>
      <w:divBdr>
        <w:top w:val="none" w:sz="0" w:space="0" w:color="auto"/>
        <w:left w:val="none" w:sz="0" w:space="0" w:color="auto"/>
        <w:bottom w:val="none" w:sz="0" w:space="0" w:color="auto"/>
        <w:right w:val="none" w:sz="0" w:space="0" w:color="auto"/>
      </w:divBdr>
    </w:div>
    <w:div w:id="1955599393">
      <w:bodyDiv w:val="1"/>
      <w:marLeft w:val="0"/>
      <w:marRight w:val="0"/>
      <w:marTop w:val="0"/>
      <w:marBottom w:val="0"/>
      <w:divBdr>
        <w:top w:val="none" w:sz="0" w:space="0" w:color="auto"/>
        <w:left w:val="none" w:sz="0" w:space="0" w:color="auto"/>
        <w:bottom w:val="none" w:sz="0" w:space="0" w:color="auto"/>
        <w:right w:val="none" w:sz="0" w:space="0" w:color="auto"/>
      </w:divBdr>
    </w:div>
    <w:div w:id="198778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footer" Target="footer1.xml"/><Relationship Id="rId21" Type="http://schemas.openxmlformats.org/officeDocument/2006/relationships/chart" Target="charts/chart13.xml"/><Relationship Id="rId34" Type="http://schemas.openxmlformats.org/officeDocument/2006/relationships/chart" Target="charts/chart2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H:\Ekonomika\Fi&#353;kalna%20politika%20(2).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H:\Ekonomika\Spr&#225;va%20o%20v&#253;voji%20VF%202017\&#269;erpanie%20rozpo&#269;tu_tab.xlsx" TargetMode="External"/></Relationships>
</file>

<file path=word/charts/_rels/chart11.xml.rels><?xml version="1.0" encoding="UTF-8" standalone="yes"?>
<Relationships xmlns="http://schemas.openxmlformats.org/package/2006/relationships"><Relationship Id="rId3" Type="http://schemas.openxmlformats.org/officeDocument/2006/relationships/oleObject" Target="file:///D:\MOJE%20DOKUMENTY\Rozpo&#269;et\Rozpo&#269;et%202019\V&#253;po&#269;ty%20RVS%202019.xlsx" TargetMode="External"/><Relationship Id="rId2" Type="http://schemas.microsoft.com/office/2011/relationships/chartColorStyle" Target="colors3.xml"/><Relationship Id="rId1" Type="http://schemas.microsoft.com/office/2011/relationships/chartStyle" Target="style3.xml"/></Relationships>
</file>

<file path=word/charts/_rels/chart12.xml.rels><?xml version="1.0" encoding="UTF-8" standalone="yes"?>
<Relationships xmlns="http://schemas.openxmlformats.org/package/2006/relationships"><Relationship Id="rId3" Type="http://schemas.openxmlformats.org/officeDocument/2006/relationships/oleObject" Target="file:///H:\Ekonomika\Stanovisko_Rozpo&#269;et_2019\&#268;erpanie%20kapitol_2018%20v%20porovnan&#237;%20RVS_2019.xlsx" TargetMode="External"/><Relationship Id="rId2" Type="http://schemas.microsoft.com/office/2011/relationships/chartColorStyle" Target="colors4.xml"/><Relationship Id="rId1" Type="http://schemas.microsoft.com/office/2011/relationships/chartStyle" Target="style4.xml"/></Relationships>
</file>

<file path=word/charts/_rels/chart13.xml.rels><?xml version="1.0" encoding="UTF-8" standalone="yes"?>
<Relationships xmlns="http://schemas.openxmlformats.org/package/2006/relationships"><Relationship Id="rId3" Type="http://schemas.openxmlformats.org/officeDocument/2006/relationships/oleObject" Target="file:///D:\MOJE%20DOKUMENTY\Rozpo&#269;et\Rozpo&#269;et%202019\V&#253;po&#269;ty%20RVS%202019.xlsx" TargetMode="External"/><Relationship Id="rId2" Type="http://schemas.microsoft.com/office/2011/relationships/chartColorStyle" Target="colors5.xml"/><Relationship Id="rId1" Type="http://schemas.microsoft.com/office/2011/relationships/chartStyle" Target="style5.xml"/></Relationships>
</file>

<file path=word/charts/_rels/chart14.xml.rels><?xml version="1.0" encoding="UTF-8" standalone="yes"?>
<Relationships xmlns="http://schemas.openxmlformats.org/package/2006/relationships"><Relationship Id="rId3" Type="http://schemas.openxmlformats.org/officeDocument/2006/relationships/oleObject" Target="file:///D:\MOJE%20DOKUMENTY\Rozpo&#269;et\Rozpo&#269;et%202019\V&#253;po&#269;ty%20RVS%202019.xlsx" TargetMode="External"/><Relationship Id="rId2" Type="http://schemas.microsoft.com/office/2011/relationships/chartColorStyle" Target="colors6.xml"/><Relationship Id="rId1" Type="http://schemas.microsoft.com/office/2011/relationships/chartStyle" Target="style6.xml"/></Relationships>
</file>

<file path=word/charts/_rels/chart15.xml.rels><?xml version="1.0" encoding="UTF-8" standalone="yes"?>
<Relationships xmlns="http://schemas.openxmlformats.org/package/2006/relationships"><Relationship Id="rId3" Type="http://schemas.openxmlformats.org/officeDocument/2006/relationships/oleObject" Target="file:///D:\Do&#269;asn&#233;%20internetov&#233;%20s&#250;bory\Content.Outlook\SNVLQN4E\Rozpocty.xlsx" TargetMode="External"/><Relationship Id="rId2" Type="http://schemas.microsoft.com/office/2011/relationships/chartColorStyle" Target="colors7.xml"/><Relationship Id="rId1" Type="http://schemas.microsoft.com/office/2011/relationships/chartStyle" Target="style7.xml"/></Relationships>
</file>

<file path=word/charts/_rels/chart16.xml.rels><?xml version="1.0" encoding="UTF-8" standalone="yes"?>
<Relationships xmlns="http://schemas.openxmlformats.org/package/2006/relationships"><Relationship Id="rId1" Type="http://schemas.openxmlformats.org/officeDocument/2006/relationships/oleObject" Target="file:///D:\DOKUMENTY\Odbor%20rozpo&#269;tovej%20politiky\Rozpocet\Stanovisko%20k%20rozpoctu%202019\K&#243;pia%20-%20Eurostat_Table_t2020_41FlagDesc_bd3ebb95-9ca6-4aeb-b168-4ca7611dc4e9.xls" TargetMode="External"/></Relationships>
</file>

<file path=word/charts/_rels/chart17.xml.rels><?xml version="1.0" encoding="UTF-8" standalone="yes"?>
<Relationships xmlns="http://schemas.openxmlformats.org/package/2006/relationships"><Relationship Id="rId2" Type="http://schemas.openxmlformats.org/officeDocument/2006/relationships/oleObject" Target="file:///D:\SYST&#201;MOV&#201;%20PRIE&#268;INKY\Desktop\V&#253;skum%20a%20V&#253;voj\VaV%20podkapitola%20ukazovatele.xlsx" TargetMode="External"/><Relationship Id="rId1" Type="http://schemas.openxmlformats.org/officeDocument/2006/relationships/themeOverride" Target="../theme/themeOverride1.xml"/></Relationships>
</file>

<file path=word/charts/_rels/chart18.xml.rels><?xml version="1.0" encoding="UTF-8" standalone="yes"?>
<Relationships xmlns="http://schemas.openxmlformats.org/package/2006/relationships"><Relationship Id="rId2" Type="http://schemas.openxmlformats.org/officeDocument/2006/relationships/oleObject" Target="file:///D:\Analytick&#233;%20spr&#225;vy%202018\V&#253;skum%20a%20v&#253;voj\&#218;daje\V&#253;davky%20na%20VV%202007-2017%20pod&#318;a%20zdrojov%20financovania.xlsx" TargetMode="External"/><Relationship Id="rId1" Type="http://schemas.openxmlformats.org/officeDocument/2006/relationships/themeOverride" Target="../theme/themeOverride2.xml"/></Relationships>
</file>

<file path=word/charts/_rels/chart19.xml.rels><?xml version="1.0" encoding="UTF-8" standalone="yes"?>
<Relationships xmlns="http://schemas.openxmlformats.org/package/2006/relationships"><Relationship Id="rId3" Type="http://schemas.openxmlformats.org/officeDocument/2006/relationships/oleObject" Target="file:///D:\Do&#269;asn&#233;%20internetov&#233;%20s&#250;bory\Content.Outlook\SNVLQN4E\Rozpocty.xlsx" TargetMode="External"/><Relationship Id="rId2" Type="http://schemas.microsoft.com/office/2011/relationships/chartColorStyle" Target="colors8.xml"/><Relationship Id="rId1" Type="http://schemas.microsoft.com/office/2011/relationships/chartStyle" Target="style8.xml"/></Relationships>
</file>

<file path=word/charts/_rels/chart2.xml.rels><?xml version="1.0" encoding="UTF-8" standalone="yes"?>
<Relationships xmlns="http://schemas.openxmlformats.org/package/2006/relationships"><Relationship Id="rId1" Type="http://schemas.openxmlformats.org/officeDocument/2006/relationships/oleObject" Target="file:///H:\Ekonomika\Fi&#353;kalna%20politika.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D:\MOJE%20DOKUMENTY\Rozpo&#269;et\Rozpo&#269;et%202019\V&#253;po&#269;ty%20RVS%202019.xlsx" TargetMode="External"/><Relationship Id="rId2" Type="http://schemas.microsoft.com/office/2011/relationships/chartColorStyle" Target="colors9.xml"/><Relationship Id="rId1" Type="http://schemas.microsoft.com/office/2011/relationships/chartStyle" Target="style9.xml"/></Relationships>
</file>

<file path=word/charts/_rels/chart21.xml.rels><?xml version="1.0" encoding="UTF-8" standalone="yes"?>
<Relationships xmlns="http://schemas.openxmlformats.org/package/2006/relationships"><Relationship Id="rId3" Type="http://schemas.openxmlformats.org/officeDocument/2006/relationships/oleObject" Target="file:///H:\Ekonomika\Stanovisko_Rozpo&#269;et_2019\Podiel%20cerp%20vs%20schv%20IP%20-%20tabulka.xlsx" TargetMode="External"/><Relationship Id="rId2" Type="http://schemas.microsoft.com/office/2011/relationships/chartColorStyle" Target="colors10.xml"/><Relationship Id="rId1" Type="http://schemas.microsoft.com/office/2011/relationships/chartStyle" Target="style10.xml"/></Relationships>
</file>

<file path=word/charts/_rels/chart22.xml.rels><?xml version="1.0" encoding="UTF-8" standalone="yes"?>
<Relationships xmlns="http://schemas.openxmlformats.org/package/2006/relationships"><Relationship Id="rId3" Type="http://schemas.openxmlformats.org/officeDocument/2006/relationships/oleObject" Target="file:///D:\MOJE%20DOKUMENTY\Rozpo&#269;et\Rozpo&#269;et%202019\V&#253;po&#269;ty%20RVS%202019.xlsx" TargetMode="External"/><Relationship Id="rId2" Type="http://schemas.microsoft.com/office/2011/relationships/chartColorStyle" Target="colors11.xml"/><Relationship Id="rId1" Type="http://schemas.microsoft.com/office/2011/relationships/chartStyle" Target="style11.xml"/></Relationships>
</file>

<file path=word/charts/_rels/chart23.xml.rels><?xml version="1.0" encoding="UTF-8" standalone="yes"?>
<Relationships xmlns="http://schemas.openxmlformats.org/package/2006/relationships"><Relationship Id="rId3" Type="http://schemas.openxmlformats.org/officeDocument/2006/relationships/oleObject" Target="file:///D:\Do&#269;asn&#233;%20internetov&#233;%20s&#250;bory\Content.Outlook\SNVLQN4E\Rozpocty.xlsx" TargetMode="External"/><Relationship Id="rId2" Type="http://schemas.microsoft.com/office/2011/relationships/chartColorStyle" Target="colors12.xml"/><Relationship Id="rId1" Type="http://schemas.microsoft.com/office/2011/relationships/chartStyle" Target="style12.xml"/></Relationships>
</file>

<file path=word/charts/_rels/chart24.xml.rels><?xml version="1.0" encoding="UTF-8" standalone="yes"?>
<Relationships xmlns="http://schemas.openxmlformats.org/package/2006/relationships"><Relationship Id="rId3" Type="http://schemas.openxmlformats.org/officeDocument/2006/relationships/oleObject" Target="file:///D:\Desktop\vzdelavanie%20-%20tema\moje.xlsx" TargetMode="External"/><Relationship Id="rId2" Type="http://schemas.microsoft.com/office/2011/relationships/chartColorStyle" Target="colors13.xml"/><Relationship Id="rId1" Type="http://schemas.microsoft.com/office/2011/relationships/chartStyle" Target="style13.xml"/></Relationships>
</file>

<file path=word/charts/_rels/chart25.xml.rels><?xml version="1.0" encoding="UTF-8" standalone="yes"?>
<Relationships xmlns="http://schemas.openxmlformats.org/package/2006/relationships"><Relationship Id="rId3" Type="http://schemas.openxmlformats.org/officeDocument/2006/relationships/oleObject" Target="file:///D:\DOKUMENTY\Odbor%20rozpo&#269;tovej%20politiky\Rozpocet\Stanovisko%20k%20rozpoctu%202019\Doprava.xlsx" TargetMode="External"/><Relationship Id="rId2" Type="http://schemas.microsoft.com/office/2011/relationships/chartColorStyle" Target="colors14.xml"/><Relationship Id="rId1" Type="http://schemas.microsoft.com/office/2011/relationships/chartStyle" Target="style14.xml"/></Relationships>
</file>

<file path=word/charts/_rels/chart26.xml.rels><?xml version="1.0" encoding="UTF-8" standalone="yes"?>
<Relationships xmlns="http://schemas.openxmlformats.org/package/2006/relationships"><Relationship Id="rId2" Type="http://schemas.openxmlformats.org/officeDocument/2006/relationships/oleObject" Target="Graf%20v%20programe%20Microsoft%20Word" TargetMode="External"/><Relationship Id="rId1" Type="http://schemas.openxmlformats.org/officeDocument/2006/relationships/themeOverride" Target="../theme/themeOverride3.xml"/></Relationships>
</file>

<file path=word/charts/_rels/chart27.xml.rels><?xml version="1.0" encoding="UTF-8" standalone="yes"?>
<Relationships xmlns="http://schemas.openxmlformats.org/package/2006/relationships"><Relationship Id="rId2" Type="http://schemas.openxmlformats.org/officeDocument/2006/relationships/oleObject" Target="file:///D:\Dokumenty\2018\dokumenty\PRL_Tabulky2-stanovisko.xlsx" TargetMode="External"/><Relationship Id="rId1" Type="http://schemas.openxmlformats.org/officeDocument/2006/relationships/themeOverride" Target="../theme/themeOverride4.xml"/></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D:\DOKUMENTY\Odbor%20rozpo&#269;tovej%20politiky\SZU\SZU%202017\Zdravie\236K&#243;pia%20-%20Poistenci+v+zdravotn&#253;ch+pois&#357;ovniach+(so2011qs)20180511153628.xlsx" TargetMode="External"/></Relationships>
</file>

<file path=word/charts/_rels/chart29.xml.rels><?xml version="1.0" encoding="UTF-8" standalone="yes"?>
<Relationships xmlns="http://schemas.openxmlformats.org/package/2006/relationships"><Relationship Id="rId2" Type="http://schemas.openxmlformats.org/officeDocument/2006/relationships/package" Target="../embeddings/H_rok_programu_Microsoft_Excel.xlsx"/><Relationship Id="rId1" Type="http://schemas.openxmlformats.org/officeDocument/2006/relationships/themeOverride" Target="../theme/themeOverride6.xml"/></Relationships>
</file>

<file path=word/charts/_rels/chart3.xml.rels><?xml version="1.0" encoding="UTF-8" standalone="yes"?>
<Relationships xmlns="http://schemas.openxmlformats.org/package/2006/relationships"><Relationship Id="rId1" Type="http://schemas.openxmlformats.org/officeDocument/2006/relationships/oleObject" Target="file:///F:\Ekonomika\Fi&#353;kalna%20politik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Ekonomika\Fi&#353;kalna%20politik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Ekonomika\Fi&#353;kalna%20politik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Ekonomika\Fi&#353;kalna%20politik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Ekonomika\Fi&#353;kalna%20politika.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D:\MOJE%20DOKUMENTY\Rozpo&#269;et\Rozpo&#269;et%202019\V&#253;po&#269;ty%20RVS%202019.xlsx" TargetMode="External"/><Relationship Id="rId2" Type="http://schemas.microsoft.com/office/2011/relationships/chartColorStyle" Target="colors1.xml"/><Relationship Id="rId1" Type="http://schemas.microsoft.com/office/2011/relationships/chartStyle" Target="style1.xml"/></Relationships>
</file>

<file path=word/charts/_rels/chart9.xml.rels><?xml version="1.0" encoding="UTF-8" standalone="yes"?>
<Relationships xmlns="http://schemas.openxmlformats.org/package/2006/relationships"><Relationship Id="rId3" Type="http://schemas.openxmlformats.org/officeDocument/2006/relationships/oleObject" Target="file:///D:\MOJE%20DOKUMENTY\Rozpo&#269;et\Rozpo&#269;et%202019\V&#253;po&#269;ty%20RVS%202019.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681781820546955E-2"/>
          <c:y val="4.0831477357089863E-2"/>
          <c:w val="0.86779167809803293"/>
          <c:h val="0.79925702494315154"/>
        </c:manualLayout>
      </c:layout>
      <c:barChart>
        <c:barDir val="col"/>
        <c:grouping val="clustered"/>
        <c:varyColors val="0"/>
        <c:ser>
          <c:idx val="2"/>
          <c:order val="2"/>
          <c:tx>
            <c:strRef>
              <c:f>Makro!$A$4</c:f>
              <c:strCache>
                <c:ptCount val="1"/>
                <c:pt idx="0">
                  <c:v>HDP, b.c. (mld. eur)</c:v>
                </c:pt>
              </c:strCache>
            </c:strRef>
          </c:tx>
          <c:spPr>
            <a:solidFill>
              <a:srgbClr val="0070C0"/>
            </a:solidFill>
            <a:ln>
              <a:solidFill>
                <a:srgbClr val="92D050"/>
              </a:solidFill>
            </a:ln>
            <a:effectLst/>
          </c:spPr>
          <c:invertIfNegative val="1"/>
          <c:dPt>
            <c:idx val="12"/>
            <c:invertIfNegative val="1"/>
            <c:bubble3D val="0"/>
            <c:spPr>
              <a:solidFill>
                <a:srgbClr val="FFC000"/>
              </a:solidFill>
              <a:ln>
                <a:solidFill>
                  <a:srgbClr val="002060"/>
                </a:solidFill>
              </a:ln>
              <a:effectLst/>
            </c:spPr>
            <c:extLst>
              <c:ext xmlns:c16="http://schemas.microsoft.com/office/drawing/2014/chart" uri="{C3380CC4-5D6E-409C-BE32-E72D297353CC}">
                <c16:uniqueId val="{00000010-2916-4433-AE85-3011F4544E16}"/>
              </c:ext>
            </c:extLst>
          </c:dPt>
          <c:dPt>
            <c:idx val="13"/>
            <c:invertIfNegative val="1"/>
            <c:bubble3D val="0"/>
            <c:spPr>
              <a:solidFill>
                <a:srgbClr val="FFC000"/>
              </a:solidFill>
              <a:ln>
                <a:solidFill>
                  <a:srgbClr val="002060"/>
                </a:solidFill>
              </a:ln>
              <a:effectLst/>
            </c:spPr>
            <c:extLst>
              <c:ext xmlns:c16="http://schemas.microsoft.com/office/drawing/2014/chart" uri="{C3380CC4-5D6E-409C-BE32-E72D297353CC}">
                <c16:uniqueId val="{00000011-2916-4433-AE85-3011F4544E16}"/>
              </c:ext>
            </c:extLst>
          </c:dPt>
          <c:dPt>
            <c:idx val="14"/>
            <c:invertIfNegative val="1"/>
            <c:bubble3D val="0"/>
            <c:spPr>
              <a:solidFill>
                <a:srgbClr val="FFC000"/>
              </a:solidFill>
              <a:ln>
                <a:solidFill>
                  <a:srgbClr val="002060"/>
                </a:solidFill>
              </a:ln>
              <a:effectLst/>
            </c:spPr>
            <c:extLst>
              <c:ext xmlns:c16="http://schemas.microsoft.com/office/drawing/2014/chart" uri="{C3380CC4-5D6E-409C-BE32-E72D297353CC}">
                <c16:uniqueId val="{00000012-2916-4433-AE85-3011F4544E16}"/>
              </c:ext>
            </c:extLst>
          </c:dPt>
          <c:dLbls>
            <c:spPr>
              <a:noFill/>
              <a:ln>
                <a:noFill/>
              </a:ln>
              <a:effectLst/>
            </c:spPr>
            <c:txPr>
              <a:bodyPr rot="0" spcFirstLastPara="1" vertOverflow="ellipsis" vert="horz" wrap="square" lIns="38100" tIns="19050" rIns="38100" bIns="19050" anchor="ctr" anchorCtr="1">
                <a:spAutoFit/>
              </a:bodyPr>
              <a:lstStyle/>
              <a:p>
                <a:pPr>
                  <a:defRPr lang="cs-CZ" sz="900" b="0" i="0" u="none" strike="noStrike" kern="1200" baseline="0">
                    <a:solidFill>
                      <a:schemeClr val="tx1">
                        <a:lumMod val="75000"/>
                        <a:lumOff val="25000"/>
                      </a:schemeClr>
                    </a:solidFill>
                    <a:latin typeface="Arial Narrow" panose="020B0606020202030204" pitchFamily="34" charset="0"/>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Makro!$B$1:$T$1</c:f>
              <c:strCache>
                <c:ptCount val="15"/>
                <c:pt idx="0">
                  <c:v>2007</c:v>
                </c:pt>
                <c:pt idx="1">
                  <c:v>2008</c:v>
                </c:pt>
                <c:pt idx="2">
                  <c:v>2009</c:v>
                </c:pt>
                <c:pt idx="3">
                  <c:v>2010</c:v>
                </c:pt>
                <c:pt idx="4">
                  <c:v>2011</c:v>
                </c:pt>
                <c:pt idx="5">
                  <c:v>2012</c:v>
                </c:pt>
                <c:pt idx="6">
                  <c:v>2013</c:v>
                </c:pt>
                <c:pt idx="7">
                  <c:v>2014</c:v>
                </c:pt>
                <c:pt idx="8">
                  <c:v>2015</c:v>
                </c:pt>
                <c:pt idx="9">
                  <c:v>2016</c:v>
                </c:pt>
                <c:pt idx="10">
                  <c:v>2017</c:v>
                </c:pt>
                <c:pt idx="11">
                  <c:v>2018 OS</c:v>
                </c:pt>
                <c:pt idx="12">
                  <c:v>2019 RVS</c:v>
                </c:pt>
                <c:pt idx="13">
                  <c:v>2020 RVS</c:v>
                </c:pt>
                <c:pt idx="14">
                  <c:v>2021 RVS</c:v>
                </c:pt>
              </c:strCache>
              <c:extLst/>
            </c:strRef>
          </c:cat>
          <c:val>
            <c:numRef>
              <c:f>Makro!$B$4:$T$4</c:f>
              <c:numCache>
                <c:formatCode>General</c:formatCode>
                <c:ptCount val="15"/>
                <c:pt idx="0">
                  <c:v>63.05</c:v>
                </c:pt>
                <c:pt idx="1">
                  <c:v>68.489999999999995</c:v>
                </c:pt>
                <c:pt idx="2">
                  <c:v>64.02</c:v>
                </c:pt>
                <c:pt idx="3">
                  <c:v>67.569999999999993</c:v>
                </c:pt>
                <c:pt idx="4" formatCode="#,##0.00">
                  <c:v>70.444000000000031</c:v>
                </c:pt>
                <c:pt idx="5" formatCode="#,##0.00">
                  <c:v>72.703999999999994</c:v>
                </c:pt>
                <c:pt idx="6" formatCode="#,##0.00">
                  <c:v>74.169999999999987</c:v>
                </c:pt>
                <c:pt idx="7" formatCode="#,##0.00">
                  <c:v>76.087999999999994</c:v>
                </c:pt>
                <c:pt idx="8" formatCode="#,##0.00">
                  <c:v>79.137999999999991</c:v>
                </c:pt>
                <c:pt idx="9" formatCode="#,##0.00">
                  <c:v>81.225999999999999</c:v>
                </c:pt>
                <c:pt idx="10" formatCode="#,##0.00">
                  <c:v>84.850999999999999</c:v>
                </c:pt>
                <c:pt idx="11" formatCode="#,##0.00">
                  <c:v>90.463573923396723</c:v>
                </c:pt>
                <c:pt idx="12" formatCode="#,##0.00">
                  <c:v>96.890352908247465</c:v>
                </c:pt>
                <c:pt idx="13" formatCode="#,##0.00">
                  <c:v>103.1886224341246</c:v>
                </c:pt>
                <c:pt idx="14" formatCode="#,##0.00">
                  <c:v>109.27286677265573</c:v>
                </c:pt>
              </c:numCache>
              <c:extLst/>
            </c:numRef>
          </c:val>
          <c:extLst>
            <c:ext xmlns:c14="http://schemas.microsoft.com/office/drawing/2007/8/2/chart" uri="{6F2FDCE9-48DA-4B69-8628-5D25D57E5C99}">
              <c14:invertSolidFillFmt>
                <c14:spPr xmlns:c14="http://schemas.microsoft.com/office/drawing/2007/8/2/chart">
                  <a:solidFill>
                    <a:srgbClr val="ADB9CA"/>
                  </a:solidFill>
                  <a:ln>
                    <a:solidFill>
                      <a:srgbClr val="92D050"/>
                    </a:solidFill>
                  </a:ln>
                  <a:effectLst/>
                </c14:spPr>
              </c14:invertSolidFillFmt>
            </c:ext>
            <c:ext xmlns:c16="http://schemas.microsoft.com/office/drawing/2014/chart" uri="{C3380CC4-5D6E-409C-BE32-E72D297353CC}">
              <c16:uniqueId val="{00000000-2916-4433-AE85-3011F4544E16}"/>
            </c:ext>
          </c:extLst>
        </c:ser>
        <c:dLbls>
          <c:showLegendKey val="0"/>
          <c:showVal val="0"/>
          <c:showCatName val="0"/>
          <c:showSerName val="0"/>
          <c:showPercent val="0"/>
          <c:showBubbleSize val="0"/>
        </c:dLbls>
        <c:gapWidth val="150"/>
        <c:axId val="61928192"/>
        <c:axId val="61917824"/>
      </c:barChart>
      <c:lineChart>
        <c:grouping val="stacked"/>
        <c:varyColors val="0"/>
        <c:ser>
          <c:idx val="1"/>
          <c:order val="1"/>
          <c:tx>
            <c:strRef>
              <c:f>Makro!$A$3</c:f>
              <c:strCache>
                <c:ptCount val="1"/>
                <c:pt idx="0">
                  <c:v>HDP, s.c. (YoY zmena)</c:v>
                </c:pt>
              </c:strCache>
            </c:strRef>
          </c:tx>
          <c:spPr>
            <a:ln w="28575" cap="rnd">
              <a:solidFill>
                <a:srgbClr val="FF0000"/>
              </a:solidFill>
              <a:round/>
            </a:ln>
            <a:effectLst/>
          </c:spPr>
          <c:marker>
            <c:symbol val="none"/>
          </c:marker>
          <c:cat>
            <c:strRef>
              <c:f>Makro!$B$1:$T$1</c:f>
              <c:strCache>
                <c:ptCount val="15"/>
                <c:pt idx="0">
                  <c:v>2007</c:v>
                </c:pt>
                <c:pt idx="1">
                  <c:v>2008</c:v>
                </c:pt>
                <c:pt idx="2">
                  <c:v>2009</c:v>
                </c:pt>
                <c:pt idx="3">
                  <c:v>2010</c:v>
                </c:pt>
                <c:pt idx="4">
                  <c:v>2011</c:v>
                </c:pt>
                <c:pt idx="5">
                  <c:v>2012</c:v>
                </c:pt>
                <c:pt idx="6">
                  <c:v>2013</c:v>
                </c:pt>
                <c:pt idx="7">
                  <c:v>2014</c:v>
                </c:pt>
                <c:pt idx="8">
                  <c:v>2015</c:v>
                </c:pt>
                <c:pt idx="9">
                  <c:v>2016</c:v>
                </c:pt>
                <c:pt idx="10">
                  <c:v>2017</c:v>
                </c:pt>
                <c:pt idx="11">
                  <c:v>2018 OS</c:v>
                </c:pt>
                <c:pt idx="12">
                  <c:v>2019 RVS</c:v>
                </c:pt>
                <c:pt idx="13">
                  <c:v>2020 RVS</c:v>
                </c:pt>
                <c:pt idx="14">
                  <c:v>2021 RVS</c:v>
                </c:pt>
              </c:strCache>
              <c:extLst/>
            </c:strRef>
          </c:cat>
          <c:val>
            <c:numRef>
              <c:f>Makro!$B$3:$T$3</c:f>
              <c:numCache>
                <c:formatCode>#,##0.00</c:formatCode>
                <c:ptCount val="15"/>
                <c:pt idx="0">
                  <c:v>10.834435814295048</c:v>
                </c:pt>
                <c:pt idx="1">
                  <c:v>5.6527220089285679</c:v>
                </c:pt>
                <c:pt idx="2">
                  <c:v>-5.4913167953359334</c:v>
                </c:pt>
                <c:pt idx="3">
                  <c:v>5.0818680010347865</c:v>
                </c:pt>
                <c:pt idx="4">
                  <c:v>2.8418730089488244</c:v>
                </c:pt>
                <c:pt idx="5">
                  <c:v>1.5233614737102386</c:v>
                </c:pt>
                <c:pt idx="6">
                  <c:v>1.4</c:v>
                </c:pt>
                <c:pt idx="7">
                  <c:v>2.5219335874674416</c:v>
                </c:pt>
                <c:pt idx="8">
                  <c:v>3.8501006044002297</c:v>
                </c:pt>
                <c:pt idx="9">
                  <c:v>3.3246952959640197</c:v>
                </c:pt>
                <c:pt idx="10">
                  <c:v>3.4001663110798437</c:v>
                </c:pt>
                <c:pt idx="11">
                  <c:v>4.0747365700230391</c:v>
                </c:pt>
                <c:pt idx="12">
                  <c:v>4.4995126620853014</c:v>
                </c:pt>
                <c:pt idx="13">
                  <c:v>3.9148883673591142</c:v>
                </c:pt>
                <c:pt idx="14">
                  <c:v>3.3252780949083229</c:v>
                </c:pt>
              </c:numCache>
              <c:extLst/>
            </c:numRef>
          </c:val>
          <c:smooth val="0"/>
          <c:extLst>
            <c:ext xmlns:c16="http://schemas.microsoft.com/office/drawing/2014/chart" uri="{C3380CC4-5D6E-409C-BE32-E72D297353CC}">
              <c16:uniqueId val="{00000001-2916-4433-AE85-3011F4544E16}"/>
            </c:ext>
          </c:extLst>
        </c:ser>
        <c:dLbls>
          <c:showLegendKey val="0"/>
          <c:showVal val="0"/>
          <c:showCatName val="0"/>
          <c:showSerName val="0"/>
          <c:showPercent val="0"/>
          <c:showBubbleSize val="0"/>
        </c:dLbls>
        <c:marker val="1"/>
        <c:smooth val="0"/>
        <c:axId val="61893632"/>
        <c:axId val="61915904"/>
        <c:extLst>
          <c:ext xmlns:c15="http://schemas.microsoft.com/office/drawing/2012/chart" uri="{02D57815-91ED-43cb-92C2-25804820EDAC}">
            <c15:filteredLineSeries>
              <c15:ser>
                <c:idx val="0"/>
                <c:order val="0"/>
                <c:tx>
                  <c:strRef>
                    <c:extLst>
                      <c:ext uri="{02D57815-91ED-43cb-92C2-25804820EDAC}">
                        <c15:formulaRef>
                          <c15:sqref>Makro!$A$2</c15:sqref>
                        </c15:formulaRef>
                      </c:ext>
                    </c:extLst>
                    <c:strCache>
                      <c:ptCount val="1"/>
                      <c:pt idx="0">
                        <c:v>Hrubý domáci produkt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extLst>
                      <c:ext uri="{02D57815-91ED-43cb-92C2-25804820EDAC}">
                        <c15:formulaRef>
                          <c15:sqref>Makro!$B$1:$T$1</c15:sqref>
                        </c15:formulaRef>
                      </c:ext>
                    </c:extLst>
                    <c:strCache>
                      <c:ptCount val="15"/>
                      <c:pt idx="0">
                        <c:v>2007</c:v>
                      </c:pt>
                      <c:pt idx="1">
                        <c:v>2008</c:v>
                      </c:pt>
                      <c:pt idx="2">
                        <c:v>2009</c:v>
                      </c:pt>
                      <c:pt idx="3">
                        <c:v>2010</c:v>
                      </c:pt>
                      <c:pt idx="4">
                        <c:v>2011</c:v>
                      </c:pt>
                      <c:pt idx="5">
                        <c:v>2012</c:v>
                      </c:pt>
                      <c:pt idx="6">
                        <c:v>2013</c:v>
                      </c:pt>
                      <c:pt idx="7">
                        <c:v>2014</c:v>
                      </c:pt>
                      <c:pt idx="8">
                        <c:v>2015</c:v>
                      </c:pt>
                      <c:pt idx="9">
                        <c:v>2016</c:v>
                      </c:pt>
                      <c:pt idx="10">
                        <c:v>2017</c:v>
                      </c:pt>
                      <c:pt idx="11">
                        <c:v>2018 OS</c:v>
                      </c:pt>
                      <c:pt idx="12">
                        <c:v>2019 RVS</c:v>
                      </c:pt>
                      <c:pt idx="13">
                        <c:v>2020 RVS</c:v>
                      </c:pt>
                      <c:pt idx="14">
                        <c:v>2021 RVS</c:v>
                      </c:pt>
                    </c:strCache>
                  </c:strRef>
                </c:cat>
                <c:val>
                  <c:numRef>
                    <c:extLst>
                      <c:ext uri="{02D57815-91ED-43cb-92C2-25804820EDAC}">
                        <c15:formulaRef>
                          <c15:sqref>Makro!$B$2:$T$2</c15:sqref>
                        </c15:formulaRef>
                      </c:ext>
                    </c:extLst>
                    <c:numCache>
                      <c:formatCode>General</c:formatCode>
                      <c:ptCount val="15"/>
                    </c:numCache>
                  </c:numRef>
                </c:val>
                <c:smooth val="0"/>
                <c:extLst>
                  <c:ext xmlns:c16="http://schemas.microsoft.com/office/drawing/2014/chart" uri="{C3380CC4-5D6E-409C-BE32-E72D297353CC}">
                    <c16:uniqueId val="{00000002-2916-4433-AE85-3011F4544E16}"/>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Makro!$A$5</c15:sqref>
                        </c15:formulaRef>
                      </c:ext>
                    </c:extLst>
                    <c:strCache>
                      <c:ptCount val="1"/>
                      <c:pt idx="0">
                        <c:v>Súkromná spotreba, s.c.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extLst xmlns:c15="http://schemas.microsoft.com/office/drawing/2012/chart">
                      <c:ext xmlns:c15="http://schemas.microsoft.com/office/drawing/2012/chart" uri="{02D57815-91ED-43cb-92C2-25804820EDAC}">
                        <c15:formulaRef>
                          <c15:sqref>Makro!$B$1:$T$1</c15:sqref>
                        </c15:formulaRef>
                      </c:ext>
                    </c:extLst>
                    <c:strCache>
                      <c:ptCount val="15"/>
                      <c:pt idx="0">
                        <c:v>2007</c:v>
                      </c:pt>
                      <c:pt idx="1">
                        <c:v>2008</c:v>
                      </c:pt>
                      <c:pt idx="2">
                        <c:v>2009</c:v>
                      </c:pt>
                      <c:pt idx="3">
                        <c:v>2010</c:v>
                      </c:pt>
                      <c:pt idx="4">
                        <c:v>2011</c:v>
                      </c:pt>
                      <c:pt idx="5">
                        <c:v>2012</c:v>
                      </c:pt>
                      <c:pt idx="6">
                        <c:v>2013</c:v>
                      </c:pt>
                      <c:pt idx="7">
                        <c:v>2014</c:v>
                      </c:pt>
                      <c:pt idx="8">
                        <c:v>2015</c:v>
                      </c:pt>
                      <c:pt idx="9">
                        <c:v>2016</c:v>
                      </c:pt>
                      <c:pt idx="10">
                        <c:v>2017</c:v>
                      </c:pt>
                      <c:pt idx="11">
                        <c:v>2018 OS</c:v>
                      </c:pt>
                      <c:pt idx="12">
                        <c:v>2019 RVS</c:v>
                      </c:pt>
                      <c:pt idx="13">
                        <c:v>2020 RVS</c:v>
                      </c:pt>
                      <c:pt idx="14">
                        <c:v>2021 RVS</c:v>
                      </c:pt>
                    </c:strCache>
                  </c:strRef>
                </c:cat>
                <c:val>
                  <c:numRef>
                    <c:extLst xmlns:c15="http://schemas.microsoft.com/office/drawing/2012/chart">
                      <c:ext xmlns:c15="http://schemas.microsoft.com/office/drawing/2012/chart" uri="{02D57815-91ED-43cb-92C2-25804820EDAC}">
                        <c15:formulaRef>
                          <c15:sqref>Makro!$B$5:$T$5</c15:sqref>
                        </c15:formulaRef>
                      </c:ext>
                    </c:extLst>
                    <c:numCache>
                      <c:formatCode>#,##0.00</c:formatCode>
                      <c:ptCount val="15"/>
                      <c:pt idx="0">
                        <c:v>7.6778480892242262</c:v>
                      </c:pt>
                      <c:pt idx="1">
                        <c:v>6.007414251475085</c:v>
                      </c:pt>
                      <c:pt idx="2">
                        <c:v>-0.56922555146106113</c:v>
                      </c:pt>
                      <c:pt idx="3">
                        <c:v>0.41308181324388737</c:v>
                      </c:pt>
                      <c:pt idx="4">
                        <c:v>-0.58011709747891604</c:v>
                      </c:pt>
                      <c:pt idx="5">
                        <c:v>-0.41938623514099493</c:v>
                      </c:pt>
                      <c:pt idx="6">
                        <c:v>-0.8</c:v>
                      </c:pt>
                      <c:pt idx="7">
                        <c:v>2.3531050027769673</c:v>
                      </c:pt>
                      <c:pt idx="8">
                        <c:v>2.2688066928936657</c:v>
                      </c:pt>
                      <c:pt idx="9">
                        <c:v>2.6477984866463355</c:v>
                      </c:pt>
                      <c:pt idx="10">
                        <c:v>3.6646758781723632</c:v>
                      </c:pt>
                      <c:pt idx="11">
                        <c:v>2.95896744030264</c:v>
                      </c:pt>
                      <c:pt idx="12">
                        <c:v>2.8540125387920057</c:v>
                      </c:pt>
                      <c:pt idx="13">
                        <c:v>2.8766104429726269</c:v>
                      </c:pt>
                      <c:pt idx="14">
                        <c:v>2.4180859334398841</c:v>
                      </c:pt>
                    </c:numCache>
                  </c:numRef>
                </c:val>
                <c:smooth val="0"/>
                <c:extLst xmlns:c15="http://schemas.microsoft.com/office/drawing/2012/chart">
                  <c:ext xmlns:c16="http://schemas.microsoft.com/office/drawing/2014/chart" uri="{C3380CC4-5D6E-409C-BE32-E72D297353CC}">
                    <c16:uniqueId val="{00000003-2916-4433-AE85-3011F4544E16}"/>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Makro!$A$6</c15:sqref>
                        </c15:formulaRef>
                      </c:ext>
                    </c:extLst>
                    <c:strCache>
                      <c:ptCount val="1"/>
                      <c:pt idx="0">
                        <c:v>Súkromná spotreba, b.c</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extLst xmlns:c15="http://schemas.microsoft.com/office/drawing/2012/chart">
                      <c:ext xmlns:c15="http://schemas.microsoft.com/office/drawing/2012/chart" uri="{02D57815-91ED-43cb-92C2-25804820EDAC}">
                        <c15:formulaRef>
                          <c15:sqref>Makro!$B$1:$T$1</c15:sqref>
                        </c15:formulaRef>
                      </c:ext>
                    </c:extLst>
                    <c:strCache>
                      <c:ptCount val="15"/>
                      <c:pt idx="0">
                        <c:v>2007</c:v>
                      </c:pt>
                      <c:pt idx="1">
                        <c:v>2008</c:v>
                      </c:pt>
                      <c:pt idx="2">
                        <c:v>2009</c:v>
                      </c:pt>
                      <c:pt idx="3">
                        <c:v>2010</c:v>
                      </c:pt>
                      <c:pt idx="4">
                        <c:v>2011</c:v>
                      </c:pt>
                      <c:pt idx="5">
                        <c:v>2012</c:v>
                      </c:pt>
                      <c:pt idx="6">
                        <c:v>2013</c:v>
                      </c:pt>
                      <c:pt idx="7">
                        <c:v>2014</c:v>
                      </c:pt>
                      <c:pt idx="8">
                        <c:v>2015</c:v>
                      </c:pt>
                      <c:pt idx="9">
                        <c:v>2016</c:v>
                      </c:pt>
                      <c:pt idx="10">
                        <c:v>2017</c:v>
                      </c:pt>
                      <c:pt idx="11">
                        <c:v>2018 OS</c:v>
                      </c:pt>
                      <c:pt idx="12">
                        <c:v>2019 RVS</c:v>
                      </c:pt>
                      <c:pt idx="13">
                        <c:v>2020 RVS</c:v>
                      </c:pt>
                      <c:pt idx="14">
                        <c:v>2021 RVS</c:v>
                      </c:pt>
                    </c:strCache>
                  </c:strRef>
                </c:cat>
                <c:val>
                  <c:numRef>
                    <c:extLst xmlns:c15="http://schemas.microsoft.com/office/drawing/2012/chart">
                      <c:ext xmlns:c15="http://schemas.microsoft.com/office/drawing/2012/chart" uri="{02D57815-91ED-43cb-92C2-25804820EDAC}">
                        <c15:formulaRef>
                          <c15:sqref>Makro!$B$6:$T$6</c15:sqref>
                        </c15:formulaRef>
                      </c:ext>
                    </c:extLst>
                    <c:numCache>
                      <c:formatCode>#,##0.00</c:formatCode>
                      <c:ptCount val="15"/>
                      <c:pt idx="0">
                        <c:v>10.476511327681038</c:v>
                      </c:pt>
                      <c:pt idx="1">
                        <c:v>10.766849914907617</c:v>
                      </c:pt>
                      <c:pt idx="2">
                        <c:v>-0.51950979838945033</c:v>
                      </c:pt>
                      <c:pt idx="3">
                        <c:v>1.4406455867606915</c:v>
                      </c:pt>
                      <c:pt idx="4">
                        <c:v>3.3103037353567677</c:v>
                      </c:pt>
                      <c:pt idx="5">
                        <c:v>3.0276330277366315</c:v>
                      </c:pt>
                      <c:pt idx="6">
                        <c:v>0.5</c:v>
                      </c:pt>
                      <c:pt idx="7">
                        <c:v>2.2558161260377352</c:v>
                      </c:pt>
                      <c:pt idx="8">
                        <c:v>2.1403066350423661</c:v>
                      </c:pt>
                      <c:pt idx="9">
                        <c:v>2.2988900649050237</c:v>
                      </c:pt>
                      <c:pt idx="10">
                        <c:v>5.0964693457478338</c:v>
                      </c:pt>
                      <c:pt idx="11">
                        <c:v>5.6227623567830953</c:v>
                      </c:pt>
                      <c:pt idx="12">
                        <c:v>4.8094552606324781</c:v>
                      </c:pt>
                      <c:pt idx="13">
                        <c:v>5.0214400635998357</c:v>
                      </c:pt>
                      <c:pt idx="14">
                        <c:v>4.9657018212556414</c:v>
                      </c:pt>
                    </c:numCache>
                  </c:numRef>
                </c:val>
                <c:smooth val="0"/>
                <c:extLst xmlns:c15="http://schemas.microsoft.com/office/drawing/2012/chart">
                  <c:ext xmlns:c16="http://schemas.microsoft.com/office/drawing/2014/chart" uri="{C3380CC4-5D6E-409C-BE32-E72D297353CC}">
                    <c16:uniqueId val="{00000004-2916-4433-AE85-3011F4544E16}"/>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Makro!$A$7</c15:sqref>
                        </c15:formulaRef>
                      </c:ext>
                    </c:extLst>
                    <c:strCache>
                      <c:ptCount val="1"/>
                      <c:pt idx="0">
                        <c:v>Vládna Spotreba, s.c.</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extLst xmlns:c15="http://schemas.microsoft.com/office/drawing/2012/chart">
                      <c:ext xmlns:c15="http://schemas.microsoft.com/office/drawing/2012/chart" uri="{02D57815-91ED-43cb-92C2-25804820EDAC}">
                        <c15:formulaRef>
                          <c15:sqref>Makro!$B$1:$T$1</c15:sqref>
                        </c15:formulaRef>
                      </c:ext>
                    </c:extLst>
                    <c:strCache>
                      <c:ptCount val="15"/>
                      <c:pt idx="0">
                        <c:v>2007</c:v>
                      </c:pt>
                      <c:pt idx="1">
                        <c:v>2008</c:v>
                      </c:pt>
                      <c:pt idx="2">
                        <c:v>2009</c:v>
                      </c:pt>
                      <c:pt idx="3">
                        <c:v>2010</c:v>
                      </c:pt>
                      <c:pt idx="4">
                        <c:v>2011</c:v>
                      </c:pt>
                      <c:pt idx="5">
                        <c:v>2012</c:v>
                      </c:pt>
                      <c:pt idx="6">
                        <c:v>2013</c:v>
                      </c:pt>
                      <c:pt idx="7">
                        <c:v>2014</c:v>
                      </c:pt>
                      <c:pt idx="8">
                        <c:v>2015</c:v>
                      </c:pt>
                      <c:pt idx="9">
                        <c:v>2016</c:v>
                      </c:pt>
                      <c:pt idx="10">
                        <c:v>2017</c:v>
                      </c:pt>
                      <c:pt idx="11">
                        <c:v>2018 OS</c:v>
                      </c:pt>
                      <c:pt idx="12">
                        <c:v>2019 RVS</c:v>
                      </c:pt>
                      <c:pt idx="13">
                        <c:v>2020 RVS</c:v>
                      </c:pt>
                      <c:pt idx="14">
                        <c:v>2021 RVS</c:v>
                      </c:pt>
                    </c:strCache>
                  </c:strRef>
                </c:cat>
                <c:val>
                  <c:numRef>
                    <c:extLst xmlns:c15="http://schemas.microsoft.com/office/drawing/2012/chart">
                      <c:ext xmlns:c15="http://schemas.microsoft.com/office/drawing/2012/chart" uri="{02D57815-91ED-43cb-92C2-25804820EDAC}">
                        <c15:formulaRef>
                          <c15:sqref>Makro!$B$7:$T$7</c15:sqref>
                        </c15:formulaRef>
                      </c:ext>
                    </c:extLst>
                    <c:numCache>
                      <c:formatCode>#,##0.00</c:formatCode>
                      <c:ptCount val="15"/>
                      <c:pt idx="0">
                        <c:v>0.27645105613807175</c:v>
                      </c:pt>
                      <c:pt idx="1">
                        <c:v>6.6859259765169821</c:v>
                      </c:pt>
                      <c:pt idx="2">
                        <c:v>5.9936658821046152</c:v>
                      </c:pt>
                      <c:pt idx="3">
                        <c:v>1.7975186216524275</c:v>
                      </c:pt>
                      <c:pt idx="4">
                        <c:v>-1.7076966853010633</c:v>
                      </c:pt>
                      <c:pt idx="5">
                        <c:v>-2.6031551088731342</c:v>
                      </c:pt>
                      <c:pt idx="6">
                        <c:v>2.2000000000000002</c:v>
                      </c:pt>
                      <c:pt idx="7">
                        <c:v>5.9486626143724797</c:v>
                      </c:pt>
                      <c:pt idx="8">
                        <c:v>5.4268914827961368</c:v>
                      </c:pt>
                      <c:pt idx="9">
                        <c:v>1.6</c:v>
                      </c:pt>
                      <c:pt idx="10">
                        <c:v>0.23594799445572079</c:v>
                      </c:pt>
                      <c:pt idx="11">
                        <c:v>1.7759397914120401</c:v>
                      </c:pt>
                      <c:pt idx="12">
                        <c:v>1.5846149524220365</c:v>
                      </c:pt>
                      <c:pt idx="13">
                        <c:v>1.5558958734777528</c:v>
                      </c:pt>
                      <c:pt idx="14">
                        <c:v>1.1892072822822009</c:v>
                      </c:pt>
                    </c:numCache>
                  </c:numRef>
                </c:val>
                <c:smooth val="0"/>
                <c:extLst xmlns:c15="http://schemas.microsoft.com/office/drawing/2012/chart">
                  <c:ext xmlns:c16="http://schemas.microsoft.com/office/drawing/2014/chart" uri="{C3380CC4-5D6E-409C-BE32-E72D297353CC}">
                    <c16:uniqueId val="{00000005-2916-4433-AE85-3011F4544E16}"/>
                  </c:ext>
                </c:extLst>
              </c15:ser>
            </c15:filteredLineSeries>
            <c15:filteredLineSeries>
              <c15:ser>
                <c:idx val="6"/>
                <c:order val="6"/>
                <c:tx>
                  <c:strRef>
                    <c:extLst xmlns:c15="http://schemas.microsoft.com/office/drawing/2012/chart">
                      <c:ext xmlns:c15="http://schemas.microsoft.com/office/drawing/2012/chart" uri="{02D57815-91ED-43cb-92C2-25804820EDAC}">
                        <c15:formulaRef>
                          <c15:sqref>Makro!$A$8</c15:sqref>
                        </c15:formulaRef>
                      </c:ext>
                    </c:extLst>
                    <c:strCache>
                      <c:ptCount val="1"/>
                      <c:pt idx="0">
                        <c:v>Fixné investície, s.c.</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extLst xmlns:c15="http://schemas.microsoft.com/office/drawing/2012/chart">
                      <c:ext xmlns:c15="http://schemas.microsoft.com/office/drawing/2012/chart" uri="{02D57815-91ED-43cb-92C2-25804820EDAC}">
                        <c15:formulaRef>
                          <c15:sqref>Makro!$B$1:$T$1</c15:sqref>
                        </c15:formulaRef>
                      </c:ext>
                    </c:extLst>
                    <c:strCache>
                      <c:ptCount val="15"/>
                      <c:pt idx="0">
                        <c:v>2007</c:v>
                      </c:pt>
                      <c:pt idx="1">
                        <c:v>2008</c:v>
                      </c:pt>
                      <c:pt idx="2">
                        <c:v>2009</c:v>
                      </c:pt>
                      <c:pt idx="3">
                        <c:v>2010</c:v>
                      </c:pt>
                      <c:pt idx="4">
                        <c:v>2011</c:v>
                      </c:pt>
                      <c:pt idx="5">
                        <c:v>2012</c:v>
                      </c:pt>
                      <c:pt idx="6">
                        <c:v>2013</c:v>
                      </c:pt>
                      <c:pt idx="7">
                        <c:v>2014</c:v>
                      </c:pt>
                      <c:pt idx="8">
                        <c:v>2015</c:v>
                      </c:pt>
                      <c:pt idx="9">
                        <c:v>2016</c:v>
                      </c:pt>
                      <c:pt idx="10">
                        <c:v>2017</c:v>
                      </c:pt>
                      <c:pt idx="11">
                        <c:v>2018 OS</c:v>
                      </c:pt>
                      <c:pt idx="12">
                        <c:v>2019 RVS</c:v>
                      </c:pt>
                      <c:pt idx="13">
                        <c:v>2020 RVS</c:v>
                      </c:pt>
                      <c:pt idx="14">
                        <c:v>2021 RVS</c:v>
                      </c:pt>
                    </c:strCache>
                  </c:strRef>
                </c:cat>
                <c:val>
                  <c:numRef>
                    <c:extLst xmlns:c15="http://schemas.microsoft.com/office/drawing/2012/chart">
                      <c:ext xmlns:c15="http://schemas.microsoft.com/office/drawing/2012/chart" uri="{02D57815-91ED-43cb-92C2-25804820EDAC}">
                        <c15:formulaRef>
                          <c15:sqref>Makro!$B$8:$T$8</c15:sqref>
                        </c15:formulaRef>
                      </c:ext>
                    </c:extLst>
                    <c:numCache>
                      <c:formatCode>#,##0.00</c:formatCode>
                      <c:ptCount val="15"/>
                      <c:pt idx="0">
                        <c:v>8.8719617775610438</c:v>
                      </c:pt>
                      <c:pt idx="1">
                        <c:v>1.5907811454365595</c:v>
                      </c:pt>
                      <c:pt idx="2">
                        <c:v>-18.680436879515248</c:v>
                      </c:pt>
                      <c:pt idx="3">
                        <c:v>7.2431338201529583</c:v>
                      </c:pt>
                      <c:pt idx="4">
                        <c:v>12.653689871478635</c:v>
                      </c:pt>
                      <c:pt idx="5">
                        <c:v>-9.236957498647925</c:v>
                      </c:pt>
                      <c:pt idx="6">
                        <c:v>-1.1000000000000001</c:v>
                      </c:pt>
                      <c:pt idx="7">
                        <c:v>3.4938290919412029</c:v>
                      </c:pt>
                      <c:pt idx="8">
                        <c:v>19.799853972634331</c:v>
                      </c:pt>
                      <c:pt idx="9">
                        <c:v>-8.3000000000000007</c:v>
                      </c:pt>
                      <c:pt idx="10">
                        <c:v>3.1842761958973176</c:v>
                      </c:pt>
                      <c:pt idx="11">
                        <c:v>9.5593079254990609</c:v>
                      </c:pt>
                      <c:pt idx="12">
                        <c:v>3.199436296278102</c:v>
                      </c:pt>
                      <c:pt idx="13">
                        <c:v>3.1908107049315904</c:v>
                      </c:pt>
                      <c:pt idx="14">
                        <c:v>2.9957550160556901</c:v>
                      </c:pt>
                    </c:numCache>
                  </c:numRef>
                </c:val>
                <c:smooth val="0"/>
                <c:extLst xmlns:c15="http://schemas.microsoft.com/office/drawing/2012/chart">
                  <c:ext xmlns:c16="http://schemas.microsoft.com/office/drawing/2014/chart" uri="{C3380CC4-5D6E-409C-BE32-E72D297353CC}">
                    <c16:uniqueId val="{00000006-2916-4433-AE85-3011F4544E16}"/>
                  </c:ext>
                </c:extLst>
              </c15:ser>
            </c15:filteredLineSeries>
            <c15:filteredLineSeries>
              <c15:ser>
                <c:idx val="7"/>
                <c:order val="7"/>
                <c:tx>
                  <c:strRef>
                    <c:extLst xmlns:c15="http://schemas.microsoft.com/office/drawing/2012/chart">
                      <c:ext xmlns:c15="http://schemas.microsoft.com/office/drawing/2012/chart" uri="{02D57815-91ED-43cb-92C2-25804820EDAC}">
                        <c15:formulaRef>
                          <c15:sqref>Makro!$A$9</c15:sqref>
                        </c15:formulaRef>
                      </c:ext>
                    </c:extLst>
                    <c:strCache>
                      <c:ptCount val="1"/>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strRef>
                    <c:extLst xmlns:c15="http://schemas.microsoft.com/office/drawing/2012/chart">
                      <c:ext xmlns:c15="http://schemas.microsoft.com/office/drawing/2012/chart" uri="{02D57815-91ED-43cb-92C2-25804820EDAC}">
                        <c15:formulaRef>
                          <c15:sqref>Makro!$B$1:$T$1</c15:sqref>
                        </c15:formulaRef>
                      </c:ext>
                    </c:extLst>
                    <c:strCache>
                      <c:ptCount val="15"/>
                      <c:pt idx="0">
                        <c:v>2007</c:v>
                      </c:pt>
                      <c:pt idx="1">
                        <c:v>2008</c:v>
                      </c:pt>
                      <c:pt idx="2">
                        <c:v>2009</c:v>
                      </c:pt>
                      <c:pt idx="3">
                        <c:v>2010</c:v>
                      </c:pt>
                      <c:pt idx="4">
                        <c:v>2011</c:v>
                      </c:pt>
                      <c:pt idx="5">
                        <c:v>2012</c:v>
                      </c:pt>
                      <c:pt idx="6">
                        <c:v>2013</c:v>
                      </c:pt>
                      <c:pt idx="7">
                        <c:v>2014</c:v>
                      </c:pt>
                      <c:pt idx="8">
                        <c:v>2015</c:v>
                      </c:pt>
                      <c:pt idx="9">
                        <c:v>2016</c:v>
                      </c:pt>
                      <c:pt idx="10">
                        <c:v>2017</c:v>
                      </c:pt>
                      <c:pt idx="11">
                        <c:v>2018 OS</c:v>
                      </c:pt>
                      <c:pt idx="12">
                        <c:v>2019 RVS</c:v>
                      </c:pt>
                      <c:pt idx="13">
                        <c:v>2020 RVS</c:v>
                      </c:pt>
                      <c:pt idx="14">
                        <c:v>2021 RVS</c:v>
                      </c:pt>
                    </c:strCache>
                  </c:strRef>
                </c:cat>
                <c:val>
                  <c:numRef>
                    <c:extLst xmlns:c15="http://schemas.microsoft.com/office/drawing/2012/chart">
                      <c:ext xmlns:c15="http://schemas.microsoft.com/office/drawing/2012/chart" uri="{02D57815-91ED-43cb-92C2-25804820EDAC}">
                        <c15:formulaRef>
                          <c15:sqref>Makro!$B$9:$T$9</c15:sqref>
                        </c15:formulaRef>
                      </c:ext>
                    </c:extLst>
                    <c:numCache>
                      <c:formatCode>General</c:formatCode>
                      <c:ptCount val="15"/>
                    </c:numCache>
                  </c:numRef>
                </c:val>
                <c:smooth val="0"/>
                <c:extLst xmlns:c15="http://schemas.microsoft.com/office/drawing/2012/chart">
                  <c:ext xmlns:c16="http://schemas.microsoft.com/office/drawing/2014/chart" uri="{C3380CC4-5D6E-409C-BE32-E72D297353CC}">
                    <c16:uniqueId val="{00000007-2916-4433-AE85-3011F4544E16}"/>
                  </c:ext>
                </c:extLst>
              </c15:ser>
            </c15:filteredLineSeries>
            <c15:filteredLineSeries>
              <c15:ser>
                <c:idx val="8"/>
                <c:order val="8"/>
                <c:tx>
                  <c:strRef>
                    <c:extLst xmlns:c15="http://schemas.microsoft.com/office/drawing/2012/chart">
                      <c:ext xmlns:c15="http://schemas.microsoft.com/office/drawing/2012/chart" uri="{02D57815-91ED-43cb-92C2-25804820EDAC}">
                        <c15:formulaRef>
                          <c15:sqref>Makro!$A$10</c15:sqref>
                        </c15:formulaRef>
                      </c:ext>
                    </c:extLst>
                    <c:strCache>
                      <c:ptCount val="1"/>
                      <c:pt idx="0">
                        <c:v>Export tovarov a služieb, s.c.</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extLst xmlns:c15="http://schemas.microsoft.com/office/drawing/2012/chart">
                      <c:ext xmlns:c15="http://schemas.microsoft.com/office/drawing/2012/chart" uri="{02D57815-91ED-43cb-92C2-25804820EDAC}">
                        <c15:formulaRef>
                          <c15:sqref>Makro!$B$1:$T$1</c15:sqref>
                        </c15:formulaRef>
                      </c:ext>
                    </c:extLst>
                    <c:strCache>
                      <c:ptCount val="15"/>
                      <c:pt idx="0">
                        <c:v>2007</c:v>
                      </c:pt>
                      <c:pt idx="1">
                        <c:v>2008</c:v>
                      </c:pt>
                      <c:pt idx="2">
                        <c:v>2009</c:v>
                      </c:pt>
                      <c:pt idx="3">
                        <c:v>2010</c:v>
                      </c:pt>
                      <c:pt idx="4">
                        <c:v>2011</c:v>
                      </c:pt>
                      <c:pt idx="5">
                        <c:v>2012</c:v>
                      </c:pt>
                      <c:pt idx="6">
                        <c:v>2013</c:v>
                      </c:pt>
                      <c:pt idx="7">
                        <c:v>2014</c:v>
                      </c:pt>
                      <c:pt idx="8">
                        <c:v>2015</c:v>
                      </c:pt>
                      <c:pt idx="9">
                        <c:v>2016</c:v>
                      </c:pt>
                      <c:pt idx="10">
                        <c:v>2017</c:v>
                      </c:pt>
                      <c:pt idx="11">
                        <c:v>2018 OS</c:v>
                      </c:pt>
                      <c:pt idx="12">
                        <c:v>2019 RVS</c:v>
                      </c:pt>
                      <c:pt idx="13">
                        <c:v>2020 RVS</c:v>
                      </c:pt>
                      <c:pt idx="14">
                        <c:v>2021 RVS</c:v>
                      </c:pt>
                    </c:strCache>
                  </c:strRef>
                </c:cat>
                <c:val>
                  <c:numRef>
                    <c:extLst xmlns:c15="http://schemas.microsoft.com/office/drawing/2012/chart">
                      <c:ext xmlns:c15="http://schemas.microsoft.com/office/drawing/2012/chart" uri="{02D57815-91ED-43cb-92C2-25804820EDAC}">
                        <c15:formulaRef>
                          <c15:sqref>Makro!$B$10:$T$10</c15:sqref>
                        </c15:formulaRef>
                      </c:ext>
                    </c:extLst>
                    <c:numCache>
                      <c:formatCode>#,##0.00</c:formatCode>
                      <c:ptCount val="15"/>
                      <c:pt idx="0">
                        <c:v>14.602307591380303</c:v>
                      </c:pt>
                      <c:pt idx="1">
                        <c:v>3.0192405397503563</c:v>
                      </c:pt>
                      <c:pt idx="2">
                        <c:v>-16.763632835839569</c:v>
                      </c:pt>
                      <c:pt idx="3">
                        <c:v>15.734681592918243</c:v>
                      </c:pt>
                      <c:pt idx="4">
                        <c:v>12.007688935085525</c:v>
                      </c:pt>
                      <c:pt idx="5">
                        <c:v>9.3065154476330783</c:v>
                      </c:pt>
                      <c:pt idx="6">
                        <c:v>6.2</c:v>
                      </c:pt>
                      <c:pt idx="7">
                        <c:v>3.633376635008978</c:v>
                      </c:pt>
                      <c:pt idx="8">
                        <c:v>6.3940770536740965</c:v>
                      </c:pt>
                      <c:pt idx="9">
                        <c:v>6.2375507707628675</c:v>
                      </c:pt>
                      <c:pt idx="10">
                        <c:v>4.3</c:v>
                      </c:pt>
                      <c:pt idx="11">
                        <c:v>6.7934477777647162</c:v>
                      </c:pt>
                      <c:pt idx="12">
                        <c:v>7.691391413757831</c:v>
                      </c:pt>
                      <c:pt idx="13">
                        <c:v>6.2756308847702114</c:v>
                      </c:pt>
                      <c:pt idx="14">
                        <c:v>5.7146649088417378</c:v>
                      </c:pt>
                    </c:numCache>
                  </c:numRef>
                </c:val>
                <c:smooth val="0"/>
                <c:extLst xmlns:c15="http://schemas.microsoft.com/office/drawing/2012/chart">
                  <c:ext xmlns:c16="http://schemas.microsoft.com/office/drawing/2014/chart" uri="{C3380CC4-5D6E-409C-BE32-E72D297353CC}">
                    <c16:uniqueId val="{00000008-2916-4433-AE85-3011F4544E16}"/>
                  </c:ext>
                </c:extLst>
              </c15:ser>
            </c15:filteredLineSeries>
            <c15:filteredLineSeries>
              <c15:ser>
                <c:idx val="9"/>
                <c:order val="9"/>
                <c:tx>
                  <c:strRef>
                    <c:extLst xmlns:c15="http://schemas.microsoft.com/office/drawing/2012/chart">
                      <c:ext xmlns:c15="http://schemas.microsoft.com/office/drawing/2012/chart" uri="{02D57815-91ED-43cb-92C2-25804820EDAC}">
                        <c15:formulaRef>
                          <c15:sqref>Makro!$A$11</c15:sqref>
                        </c15:formulaRef>
                      </c:ext>
                    </c:extLst>
                    <c:strCache>
                      <c:ptCount val="1"/>
                      <c:pt idx="0">
                        <c:v>Import tovarov a služieb, s.c.</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extLst xmlns:c15="http://schemas.microsoft.com/office/drawing/2012/chart">
                      <c:ext xmlns:c15="http://schemas.microsoft.com/office/drawing/2012/chart" uri="{02D57815-91ED-43cb-92C2-25804820EDAC}">
                        <c15:formulaRef>
                          <c15:sqref>Makro!$B$1:$T$1</c15:sqref>
                        </c15:formulaRef>
                      </c:ext>
                    </c:extLst>
                    <c:strCache>
                      <c:ptCount val="15"/>
                      <c:pt idx="0">
                        <c:v>2007</c:v>
                      </c:pt>
                      <c:pt idx="1">
                        <c:v>2008</c:v>
                      </c:pt>
                      <c:pt idx="2">
                        <c:v>2009</c:v>
                      </c:pt>
                      <c:pt idx="3">
                        <c:v>2010</c:v>
                      </c:pt>
                      <c:pt idx="4">
                        <c:v>2011</c:v>
                      </c:pt>
                      <c:pt idx="5">
                        <c:v>2012</c:v>
                      </c:pt>
                      <c:pt idx="6">
                        <c:v>2013</c:v>
                      </c:pt>
                      <c:pt idx="7">
                        <c:v>2014</c:v>
                      </c:pt>
                      <c:pt idx="8">
                        <c:v>2015</c:v>
                      </c:pt>
                      <c:pt idx="9">
                        <c:v>2016</c:v>
                      </c:pt>
                      <c:pt idx="10">
                        <c:v>2017</c:v>
                      </c:pt>
                      <c:pt idx="11">
                        <c:v>2018 OS</c:v>
                      </c:pt>
                      <c:pt idx="12">
                        <c:v>2019 RVS</c:v>
                      </c:pt>
                      <c:pt idx="13">
                        <c:v>2020 RVS</c:v>
                      </c:pt>
                      <c:pt idx="14">
                        <c:v>2021 RVS</c:v>
                      </c:pt>
                    </c:strCache>
                  </c:strRef>
                </c:cat>
                <c:val>
                  <c:numRef>
                    <c:extLst xmlns:c15="http://schemas.microsoft.com/office/drawing/2012/chart">
                      <c:ext xmlns:c15="http://schemas.microsoft.com/office/drawing/2012/chart" uri="{02D57815-91ED-43cb-92C2-25804820EDAC}">
                        <c15:formulaRef>
                          <c15:sqref>Makro!$B$11:$T$11</c15:sqref>
                        </c15:formulaRef>
                      </c:ext>
                    </c:extLst>
                    <c:numCache>
                      <c:formatCode>#,##0.00</c:formatCode>
                      <c:ptCount val="15"/>
                      <c:pt idx="0">
                        <c:v>9.443872199336889</c:v>
                      </c:pt>
                      <c:pt idx="1">
                        <c:v>3.567981583976243</c:v>
                      </c:pt>
                      <c:pt idx="2">
                        <c:v>-18.766480697297816</c:v>
                      </c:pt>
                      <c:pt idx="3">
                        <c:v>14.719176054104043</c:v>
                      </c:pt>
                      <c:pt idx="4">
                        <c:v>9.6423647837468494</c:v>
                      </c:pt>
                      <c:pt idx="5">
                        <c:v>2.53902025585655</c:v>
                      </c:pt>
                      <c:pt idx="6">
                        <c:v>5.0999999999999996</c:v>
                      </c:pt>
                      <c:pt idx="7">
                        <c:v>4.2612003682173549</c:v>
                      </c:pt>
                      <c:pt idx="8">
                        <c:v>8.3716421403442496</c:v>
                      </c:pt>
                      <c:pt idx="9">
                        <c:v>3.7266848398924912</c:v>
                      </c:pt>
                      <c:pt idx="10">
                        <c:v>3.9</c:v>
                      </c:pt>
                      <c:pt idx="11">
                        <c:v>6.6465295257268631</c:v>
                      </c:pt>
                      <c:pt idx="12">
                        <c:v>6.2803528747001236</c:v>
                      </c:pt>
                      <c:pt idx="13">
                        <c:v>5.3847494243796978</c:v>
                      </c:pt>
                      <c:pt idx="14">
                        <c:v>5.0541871690655826</c:v>
                      </c:pt>
                    </c:numCache>
                  </c:numRef>
                </c:val>
                <c:smooth val="0"/>
                <c:extLst xmlns:c15="http://schemas.microsoft.com/office/drawing/2012/chart">
                  <c:ext xmlns:c16="http://schemas.microsoft.com/office/drawing/2014/chart" uri="{C3380CC4-5D6E-409C-BE32-E72D297353CC}">
                    <c16:uniqueId val="{00000009-2916-4433-AE85-3011F4544E16}"/>
                  </c:ext>
                </c:extLst>
              </c15:ser>
            </c15:filteredLineSeries>
            <c15:filteredLineSeries>
              <c15:ser>
                <c:idx val="10"/>
                <c:order val="10"/>
                <c:tx>
                  <c:strRef>
                    <c:extLst xmlns:c15="http://schemas.microsoft.com/office/drawing/2012/chart">
                      <c:ext xmlns:c15="http://schemas.microsoft.com/office/drawing/2012/chart" uri="{02D57815-91ED-43cb-92C2-25804820EDAC}">
                        <c15:formulaRef>
                          <c15:sqref>Makro!$A$12</c15:sqref>
                        </c15:formulaRef>
                      </c:ext>
                    </c:extLst>
                    <c:strCache>
                      <c:ptCount val="1"/>
                      <c:pt idx="0">
                        <c:v>Trh práce</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extLst xmlns:c15="http://schemas.microsoft.com/office/drawing/2012/chart">
                      <c:ext xmlns:c15="http://schemas.microsoft.com/office/drawing/2012/chart" uri="{02D57815-91ED-43cb-92C2-25804820EDAC}">
                        <c15:formulaRef>
                          <c15:sqref>Makro!$B$1:$T$1</c15:sqref>
                        </c15:formulaRef>
                      </c:ext>
                    </c:extLst>
                    <c:strCache>
                      <c:ptCount val="15"/>
                      <c:pt idx="0">
                        <c:v>2007</c:v>
                      </c:pt>
                      <c:pt idx="1">
                        <c:v>2008</c:v>
                      </c:pt>
                      <c:pt idx="2">
                        <c:v>2009</c:v>
                      </c:pt>
                      <c:pt idx="3">
                        <c:v>2010</c:v>
                      </c:pt>
                      <c:pt idx="4">
                        <c:v>2011</c:v>
                      </c:pt>
                      <c:pt idx="5">
                        <c:v>2012</c:v>
                      </c:pt>
                      <c:pt idx="6">
                        <c:v>2013</c:v>
                      </c:pt>
                      <c:pt idx="7">
                        <c:v>2014</c:v>
                      </c:pt>
                      <c:pt idx="8">
                        <c:v>2015</c:v>
                      </c:pt>
                      <c:pt idx="9">
                        <c:v>2016</c:v>
                      </c:pt>
                      <c:pt idx="10">
                        <c:v>2017</c:v>
                      </c:pt>
                      <c:pt idx="11">
                        <c:v>2018 OS</c:v>
                      </c:pt>
                      <c:pt idx="12">
                        <c:v>2019 RVS</c:v>
                      </c:pt>
                      <c:pt idx="13">
                        <c:v>2020 RVS</c:v>
                      </c:pt>
                      <c:pt idx="14">
                        <c:v>2021 RVS</c:v>
                      </c:pt>
                    </c:strCache>
                  </c:strRef>
                </c:cat>
                <c:val>
                  <c:numRef>
                    <c:extLst xmlns:c15="http://schemas.microsoft.com/office/drawing/2012/chart">
                      <c:ext xmlns:c15="http://schemas.microsoft.com/office/drawing/2012/chart" uri="{02D57815-91ED-43cb-92C2-25804820EDAC}">
                        <c15:formulaRef>
                          <c15:sqref>Makro!$B$12:$T$12</c15:sqref>
                        </c15:formulaRef>
                      </c:ext>
                    </c:extLst>
                    <c:numCache>
                      <c:formatCode>General</c:formatCode>
                      <c:ptCount val="15"/>
                    </c:numCache>
                  </c:numRef>
                </c:val>
                <c:smooth val="0"/>
                <c:extLst xmlns:c15="http://schemas.microsoft.com/office/drawing/2012/chart">
                  <c:ext xmlns:c16="http://schemas.microsoft.com/office/drawing/2014/chart" uri="{C3380CC4-5D6E-409C-BE32-E72D297353CC}">
                    <c16:uniqueId val="{0000000A-2916-4433-AE85-3011F4544E16}"/>
                  </c:ext>
                </c:extLst>
              </c15:ser>
            </c15:filteredLineSeries>
            <c15:filteredLineSeries>
              <c15:ser>
                <c:idx val="11"/>
                <c:order val="11"/>
                <c:tx>
                  <c:strRef>
                    <c:extLst xmlns:c15="http://schemas.microsoft.com/office/drawing/2012/chart">
                      <c:ext xmlns:c15="http://schemas.microsoft.com/office/drawing/2012/chart" uri="{02D57815-91ED-43cb-92C2-25804820EDAC}">
                        <c15:formulaRef>
                          <c15:sqref>Makro!$A$13</c15:sqref>
                        </c15:formulaRef>
                      </c:ext>
                    </c:extLst>
                    <c:strCache>
                      <c:ptCount val="1"/>
                      <c:pt idx="0">
                        <c:v>Zamestnanosť (podnikové výkazníctvo)</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extLst xmlns:c15="http://schemas.microsoft.com/office/drawing/2012/chart">
                      <c:ext xmlns:c15="http://schemas.microsoft.com/office/drawing/2012/chart" uri="{02D57815-91ED-43cb-92C2-25804820EDAC}">
                        <c15:formulaRef>
                          <c15:sqref>Makro!$B$1:$T$1</c15:sqref>
                        </c15:formulaRef>
                      </c:ext>
                    </c:extLst>
                    <c:strCache>
                      <c:ptCount val="15"/>
                      <c:pt idx="0">
                        <c:v>2007</c:v>
                      </c:pt>
                      <c:pt idx="1">
                        <c:v>2008</c:v>
                      </c:pt>
                      <c:pt idx="2">
                        <c:v>2009</c:v>
                      </c:pt>
                      <c:pt idx="3">
                        <c:v>2010</c:v>
                      </c:pt>
                      <c:pt idx="4">
                        <c:v>2011</c:v>
                      </c:pt>
                      <c:pt idx="5">
                        <c:v>2012</c:v>
                      </c:pt>
                      <c:pt idx="6">
                        <c:v>2013</c:v>
                      </c:pt>
                      <c:pt idx="7">
                        <c:v>2014</c:v>
                      </c:pt>
                      <c:pt idx="8">
                        <c:v>2015</c:v>
                      </c:pt>
                      <c:pt idx="9">
                        <c:v>2016</c:v>
                      </c:pt>
                      <c:pt idx="10">
                        <c:v>2017</c:v>
                      </c:pt>
                      <c:pt idx="11">
                        <c:v>2018 OS</c:v>
                      </c:pt>
                      <c:pt idx="12">
                        <c:v>2019 RVS</c:v>
                      </c:pt>
                      <c:pt idx="13">
                        <c:v>2020 RVS</c:v>
                      </c:pt>
                      <c:pt idx="14">
                        <c:v>2021 RVS</c:v>
                      </c:pt>
                    </c:strCache>
                  </c:strRef>
                </c:cat>
                <c:val>
                  <c:numRef>
                    <c:extLst xmlns:c15="http://schemas.microsoft.com/office/drawing/2012/chart">
                      <c:ext xmlns:c15="http://schemas.microsoft.com/office/drawing/2012/chart" uri="{02D57815-91ED-43cb-92C2-25804820EDAC}">
                        <c15:formulaRef>
                          <c15:sqref>Makro!$B$13:$T$13</c15:sqref>
                        </c15:formulaRef>
                      </c:ext>
                    </c:extLst>
                    <c:numCache>
                      <c:formatCode>#,##0.00</c:formatCode>
                      <c:ptCount val="15"/>
                      <c:pt idx="0">
                        <c:v>2.090649810441314</c:v>
                      </c:pt>
                      <c:pt idx="1">
                        <c:v>3.2233477938123256</c:v>
                      </c:pt>
                      <c:pt idx="2">
                        <c:v>-1.9572107069021127</c:v>
                      </c:pt>
                      <c:pt idx="3">
                        <c:v>-1.5130893925900946</c:v>
                      </c:pt>
                      <c:pt idx="4">
                        <c:v>1.7738895432563684</c:v>
                      </c:pt>
                      <c:pt idx="5">
                        <c:v>5.0683497014136769E-2</c:v>
                      </c:pt>
                      <c:pt idx="6">
                        <c:v>-0.7</c:v>
                      </c:pt>
                      <c:pt idx="7">
                        <c:v>1.3</c:v>
                      </c:pt>
                      <c:pt idx="8">
                        <c:v>2.1312156534916804</c:v>
                      </c:pt>
                      <c:pt idx="9">
                        <c:v>2.8</c:v>
                      </c:pt>
                      <c:pt idx="10">
                        <c:v>1.818891525706956</c:v>
                      </c:pt>
                      <c:pt idx="11">
                        <c:v>1.9485822682054899</c:v>
                      </c:pt>
                      <c:pt idx="12">
                        <c:v>1.0091150824848683</c:v>
                      </c:pt>
                      <c:pt idx="13">
                        <c:v>0.98265269855353221</c:v>
                      </c:pt>
                      <c:pt idx="14">
                        <c:v>0.6747331878556917</c:v>
                      </c:pt>
                    </c:numCache>
                  </c:numRef>
                </c:val>
                <c:smooth val="0"/>
                <c:extLst xmlns:c15="http://schemas.microsoft.com/office/drawing/2012/chart">
                  <c:ext xmlns:c16="http://schemas.microsoft.com/office/drawing/2014/chart" uri="{C3380CC4-5D6E-409C-BE32-E72D297353CC}">
                    <c16:uniqueId val="{0000000B-2916-4433-AE85-3011F4544E16}"/>
                  </c:ext>
                </c:extLst>
              </c15:ser>
            </c15:filteredLineSeries>
            <c15:filteredLineSeries>
              <c15:ser>
                <c:idx val="12"/>
                <c:order val="12"/>
                <c:tx>
                  <c:strRef>
                    <c:extLst xmlns:c15="http://schemas.microsoft.com/office/drawing/2012/chart">
                      <c:ext xmlns:c15="http://schemas.microsoft.com/office/drawing/2012/chart" uri="{02D57815-91ED-43cb-92C2-25804820EDAC}">
                        <c15:formulaRef>
                          <c15:sqref>Makro!$A$14</c15:sqref>
                        </c15:formulaRef>
                      </c:ext>
                    </c:extLst>
                    <c:strCache>
                      <c:ptCount val="1"/>
                      <c:pt idx="0">
                        <c:v>Priem. mesač. nominálna mzda</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strRef>
                    <c:extLst xmlns:c15="http://schemas.microsoft.com/office/drawing/2012/chart">
                      <c:ext xmlns:c15="http://schemas.microsoft.com/office/drawing/2012/chart" uri="{02D57815-91ED-43cb-92C2-25804820EDAC}">
                        <c15:formulaRef>
                          <c15:sqref>Makro!$B$1:$T$1</c15:sqref>
                        </c15:formulaRef>
                      </c:ext>
                    </c:extLst>
                    <c:strCache>
                      <c:ptCount val="15"/>
                      <c:pt idx="0">
                        <c:v>2007</c:v>
                      </c:pt>
                      <c:pt idx="1">
                        <c:v>2008</c:v>
                      </c:pt>
                      <c:pt idx="2">
                        <c:v>2009</c:v>
                      </c:pt>
                      <c:pt idx="3">
                        <c:v>2010</c:v>
                      </c:pt>
                      <c:pt idx="4">
                        <c:v>2011</c:v>
                      </c:pt>
                      <c:pt idx="5">
                        <c:v>2012</c:v>
                      </c:pt>
                      <c:pt idx="6">
                        <c:v>2013</c:v>
                      </c:pt>
                      <c:pt idx="7">
                        <c:v>2014</c:v>
                      </c:pt>
                      <c:pt idx="8">
                        <c:v>2015</c:v>
                      </c:pt>
                      <c:pt idx="9">
                        <c:v>2016</c:v>
                      </c:pt>
                      <c:pt idx="10">
                        <c:v>2017</c:v>
                      </c:pt>
                      <c:pt idx="11">
                        <c:v>2018 OS</c:v>
                      </c:pt>
                      <c:pt idx="12">
                        <c:v>2019 RVS</c:v>
                      </c:pt>
                      <c:pt idx="13">
                        <c:v>2020 RVS</c:v>
                      </c:pt>
                      <c:pt idx="14">
                        <c:v>2021 RVS</c:v>
                      </c:pt>
                    </c:strCache>
                  </c:strRef>
                </c:cat>
                <c:val>
                  <c:numRef>
                    <c:extLst xmlns:c15="http://schemas.microsoft.com/office/drawing/2012/chart">
                      <c:ext xmlns:c15="http://schemas.microsoft.com/office/drawing/2012/chart" uri="{02D57815-91ED-43cb-92C2-25804820EDAC}">
                        <c15:formulaRef>
                          <c15:sqref>Makro!$B$14:$T$14</c15:sqref>
                        </c15:formulaRef>
                      </c:ext>
                    </c:extLst>
                    <c:numCache>
                      <c:formatCode>#,##0.00</c:formatCode>
                      <c:ptCount val="15"/>
                      <c:pt idx="0">
                        <c:v>7.3817743877960806</c:v>
                      </c:pt>
                      <c:pt idx="1">
                        <c:v>8.1214858236631002</c:v>
                      </c:pt>
                      <c:pt idx="2">
                        <c:v>3.0386014411573514</c:v>
                      </c:pt>
                      <c:pt idx="3">
                        <c:v>3.2214765100671228</c:v>
                      </c:pt>
                      <c:pt idx="4">
                        <c:v>2.2106631989596837</c:v>
                      </c:pt>
                      <c:pt idx="5">
                        <c:v>2.4173027989821794</c:v>
                      </c:pt>
                      <c:pt idx="6">
                        <c:v>2.4</c:v>
                      </c:pt>
                      <c:pt idx="7">
                        <c:v>4.0999999999999996</c:v>
                      </c:pt>
                      <c:pt idx="8">
                        <c:v>2.9137529137529095</c:v>
                      </c:pt>
                      <c:pt idx="9">
                        <c:v>3.2842582106455298</c:v>
                      </c:pt>
                      <c:pt idx="10">
                        <c:v>4.6052631578947345</c:v>
                      </c:pt>
                      <c:pt idx="11">
                        <c:v>6.1844863731656208</c:v>
                      </c:pt>
                      <c:pt idx="12">
                        <c:v>4.8387096774193505</c:v>
                      </c:pt>
                      <c:pt idx="13">
                        <c:v>5.1923076923076961</c:v>
                      </c:pt>
                      <c:pt idx="14">
                        <c:v>5.4195804195804165</c:v>
                      </c:pt>
                    </c:numCache>
                  </c:numRef>
                </c:val>
                <c:smooth val="0"/>
                <c:extLst xmlns:c15="http://schemas.microsoft.com/office/drawing/2012/chart">
                  <c:ext xmlns:c16="http://schemas.microsoft.com/office/drawing/2014/chart" uri="{C3380CC4-5D6E-409C-BE32-E72D297353CC}">
                    <c16:uniqueId val="{0000000C-2916-4433-AE85-3011F4544E16}"/>
                  </c:ext>
                </c:extLst>
              </c15:ser>
            </c15:filteredLineSeries>
            <c15:filteredLineSeries>
              <c15:ser>
                <c:idx val="13"/>
                <c:order val="13"/>
                <c:tx>
                  <c:strRef>
                    <c:extLst xmlns:c15="http://schemas.microsoft.com/office/drawing/2012/chart">
                      <c:ext xmlns:c15="http://schemas.microsoft.com/office/drawing/2012/chart" uri="{02D57815-91ED-43cb-92C2-25804820EDAC}">
                        <c15:formulaRef>
                          <c15:sqref>Makro!$A$15</c15:sqref>
                        </c15:formulaRef>
                      </c:ext>
                    </c:extLst>
                    <c:strCache>
                      <c:ptCount val="1"/>
                      <c:pt idx="0">
                        <c:v>Priem. mesač. reálna mzda</c:v>
                      </c:pt>
                    </c:strCache>
                  </c:strRef>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cat>
                  <c:strRef>
                    <c:extLst xmlns:c15="http://schemas.microsoft.com/office/drawing/2012/chart">
                      <c:ext xmlns:c15="http://schemas.microsoft.com/office/drawing/2012/chart" uri="{02D57815-91ED-43cb-92C2-25804820EDAC}">
                        <c15:formulaRef>
                          <c15:sqref>Makro!$B$1:$T$1</c15:sqref>
                        </c15:formulaRef>
                      </c:ext>
                    </c:extLst>
                    <c:strCache>
                      <c:ptCount val="15"/>
                      <c:pt idx="0">
                        <c:v>2007</c:v>
                      </c:pt>
                      <c:pt idx="1">
                        <c:v>2008</c:v>
                      </c:pt>
                      <c:pt idx="2">
                        <c:v>2009</c:v>
                      </c:pt>
                      <c:pt idx="3">
                        <c:v>2010</c:v>
                      </c:pt>
                      <c:pt idx="4">
                        <c:v>2011</c:v>
                      </c:pt>
                      <c:pt idx="5">
                        <c:v>2012</c:v>
                      </c:pt>
                      <c:pt idx="6">
                        <c:v>2013</c:v>
                      </c:pt>
                      <c:pt idx="7">
                        <c:v>2014</c:v>
                      </c:pt>
                      <c:pt idx="8">
                        <c:v>2015</c:v>
                      </c:pt>
                      <c:pt idx="9">
                        <c:v>2016</c:v>
                      </c:pt>
                      <c:pt idx="10">
                        <c:v>2017</c:v>
                      </c:pt>
                      <c:pt idx="11">
                        <c:v>2018 OS</c:v>
                      </c:pt>
                      <c:pt idx="12">
                        <c:v>2019 RVS</c:v>
                      </c:pt>
                      <c:pt idx="13">
                        <c:v>2020 RVS</c:v>
                      </c:pt>
                      <c:pt idx="14">
                        <c:v>2021 RVS</c:v>
                      </c:pt>
                    </c:strCache>
                  </c:strRef>
                </c:cat>
                <c:val>
                  <c:numRef>
                    <c:extLst xmlns:c15="http://schemas.microsoft.com/office/drawing/2012/chart">
                      <c:ext xmlns:c15="http://schemas.microsoft.com/office/drawing/2012/chart" uri="{02D57815-91ED-43cb-92C2-25804820EDAC}">
                        <c15:formulaRef>
                          <c15:sqref>Makro!$B$15:$T$15</c15:sqref>
                        </c15:formulaRef>
                      </c:ext>
                    </c:extLst>
                    <c:numCache>
                      <c:formatCode>#,##0.00</c:formatCode>
                      <c:ptCount val="15"/>
                      <c:pt idx="0">
                        <c:v>4.6179702168317238</c:v>
                      </c:pt>
                      <c:pt idx="1">
                        <c:v>3.3182202778708536</c:v>
                      </c:pt>
                      <c:pt idx="2">
                        <c:v>1.3885136997569214</c:v>
                      </c:pt>
                      <c:pt idx="3">
                        <c:v>2.1999999999999997</c:v>
                      </c:pt>
                      <c:pt idx="4">
                        <c:v>-1.6</c:v>
                      </c:pt>
                      <c:pt idx="5">
                        <c:v>-1.2</c:v>
                      </c:pt>
                      <c:pt idx="6">
                        <c:v>1</c:v>
                      </c:pt>
                      <c:pt idx="7">
                        <c:v>4.2</c:v>
                      </c:pt>
                      <c:pt idx="8">
                        <c:v>3.2531979462785632</c:v>
                      </c:pt>
                      <c:pt idx="9">
                        <c:v>3.8235974497387248</c:v>
                      </c:pt>
                      <c:pt idx="10">
                        <c:v>3.2559616198673424</c:v>
                      </c:pt>
                      <c:pt idx="11">
                        <c:v>3.5621542802523276</c:v>
                      </c:pt>
                      <c:pt idx="12">
                        <c:v>2.9044370445538759</c:v>
                      </c:pt>
                      <c:pt idx="13">
                        <c:v>3.0696705839616145</c:v>
                      </c:pt>
                      <c:pt idx="14">
                        <c:v>2.8532405025917473</c:v>
                      </c:pt>
                    </c:numCache>
                  </c:numRef>
                </c:val>
                <c:smooth val="0"/>
                <c:extLst xmlns:c15="http://schemas.microsoft.com/office/drawing/2012/chart">
                  <c:ext xmlns:c16="http://schemas.microsoft.com/office/drawing/2014/chart" uri="{C3380CC4-5D6E-409C-BE32-E72D297353CC}">
                    <c16:uniqueId val="{0000000D-2916-4433-AE85-3011F4544E16}"/>
                  </c:ext>
                </c:extLst>
              </c15:ser>
            </c15:filteredLineSeries>
            <c15:filteredLineSeries>
              <c15:ser>
                <c:idx val="14"/>
                <c:order val="14"/>
                <c:tx>
                  <c:strRef>
                    <c:extLst xmlns:c15="http://schemas.microsoft.com/office/drawing/2012/chart">
                      <c:ext xmlns:c15="http://schemas.microsoft.com/office/drawing/2012/chart" uri="{02D57815-91ED-43cb-92C2-25804820EDAC}">
                        <c15:formulaRef>
                          <c15:sqref>Makro!$A$16</c15:sqref>
                        </c15:formulaRef>
                      </c:ext>
                    </c:extLst>
                    <c:strCache>
                      <c:ptCount val="1"/>
                      <c:pt idx="0">
                        <c:v>Miera nezamestnanosti (VZPS)</c:v>
                      </c:pt>
                    </c:strCache>
                  </c:strRef>
                </c:tx>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cat>
                  <c:strRef>
                    <c:extLst xmlns:c15="http://schemas.microsoft.com/office/drawing/2012/chart">
                      <c:ext xmlns:c15="http://schemas.microsoft.com/office/drawing/2012/chart" uri="{02D57815-91ED-43cb-92C2-25804820EDAC}">
                        <c15:formulaRef>
                          <c15:sqref>Makro!$B$1:$T$1</c15:sqref>
                        </c15:formulaRef>
                      </c:ext>
                    </c:extLst>
                    <c:strCache>
                      <c:ptCount val="15"/>
                      <c:pt idx="0">
                        <c:v>2007</c:v>
                      </c:pt>
                      <c:pt idx="1">
                        <c:v>2008</c:v>
                      </c:pt>
                      <c:pt idx="2">
                        <c:v>2009</c:v>
                      </c:pt>
                      <c:pt idx="3">
                        <c:v>2010</c:v>
                      </c:pt>
                      <c:pt idx="4">
                        <c:v>2011</c:v>
                      </c:pt>
                      <c:pt idx="5">
                        <c:v>2012</c:v>
                      </c:pt>
                      <c:pt idx="6">
                        <c:v>2013</c:v>
                      </c:pt>
                      <c:pt idx="7">
                        <c:v>2014</c:v>
                      </c:pt>
                      <c:pt idx="8">
                        <c:v>2015</c:v>
                      </c:pt>
                      <c:pt idx="9">
                        <c:v>2016</c:v>
                      </c:pt>
                      <c:pt idx="10">
                        <c:v>2017</c:v>
                      </c:pt>
                      <c:pt idx="11">
                        <c:v>2018 OS</c:v>
                      </c:pt>
                      <c:pt idx="12">
                        <c:v>2019 RVS</c:v>
                      </c:pt>
                      <c:pt idx="13">
                        <c:v>2020 RVS</c:v>
                      </c:pt>
                      <c:pt idx="14">
                        <c:v>2021 RVS</c:v>
                      </c:pt>
                    </c:strCache>
                  </c:strRef>
                </c:cat>
                <c:val>
                  <c:numRef>
                    <c:extLst xmlns:c15="http://schemas.microsoft.com/office/drawing/2012/chart">
                      <c:ext xmlns:c15="http://schemas.microsoft.com/office/drawing/2012/chart" uri="{02D57815-91ED-43cb-92C2-25804820EDAC}">
                        <c15:formulaRef>
                          <c15:sqref>Makro!$B$16:$T$16</c15:sqref>
                        </c15:formulaRef>
                      </c:ext>
                    </c:extLst>
                    <c:numCache>
                      <c:formatCode>#,##0.00</c:formatCode>
                      <c:ptCount val="15"/>
                      <c:pt idx="0">
                        <c:v>11.019318200577677</c:v>
                      </c:pt>
                      <c:pt idx="1">
                        <c:v>9.5710009728722696</c:v>
                      </c:pt>
                      <c:pt idx="2">
                        <c:v>12.044517174121351</c:v>
                      </c:pt>
                      <c:pt idx="3">
                        <c:v>14.374705830267972</c:v>
                      </c:pt>
                      <c:pt idx="4">
                        <c:v>13.600000000000001</c:v>
                      </c:pt>
                      <c:pt idx="5">
                        <c:v>14.000000000000002</c:v>
                      </c:pt>
                      <c:pt idx="6">
                        <c:v>14.2</c:v>
                      </c:pt>
                      <c:pt idx="7">
                        <c:v>13.2</c:v>
                      </c:pt>
                      <c:pt idx="8">
                        <c:v>11.476974904772725</c:v>
                      </c:pt>
                      <c:pt idx="9">
                        <c:v>9.645253346461546</c:v>
                      </c:pt>
                      <c:pt idx="10">
                        <c:v>8.1310515723197394</c:v>
                      </c:pt>
                      <c:pt idx="11">
                        <c:v>6.901849836953768</c:v>
                      </c:pt>
                      <c:pt idx="12">
                        <c:v>6.6995482211739326</c:v>
                      </c:pt>
                      <c:pt idx="13">
                        <c:v>6.0807239469603482</c:v>
                      </c:pt>
                      <c:pt idx="14">
                        <c:v>5.6505170972840659</c:v>
                      </c:pt>
                    </c:numCache>
                  </c:numRef>
                </c:val>
                <c:smooth val="0"/>
                <c:extLst xmlns:c15="http://schemas.microsoft.com/office/drawing/2012/chart">
                  <c:ext xmlns:c16="http://schemas.microsoft.com/office/drawing/2014/chart" uri="{C3380CC4-5D6E-409C-BE32-E72D297353CC}">
                    <c16:uniqueId val="{0000000E-2916-4433-AE85-3011F4544E16}"/>
                  </c:ext>
                </c:extLst>
              </c15:ser>
            </c15:filteredLineSeries>
            <c15:filteredLineSeries>
              <c15:ser>
                <c:idx val="15"/>
                <c:order val="15"/>
                <c:tx>
                  <c:strRef>
                    <c:extLst xmlns:c15="http://schemas.microsoft.com/office/drawing/2012/chart">
                      <c:ext xmlns:c15="http://schemas.microsoft.com/office/drawing/2012/chart" uri="{02D57815-91ED-43cb-92C2-25804820EDAC}">
                        <c15:formulaRef>
                          <c15:sqref>Makro!$A$17</c15:sqref>
                        </c15:formulaRef>
                      </c:ext>
                    </c:extLst>
                    <c:strCache>
                      <c:ptCount val="1"/>
                      <c:pt idx="0">
                        <c:v>Zamestnanosť celková tis.osôb</c:v>
                      </c:pt>
                    </c:strCache>
                  </c:strRef>
                </c:tx>
                <c:spPr>
                  <a:ln w="28575"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cat>
                  <c:strRef>
                    <c:extLst xmlns:c15="http://schemas.microsoft.com/office/drawing/2012/chart">
                      <c:ext xmlns:c15="http://schemas.microsoft.com/office/drawing/2012/chart" uri="{02D57815-91ED-43cb-92C2-25804820EDAC}">
                        <c15:formulaRef>
                          <c15:sqref>Makro!$B$1:$T$1</c15:sqref>
                        </c15:formulaRef>
                      </c:ext>
                    </c:extLst>
                    <c:strCache>
                      <c:ptCount val="15"/>
                      <c:pt idx="0">
                        <c:v>2007</c:v>
                      </c:pt>
                      <c:pt idx="1">
                        <c:v>2008</c:v>
                      </c:pt>
                      <c:pt idx="2">
                        <c:v>2009</c:v>
                      </c:pt>
                      <c:pt idx="3">
                        <c:v>2010</c:v>
                      </c:pt>
                      <c:pt idx="4">
                        <c:v>2011</c:v>
                      </c:pt>
                      <c:pt idx="5">
                        <c:v>2012</c:v>
                      </c:pt>
                      <c:pt idx="6">
                        <c:v>2013</c:v>
                      </c:pt>
                      <c:pt idx="7">
                        <c:v>2014</c:v>
                      </c:pt>
                      <c:pt idx="8">
                        <c:v>2015</c:v>
                      </c:pt>
                      <c:pt idx="9">
                        <c:v>2016</c:v>
                      </c:pt>
                      <c:pt idx="10">
                        <c:v>2017</c:v>
                      </c:pt>
                      <c:pt idx="11">
                        <c:v>2018 OS</c:v>
                      </c:pt>
                      <c:pt idx="12">
                        <c:v>2019 RVS</c:v>
                      </c:pt>
                      <c:pt idx="13">
                        <c:v>2020 RVS</c:v>
                      </c:pt>
                      <c:pt idx="14">
                        <c:v>2021 RVS</c:v>
                      </c:pt>
                    </c:strCache>
                  </c:strRef>
                </c:cat>
                <c:val>
                  <c:numRef>
                    <c:extLst xmlns:c15="http://schemas.microsoft.com/office/drawing/2012/chart">
                      <c:ext xmlns:c15="http://schemas.microsoft.com/office/drawing/2012/chart" uri="{02D57815-91ED-43cb-92C2-25804820EDAC}">
                        <c15:formulaRef>
                          <c15:sqref>Makro!$B$17:$T$17</c15:sqref>
                        </c15:formulaRef>
                      </c:ext>
                    </c:extLst>
                    <c:numCache>
                      <c:formatCode>General</c:formatCode>
                      <c:ptCount val="15"/>
                      <c:pt idx="0">
                        <c:v>2357.2749999999996</c:v>
                      </c:pt>
                      <c:pt idx="1">
                        <c:v>2433.75</c:v>
                      </c:pt>
                      <c:pt idx="2">
                        <c:v>2365.8000000000002</c:v>
                      </c:pt>
                      <c:pt idx="3">
                        <c:v>2317.5</c:v>
                      </c:pt>
                      <c:pt idx="4">
                        <c:v>2315.3249999999998</c:v>
                      </c:pt>
                      <c:pt idx="5">
                        <c:v>2328.9787500000002</c:v>
                      </c:pt>
                      <c:pt idx="6" formatCode="#,##0.00">
                        <c:v>2329.2530000000002</c:v>
                      </c:pt>
                      <c:pt idx="7" formatCode="#,##0.00">
                        <c:v>2363.0522499999997</c:v>
                      </c:pt>
                      <c:pt idx="8" formatCode="#,##0.00">
                        <c:v>2423.99775</c:v>
                      </c:pt>
                      <c:pt idx="9" formatCode="#,##0.00">
                        <c:v>2492.1177500000003</c:v>
                      </c:pt>
                      <c:pt idx="10" formatCode="#,##0.00">
                        <c:v>2530.6734999999999</c:v>
                      </c:pt>
                      <c:pt idx="11" formatCode="#,##0.00">
                        <c:v>2554.7498480700347</c:v>
                      </c:pt>
                      <c:pt idx="12" formatCode="#,##0.00">
                        <c:v>2570.3548608107458</c:v>
                      </c:pt>
                      <c:pt idx="13" formatCode="#,##0.00">
                        <c:v>2583.7110794400119</c:v>
                      </c:pt>
                      <c:pt idx="14" formatCode="#,##0.00">
                        <c:v>2592.5570022204952</c:v>
                      </c:pt>
                    </c:numCache>
                  </c:numRef>
                </c:val>
                <c:smooth val="0"/>
                <c:extLst xmlns:c15="http://schemas.microsoft.com/office/drawing/2012/chart">
                  <c:ext xmlns:c16="http://schemas.microsoft.com/office/drawing/2014/chart" uri="{C3380CC4-5D6E-409C-BE32-E72D297353CC}">
                    <c16:uniqueId val="{0000000F-2916-4433-AE85-3011F4544E16}"/>
                  </c:ext>
                </c:extLst>
              </c15:ser>
            </c15:filteredLineSeries>
          </c:ext>
        </c:extLst>
      </c:lineChart>
      <c:catAx>
        <c:axId val="6189363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cs-CZ"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61915904"/>
        <c:crosses val="autoZero"/>
        <c:auto val="1"/>
        <c:lblAlgn val="ctr"/>
        <c:lblOffset val="100"/>
        <c:noMultiLvlLbl val="0"/>
      </c:catAx>
      <c:valAx>
        <c:axId val="61915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lang="cs-CZ" sz="1000" b="0" i="0" u="none" strike="noStrike" kern="1200" baseline="0">
                    <a:solidFill>
                      <a:schemeClr val="tx1">
                        <a:lumMod val="65000"/>
                        <a:lumOff val="35000"/>
                      </a:schemeClr>
                    </a:solidFill>
                    <a:latin typeface="Arial Narrow" panose="020B0606020202030204" pitchFamily="34" charset="0"/>
                    <a:ea typeface="+mn-ea"/>
                    <a:cs typeface="+mn-cs"/>
                  </a:defRPr>
                </a:pPr>
                <a:r>
                  <a:rPr lang="sk-SK">
                    <a:latin typeface="Arial Narrow" panose="020B0606020202030204" pitchFamily="34" charset="0"/>
                  </a:rPr>
                  <a:t>rast v %</a:t>
                </a:r>
              </a:p>
            </c:rich>
          </c:tx>
          <c:layout>
            <c:manualLayout>
              <c:xMode val="edge"/>
              <c:yMode val="edge"/>
              <c:x val="1.875999656330846E-2"/>
              <c:y val="0.93879162665642446"/>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cs-CZ"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61893632"/>
        <c:crosses val="autoZero"/>
        <c:crossBetween val="between"/>
      </c:valAx>
      <c:valAx>
        <c:axId val="61917824"/>
        <c:scaling>
          <c:orientation val="minMax"/>
        </c:scaling>
        <c:delete val="0"/>
        <c:axPos val="r"/>
        <c:title>
          <c:tx>
            <c:rich>
              <a:bodyPr rot="0" spcFirstLastPara="1" vertOverflow="ellipsis" wrap="square" anchor="ctr" anchorCtr="1"/>
              <a:lstStyle/>
              <a:p>
                <a:pPr>
                  <a:defRPr lang="cs-CZ" sz="1000" b="0" i="0" u="none" strike="noStrike" kern="1200" baseline="0">
                    <a:solidFill>
                      <a:schemeClr val="tx1">
                        <a:lumMod val="65000"/>
                        <a:lumOff val="35000"/>
                      </a:schemeClr>
                    </a:solidFill>
                    <a:latin typeface="Arial Narrow" panose="020B0606020202030204" pitchFamily="34" charset="0"/>
                    <a:ea typeface="+mn-ea"/>
                    <a:cs typeface="+mn-cs"/>
                  </a:defRPr>
                </a:pPr>
                <a:r>
                  <a:rPr lang="sk-SK">
                    <a:latin typeface="Arial Narrow" panose="020B0606020202030204" pitchFamily="34" charset="0"/>
                  </a:rPr>
                  <a:t>mld.</a:t>
                </a:r>
              </a:p>
              <a:p>
                <a:pPr>
                  <a:defRPr lang="cs-CZ" sz="1000" b="0" i="0" u="none" strike="noStrike" kern="1200" baseline="0">
                    <a:solidFill>
                      <a:schemeClr val="tx1">
                        <a:lumMod val="65000"/>
                        <a:lumOff val="35000"/>
                      </a:schemeClr>
                    </a:solidFill>
                    <a:latin typeface="Arial Narrow" panose="020B0606020202030204" pitchFamily="34" charset="0"/>
                    <a:ea typeface="+mn-ea"/>
                    <a:cs typeface="+mn-cs"/>
                  </a:defRPr>
                </a:pPr>
                <a:r>
                  <a:rPr lang="sk-SK">
                    <a:latin typeface="Arial Narrow" panose="020B0606020202030204" pitchFamily="34" charset="0"/>
                  </a:rPr>
                  <a:t> eur</a:t>
                </a:r>
              </a:p>
            </c:rich>
          </c:tx>
          <c:layout>
            <c:manualLayout>
              <c:xMode val="edge"/>
              <c:yMode val="edge"/>
              <c:x val="0.94590196229879986"/>
              <c:y val="0.8572395833333335"/>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cs-CZ"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61928192"/>
        <c:crosses val="max"/>
        <c:crossBetween val="between"/>
      </c:valAx>
      <c:catAx>
        <c:axId val="61928192"/>
        <c:scaling>
          <c:orientation val="minMax"/>
        </c:scaling>
        <c:delete val="1"/>
        <c:axPos val="b"/>
        <c:numFmt formatCode="General" sourceLinked="1"/>
        <c:majorTickMark val="out"/>
        <c:minorTickMark val="none"/>
        <c:tickLblPos val="none"/>
        <c:crossAx val="61917824"/>
        <c:crosses val="autoZero"/>
        <c:auto val="1"/>
        <c:lblAlgn val="ctr"/>
        <c:lblOffset val="100"/>
        <c:noMultiLvlLbl val="0"/>
      </c:catAx>
      <c:spPr>
        <a:noFill/>
        <a:ln>
          <a:noFill/>
        </a:ln>
        <a:effectLst/>
      </c:spPr>
    </c:plotArea>
    <c:legend>
      <c:legendPos val="b"/>
      <c:layout>
        <c:manualLayout>
          <c:xMode val="edge"/>
          <c:yMode val="edge"/>
          <c:x val="0.11691937053002291"/>
          <c:y val="0.93592191601049912"/>
          <c:w val="0.5103958570420678"/>
          <c:h val="6.2639636637847926E-2"/>
        </c:manualLayout>
      </c:layout>
      <c:overlay val="0"/>
      <c:spPr>
        <a:noFill/>
        <a:ln>
          <a:noFill/>
        </a:ln>
        <a:effectLst/>
      </c:spPr>
      <c:txPr>
        <a:bodyPr rot="0" spcFirstLastPara="1" vertOverflow="ellipsis" vert="horz" wrap="square" anchor="ctr" anchorCtr="1"/>
        <a:lstStyle/>
        <a:p>
          <a:pPr>
            <a:defRPr lang="cs-CZ"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59581934299865"/>
          <c:y val="7.6896190143306564E-2"/>
          <c:w val="0.84118772452863011"/>
          <c:h val="0.7128739194213799"/>
        </c:manualLayout>
      </c:layout>
      <c:barChart>
        <c:barDir val="bar"/>
        <c:grouping val="clustered"/>
        <c:varyColors val="0"/>
        <c:ser>
          <c:idx val="1"/>
          <c:order val="1"/>
          <c:tx>
            <c:strRef>
              <c:f>MVSR!$B$84</c:f>
              <c:strCache>
                <c:ptCount val="1"/>
                <c:pt idx="0">
                  <c:v>štátni zamestnanci</c:v>
                </c:pt>
              </c:strCache>
            </c:strRef>
          </c:tx>
          <c:spPr>
            <a:solidFill>
              <a:srgbClr val="00B0F0"/>
            </a:solidFill>
            <a:ln>
              <a:solidFill>
                <a:srgbClr val="002060"/>
              </a:solidFill>
            </a:ln>
            <a:effectLst/>
          </c:spPr>
          <c:invertIfNegative val="0"/>
          <c:dLbls>
            <c:dLbl>
              <c:idx val="0"/>
              <c:layout>
                <c:manualLayout>
                  <c:x val="-8.3455657437345262E-17"/>
                  <c:y val="4.89339391821041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D8C-4F7D-BE70-154900950A87}"/>
                </c:ext>
              </c:extLst>
            </c:dLbl>
            <c:dLbl>
              <c:idx val="1"/>
              <c:layout>
                <c:manualLayout>
                  <c:x val="-8.3455657437345262E-17"/>
                  <c:y val="4.194337644180355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8C-4F7D-BE70-154900950A87}"/>
                </c:ext>
              </c:extLst>
            </c:dLbl>
            <c:dLbl>
              <c:idx val="2"/>
              <c:layout>
                <c:manualLayout>
                  <c:x val="0"/>
                  <c:y val="3.495281370150294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D8C-4F7D-BE70-154900950A87}"/>
                </c:ext>
              </c:extLst>
            </c:dLbl>
            <c:spPr>
              <a:noFill/>
              <a:ln>
                <a:noFill/>
              </a:ln>
              <a:effectLst/>
            </c:spPr>
            <c:txPr>
              <a:bodyPr rot="0" spcFirstLastPara="1" vertOverflow="ellipsis" vert="horz" wrap="square" lIns="38100" tIns="19050" rIns="38100" bIns="19050" anchor="ctr" anchorCtr="1">
                <a:spAutoFit/>
              </a:bodyPr>
              <a:lstStyle/>
              <a:p>
                <a:pPr>
                  <a:defRPr lang="cs-CZ" sz="900" b="0" i="0" u="none" strike="noStrike" kern="1200" baseline="0">
                    <a:solidFill>
                      <a:schemeClr val="tx1">
                        <a:lumMod val="75000"/>
                        <a:lumOff val="25000"/>
                      </a:schemeClr>
                    </a:solidFill>
                    <a:latin typeface="+mn-lt"/>
                    <a:ea typeface="+mn-ea"/>
                    <a:cs typeface="+mn-cs"/>
                  </a:defRPr>
                </a:pPr>
                <a:endParaRPr lang="sk-S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MVSR!$C$82:$G$82</c:f>
              <c:strCache>
                <c:ptCount val="3"/>
                <c:pt idx="0">
                  <c:v>2016</c:v>
                </c:pt>
                <c:pt idx="1">
                  <c:v>2017</c:v>
                </c:pt>
                <c:pt idx="2">
                  <c:v>IIIQ2018</c:v>
                </c:pt>
              </c:strCache>
              <c:extLst/>
            </c:strRef>
          </c:cat>
          <c:val>
            <c:numRef>
              <c:f>MVSR!$C$84:$G$84</c:f>
              <c:numCache>
                <c:formatCode>#,##0</c:formatCode>
                <c:ptCount val="3"/>
                <c:pt idx="0">
                  <c:v>8189.2</c:v>
                </c:pt>
                <c:pt idx="1">
                  <c:v>8202.4</c:v>
                </c:pt>
                <c:pt idx="2">
                  <c:v>8150.3</c:v>
                </c:pt>
              </c:numCache>
              <c:extLst/>
            </c:numRef>
          </c:val>
          <c:extLst>
            <c:ext xmlns:c16="http://schemas.microsoft.com/office/drawing/2014/chart" uri="{C3380CC4-5D6E-409C-BE32-E72D297353CC}">
              <c16:uniqueId val="{00000003-3D8C-4F7D-BE70-154900950A87}"/>
            </c:ext>
          </c:extLst>
        </c:ser>
        <c:ser>
          <c:idx val="2"/>
          <c:order val="2"/>
          <c:tx>
            <c:strRef>
              <c:f>MVSR!$B$85</c:f>
              <c:strCache>
                <c:ptCount val="1"/>
                <c:pt idx="0">
                  <c:v>príslušníci PZ</c:v>
                </c:pt>
              </c:strCache>
            </c:strRef>
          </c:tx>
          <c:spPr>
            <a:solidFill>
              <a:srgbClr val="00B050"/>
            </a:solidFill>
            <a:ln>
              <a:solidFill>
                <a:srgbClr val="00206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cs-CZ" sz="900" b="0" i="0" u="none" strike="noStrike" kern="1200" baseline="0">
                    <a:solidFill>
                      <a:schemeClr val="tx1">
                        <a:lumMod val="75000"/>
                        <a:lumOff val="25000"/>
                      </a:schemeClr>
                    </a:solidFill>
                    <a:latin typeface="+mn-lt"/>
                    <a:ea typeface="+mn-ea"/>
                    <a:cs typeface="+mn-cs"/>
                  </a:defRPr>
                </a:pPr>
                <a:endParaRPr lang="sk-S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MVSR!$C$82:$G$82</c:f>
              <c:strCache>
                <c:ptCount val="3"/>
                <c:pt idx="0">
                  <c:v>2016</c:v>
                </c:pt>
                <c:pt idx="1">
                  <c:v>2017</c:v>
                </c:pt>
                <c:pt idx="2">
                  <c:v>IIIQ2018</c:v>
                </c:pt>
              </c:strCache>
              <c:extLst/>
            </c:strRef>
          </c:cat>
          <c:val>
            <c:numRef>
              <c:f>MVSR!$C$85:$G$85</c:f>
              <c:numCache>
                <c:formatCode>#,##0</c:formatCode>
                <c:ptCount val="3"/>
                <c:pt idx="0">
                  <c:v>21943.9</c:v>
                </c:pt>
                <c:pt idx="1">
                  <c:v>21716.799999999996</c:v>
                </c:pt>
                <c:pt idx="2">
                  <c:v>21682.7</c:v>
                </c:pt>
              </c:numCache>
              <c:extLst/>
            </c:numRef>
          </c:val>
          <c:extLst>
            <c:ext xmlns:c16="http://schemas.microsoft.com/office/drawing/2014/chart" uri="{C3380CC4-5D6E-409C-BE32-E72D297353CC}">
              <c16:uniqueId val="{00000004-3D8C-4F7D-BE70-154900950A87}"/>
            </c:ext>
          </c:extLst>
        </c:ser>
        <c:ser>
          <c:idx val="4"/>
          <c:order val="4"/>
          <c:tx>
            <c:strRef>
              <c:f>MVSR!$B$87</c:f>
              <c:strCache>
                <c:ptCount val="1"/>
                <c:pt idx="0">
                  <c:v>zamestn. vyk. práce vo verej. záujme </c:v>
                </c:pt>
              </c:strCache>
            </c:strRef>
          </c:tx>
          <c:spPr>
            <a:solidFill>
              <a:srgbClr val="FFFF00"/>
            </a:solidFill>
            <a:ln>
              <a:solidFill>
                <a:srgbClr val="002060"/>
              </a:solidFill>
            </a:ln>
            <a:effectLst/>
          </c:spPr>
          <c:invertIfNegative val="0"/>
          <c:dLbls>
            <c:dLbl>
              <c:idx val="0"/>
              <c:layout>
                <c:manualLayout>
                  <c:x val="0"/>
                  <c:y val="-6.291506466270536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D8C-4F7D-BE70-154900950A87}"/>
                </c:ext>
              </c:extLst>
            </c:dLbl>
            <c:dLbl>
              <c:idx val="1"/>
              <c:layout>
                <c:manualLayout>
                  <c:x val="0"/>
                  <c:y val="-4.194337644180362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D8C-4F7D-BE70-154900950A87}"/>
                </c:ext>
              </c:extLst>
            </c:dLbl>
            <c:dLbl>
              <c:idx val="2"/>
              <c:layout>
                <c:manualLayout>
                  <c:x val="2.2760896779333113E-3"/>
                  <c:y val="-4.89339391821041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D8C-4F7D-BE70-154900950A87}"/>
                </c:ext>
              </c:extLst>
            </c:dLbl>
            <c:spPr>
              <a:noFill/>
              <a:ln>
                <a:noFill/>
              </a:ln>
              <a:effectLst/>
            </c:spPr>
            <c:txPr>
              <a:bodyPr rot="0" spcFirstLastPara="1" vertOverflow="ellipsis" vert="horz" wrap="square" lIns="38100" tIns="19050" rIns="38100" bIns="19050" anchor="ctr" anchorCtr="1">
                <a:spAutoFit/>
              </a:bodyPr>
              <a:lstStyle/>
              <a:p>
                <a:pPr>
                  <a:defRPr lang="cs-CZ" sz="900" b="0" i="0" u="none" strike="noStrike" kern="1200" baseline="0">
                    <a:solidFill>
                      <a:schemeClr val="tx1">
                        <a:lumMod val="75000"/>
                        <a:lumOff val="25000"/>
                      </a:schemeClr>
                    </a:solidFill>
                    <a:latin typeface="+mn-lt"/>
                    <a:ea typeface="+mn-ea"/>
                    <a:cs typeface="+mn-cs"/>
                  </a:defRPr>
                </a:pPr>
                <a:endParaRPr lang="sk-S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MVSR!$C$82:$G$82</c:f>
              <c:strCache>
                <c:ptCount val="3"/>
                <c:pt idx="0">
                  <c:v>2016</c:v>
                </c:pt>
                <c:pt idx="1">
                  <c:v>2017</c:v>
                </c:pt>
                <c:pt idx="2">
                  <c:v>IIIQ2018</c:v>
                </c:pt>
              </c:strCache>
              <c:extLst/>
            </c:strRef>
          </c:cat>
          <c:val>
            <c:numRef>
              <c:f>MVSR!$C$87:$G$87</c:f>
              <c:numCache>
                <c:formatCode>#,##0</c:formatCode>
                <c:ptCount val="3"/>
                <c:pt idx="0">
                  <c:v>14642.1</c:v>
                </c:pt>
                <c:pt idx="1">
                  <c:v>14569.9</c:v>
                </c:pt>
                <c:pt idx="2">
                  <c:v>14563.2</c:v>
                </c:pt>
              </c:numCache>
              <c:extLst/>
            </c:numRef>
          </c:val>
          <c:extLst>
            <c:ext xmlns:c16="http://schemas.microsoft.com/office/drawing/2014/chart" uri="{C3380CC4-5D6E-409C-BE32-E72D297353CC}">
              <c16:uniqueId val="{00000008-3D8C-4F7D-BE70-154900950A87}"/>
            </c:ext>
          </c:extLst>
        </c:ser>
        <c:ser>
          <c:idx val="3"/>
          <c:order val="3"/>
          <c:tx>
            <c:strRef>
              <c:f>MVSR!$B$86</c:f>
              <c:strCache>
                <c:ptCount val="1"/>
                <c:pt idx="0">
                  <c:v>príslušníci HZZ </c:v>
                </c:pt>
              </c:strCache>
            </c:strRef>
          </c:tx>
          <c:spPr>
            <a:solidFill>
              <a:srgbClr val="FF0000"/>
            </a:solidFill>
            <a:ln>
              <a:noFill/>
            </a:ln>
            <a:effectLst/>
          </c:spPr>
          <c:invertIfNegative val="0"/>
          <c:dLbls>
            <c:dLbl>
              <c:idx val="0"/>
              <c:layout>
                <c:manualLayout>
                  <c:x val="0"/>
                  <c:y val="-3.4952813701502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D8C-4F7D-BE70-154900950A87}"/>
                </c:ext>
              </c:extLst>
            </c:dLbl>
            <c:dLbl>
              <c:idx val="1"/>
              <c:layout>
                <c:manualLayout>
                  <c:x val="2.2760896779332688E-3"/>
                  <c:y val="-3.4952813701502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D8C-4F7D-BE70-154900950A87}"/>
                </c:ext>
              </c:extLst>
            </c:dLbl>
            <c:dLbl>
              <c:idx val="2"/>
              <c:layout>
                <c:manualLayout>
                  <c:x val="0"/>
                  <c:y val="-4.194337644180355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D8C-4F7D-BE70-154900950A87}"/>
                </c:ext>
              </c:extLst>
            </c:dLbl>
            <c:spPr>
              <a:noFill/>
              <a:ln>
                <a:noFill/>
              </a:ln>
              <a:effectLst/>
            </c:spPr>
            <c:txPr>
              <a:bodyPr rot="0" spcFirstLastPara="1" vertOverflow="ellipsis" vert="horz" wrap="square" lIns="38100" tIns="19050" rIns="38100" bIns="19050" anchor="ctr" anchorCtr="1">
                <a:spAutoFit/>
              </a:bodyPr>
              <a:lstStyle/>
              <a:p>
                <a:pPr>
                  <a:defRPr lang="cs-CZ" sz="900" b="0" i="0" u="none" strike="noStrike" kern="1200" baseline="0">
                    <a:solidFill>
                      <a:schemeClr val="tx1">
                        <a:lumMod val="75000"/>
                        <a:lumOff val="25000"/>
                      </a:schemeClr>
                    </a:solidFill>
                    <a:latin typeface="+mn-lt"/>
                    <a:ea typeface="+mn-ea"/>
                    <a:cs typeface="+mn-cs"/>
                  </a:defRPr>
                </a:pPr>
                <a:endParaRPr lang="sk-S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MVSR!$C$82:$G$82</c:f>
              <c:strCache>
                <c:ptCount val="3"/>
                <c:pt idx="0">
                  <c:v>2016</c:v>
                </c:pt>
                <c:pt idx="1">
                  <c:v>2017</c:v>
                </c:pt>
                <c:pt idx="2">
                  <c:v>IIIQ2018</c:v>
                </c:pt>
              </c:strCache>
              <c:extLst/>
            </c:strRef>
          </c:cat>
          <c:val>
            <c:numRef>
              <c:f>MVSR!$C$86:$G$86</c:f>
              <c:numCache>
                <c:formatCode>#,##0</c:formatCode>
                <c:ptCount val="3"/>
                <c:pt idx="0">
                  <c:v>4276.6000000000004</c:v>
                </c:pt>
                <c:pt idx="1">
                  <c:v>4290.3</c:v>
                </c:pt>
                <c:pt idx="2">
                  <c:v>4329.6000000000004</c:v>
                </c:pt>
              </c:numCache>
              <c:extLst/>
            </c:numRef>
          </c:val>
          <c:extLst>
            <c:ext xmlns:c16="http://schemas.microsoft.com/office/drawing/2014/chart" uri="{C3380CC4-5D6E-409C-BE32-E72D297353CC}">
              <c16:uniqueId val="{0000000C-3D8C-4F7D-BE70-154900950A87}"/>
            </c:ext>
          </c:extLst>
        </c:ser>
        <c:dLbls>
          <c:showLegendKey val="0"/>
          <c:showVal val="0"/>
          <c:showCatName val="0"/>
          <c:showSerName val="0"/>
          <c:showPercent val="0"/>
          <c:showBubbleSize val="0"/>
        </c:dLbls>
        <c:gapWidth val="182"/>
        <c:axId val="68040192"/>
        <c:axId val="68041728"/>
        <c:extLst>
          <c:ext xmlns:c15="http://schemas.microsoft.com/office/drawing/2012/chart" uri="{02D57815-91ED-43cb-92C2-25804820EDAC}">
            <c15:filteredBarSeries>
              <c15:ser>
                <c:idx val="0"/>
                <c:order val="0"/>
                <c:tx>
                  <c:strRef>
                    <c:extLst>
                      <c:ext uri="{02D57815-91ED-43cb-92C2-25804820EDAC}">
                        <c15:formulaRef>
                          <c15:sqref>MVSR!$B$83</c15:sqref>
                        </c15:formulaRef>
                      </c:ext>
                    </c:extLst>
                    <c:strCache>
                      <c:ptCount val="1"/>
                      <c:pt idx="0">
                        <c:v>ústavní činitelia, europoslanci</c:v>
                      </c:pt>
                    </c:strCache>
                  </c:strRef>
                </c:tx>
                <c:spPr>
                  <a:solidFill>
                    <a:schemeClr val="accent1"/>
                  </a:solidFill>
                  <a:ln>
                    <a:noFill/>
                  </a:ln>
                  <a:effectLst/>
                </c:spPr>
                <c:invertIfNegative val="0"/>
                <c:cat>
                  <c:strRef>
                    <c:extLst>
                      <c:ext uri="{02D57815-91ED-43cb-92C2-25804820EDAC}">
                        <c15:formulaRef>
                          <c15:sqref>MVSR!$C$82:$G$82</c15:sqref>
                        </c15:formulaRef>
                      </c:ext>
                    </c:extLst>
                    <c:strCache>
                      <c:ptCount val="3"/>
                      <c:pt idx="0">
                        <c:v>2016</c:v>
                      </c:pt>
                      <c:pt idx="1">
                        <c:v>2017</c:v>
                      </c:pt>
                      <c:pt idx="2">
                        <c:v>IIIQ2018</c:v>
                      </c:pt>
                    </c:strCache>
                  </c:strRef>
                </c:cat>
                <c:val>
                  <c:numRef>
                    <c:extLst>
                      <c:ext uri="{02D57815-91ED-43cb-92C2-25804820EDAC}">
                        <c15:formulaRef>
                          <c15:sqref>MVSR!$C$83:$G$83</c15:sqref>
                        </c15:formulaRef>
                      </c:ext>
                    </c:extLst>
                    <c:numCache>
                      <c:formatCode>#,##0</c:formatCode>
                      <c:ptCount val="3"/>
                      <c:pt idx="0">
                        <c:v>1</c:v>
                      </c:pt>
                      <c:pt idx="1">
                        <c:v>1</c:v>
                      </c:pt>
                      <c:pt idx="2">
                        <c:v>1.1000000000000001</c:v>
                      </c:pt>
                    </c:numCache>
                  </c:numRef>
                </c:val>
                <c:extLst>
                  <c:ext xmlns:c16="http://schemas.microsoft.com/office/drawing/2014/chart" uri="{C3380CC4-5D6E-409C-BE32-E72D297353CC}">
                    <c16:uniqueId val="{0000000D-3D8C-4F7D-BE70-154900950A87}"/>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MVSR!$B$88</c15:sqref>
                        </c15:formulaRef>
                      </c:ext>
                    </c:extLst>
                    <c:strCache>
                      <c:ptCount val="1"/>
                      <c:pt idx="0">
                        <c:v>            z toho: pedagogickí a odborní zamestnanci a učitelia VŠ</c:v>
                      </c:pt>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MVSR!$C$82:$G$82</c15:sqref>
                        </c15:formulaRef>
                      </c:ext>
                    </c:extLst>
                    <c:strCache>
                      <c:ptCount val="3"/>
                      <c:pt idx="0">
                        <c:v>2016</c:v>
                      </c:pt>
                      <c:pt idx="1">
                        <c:v>2017</c:v>
                      </c:pt>
                      <c:pt idx="2">
                        <c:v>IIIQ2018</c:v>
                      </c:pt>
                    </c:strCache>
                  </c:strRef>
                </c:cat>
                <c:val>
                  <c:numRef>
                    <c:extLst xmlns:c15="http://schemas.microsoft.com/office/drawing/2012/chart">
                      <c:ext xmlns:c15="http://schemas.microsoft.com/office/drawing/2012/chart" uri="{02D57815-91ED-43cb-92C2-25804820EDAC}">
                        <c15:formulaRef>
                          <c15:sqref>MVSR!$C$88:$G$88</c15:sqref>
                        </c15:formulaRef>
                      </c:ext>
                    </c:extLst>
                    <c:numCache>
                      <c:formatCode>#,##0</c:formatCode>
                      <c:ptCount val="3"/>
                      <c:pt idx="1">
                        <c:v>7506.1</c:v>
                      </c:pt>
                      <c:pt idx="2">
                        <c:v>7517.8</c:v>
                      </c:pt>
                    </c:numCache>
                  </c:numRef>
                </c:val>
                <c:extLst xmlns:c15="http://schemas.microsoft.com/office/drawing/2012/chart">
                  <c:ext xmlns:c16="http://schemas.microsoft.com/office/drawing/2014/chart" uri="{C3380CC4-5D6E-409C-BE32-E72D297353CC}">
                    <c16:uniqueId val="{0000000E-3D8C-4F7D-BE70-154900950A87}"/>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MVSR!$B$89</c15:sqref>
                        </c15:formulaRef>
                      </c:ext>
                    </c:extLst>
                    <c:strCache>
                      <c:ptCount val="1"/>
                      <c:pt idx="0">
                        <c:v>Spolu</c:v>
                      </c:pt>
                    </c:strCache>
                  </c:strRef>
                </c:tx>
                <c:spPr>
                  <a:solidFill>
                    <a:schemeClr val="accent1">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MVSR!$C$82:$G$82</c15:sqref>
                        </c15:formulaRef>
                      </c:ext>
                    </c:extLst>
                    <c:strCache>
                      <c:ptCount val="3"/>
                      <c:pt idx="0">
                        <c:v>2016</c:v>
                      </c:pt>
                      <c:pt idx="1">
                        <c:v>2017</c:v>
                      </c:pt>
                      <c:pt idx="2">
                        <c:v>IIIQ2018</c:v>
                      </c:pt>
                    </c:strCache>
                  </c:strRef>
                </c:cat>
                <c:val>
                  <c:numRef>
                    <c:extLst xmlns:c15="http://schemas.microsoft.com/office/drawing/2012/chart">
                      <c:ext xmlns:c15="http://schemas.microsoft.com/office/drawing/2012/chart" uri="{02D57815-91ED-43cb-92C2-25804820EDAC}">
                        <c15:formulaRef>
                          <c15:sqref>MVSR!$C$89:$G$89</c15:sqref>
                        </c15:formulaRef>
                      </c:ext>
                    </c:extLst>
                    <c:numCache>
                      <c:formatCode>#,##0</c:formatCode>
                      <c:ptCount val="3"/>
                      <c:pt idx="0">
                        <c:v>49052.800000000003</c:v>
                      </c:pt>
                      <c:pt idx="1">
                        <c:v>48780.4</c:v>
                      </c:pt>
                      <c:pt idx="2">
                        <c:v>48726.9</c:v>
                      </c:pt>
                    </c:numCache>
                  </c:numRef>
                </c:val>
                <c:extLst xmlns:c15="http://schemas.microsoft.com/office/drawing/2012/chart">
                  <c:ext xmlns:c16="http://schemas.microsoft.com/office/drawing/2014/chart" uri="{C3380CC4-5D6E-409C-BE32-E72D297353CC}">
                    <c16:uniqueId val="{0000000F-3D8C-4F7D-BE70-154900950A87}"/>
                  </c:ext>
                </c:extLst>
              </c15:ser>
            </c15:filteredBarSeries>
          </c:ext>
        </c:extLst>
      </c:barChart>
      <c:catAx>
        <c:axId val="680401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cs-CZ" sz="900" b="0" i="0" u="none" strike="noStrike" kern="1200" baseline="0">
                <a:solidFill>
                  <a:schemeClr val="tx1">
                    <a:lumMod val="65000"/>
                    <a:lumOff val="35000"/>
                  </a:schemeClr>
                </a:solidFill>
                <a:latin typeface="+mn-lt"/>
                <a:ea typeface="+mn-ea"/>
                <a:cs typeface="+mn-cs"/>
              </a:defRPr>
            </a:pPr>
            <a:endParaRPr lang="sk-SK"/>
          </a:p>
        </c:txPr>
        <c:crossAx val="68041728"/>
        <c:crosses val="autoZero"/>
        <c:auto val="1"/>
        <c:lblAlgn val="ctr"/>
        <c:lblOffset val="100"/>
        <c:noMultiLvlLbl val="0"/>
      </c:catAx>
      <c:valAx>
        <c:axId val="6804172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cs-CZ" sz="900" b="0" i="0" u="none" strike="noStrike" kern="1200" baseline="0">
                <a:solidFill>
                  <a:schemeClr val="tx1">
                    <a:lumMod val="65000"/>
                    <a:lumOff val="35000"/>
                  </a:schemeClr>
                </a:solidFill>
                <a:latin typeface="+mn-lt"/>
                <a:ea typeface="+mn-ea"/>
                <a:cs typeface="+mn-cs"/>
              </a:defRPr>
            </a:pPr>
            <a:endParaRPr lang="sk-SK"/>
          </a:p>
        </c:txPr>
        <c:crossAx val="68040192"/>
        <c:crosses val="autoZero"/>
        <c:crossBetween val="between"/>
      </c:valAx>
      <c:spPr>
        <a:noFill/>
        <a:ln>
          <a:noFill/>
        </a:ln>
        <a:effectLst/>
      </c:spPr>
    </c:plotArea>
    <c:legend>
      <c:legendPos val="b"/>
      <c:layout>
        <c:manualLayout>
          <c:xMode val="edge"/>
          <c:yMode val="edge"/>
          <c:x val="4.9999955195085079E-2"/>
          <c:y val="0.88203342810041063"/>
          <c:w val="0.89999991039017058"/>
          <c:h val="0.11796657189958913"/>
        </c:manualLayout>
      </c:layout>
      <c:overlay val="0"/>
      <c:spPr>
        <a:noFill/>
        <a:ln>
          <a:noFill/>
        </a:ln>
        <a:effectLst/>
      </c:spPr>
      <c:txPr>
        <a:bodyPr rot="0" spcFirstLastPara="1" vertOverflow="ellipsis" vert="horz" wrap="square" anchor="ctr" anchorCtr="1"/>
        <a:lstStyle/>
        <a:p>
          <a:pPr>
            <a:defRPr lang="cs-CZ"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C34-4C48-9C63-F991AB23CF8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C34-4C48-9C63-F991AB23CF8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C34-4C48-9C63-F991AB23CF8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C34-4C48-9C63-F991AB23CF87}"/>
              </c:ext>
            </c:extLst>
          </c:dPt>
          <c:dLbls>
            <c:spPr>
              <a:noFill/>
              <a:ln>
                <a:noFill/>
              </a:ln>
              <a:effectLst/>
            </c:spPr>
            <c:txPr>
              <a:bodyPr rot="0" spcFirstLastPara="1" vertOverflow="ellipsis" vert="horz" wrap="square" lIns="38100" tIns="19050" rIns="38100" bIns="19050" anchor="ctr" anchorCtr="1">
                <a:spAutoFit/>
              </a:bodyPr>
              <a:lstStyle/>
              <a:p>
                <a:pPr>
                  <a:defRPr lang="cs-CZ"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'MS SR'!$B$11:$B$14</c:f>
              <c:strCache>
                <c:ptCount val="4"/>
                <c:pt idx="0">
                  <c:v>Väzenstvo</c:v>
                </c:pt>
                <c:pt idx="1">
                  <c:v>Súdnictvo</c:v>
                </c:pt>
                <c:pt idx="2">
                  <c:v>Riadenie, kontrola a podpora</c:v>
                </c:pt>
                <c:pt idx="3">
                  <c:v>Medzirezortné programy</c:v>
                </c:pt>
              </c:strCache>
            </c:strRef>
          </c:cat>
          <c:val>
            <c:numRef>
              <c:f>'MS SR'!$C$11:$C$14</c:f>
              <c:numCache>
                <c:formatCode>#,##0</c:formatCode>
                <c:ptCount val="4"/>
                <c:pt idx="0">
                  <c:v>179214.761</c:v>
                </c:pt>
                <c:pt idx="1">
                  <c:v>219567.261</c:v>
                </c:pt>
                <c:pt idx="2">
                  <c:v>17375.678</c:v>
                </c:pt>
                <c:pt idx="3">
                  <c:v>23348.423999999999</c:v>
                </c:pt>
              </c:numCache>
            </c:numRef>
          </c:val>
          <c:extLst>
            <c:ext xmlns:c16="http://schemas.microsoft.com/office/drawing/2014/chart" uri="{C3380CC4-5D6E-409C-BE32-E72D297353CC}">
              <c16:uniqueId val="{00000008-3C34-4C48-9C63-F991AB23CF87}"/>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lang="cs-CZ" sz="900" b="0" i="0" u="none" strike="noStrike" kern="1200" baseline="0">
              <a:solidFill>
                <a:schemeClr val="tx1">
                  <a:lumMod val="65000"/>
                  <a:lumOff val="35000"/>
                </a:schemeClr>
              </a:solidFill>
              <a:latin typeface="+mn-lt"/>
              <a:ea typeface="+mn-ea"/>
              <a:cs typeface="+mn-cs"/>
            </a:defRPr>
          </a:pPr>
          <a:endParaRPr lang="sk-SK"/>
        </a:p>
      </c:txPr>
    </c:legend>
    <c:plotVisOnly val="1"/>
    <c:dispBlanksAs val="zero"/>
    <c:showDLblsOverMax val="0"/>
  </c:chart>
  <c:spPr>
    <a:solidFill>
      <a:schemeClr val="bg1"/>
    </a:solidFill>
    <a:ln w="9525" cap="flat" cmpd="sng" algn="ctr">
      <a:noFill/>
      <a:round/>
    </a:ln>
    <a:effectLst/>
  </c:spPr>
  <c:txPr>
    <a:bodyPr/>
    <a:lstStyle/>
    <a:p>
      <a:pPr>
        <a:defRPr/>
      </a:pPr>
      <a:endParaRPr lang="sk-SK"/>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062075573886592E-2"/>
          <c:y val="6.5988452020896371E-2"/>
          <c:w val="0.90348289797108672"/>
          <c:h val="0.70044057250611091"/>
        </c:manualLayout>
      </c:layout>
      <c:barChart>
        <c:barDir val="col"/>
        <c:grouping val="clustered"/>
        <c:varyColors val="0"/>
        <c:ser>
          <c:idx val="0"/>
          <c:order val="0"/>
          <c:tx>
            <c:strRef>
              <c:f>'MS SR'!$B$44</c:f>
              <c:strCache>
                <c:ptCount val="1"/>
                <c:pt idx="0">
                  <c:v>ústredie</c:v>
                </c:pt>
              </c:strCache>
            </c:strRef>
          </c:tx>
          <c:spPr>
            <a:solidFill>
              <a:srgbClr val="002060"/>
            </a:solidFill>
            <a:ln>
              <a:solidFill>
                <a:srgbClr val="00206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cs-CZ" sz="900" b="0" i="0" u="none" strike="noStrike" kern="1200" baseline="0">
                    <a:solidFill>
                      <a:schemeClr val="tx1">
                        <a:lumMod val="75000"/>
                        <a:lumOff val="25000"/>
                      </a:schemeClr>
                    </a:solidFill>
                    <a:latin typeface="Arial Narrow" panose="020B0606020202030204" pitchFamily="34" charset="0"/>
                    <a:ea typeface="+mn-ea"/>
                    <a:cs typeface="+mn-cs"/>
                  </a:defRPr>
                </a:pPr>
                <a:endParaRPr lang="sk-S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 SR'!$C$43:$J$43</c:f>
              <c:strCache>
                <c:ptCount val="8"/>
                <c:pt idx="0">
                  <c:v>2012</c:v>
                </c:pt>
                <c:pt idx="1">
                  <c:v>2013</c:v>
                </c:pt>
                <c:pt idx="2">
                  <c:v>2014</c:v>
                </c:pt>
                <c:pt idx="3">
                  <c:v>2015</c:v>
                </c:pt>
                <c:pt idx="4">
                  <c:v>2016</c:v>
                </c:pt>
                <c:pt idx="5">
                  <c:v>2017</c:v>
                </c:pt>
                <c:pt idx="6">
                  <c:v>IIIQ.2018</c:v>
                </c:pt>
                <c:pt idx="7">
                  <c:v>2019 plán</c:v>
                </c:pt>
              </c:strCache>
            </c:strRef>
          </c:cat>
          <c:val>
            <c:numRef>
              <c:f>'MS SR'!$C$44:$J$44</c:f>
              <c:numCache>
                <c:formatCode>#,##0</c:formatCode>
                <c:ptCount val="8"/>
                <c:pt idx="0">
                  <c:v>268</c:v>
                </c:pt>
                <c:pt idx="1">
                  <c:v>282</c:v>
                </c:pt>
                <c:pt idx="2">
                  <c:v>305</c:v>
                </c:pt>
                <c:pt idx="3">
                  <c:v>326</c:v>
                </c:pt>
                <c:pt idx="4">
                  <c:v>327</c:v>
                </c:pt>
                <c:pt idx="5">
                  <c:v>345</c:v>
                </c:pt>
                <c:pt idx="6">
                  <c:v>351</c:v>
                </c:pt>
                <c:pt idx="7">
                  <c:v>373</c:v>
                </c:pt>
              </c:numCache>
            </c:numRef>
          </c:val>
          <c:extLst>
            <c:ext xmlns:c16="http://schemas.microsoft.com/office/drawing/2014/chart" uri="{C3380CC4-5D6E-409C-BE32-E72D297353CC}">
              <c16:uniqueId val="{00000000-FC5C-4589-843D-8E81D361E3BE}"/>
            </c:ext>
          </c:extLst>
        </c:ser>
        <c:ser>
          <c:idx val="1"/>
          <c:order val="1"/>
          <c:tx>
            <c:strRef>
              <c:f>'MS SR'!$B$45</c:f>
              <c:strCache>
                <c:ptCount val="1"/>
                <c:pt idx="0">
                  <c:v>štátni zamestnanci</c:v>
                </c:pt>
              </c:strCache>
            </c:strRef>
          </c:tx>
          <c:spPr>
            <a:solidFill>
              <a:srgbClr val="00B0F0"/>
            </a:solidFill>
            <a:ln>
              <a:solidFill>
                <a:srgbClr val="00206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cs-CZ" sz="900" b="0" i="0" u="none" strike="noStrike" kern="1200" baseline="0">
                    <a:solidFill>
                      <a:schemeClr val="tx1">
                        <a:lumMod val="75000"/>
                        <a:lumOff val="25000"/>
                      </a:schemeClr>
                    </a:solidFill>
                    <a:latin typeface="Arial Narrow" panose="020B0606020202030204" pitchFamily="34" charset="0"/>
                    <a:ea typeface="+mn-ea"/>
                    <a:cs typeface="+mn-cs"/>
                  </a:defRPr>
                </a:pPr>
                <a:endParaRPr lang="sk-S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 SR'!$C$43:$J$43</c:f>
              <c:strCache>
                <c:ptCount val="8"/>
                <c:pt idx="0">
                  <c:v>2012</c:v>
                </c:pt>
                <c:pt idx="1">
                  <c:v>2013</c:v>
                </c:pt>
                <c:pt idx="2">
                  <c:v>2014</c:v>
                </c:pt>
                <c:pt idx="3">
                  <c:v>2015</c:v>
                </c:pt>
                <c:pt idx="4">
                  <c:v>2016</c:v>
                </c:pt>
                <c:pt idx="5">
                  <c:v>2017</c:v>
                </c:pt>
                <c:pt idx="6">
                  <c:v>IIIQ.2018</c:v>
                </c:pt>
                <c:pt idx="7">
                  <c:v>2019 plán</c:v>
                </c:pt>
              </c:strCache>
            </c:strRef>
          </c:cat>
          <c:val>
            <c:numRef>
              <c:f>'MS SR'!$C$45:$J$45</c:f>
              <c:numCache>
                <c:formatCode>#,##0</c:formatCode>
                <c:ptCount val="8"/>
                <c:pt idx="0">
                  <c:v>4045</c:v>
                </c:pt>
                <c:pt idx="1">
                  <c:v>4098</c:v>
                </c:pt>
                <c:pt idx="2">
                  <c:v>4123</c:v>
                </c:pt>
                <c:pt idx="3">
                  <c:v>4128</c:v>
                </c:pt>
                <c:pt idx="4">
                  <c:v>4134</c:v>
                </c:pt>
                <c:pt idx="5">
                  <c:v>4266</c:v>
                </c:pt>
                <c:pt idx="6">
                  <c:v>4327</c:v>
                </c:pt>
                <c:pt idx="7">
                  <c:v>4404</c:v>
                </c:pt>
              </c:numCache>
            </c:numRef>
          </c:val>
          <c:extLst>
            <c:ext xmlns:c16="http://schemas.microsoft.com/office/drawing/2014/chart" uri="{C3380CC4-5D6E-409C-BE32-E72D297353CC}">
              <c16:uniqueId val="{00000001-FC5C-4589-843D-8E81D361E3BE}"/>
            </c:ext>
          </c:extLst>
        </c:ser>
        <c:ser>
          <c:idx val="2"/>
          <c:order val="2"/>
          <c:tx>
            <c:strRef>
              <c:f>'MS SR'!$B$46</c:f>
              <c:strCache>
                <c:ptCount val="1"/>
                <c:pt idx="0">
                  <c:v>sudcovia</c:v>
                </c:pt>
              </c:strCache>
            </c:strRef>
          </c:tx>
          <c:spPr>
            <a:solidFill>
              <a:schemeClr val="accent1">
                <a:lumMod val="20000"/>
                <a:lumOff val="80000"/>
              </a:schemeClr>
            </a:solidFill>
            <a:ln>
              <a:solidFill>
                <a:srgbClr val="002060"/>
              </a:solidFill>
            </a:ln>
            <a:effectLst/>
          </c:spPr>
          <c:invertIfNegative val="0"/>
          <c:dLbls>
            <c:dLbl>
              <c:idx val="0"/>
              <c:layout>
                <c:manualLayout>
                  <c:x val="1.3227513227513215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C5C-4589-843D-8E81D361E3BE}"/>
                </c:ext>
              </c:extLst>
            </c:dLbl>
            <c:dLbl>
              <c:idx val="1"/>
              <c:layout>
                <c:manualLayout>
                  <c:x val="2.4250440917107582E-2"/>
                  <c:y val="-1.099807533681616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C5C-4589-843D-8E81D361E3BE}"/>
                </c:ext>
              </c:extLst>
            </c:dLbl>
            <c:dLbl>
              <c:idx val="2"/>
              <c:layout>
                <c:manualLayout>
                  <c:x val="1.7636684303350969E-2"/>
                  <c:y val="-5.499037668408030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C5C-4589-843D-8E81D361E3BE}"/>
                </c:ext>
              </c:extLst>
            </c:dLbl>
            <c:dLbl>
              <c:idx val="3"/>
              <c:layout>
                <c:manualLayout>
                  <c:x val="1.7636684303350889E-2"/>
                  <c:y val="-5.499037668408130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C5C-4589-843D-8E81D361E3BE}"/>
                </c:ext>
              </c:extLst>
            </c:dLbl>
            <c:dLbl>
              <c:idx val="4"/>
              <c:layout>
                <c:manualLayout>
                  <c:x val="1.9841269841269767E-2"/>
                  <c:y val="-5.499037668408130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C5C-4589-843D-8E81D361E3BE}"/>
                </c:ext>
              </c:extLst>
            </c:dLbl>
            <c:dLbl>
              <c:idx val="5"/>
              <c:layout>
                <c:manualLayout>
                  <c:x val="1.7636684303350889E-2"/>
                  <c:y val="1.0081452596947389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C5C-4589-843D-8E81D361E3BE}"/>
                </c:ext>
              </c:extLst>
            </c:dLbl>
            <c:dLbl>
              <c:idx val="6"/>
              <c:layout>
                <c:manualLayout>
                  <c:x val="1.984126984126984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C5C-4589-843D-8E81D361E3BE}"/>
                </c:ext>
              </c:extLst>
            </c:dLbl>
            <c:dLbl>
              <c:idx val="7"/>
              <c:layout>
                <c:manualLayout>
                  <c:x val="1.7636684303350809E-2"/>
                  <c:y val="-5.499037668408030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C5C-4589-843D-8E81D361E3BE}"/>
                </c:ext>
              </c:extLst>
            </c:dLbl>
            <c:spPr>
              <a:noFill/>
              <a:ln>
                <a:noFill/>
              </a:ln>
              <a:effectLst/>
            </c:spPr>
            <c:txPr>
              <a:bodyPr rot="0" spcFirstLastPara="1" vertOverflow="ellipsis" vert="horz" wrap="square" lIns="38100" tIns="19050" rIns="38100" bIns="19050" anchor="ctr" anchorCtr="1">
                <a:spAutoFit/>
              </a:bodyPr>
              <a:lstStyle/>
              <a:p>
                <a:pPr>
                  <a:defRPr lang="cs-CZ" sz="900" b="1" i="0" u="none" strike="noStrike" kern="1200" baseline="0">
                    <a:solidFill>
                      <a:srgbClr val="002060"/>
                    </a:solidFill>
                    <a:latin typeface="Arial Narrow" panose="020B0606020202030204" pitchFamily="34" charset="0"/>
                    <a:ea typeface="+mn-ea"/>
                    <a:cs typeface="+mn-cs"/>
                  </a:defRPr>
                </a:pPr>
                <a:endParaRPr lang="sk-S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'MS SR'!$C$43:$J$43</c:f>
              <c:strCache>
                <c:ptCount val="8"/>
                <c:pt idx="0">
                  <c:v>2012</c:v>
                </c:pt>
                <c:pt idx="1">
                  <c:v>2013</c:v>
                </c:pt>
                <c:pt idx="2">
                  <c:v>2014</c:v>
                </c:pt>
                <c:pt idx="3">
                  <c:v>2015</c:v>
                </c:pt>
                <c:pt idx="4">
                  <c:v>2016</c:v>
                </c:pt>
                <c:pt idx="5">
                  <c:v>2017</c:v>
                </c:pt>
                <c:pt idx="6">
                  <c:v>IIIQ.2018</c:v>
                </c:pt>
                <c:pt idx="7">
                  <c:v>2019 plán</c:v>
                </c:pt>
              </c:strCache>
            </c:strRef>
          </c:cat>
          <c:val>
            <c:numRef>
              <c:f>'MS SR'!$C$46:$J$46</c:f>
              <c:numCache>
                <c:formatCode>#,##0</c:formatCode>
                <c:ptCount val="8"/>
                <c:pt idx="0">
                  <c:v>1229</c:v>
                </c:pt>
                <c:pt idx="1">
                  <c:v>1243</c:v>
                </c:pt>
                <c:pt idx="2">
                  <c:v>1243</c:v>
                </c:pt>
                <c:pt idx="3">
                  <c:v>1224</c:v>
                </c:pt>
                <c:pt idx="4">
                  <c:v>1224</c:v>
                </c:pt>
                <c:pt idx="5">
                  <c:v>1256</c:v>
                </c:pt>
                <c:pt idx="6">
                  <c:v>1292</c:v>
                </c:pt>
                <c:pt idx="7">
                  <c:v>1349</c:v>
                </c:pt>
              </c:numCache>
            </c:numRef>
          </c:val>
          <c:extLst>
            <c:ext xmlns:c16="http://schemas.microsoft.com/office/drawing/2014/chart" uri="{C3380CC4-5D6E-409C-BE32-E72D297353CC}">
              <c16:uniqueId val="{0000000A-FC5C-4589-843D-8E81D361E3BE}"/>
            </c:ext>
          </c:extLst>
        </c:ser>
        <c:dLbls>
          <c:showLegendKey val="0"/>
          <c:showVal val="0"/>
          <c:showCatName val="0"/>
          <c:showSerName val="0"/>
          <c:showPercent val="0"/>
          <c:showBubbleSize val="0"/>
        </c:dLbls>
        <c:gapWidth val="219"/>
        <c:overlap val="-27"/>
        <c:axId val="67744512"/>
        <c:axId val="67746048"/>
      </c:barChart>
      <c:catAx>
        <c:axId val="6774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cs-CZ" sz="900" b="1"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67746048"/>
        <c:crosses val="autoZero"/>
        <c:auto val="1"/>
        <c:lblAlgn val="ctr"/>
        <c:lblOffset val="100"/>
        <c:noMultiLvlLbl val="0"/>
      </c:catAx>
      <c:valAx>
        <c:axId val="677460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cs-CZ"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67744512"/>
        <c:crosses val="autoZero"/>
        <c:crossBetween val="between"/>
      </c:valAx>
      <c:spPr>
        <a:noFill/>
        <a:ln>
          <a:noFill/>
        </a:ln>
        <a:effectLst/>
      </c:spPr>
    </c:plotArea>
    <c:legend>
      <c:legendPos val="b"/>
      <c:layout>
        <c:manualLayout>
          <c:xMode val="edge"/>
          <c:yMode val="edge"/>
          <c:x val="0.23494300481606012"/>
          <c:y val="0.87072055376755542"/>
          <c:w val="0.38685713530352644"/>
          <c:h val="0.10896112588026061"/>
        </c:manualLayout>
      </c:layout>
      <c:overlay val="0"/>
      <c:spPr>
        <a:noFill/>
        <a:ln>
          <a:noFill/>
        </a:ln>
        <a:effectLst/>
      </c:spPr>
      <c:txPr>
        <a:bodyPr rot="0" spcFirstLastPara="1" vertOverflow="ellipsis" vert="horz" wrap="square" anchor="ctr" anchorCtr="1"/>
        <a:lstStyle/>
        <a:p>
          <a:pPr>
            <a:defRPr lang="cs-CZ"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a:pPr>
      <a:endParaRPr lang="sk-SK"/>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62687358700761"/>
          <c:y val="0.15954416152325918"/>
          <c:w val="0.16877616134414425"/>
          <c:h val="0.68091167695348231"/>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F95-4345-8427-B219581EA74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F95-4345-8427-B219581EA74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F95-4345-8427-B219581EA74A}"/>
              </c:ext>
            </c:extLst>
          </c:dPt>
          <c:dLbls>
            <c:dLbl>
              <c:idx val="1"/>
              <c:layout>
                <c:manualLayout>
                  <c:x val="-7.0465068928354429E-3"/>
                  <c:y val="-2.625964857841043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F95-4345-8427-B219581EA74A}"/>
                </c:ext>
              </c:extLst>
            </c:dLbl>
            <c:dLbl>
              <c:idx val="2"/>
              <c:layout>
                <c:manualLayout>
                  <c:x val="-1.6003984358723147E-2"/>
                  <c:y val="8.6117488511995108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F95-4345-8427-B219581EA74A}"/>
                </c:ext>
              </c:extLst>
            </c:dLbl>
            <c:spPr>
              <a:noFill/>
              <a:ln>
                <a:noFill/>
              </a:ln>
              <a:effectLst/>
            </c:spPr>
            <c:txPr>
              <a:bodyPr rot="0" spcFirstLastPara="1" vertOverflow="ellipsis" vert="horz" wrap="square" lIns="38100" tIns="19050" rIns="38100" bIns="19050" anchor="ctr" anchorCtr="1">
                <a:spAutoFit/>
              </a:bodyPr>
              <a:lstStyle/>
              <a:p>
                <a:pPr>
                  <a:defRPr lang="cs-CZ" sz="900" b="1" i="0" u="none" strike="noStrike" kern="1200" baseline="0">
                    <a:solidFill>
                      <a:schemeClr val="tx1">
                        <a:lumMod val="75000"/>
                        <a:lumOff val="25000"/>
                      </a:schemeClr>
                    </a:solidFill>
                    <a:latin typeface="Arial Narrow" panose="020B0606020202030204" pitchFamily="34" charset="0"/>
                    <a:ea typeface="+mn-ea"/>
                    <a:cs typeface="+mn-cs"/>
                  </a:defRPr>
                </a:pPr>
                <a:endParaRPr lang="sk-SK"/>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'MF SR'!$B$10:$B$12</c:f>
              <c:strCache>
                <c:ptCount val="3"/>
                <c:pt idx="0">
                  <c:v>Výber daní a cla finančnou správou</c:v>
                </c:pt>
                <c:pt idx="1">
                  <c:v>Informačná spoločnosť a Informačné technológie financované zo štátneho rozpočtu</c:v>
                </c:pt>
                <c:pt idx="2">
                  <c:v>Inštitucionálna podpora a kontrola</c:v>
                </c:pt>
              </c:strCache>
            </c:strRef>
          </c:cat>
          <c:val>
            <c:numRef>
              <c:f>'MF SR'!$C$10:$C$12</c:f>
              <c:numCache>
                <c:formatCode>#,##0</c:formatCode>
                <c:ptCount val="3"/>
                <c:pt idx="0">
                  <c:v>270020.37400000001</c:v>
                </c:pt>
                <c:pt idx="1">
                  <c:v>95479.795999999988</c:v>
                </c:pt>
                <c:pt idx="2">
                  <c:v>54685.659</c:v>
                </c:pt>
              </c:numCache>
            </c:numRef>
          </c:val>
          <c:extLst>
            <c:ext xmlns:c16="http://schemas.microsoft.com/office/drawing/2014/chart" uri="{C3380CC4-5D6E-409C-BE32-E72D297353CC}">
              <c16:uniqueId val="{00000006-5F95-4345-8427-B219581EA74A}"/>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33616055209368251"/>
          <c:y val="6.3359317662475378E-2"/>
          <c:w val="0.64717280993713522"/>
          <c:h val="0.93664041994750691"/>
        </c:manualLayout>
      </c:layout>
      <c:overlay val="0"/>
      <c:spPr>
        <a:noFill/>
        <a:ln>
          <a:noFill/>
        </a:ln>
        <a:effectLst/>
      </c:spPr>
      <c:txPr>
        <a:bodyPr rot="0" spcFirstLastPara="1" vertOverflow="ellipsis" vert="horz" wrap="square" anchor="ctr" anchorCtr="1"/>
        <a:lstStyle/>
        <a:p>
          <a:pPr>
            <a:defRPr lang="cs-CZ" sz="900" b="0" i="0" u="none" strike="noStrike" kern="1200" baseline="0">
              <a:solidFill>
                <a:schemeClr val="tx1">
                  <a:lumMod val="65000"/>
                  <a:lumOff val="35000"/>
                </a:schemeClr>
              </a:solidFill>
              <a:latin typeface="+mn-lt"/>
              <a:ea typeface="+mn-ea"/>
              <a:cs typeface="+mn-cs"/>
            </a:defRPr>
          </a:pPr>
          <a:endParaRPr lang="sk-SK"/>
        </a:p>
      </c:txPr>
    </c:legend>
    <c:plotVisOnly val="1"/>
    <c:dispBlanksAs val="zero"/>
    <c:showDLblsOverMax val="0"/>
  </c:chart>
  <c:spPr>
    <a:solidFill>
      <a:schemeClr val="bg1"/>
    </a:solidFill>
    <a:ln w="9525" cap="flat" cmpd="sng" algn="ctr">
      <a:noFill/>
      <a:round/>
    </a:ln>
    <a:effectLst/>
  </c:spPr>
  <c:txPr>
    <a:bodyPr/>
    <a:lstStyle/>
    <a:p>
      <a:pPr>
        <a:defRPr/>
      </a:pPr>
      <a:endParaRPr lang="sk-SK"/>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E29-4FA9-AFE4-B31A16FCF08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E29-4FA9-AFE4-B31A16FCF08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E29-4FA9-AFE4-B31A16FCF08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E29-4FA9-AFE4-B31A16FCF08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E29-4FA9-AFE4-B31A16FCF08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E29-4FA9-AFE4-B31A16FCF08C}"/>
              </c:ext>
            </c:extLst>
          </c:dPt>
          <c:dLbls>
            <c:dLbl>
              <c:idx val="3"/>
              <c:layout>
                <c:manualLayout>
                  <c:x val="-4.5517367109706702E-3"/>
                  <c:y val="-3.24725691513797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E29-4FA9-AFE4-B31A16FCF08C}"/>
                </c:ext>
              </c:extLst>
            </c:dLbl>
            <c:spPr>
              <a:noFill/>
              <a:ln>
                <a:noFill/>
              </a:ln>
              <a:effectLst/>
            </c:spPr>
            <c:txPr>
              <a:bodyPr rot="0" spcFirstLastPara="1" vertOverflow="ellipsis" vert="horz" wrap="square" lIns="38100" tIns="19050" rIns="38100" bIns="19050" anchor="ctr" anchorCtr="1">
                <a:spAutoFit/>
              </a:bodyPr>
              <a:lstStyle/>
              <a:p>
                <a:pPr>
                  <a:defRPr lang="cs-CZ"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'MŽP SR'!$B$16:$B$21</c:f>
              <c:strCache>
                <c:ptCount val="6"/>
                <c:pt idx="0">
                  <c:v>Vodné hospodárstvo</c:v>
                </c:pt>
                <c:pt idx="1">
                  <c:v>Ochrana ovzdušia</c:v>
                </c:pt>
                <c:pt idx="2">
                  <c:v>Ochrana prírody a krajiny</c:v>
                </c:pt>
                <c:pt idx="3">
                  <c:v>Nízkouhlíkové hospodárstvo</c:v>
                </c:pt>
                <c:pt idx="4">
                  <c:v>Podpora IT systémov</c:v>
                </c:pt>
                <c:pt idx="5">
                  <c:v>Administratíva</c:v>
                </c:pt>
              </c:strCache>
            </c:strRef>
          </c:cat>
          <c:val>
            <c:numRef>
              <c:f>'MŽP SR'!$C$16:$C$21</c:f>
              <c:numCache>
                <c:formatCode>#,##0</c:formatCode>
                <c:ptCount val="6"/>
                <c:pt idx="0">
                  <c:v>305377.15299999987</c:v>
                </c:pt>
                <c:pt idx="1">
                  <c:v>8695.6640000000007</c:v>
                </c:pt>
                <c:pt idx="2">
                  <c:v>17913.231</c:v>
                </c:pt>
                <c:pt idx="3">
                  <c:v>165511.61700000006</c:v>
                </c:pt>
                <c:pt idx="4">
                  <c:v>2942.4090000000001</c:v>
                </c:pt>
                <c:pt idx="5">
                  <c:v>40170.133000000002</c:v>
                </c:pt>
              </c:numCache>
            </c:numRef>
          </c:val>
          <c:extLst>
            <c:ext xmlns:c16="http://schemas.microsoft.com/office/drawing/2014/chart" uri="{C3380CC4-5D6E-409C-BE32-E72D297353CC}">
              <c16:uniqueId val="{0000000C-CE29-4FA9-AFE4-B31A16FCF08C}"/>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lang="cs-CZ" sz="900" b="0" i="0" u="none" strike="noStrike" kern="1200" baseline="0">
              <a:solidFill>
                <a:schemeClr val="tx1">
                  <a:lumMod val="65000"/>
                  <a:lumOff val="35000"/>
                </a:schemeClr>
              </a:solidFill>
              <a:latin typeface="+mn-lt"/>
              <a:ea typeface="+mn-ea"/>
              <a:cs typeface="+mn-cs"/>
            </a:defRPr>
          </a:pPr>
          <a:endParaRPr lang="sk-SK"/>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00B0F0"/>
              </a:solidFill>
              <a:ln w="19050">
                <a:solidFill>
                  <a:schemeClr val="lt1"/>
                </a:solidFill>
              </a:ln>
              <a:effectLst/>
            </c:spPr>
            <c:extLst>
              <c:ext xmlns:c16="http://schemas.microsoft.com/office/drawing/2014/chart" uri="{C3380CC4-5D6E-409C-BE32-E72D297353CC}">
                <c16:uniqueId val="{00000001-3307-43C5-B09B-52AF3992B204}"/>
              </c:ext>
            </c:extLst>
          </c:dPt>
          <c:dPt>
            <c:idx val="1"/>
            <c:bubble3D val="0"/>
            <c:spPr>
              <a:solidFill>
                <a:schemeClr val="accent4">
                  <a:lumMod val="75000"/>
                </a:schemeClr>
              </a:solidFill>
              <a:ln w="19050">
                <a:solidFill>
                  <a:schemeClr val="lt1"/>
                </a:solidFill>
              </a:ln>
              <a:effectLst/>
            </c:spPr>
            <c:extLst>
              <c:ext xmlns:c16="http://schemas.microsoft.com/office/drawing/2014/chart" uri="{C3380CC4-5D6E-409C-BE32-E72D297353CC}">
                <c16:uniqueId val="{00000003-3307-43C5-B09B-52AF3992B20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307-43C5-B09B-52AF3992B20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307-43C5-B09B-52AF3992B204}"/>
              </c:ext>
            </c:extLst>
          </c:dPt>
          <c:dPt>
            <c:idx val="4"/>
            <c:bubble3D val="0"/>
            <c:spPr>
              <a:solidFill>
                <a:srgbClr val="7030A0"/>
              </a:solidFill>
              <a:ln w="19050">
                <a:solidFill>
                  <a:schemeClr val="lt1"/>
                </a:solidFill>
              </a:ln>
              <a:effectLst/>
            </c:spPr>
            <c:extLst>
              <c:ext xmlns:c16="http://schemas.microsoft.com/office/drawing/2014/chart" uri="{C3380CC4-5D6E-409C-BE32-E72D297353CC}">
                <c16:uniqueId val="{00000009-3307-43C5-B09B-52AF3992B20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307-43C5-B09B-52AF3992B204}"/>
              </c:ext>
            </c:extLst>
          </c:dPt>
          <c:dLbls>
            <c:dLbl>
              <c:idx val="0"/>
              <c:layout>
                <c:manualLayout>
                  <c:x val="0.107406504199099"/>
                  <c:y val="2.208436999562247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307-43C5-B09B-52AF3992B204}"/>
                </c:ext>
              </c:extLst>
            </c:dLbl>
            <c:dLbl>
              <c:idx val="1"/>
              <c:layout>
                <c:manualLayout>
                  <c:x val="-9.86911933043529E-2"/>
                  <c:y val="0.12267062676278769"/>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307-43C5-B09B-52AF3992B204}"/>
                </c:ext>
              </c:extLst>
            </c:dLbl>
            <c:dLbl>
              <c:idx val="2"/>
              <c:layout>
                <c:manualLayout>
                  <c:x val="1.655530686791554E-2"/>
                  <c:y val="-4.772506884915261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307-43C5-B09B-52AF3992B204}"/>
                </c:ext>
              </c:extLst>
            </c:dLbl>
            <c:dLbl>
              <c:idx val="3"/>
              <c:layout>
                <c:manualLayout>
                  <c:x val="5.5858387480028585E-3"/>
                  <c:y val="-5.0906813988154265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307-43C5-B09B-52AF3992B204}"/>
                </c:ext>
              </c:extLst>
            </c:dLbl>
            <c:dLbl>
              <c:idx val="4"/>
              <c:layout>
                <c:manualLayout>
                  <c:x val="-6.4092300962380246E-3"/>
                  <c:y val="-2.500729075532226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307-43C5-B09B-52AF3992B204}"/>
                </c:ext>
              </c:extLst>
            </c:dLbl>
            <c:dLbl>
              <c:idx val="5"/>
              <c:layout>
                <c:manualLayout>
                  <c:x val="-3.069295330699115E-2"/>
                  <c:y val="-1.8091950328868994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307-43C5-B09B-52AF3992B204}"/>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lang="cs-CZ" sz="900" b="1" i="0" u="none" strike="noStrike" kern="1200" baseline="0">
                    <a:solidFill>
                      <a:schemeClr val="tx1">
                        <a:lumMod val="75000"/>
                        <a:lumOff val="25000"/>
                      </a:schemeClr>
                    </a:solidFill>
                    <a:latin typeface="+mn-lt"/>
                    <a:ea typeface="+mn-ea"/>
                    <a:cs typeface="+mn-cs"/>
                  </a:defRPr>
                </a:pPr>
                <a:endParaRPr lang="sk-SK"/>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msvvs!$A$2:$A$7</c:f>
              <c:strCache>
                <c:ptCount val="6"/>
                <c:pt idx="0">
                  <c:v>Regionálne školstvo</c:v>
                </c:pt>
                <c:pt idx="1">
                  <c:v>Vysoké školy</c:v>
                </c:pt>
                <c:pt idx="2">
                  <c:v>Veda a technika</c:v>
                </c:pt>
                <c:pt idx="3">
                  <c:v>Šport</c:v>
                </c:pt>
                <c:pt idx="4">
                  <c:v>Administratíva</c:v>
                </c:pt>
                <c:pt idx="5">
                  <c:v>Výdavky EÚ + spolufinancovanie</c:v>
                </c:pt>
              </c:strCache>
            </c:strRef>
          </c:cat>
          <c:val>
            <c:numRef>
              <c:f>msvvs!$B$2:$B$7</c:f>
              <c:numCache>
                <c:formatCode>#,##0</c:formatCode>
                <c:ptCount val="6"/>
                <c:pt idx="0">
                  <c:v>566661</c:v>
                </c:pt>
                <c:pt idx="1">
                  <c:v>520542</c:v>
                </c:pt>
                <c:pt idx="2">
                  <c:v>68398</c:v>
                </c:pt>
                <c:pt idx="3">
                  <c:v>92861</c:v>
                </c:pt>
                <c:pt idx="4">
                  <c:v>27908</c:v>
                </c:pt>
                <c:pt idx="5">
                  <c:v>84732</c:v>
                </c:pt>
              </c:numCache>
            </c:numRef>
          </c:val>
          <c:extLst>
            <c:ext xmlns:c16="http://schemas.microsoft.com/office/drawing/2014/chart" uri="{C3380CC4-5D6E-409C-BE32-E72D297353CC}">
              <c16:uniqueId val="{0000000C-3307-43C5-B09B-52AF3992B204}"/>
            </c:ext>
          </c:extLst>
        </c:ser>
        <c:dLbls>
          <c:showLegendKey val="0"/>
          <c:showVal val="0"/>
          <c:showCatName val="0"/>
          <c:showSerName val="0"/>
          <c:showPercent val="0"/>
          <c:showBubbleSize val="0"/>
          <c:showLeaderLines val="1"/>
        </c:dLbls>
        <c:firstSliceAng val="204"/>
      </c:pieChart>
      <c:spPr>
        <a:noFill/>
        <a:ln>
          <a:noFill/>
        </a:ln>
        <a:effectLst/>
      </c:spPr>
    </c:plotArea>
    <c:legend>
      <c:legendPos val="r"/>
      <c:layout>
        <c:manualLayout>
          <c:xMode val="edge"/>
          <c:yMode val="edge"/>
          <c:x val="0.59449938425943183"/>
          <c:y val="4.3658345898252057E-2"/>
          <c:w val="0.38883405032323132"/>
          <c:h val="0.93396046238901009"/>
        </c:manualLayout>
      </c:layout>
      <c:overlay val="0"/>
      <c:spPr>
        <a:noFill/>
        <a:ln>
          <a:noFill/>
        </a:ln>
        <a:effectLst/>
      </c:spPr>
      <c:txPr>
        <a:bodyPr rot="0" spcFirstLastPara="1" vertOverflow="ellipsis" vert="horz" wrap="square" anchor="ctr" anchorCtr="1"/>
        <a:lstStyle/>
        <a:p>
          <a:pPr>
            <a:defRPr lang="cs-CZ" sz="1000" b="0" i="0" u="none" strike="noStrike" kern="1200" baseline="0">
              <a:solidFill>
                <a:schemeClr val="tx1">
                  <a:lumMod val="65000"/>
                  <a:lumOff val="35000"/>
                </a:schemeClr>
              </a:solidFill>
              <a:latin typeface="+mn-lt"/>
              <a:ea typeface="+mn-ea"/>
              <a:cs typeface="+mn-cs"/>
            </a:defRPr>
          </a:pPr>
          <a:endParaRPr lang="sk-SK"/>
        </a:p>
      </c:txPr>
    </c:legend>
    <c:plotVisOnly val="1"/>
    <c:dispBlanksAs val="zero"/>
    <c:showDLblsOverMax val="0"/>
  </c:chart>
  <c:spPr>
    <a:solidFill>
      <a:schemeClr val="bg1"/>
    </a:solidFill>
    <a:ln w="9525" cap="flat" cmpd="sng" algn="ctr">
      <a:noFill/>
      <a:round/>
    </a:ln>
    <a:effectLst/>
  </c:spPr>
  <c:txPr>
    <a:bodyPr/>
    <a:lstStyle/>
    <a:p>
      <a:pPr>
        <a:defRPr/>
      </a:pPr>
      <a:endParaRPr lang="sk-SK"/>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550343740544473E-2"/>
          <c:y val="7.1614583333333356E-2"/>
          <c:w val="0.92187414240780241"/>
          <c:h val="0.68051181102362202"/>
        </c:manualLayout>
      </c:layout>
      <c:lineChart>
        <c:grouping val="standard"/>
        <c:varyColors val="0"/>
        <c:ser>
          <c:idx val="0"/>
          <c:order val="0"/>
          <c:tx>
            <c:strRef>
              <c:f>Hárok1!$A$2</c:f>
              <c:strCache>
                <c:ptCount val="1"/>
                <c:pt idx="0">
                  <c:v>SK</c:v>
                </c:pt>
              </c:strCache>
            </c:strRef>
          </c:tx>
          <c:spPr>
            <a:ln w="28575" cap="rnd">
              <a:solidFill>
                <a:schemeClr val="accent4">
                  <a:lumMod val="75000"/>
                </a:schemeClr>
              </a:solidFill>
              <a:round/>
            </a:ln>
            <a:effectLst/>
          </c:spPr>
          <c:marker>
            <c:symbol val="circle"/>
            <c:size val="5"/>
            <c:spPr>
              <a:solidFill>
                <a:schemeClr val="accent4">
                  <a:lumMod val="75000"/>
                </a:schemeClr>
              </a:solidFill>
              <a:ln w="9525">
                <a:solidFill>
                  <a:schemeClr val="accent4">
                    <a:lumMod val="75000"/>
                  </a:schemeClr>
                </a:solidFill>
              </a:ln>
              <a:effectLst/>
            </c:spPr>
          </c:marker>
          <c:dPt>
            <c:idx val="10"/>
            <c:marker>
              <c:spPr>
                <a:solidFill>
                  <a:srgbClr val="FF0000"/>
                </a:solidFill>
                <a:ln w="9525">
                  <a:solidFill>
                    <a:schemeClr val="accent4">
                      <a:lumMod val="75000"/>
                    </a:schemeClr>
                  </a:solidFill>
                </a:ln>
                <a:effectLst/>
              </c:spPr>
            </c:marker>
            <c:bubble3D val="0"/>
            <c:spPr>
              <a:ln w="28575" cap="rnd">
                <a:solidFill>
                  <a:srgbClr val="FF0000"/>
                </a:solidFill>
                <a:prstDash val="dash"/>
                <a:round/>
              </a:ln>
              <a:effectLst/>
            </c:spPr>
            <c:extLst>
              <c:ext xmlns:c16="http://schemas.microsoft.com/office/drawing/2014/chart" uri="{C3380CC4-5D6E-409C-BE32-E72D297353CC}">
                <c16:uniqueId val="{00000001-760C-4C37-92A5-788BDD5D0A9A}"/>
              </c:ext>
            </c:extLst>
          </c:dPt>
          <c:dLbls>
            <c:spPr>
              <a:noFill/>
              <a:ln>
                <a:noFill/>
              </a:ln>
              <a:effectLst/>
            </c:spPr>
            <c:txPr>
              <a:bodyPr rot="0" spcFirstLastPara="1" vertOverflow="ellipsis" vert="horz" wrap="square" lIns="38100" tIns="19050" rIns="38100" bIns="19050" anchor="ctr" anchorCtr="1">
                <a:spAutoFit/>
              </a:bodyPr>
              <a:lstStyle/>
              <a:p>
                <a:pPr>
                  <a:defRPr lang="cs-CZ" sz="900" b="0" i="0" u="none" strike="noStrike" kern="1200" baseline="0">
                    <a:solidFill>
                      <a:schemeClr val="tx1">
                        <a:lumMod val="75000"/>
                        <a:lumOff val="25000"/>
                      </a:schemeClr>
                    </a:solidFill>
                    <a:latin typeface="+mn-lt"/>
                    <a:ea typeface="+mn-ea"/>
                    <a:cs typeface="+mn-cs"/>
                  </a:defRPr>
                </a:pPr>
                <a:endParaRPr lang="sk-SK"/>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Hárok1!$B$1:$L$1</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2020</c:v>
                </c:pt>
              </c:numCache>
            </c:numRef>
          </c:cat>
          <c:val>
            <c:numRef>
              <c:f>Hárok1!$B$2:$L$2</c:f>
              <c:numCache>
                <c:formatCode>General</c:formatCode>
                <c:ptCount val="11"/>
                <c:pt idx="0">
                  <c:v>6</c:v>
                </c:pt>
                <c:pt idx="1">
                  <c:v>4.9000000000000004</c:v>
                </c:pt>
                <c:pt idx="2">
                  <c:v>4.7</c:v>
                </c:pt>
                <c:pt idx="3">
                  <c:v>5.0999999999999996</c:v>
                </c:pt>
                <c:pt idx="4">
                  <c:v>5.3</c:v>
                </c:pt>
                <c:pt idx="5">
                  <c:v>6.4</c:v>
                </c:pt>
                <c:pt idx="6">
                  <c:v>6.7</c:v>
                </c:pt>
                <c:pt idx="7">
                  <c:v>6.9</c:v>
                </c:pt>
                <c:pt idx="8">
                  <c:v>7.4</c:v>
                </c:pt>
                <c:pt idx="9">
                  <c:v>9.3000000000000007</c:v>
                </c:pt>
                <c:pt idx="10">
                  <c:v>6</c:v>
                </c:pt>
              </c:numCache>
            </c:numRef>
          </c:val>
          <c:smooth val="0"/>
          <c:extLst>
            <c:ext xmlns:c16="http://schemas.microsoft.com/office/drawing/2014/chart" uri="{C3380CC4-5D6E-409C-BE32-E72D297353CC}">
              <c16:uniqueId val="{00000002-760C-4C37-92A5-788BDD5D0A9A}"/>
            </c:ext>
          </c:extLst>
        </c:ser>
        <c:ser>
          <c:idx val="1"/>
          <c:order val="1"/>
          <c:tx>
            <c:strRef>
              <c:f>Hárok1!$A$3</c:f>
              <c:strCache>
                <c:ptCount val="1"/>
                <c:pt idx="0">
                  <c:v>EÚ</c:v>
                </c:pt>
              </c:strCache>
            </c:strRef>
          </c:tx>
          <c:spPr>
            <a:ln w="28575" cap="rnd">
              <a:solidFill>
                <a:srgbClr val="00B0F0"/>
              </a:solidFill>
              <a:round/>
            </a:ln>
            <a:effectLst/>
          </c:spPr>
          <c:marker>
            <c:symbol val="square"/>
            <c:size val="5"/>
            <c:spPr>
              <a:solidFill>
                <a:srgbClr val="00B0F0"/>
              </a:solidFill>
              <a:ln w="9525">
                <a:solidFill>
                  <a:srgbClr val="00B0F0"/>
                </a:solidFill>
              </a:ln>
              <a:effectLst/>
            </c:spPr>
          </c:marker>
          <c:dPt>
            <c:idx val="10"/>
            <c:marker>
              <c:spPr>
                <a:solidFill>
                  <a:srgbClr val="FF0000"/>
                </a:solidFill>
                <a:ln w="9525">
                  <a:solidFill>
                    <a:srgbClr val="00B0F0"/>
                  </a:solidFill>
                </a:ln>
                <a:effectLst/>
              </c:spPr>
            </c:marker>
            <c:bubble3D val="0"/>
            <c:spPr>
              <a:ln w="28575" cap="rnd">
                <a:solidFill>
                  <a:srgbClr val="FF0000"/>
                </a:solidFill>
                <a:prstDash val="dash"/>
                <a:round/>
              </a:ln>
              <a:effectLst/>
            </c:spPr>
            <c:extLst>
              <c:ext xmlns:c16="http://schemas.microsoft.com/office/drawing/2014/chart" uri="{C3380CC4-5D6E-409C-BE32-E72D297353CC}">
                <c16:uniqueId val="{00000004-760C-4C37-92A5-788BDD5D0A9A}"/>
              </c:ext>
            </c:extLst>
          </c:dPt>
          <c:cat>
            <c:numRef>
              <c:f>Hárok1!$B$1:$L$1</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2020</c:v>
                </c:pt>
              </c:numCache>
            </c:numRef>
          </c:cat>
          <c:val>
            <c:numRef>
              <c:f>Hárok1!$B$3:$L$3</c:f>
              <c:numCache>
                <c:formatCode>General</c:formatCode>
                <c:ptCount val="11"/>
                <c:pt idx="0">
                  <c:v>14.7</c:v>
                </c:pt>
                <c:pt idx="1">
                  <c:v>14.2</c:v>
                </c:pt>
                <c:pt idx="2">
                  <c:v>13.9</c:v>
                </c:pt>
                <c:pt idx="3">
                  <c:v>13.4</c:v>
                </c:pt>
                <c:pt idx="4">
                  <c:v>12.7</c:v>
                </c:pt>
                <c:pt idx="5">
                  <c:v>11.9</c:v>
                </c:pt>
                <c:pt idx="6">
                  <c:v>11.2</c:v>
                </c:pt>
                <c:pt idx="7">
                  <c:v>11</c:v>
                </c:pt>
                <c:pt idx="8">
                  <c:v>10.7</c:v>
                </c:pt>
                <c:pt idx="9">
                  <c:v>10.6</c:v>
                </c:pt>
                <c:pt idx="10">
                  <c:v>10</c:v>
                </c:pt>
              </c:numCache>
            </c:numRef>
          </c:val>
          <c:smooth val="0"/>
          <c:extLst>
            <c:ext xmlns:c16="http://schemas.microsoft.com/office/drawing/2014/chart" uri="{C3380CC4-5D6E-409C-BE32-E72D297353CC}">
              <c16:uniqueId val="{00000005-760C-4C37-92A5-788BDD5D0A9A}"/>
            </c:ext>
          </c:extLst>
        </c:ser>
        <c:dLbls>
          <c:showLegendKey val="0"/>
          <c:showVal val="0"/>
          <c:showCatName val="0"/>
          <c:showSerName val="0"/>
          <c:showPercent val="0"/>
          <c:showBubbleSize val="0"/>
        </c:dLbls>
        <c:marker val="1"/>
        <c:smooth val="0"/>
        <c:axId val="68376448"/>
        <c:axId val="68377984"/>
      </c:lineChart>
      <c:catAx>
        <c:axId val="6837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cs-CZ" sz="900" b="0" i="0" u="none" strike="noStrike" kern="1200" baseline="0">
                <a:solidFill>
                  <a:schemeClr val="tx1">
                    <a:lumMod val="65000"/>
                    <a:lumOff val="35000"/>
                  </a:schemeClr>
                </a:solidFill>
                <a:latin typeface="+mn-lt"/>
                <a:ea typeface="+mn-ea"/>
                <a:cs typeface="+mn-cs"/>
              </a:defRPr>
            </a:pPr>
            <a:endParaRPr lang="sk-SK"/>
          </a:p>
        </c:txPr>
        <c:crossAx val="68377984"/>
        <c:crosses val="autoZero"/>
        <c:auto val="1"/>
        <c:lblAlgn val="ctr"/>
        <c:lblOffset val="100"/>
        <c:noMultiLvlLbl val="0"/>
      </c:catAx>
      <c:valAx>
        <c:axId val="68377984"/>
        <c:scaling>
          <c:orientation val="minMax"/>
          <c:max val="1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cs-CZ" sz="900" b="0" i="0" u="none" strike="noStrike" kern="1200" baseline="0">
                <a:solidFill>
                  <a:schemeClr val="tx1">
                    <a:lumMod val="65000"/>
                    <a:lumOff val="35000"/>
                  </a:schemeClr>
                </a:solidFill>
                <a:latin typeface="+mn-lt"/>
                <a:ea typeface="+mn-ea"/>
                <a:cs typeface="+mn-cs"/>
              </a:defRPr>
            </a:pPr>
            <a:endParaRPr lang="sk-SK"/>
          </a:p>
        </c:txPr>
        <c:crossAx val="68376448"/>
        <c:crosses val="autoZero"/>
        <c:crossBetween val="between"/>
      </c:valAx>
      <c:spPr>
        <a:noFill/>
        <a:ln>
          <a:noFill/>
        </a:ln>
        <a:effectLst/>
      </c:spPr>
    </c:plotArea>
    <c:legend>
      <c:legendPos val="b"/>
      <c:layout>
        <c:manualLayout>
          <c:xMode val="edge"/>
          <c:yMode val="edge"/>
          <c:x val="0.4102142309289088"/>
          <c:y val="0.87711511646981688"/>
          <c:w val="0.17957136222583436"/>
          <c:h val="0.10986405019685042"/>
        </c:manualLayout>
      </c:layout>
      <c:overlay val="0"/>
      <c:spPr>
        <a:noFill/>
        <a:ln>
          <a:noFill/>
        </a:ln>
        <a:effectLst/>
      </c:spPr>
      <c:txPr>
        <a:bodyPr rot="0" spcFirstLastPara="1" vertOverflow="ellipsis" vert="horz" wrap="square" anchor="ctr" anchorCtr="1"/>
        <a:lstStyle/>
        <a:p>
          <a:pPr>
            <a:defRPr lang="cs-CZ"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noFill/>
    <a:ln w="9525" cap="flat" cmpd="sng" algn="ctr">
      <a:noFill/>
      <a:round/>
    </a:ln>
    <a:effectLst/>
  </c:spPr>
  <c:txPr>
    <a:bodyPr/>
    <a:lstStyle/>
    <a:p>
      <a:pPr>
        <a:defRPr/>
      </a:pPr>
      <a:endParaRPr lang="sk-SK"/>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083057026248682"/>
          <c:y val="3.9525691699604744E-2"/>
          <c:w val="0.82754639308829869"/>
          <c:h val="0.81519042484834658"/>
        </c:manualLayout>
      </c:layout>
      <c:bubbleChart>
        <c:varyColors val="0"/>
        <c:ser>
          <c:idx val="1"/>
          <c:order val="0"/>
          <c:tx>
            <c:strRef>
              <c:f>Scater!$N$3</c:f>
              <c:strCache>
                <c:ptCount val="1"/>
                <c:pt idx="0">
                  <c:v>počet patentov na mil. obyvateľov</c:v>
                </c:pt>
              </c:strCache>
            </c:strRef>
          </c:tx>
          <c:spPr>
            <a:noFill/>
            <a:ln w="25400">
              <a:solidFill>
                <a:schemeClr val="accent1">
                  <a:lumMod val="60000"/>
                  <a:lumOff val="40000"/>
                </a:schemeClr>
              </a:solidFill>
            </a:ln>
            <a:effectLst/>
          </c:spPr>
          <c:invertIfNegative val="0"/>
          <c:dLbls>
            <c:dLbl>
              <c:idx val="0"/>
              <c:tx>
                <c:rich>
                  <a:bodyPr/>
                  <a:lstStyle/>
                  <a:p>
                    <a:fld id="{A3CD2E8E-2936-4640-BA9C-432C1D0F4B65}" type="CELLRANGE">
                      <a:rPr lang="en-US"/>
                      <a:pPr/>
                      <a:t>[CELLRANGE]</a:t>
                    </a:fld>
                    <a:endParaRPr lang="sk-SK"/>
                  </a:p>
                </c:rich>
              </c:tx>
              <c:dLblPos val="l"/>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E042-4DC1-B39F-06717313B4CB}"/>
                </c:ext>
              </c:extLst>
            </c:dLbl>
            <c:dLbl>
              <c:idx val="1"/>
              <c:tx>
                <c:rich>
                  <a:bodyPr/>
                  <a:lstStyle/>
                  <a:p>
                    <a:fld id="{F09E2509-038E-494F-A984-8CAA32A1720A}" type="CELLRANGE">
                      <a:rPr lang="en-US"/>
                      <a:pPr/>
                      <a:t>[CELLRANGE]</a:t>
                    </a:fld>
                    <a:endParaRPr lang="sk-SK"/>
                  </a:p>
                </c:rich>
              </c:tx>
              <c:dLblPos val="l"/>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E042-4DC1-B39F-06717313B4CB}"/>
                </c:ext>
              </c:extLst>
            </c:dLbl>
            <c:dLbl>
              <c:idx val="2"/>
              <c:layout>
                <c:manualLayout>
                  <c:x val="-0.10153673006602128"/>
                  <c:y val="-7.5257876744190183E-2"/>
                </c:manualLayout>
              </c:layout>
              <c:tx>
                <c:rich>
                  <a:bodyPr/>
                  <a:lstStyle/>
                  <a:p>
                    <a:fld id="{F81DE912-E928-4332-BE3F-5F570E92A630}" type="CELLRANGE">
                      <a:rPr lang="en-US"/>
                      <a:pPr/>
                      <a:t>[CELLRANGE]</a:t>
                    </a:fld>
                    <a:endParaRPr lang="sk-SK"/>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E042-4DC1-B39F-06717313B4CB}"/>
                </c:ext>
              </c:extLst>
            </c:dLbl>
            <c:dLbl>
              <c:idx val="3"/>
              <c:layout>
                <c:manualLayout>
                  <c:x val="8.0246350096290359E-2"/>
                  <c:y val="3.2543753607562557E-2"/>
                </c:manualLayout>
              </c:layout>
              <c:tx>
                <c:rich>
                  <a:bodyPr/>
                  <a:lstStyle/>
                  <a:p>
                    <a:fld id="{D2EA52C5-5326-4600-90A4-05C261B44C16}" type="CELLRANGE">
                      <a:rPr lang="en-US"/>
                      <a:pPr/>
                      <a:t>[CELLRANGE]</a:t>
                    </a:fld>
                    <a:endParaRPr lang="sk-SK"/>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E042-4DC1-B39F-06717313B4CB}"/>
                </c:ext>
              </c:extLst>
            </c:dLbl>
            <c:dLbl>
              <c:idx val="4"/>
              <c:layout>
                <c:manualLayout>
                  <c:x val="6.9605406656792791E-4"/>
                  <c:y val="-4.5154726046514111E-2"/>
                </c:manualLayout>
              </c:layout>
              <c:tx>
                <c:rich>
                  <a:bodyPr/>
                  <a:lstStyle/>
                  <a:p>
                    <a:fld id="{89CDE76B-94F3-491B-BA99-9E2C4C616765}" type="CELLRANGE">
                      <a:rPr lang="en-US"/>
                      <a:pPr/>
                      <a:t>[CELLRANGE]</a:t>
                    </a:fld>
                    <a:endParaRPr lang="sk-SK"/>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E042-4DC1-B39F-06717313B4CB}"/>
                </c:ext>
              </c:extLst>
            </c:dLbl>
            <c:dLbl>
              <c:idx val="5"/>
              <c:layout>
                <c:manualLayout>
                  <c:x val="3.4490169334571753E-2"/>
                  <c:y val="8.7800856201555227E-2"/>
                </c:manualLayout>
              </c:layout>
              <c:tx>
                <c:rich>
                  <a:bodyPr/>
                  <a:lstStyle/>
                  <a:p>
                    <a:fld id="{6AEE8483-12EF-4485-8D3E-FA5C7D05E767}" type="CELLRANGE">
                      <a:rPr lang="en-US"/>
                      <a:pPr/>
                      <a:t>[CELLRANGE]</a:t>
                    </a:fld>
                    <a:endParaRPr lang="sk-SK"/>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E042-4DC1-B39F-06717313B4CB}"/>
                </c:ext>
              </c:extLst>
            </c:dLbl>
            <c:dLbl>
              <c:idx val="6"/>
              <c:layout>
                <c:manualLayout>
                  <c:x val="-7.5191132458070881E-2"/>
                  <c:y val="-0.10034383565892022"/>
                </c:manualLayout>
              </c:layout>
              <c:tx>
                <c:rich>
                  <a:bodyPr/>
                  <a:lstStyle/>
                  <a:p>
                    <a:fld id="{BCC9652E-B5A8-4F6A-833A-876821851DBF}" type="CELLRANGE">
                      <a:rPr lang="en-US"/>
                      <a:pPr/>
                      <a:t>[CELLRANGE]</a:t>
                    </a:fld>
                    <a:endParaRPr lang="sk-SK"/>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E042-4DC1-B39F-06717313B4CB}"/>
                </c:ext>
              </c:extLst>
            </c:dLbl>
            <c:dLbl>
              <c:idx val="7"/>
              <c:tx>
                <c:rich>
                  <a:bodyPr/>
                  <a:lstStyle/>
                  <a:p>
                    <a:fld id="{A6B115D7-8812-4C47-B08D-FA8F46EC0E90}" type="CELLRANGE">
                      <a:rPr lang="sk-SK"/>
                      <a:pPr/>
                      <a:t>[CELLRANGE]</a:t>
                    </a:fld>
                    <a:endParaRPr lang="sk-SK"/>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D9B2-4B8C-A909-B71BD304C0F0}"/>
                </c:ext>
              </c:extLst>
            </c:dLbl>
            <c:dLbl>
              <c:idx val="8"/>
              <c:layout>
                <c:manualLayout>
                  <c:x val="-3.1912635522047539E-2"/>
                  <c:y val="-3.7628938372095092E-2"/>
                </c:manualLayout>
              </c:layout>
              <c:tx>
                <c:rich>
                  <a:bodyPr/>
                  <a:lstStyle/>
                  <a:p>
                    <a:fld id="{A90F5A02-D184-4627-94A2-DEDC2B87CE3B}" type="CELLRANGE">
                      <a:rPr lang="en-US"/>
                      <a:pPr/>
                      <a:t>[CELLRANGE]</a:t>
                    </a:fld>
                    <a:endParaRPr lang="sk-SK"/>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E042-4DC1-B39F-06717313B4CB}"/>
                </c:ext>
              </c:extLst>
            </c:dLbl>
            <c:dLbl>
              <c:idx val="9"/>
              <c:layout>
                <c:manualLayout>
                  <c:x val="-8.3701930988700796E-2"/>
                  <c:y val="-5.2680513720933235E-2"/>
                </c:manualLayout>
              </c:layout>
              <c:tx>
                <c:rich>
                  <a:bodyPr/>
                  <a:lstStyle/>
                  <a:p>
                    <a:fld id="{19632171-2A7B-421F-B6C4-E4F96A0C582E}" type="CELLRANGE">
                      <a:rPr lang="en-US"/>
                      <a:pPr/>
                      <a:t>[CELLRANGE]</a:t>
                    </a:fld>
                    <a:endParaRPr lang="sk-SK"/>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E042-4DC1-B39F-06717313B4CB}"/>
                </c:ext>
              </c:extLst>
            </c:dLbl>
            <c:dLbl>
              <c:idx val="10"/>
              <c:tx>
                <c:rich>
                  <a:bodyPr/>
                  <a:lstStyle/>
                  <a:p>
                    <a:endParaRPr lang="en-US"/>
                  </a:p>
                </c:rich>
              </c:tx>
              <c:dLblPos val="l"/>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042-4DC1-B39F-06717313B4CB}"/>
                </c:ext>
              </c:extLst>
            </c:dLbl>
            <c:dLbl>
              <c:idx val="11"/>
              <c:layout>
                <c:manualLayout>
                  <c:x val="-2.4420466304623717E-2"/>
                  <c:y val="6.020630139535213E-2"/>
                </c:manualLayout>
              </c:layout>
              <c:tx>
                <c:rich>
                  <a:bodyPr/>
                  <a:lstStyle/>
                  <a:p>
                    <a:fld id="{9EA2C657-55BB-4E61-97F2-9C177E2B032D}" type="CELLRANGE">
                      <a:rPr lang="en-US"/>
                      <a:pPr/>
                      <a:t>[CELLRANGE]</a:t>
                    </a:fld>
                    <a:endParaRPr lang="sk-SK"/>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E042-4DC1-B39F-06717313B4CB}"/>
                </c:ext>
              </c:extLst>
            </c:dLbl>
            <c:dLbl>
              <c:idx val="12"/>
              <c:layout>
                <c:manualLayout>
                  <c:x val="-3.1420753596023677E-3"/>
                  <c:y val="7.7766472635663123E-2"/>
                </c:manualLayout>
              </c:layout>
              <c:tx>
                <c:rich>
                  <a:bodyPr/>
                  <a:lstStyle/>
                  <a:p>
                    <a:fld id="{C6A09B69-6E7F-4EAA-8BE3-8B0AA0D7559B}" type="CELLRANGE">
                      <a:rPr lang="en-US"/>
                      <a:pPr/>
                      <a:t>[CELLRANGE]</a:t>
                    </a:fld>
                    <a:endParaRPr lang="sk-SK"/>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E042-4DC1-B39F-06717313B4CB}"/>
                </c:ext>
              </c:extLst>
            </c:dLbl>
            <c:dLbl>
              <c:idx val="13"/>
              <c:layout>
                <c:manualLayout>
                  <c:x val="-5.0945411844773405E-4"/>
                  <c:y val="1.7560171240310965E-2"/>
                </c:manualLayout>
              </c:layout>
              <c:tx>
                <c:rich>
                  <a:bodyPr/>
                  <a:lstStyle/>
                  <a:p>
                    <a:fld id="{8EEB3528-3D9A-472E-A36C-4382940174FB}" type="CELLRANGE">
                      <a:rPr lang="en-US"/>
                      <a:pPr/>
                      <a:t>[CELLRANGE]</a:t>
                    </a:fld>
                    <a:endParaRPr lang="sk-SK"/>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E042-4DC1-B39F-06717313B4CB}"/>
                </c:ext>
              </c:extLst>
            </c:dLbl>
            <c:dLbl>
              <c:idx val="14"/>
              <c:layout>
                <c:manualLayout>
                  <c:x val="-6.1349404916308997E-2"/>
                  <c:y val="4.0137534263568003E-2"/>
                </c:manualLayout>
              </c:layout>
              <c:tx>
                <c:rich>
                  <a:bodyPr/>
                  <a:lstStyle/>
                  <a:p>
                    <a:fld id="{F7DC05DE-038C-47D9-813E-68C8FB758090}" type="CELLRANGE">
                      <a:rPr lang="en-US"/>
                      <a:pPr/>
                      <a:t>[CELLRANGE]</a:t>
                    </a:fld>
                    <a:endParaRPr lang="sk-SK"/>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E042-4DC1-B39F-06717313B4CB}"/>
                </c:ext>
              </c:extLst>
            </c:dLbl>
            <c:dLbl>
              <c:idx val="15"/>
              <c:layout>
                <c:manualLayout>
                  <c:x val="-5.7758262416985361E-2"/>
                  <c:y val="-6.0206301395352227E-2"/>
                </c:manualLayout>
              </c:layout>
              <c:tx>
                <c:rich>
                  <a:bodyPr/>
                  <a:lstStyle/>
                  <a:p>
                    <a:fld id="{E7F07DF7-82FB-4739-AF9F-E74396F68CFC}" type="CELLRANGE">
                      <a:rPr lang="en-US"/>
                      <a:pPr/>
                      <a:t>[CELLRANGE]</a:t>
                    </a:fld>
                    <a:endParaRPr lang="sk-SK"/>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F-E042-4DC1-B39F-06717313B4CB}"/>
                </c:ext>
              </c:extLst>
            </c:dLbl>
            <c:dLbl>
              <c:idx val="16"/>
              <c:tx>
                <c:rich>
                  <a:bodyPr/>
                  <a:lstStyle/>
                  <a:p>
                    <a:fld id="{5C84D6B3-6B74-45F3-BDE9-AB2F8E195F31}" type="CELLRANGE">
                      <a:rPr lang="sk-SK"/>
                      <a:pPr/>
                      <a:t>[CELLRANGE]</a:t>
                    </a:fld>
                    <a:endParaRPr lang="sk-SK"/>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9B2-4B8C-A909-B71BD304C0F0}"/>
                </c:ext>
              </c:extLst>
            </c:dLbl>
            <c:dLbl>
              <c:idx val="17"/>
              <c:layout>
                <c:manualLayout>
                  <c:x val="-3.394515244574238E-2"/>
                  <c:y val="7.0240684961244179E-2"/>
                </c:manualLayout>
              </c:layout>
              <c:tx>
                <c:rich>
                  <a:bodyPr/>
                  <a:lstStyle/>
                  <a:p>
                    <a:fld id="{916E314B-BACB-49D3-9F8F-841095AB57A4}" type="CELLRANGE">
                      <a:rPr lang="en-US"/>
                      <a:pPr/>
                      <a:t>[CELLRANGE]</a:t>
                    </a:fld>
                    <a:endParaRPr lang="sk-SK"/>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1-E042-4DC1-B39F-06717313B4CB}"/>
                </c:ext>
              </c:extLst>
            </c:dLbl>
            <c:dLbl>
              <c:idx val="18"/>
              <c:tx>
                <c:rich>
                  <a:bodyPr/>
                  <a:lstStyle/>
                  <a:p>
                    <a:fld id="{EF6B7CDD-4CC9-4090-A956-9D2C2931F299}" type="CELLRANGE">
                      <a:rPr lang="en-US"/>
                      <a:pPr/>
                      <a:t>[CELLRANGE]</a:t>
                    </a:fld>
                    <a:endParaRPr lang="sk-SK"/>
                  </a:p>
                </c:rich>
              </c:tx>
              <c:dLblPos val="l"/>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2-E042-4DC1-B39F-06717313B4CB}"/>
                </c:ext>
              </c:extLst>
            </c:dLbl>
            <c:dLbl>
              <c:idx val="19"/>
              <c:tx>
                <c:rich>
                  <a:bodyPr/>
                  <a:lstStyle/>
                  <a:p>
                    <a:fld id="{3DC17335-0725-42B6-B913-3C0B49977978}" type="CELLRANGE">
                      <a:rPr lang="sk-SK"/>
                      <a:pPr/>
                      <a:t>[CELLRANGE]</a:t>
                    </a:fld>
                    <a:endParaRPr lang="sk-SK"/>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D9B2-4B8C-A909-B71BD304C0F0}"/>
                </c:ext>
              </c:extLst>
            </c:dLbl>
            <c:dLbl>
              <c:idx val="20"/>
              <c:layout>
                <c:manualLayout>
                  <c:x val="2.3368645072394643E-2"/>
                  <c:y val="2.2577363023257066E-2"/>
                </c:manualLayout>
              </c:layout>
              <c:tx>
                <c:rich>
                  <a:bodyPr/>
                  <a:lstStyle/>
                  <a:p>
                    <a:fld id="{404AE076-CB8F-4742-AB7E-04885E1385DF}" type="CELLRANGE">
                      <a:rPr lang="en-US"/>
                      <a:pPr/>
                      <a:t>[CELLRANGE]</a:t>
                    </a:fld>
                    <a:endParaRPr lang="sk-SK"/>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E042-4DC1-B39F-06717313B4CB}"/>
                </c:ext>
              </c:extLst>
            </c:dLbl>
            <c:dLbl>
              <c:idx val="21"/>
              <c:tx>
                <c:rich>
                  <a:bodyPr/>
                  <a:lstStyle/>
                  <a:p>
                    <a:endParaRPr lang="en-US"/>
                  </a:p>
                </c:rich>
              </c:tx>
              <c:dLblPos val="l"/>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042-4DC1-B39F-06717313B4CB}"/>
                </c:ext>
              </c:extLst>
            </c:dLbl>
            <c:dLbl>
              <c:idx val="22"/>
              <c:layout>
                <c:manualLayout>
                  <c:x val="-3.0938912922813533E-2"/>
                  <c:y val="-6.0206301395352185E-2"/>
                </c:manualLayout>
              </c:layout>
              <c:tx>
                <c:rich>
                  <a:bodyPr/>
                  <a:lstStyle/>
                  <a:p>
                    <a:fld id="{5C67539E-2BBD-487E-B74F-944893B1E094}" type="CELLRANGE">
                      <a:rPr lang="en-US"/>
                      <a:pPr/>
                      <a:t>[CELLRANGE]</a:t>
                    </a:fld>
                    <a:endParaRPr lang="sk-SK"/>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6-E042-4DC1-B39F-06717313B4CB}"/>
                </c:ext>
              </c:extLst>
            </c:dLbl>
            <c:dLbl>
              <c:idx val="23"/>
              <c:layout>
                <c:manualLayout>
                  <c:x val="7.3008275665860573E-4"/>
                  <c:y val="-2.5085958914730071E-3"/>
                </c:manualLayout>
              </c:layout>
              <c:tx>
                <c:rich>
                  <a:bodyPr/>
                  <a:lstStyle/>
                  <a:p>
                    <a:fld id="{BB74CF96-EC78-4DD9-B444-A8E6D65F0C40}" type="CELLRANGE">
                      <a:rPr lang="en-US"/>
                      <a:pPr/>
                      <a:t>[CELLRANGE]</a:t>
                    </a:fld>
                    <a:endParaRPr lang="sk-SK"/>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7-E042-4DC1-B39F-06717313B4CB}"/>
                </c:ext>
              </c:extLst>
            </c:dLbl>
            <c:dLbl>
              <c:idx val="24"/>
              <c:tx>
                <c:rich>
                  <a:bodyPr/>
                  <a:lstStyle/>
                  <a:p>
                    <a:fld id="{542CE888-18AF-4D38-AC51-4ACF12326F02}" type="CELLRANGE">
                      <a:rPr lang="en-US"/>
                      <a:pPr/>
                      <a:t>[CELLRANGE]</a:t>
                    </a:fld>
                    <a:endParaRPr lang="sk-SK"/>
                  </a:p>
                </c:rich>
              </c:tx>
              <c:dLblPos val="l"/>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8-E042-4DC1-B39F-06717313B4CB}"/>
                </c:ext>
              </c:extLst>
            </c:dLbl>
            <c:dLbl>
              <c:idx val="25"/>
              <c:layout>
                <c:manualLayout>
                  <c:x val="5.1003985819519674E-3"/>
                  <c:y val="1.0034383565892022E-2"/>
                </c:manualLayout>
              </c:layout>
              <c:tx>
                <c:rich>
                  <a:bodyPr rot="0" spcFirstLastPara="1" vertOverflow="ellipsis" vert="horz" wrap="square" lIns="38100" tIns="19050" rIns="38100" bIns="19050" anchor="ctr" anchorCtr="1">
                    <a:spAutoFit/>
                  </a:bodyPr>
                  <a:lstStyle/>
                  <a:p>
                    <a:pPr>
                      <a:defRPr lang="cs-CZ" sz="900" b="0" i="0" u="none" strike="noStrike" kern="1200" baseline="0">
                        <a:solidFill>
                          <a:schemeClr val="tx1">
                            <a:lumMod val="75000"/>
                            <a:lumOff val="25000"/>
                          </a:schemeClr>
                        </a:solidFill>
                        <a:latin typeface="Arial Narrow" panose="020B0606020202030204" pitchFamily="34" charset="0"/>
                        <a:ea typeface="+mn-ea"/>
                        <a:cs typeface="+mn-cs"/>
                      </a:defRPr>
                    </a:pPr>
                    <a:fld id="{35A3D4A5-760C-4675-B209-97DEA61D0526}" type="CELLRANGE">
                      <a:rPr lang="en-US"/>
                      <a:pPr>
                        <a:defRPr lang="cs-CZ" sz="900" b="0" i="0" u="none" strike="noStrike" kern="1200" baseline="0">
                          <a:solidFill>
                            <a:schemeClr val="tx1">
                              <a:lumMod val="75000"/>
                              <a:lumOff val="25000"/>
                            </a:schemeClr>
                          </a:solidFill>
                          <a:latin typeface="Arial Narrow" panose="020B0606020202030204" pitchFamily="34" charset="0"/>
                          <a:ea typeface="+mn-ea"/>
                          <a:cs typeface="+mn-cs"/>
                        </a:defRPr>
                      </a:pPr>
                      <a:t>[CELLRANGE]</a:t>
                    </a:fld>
                    <a:endParaRPr lang="sk-SK"/>
                  </a:p>
                </c:rich>
              </c:tx>
              <c:spPr>
                <a:noFill/>
                <a:ln>
                  <a:solidFill>
                    <a:srgbClr val="C00000"/>
                  </a:solidFill>
                </a:ln>
                <a:effectLst/>
              </c:spPr>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9-E042-4DC1-B39F-06717313B4CB}"/>
                </c:ext>
              </c:extLst>
            </c:dLbl>
            <c:dLbl>
              <c:idx val="26"/>
              <c:layout>
                <c:manualLayout>
                  <c:x val="-8.8849188750449767E-2"/>
                  <c:y val="-7.7766472635663234E-2"/>
                </c:manualLayout>
              </c:layout>
              <c:tx>
                <c:rich>
                  <a:bodyPr/>
                  <a:lstStyle/>
                  <a:p>
                    <a:fld id="{F3B7AB48-2D2E-4295-90FA-BC2085D9C202}" type="CELLRANGE">
                      <a:rPr lang="en-US"/>
                      <a:pPr/>
                      <a:t>[CELLRANGE]</a:t>
                    </a:fld>
                    <a:endParaRPr lang="sk-SK"/>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A-E042-4DC1-B39F-06717313B4CB}"/>
                </c:ext>
              </c:extLst>
            </c:dLbl>
            <c:dLbl>
              <c:idx val="27"/>
              <c:layout>
                <c:manualLayout>
                  <c:x val="-2.7690986023133947E-2"/>
                  <c:y val="-9.5326643875974254E-2"/>
                </c:manualLayout>
              </c:layout>
              <c:tx>
                <c:rich>
                  <a:bodyPr/>
                  <a:lstStyle/>
                  <a:p>
                    <a:fld id="{DC600279-ACD1-4FE6-9733-E7B7A5459C6F}" type="CELLRANGE">
                      <a:rPr lang="en-US"/>
                      <a:pPr/>
                      <a:t>[CELLRANGE]</a:t>
                    </a:fld>
                    <a:endParaRPr lang="sk-SK"/>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B-E042-4DC1-B39F-06717313B4CB}"/>
                </c:ext>
              </c:extLst>
            </c:dLbl>
            <c:dLbl>
              <c:idx val="28"/>
              <c:layout>
                <c:manualLayout>
                  <c:x val="1.4130236338258696E-2"/>
                  <c:y val="9.6274272769840668E-4"/>
                </c:manualLayout>
              </c:layout>
              <c:tx>
                <c:rich>
                  <a:bodyPr/>
                  <a:lstStyle/>
                  <a:p>
                    <a:fld id="{A1797548-5490-4D3C-BA7C-B4C2D56C1030}" type="CELLRANGE">
                      <a:rPr lang="en-US"/>
                      <a:pPr/>
                      <a:t>[CELLRANGE]</a:t>
                    </a:fld>
                    <a:endParaRPr lang="sk-SK"/>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C-E042-4DC1-B39F-06717313B4CB}"/>
                </c:ext>
              </c:extLst>
            </c:dLbl>
            <c:dLbl>
              <c:idx val="29"/>
              <c:layout>
                <c:manualLayout>
                  <c:x val="3.4105324530768595E-2"/>
                  <c:y val="5.788762919157929E-2"/>
                </c:manualLayout>
              </c:layout>
              <c:tx>
                <c:rich>
                  <a:bodyPr rot="0" spcFirstLastPara="1" vertOverflow="ellipsis" vert="horz" wrap="square" lIns="38100" tIns="19050" rIns="38100" bIns="19050" anchor="ctr" anchorCtr="1">
                    <a:noAutofit/>
                  </a:bodyPr>
                  <a:lstStyle/>
                  <a:p>
                    <a:pPr>
                      <a:defRPr lang="cs-CZ" sz="900" b="0" i="0" u="none" strike="noStrike" kern="1200" baseline="0">
                        <a:solidFill>
                          <a:schemeClr val="tx1">
                            <a:lumMod val="75000"/>
                            <a:lumOff val="25000"/>
                          </a:schemeClr>
                        </a:solidFill>
                        <a:latin typeface="Arial Narrow" panose="020B0606020202030204" pitchFamily="34" charset="0"/>
                        <a:ea typeface="+mn-ea"/>
                        <a:cs typeface="+mn-cs"/>
                      </a:defRPr>
                    </a:pPr>
                    <a:fld id="{8CE8E9BB-97D9-4AD2-AB2B-50B32B850D1E}" type="CELLRANGE">
                      <a:rPr lang="en-US"/>
                      <a:pPr>
                        <a:defRPr lang="cs-CZ" sz="900" b="0" i="0" u="none" strike="noStrike" kern="1200" baseline="0">
                          <a:solidFill>
                            <a:schemeClr val="tx1">
                              <a:lumMod val="75000"/>
                              <a:lumOff val="25000"/>
                            </a:schemeClr>
                          </a:solidFill>
                          <a:latin typeface="Arial Narrow" panose="020B0606020202030204" pitchFamily="34" charset="0"/>
                          <a:ea typeface="+mn-ea"/>
                          <a:cs typeface="+mn-cs"/>
                        </a:defRPr>
                      </a:pPr>
                      <a:t>[CELLRANGE]</a:t>
                    </a:fld>
                    <a:endParaRPr lang="sk-SK"/>
                  </a:p>
                </c:rich>
              </c:tx>
              <c:spPr>
                <a:noFill/>
                <a:ln>
                  <a:solidFill>
                    <a:schemeClr val="accent1">
                      <a:lumMod val="75000"/>
                    </a:schemeClr>
                  </a:solidFill>
                </a:ln>
                <a:effectLst/>
              </c:spPr>
              <c:dLblPos val="r"/>
              <c:showLegendKey val="0"/>
              <c:showVal val="0"/>
              <c:showCatName val="0"/>
              <c:showSerName val="0"/>
              <c:showPercent val="0"/>
              <c:showBubbleSize val="0"/>
              <c:extLst>
                <c:ext xmlns:c15="http://schemas.microsoft.com/office/drawing/2012/chart" uri="{CE6537A1-D6FC-4f65-9D91-7224C49458BB}">
                  <c15:layout>
                    <c:manualLayout>
                      <c:w val="0.24349289454001496"/>
                      <c:h val="8.1051175656984775E-2"/>
                    </c:manualLayout>
                  </c15:layout>
                  <c15:dlblFieldTable/>
                  <c15:showDataLabelsRange val="1"/>
                </c:ext>
                <c:ext xmlns:c16="http://schemas.microsoft.com/office/drawing/2014/chart" uri="{C3380CC4-5D6E-409C-BE32-E72D297353CC}">
                  <c16:uniqueId val="{0000001D-E042-4DC1-B39F-06717313B4CB}"/>
                </c:ext>
              </c:extLst>
            </c:dLbl>
            <c:dLbl>
              <c:idx val="30"/>
              <c:layout>
                <c:manualLayout>
                  <c:x val="8.2703961743001944E-2"/>
                  <c:y val="0.11696670696245963"/>
                </c:manualLayout>
              </c:layout>
              <c:tx>
                <c:rich>
                  <a:bodyPr rot="0" spcFirstLastPara="1" vertOverflow="ellipsis" vert="horz" wrap="square" lIns="38100" tIns="19050" rIns="38100" bIns="19050" anchor="ctr" anchorCtr="1">
                    <a:spAutoFit/>
                  </a:bodyPr>
                  <a:lstStyle/>
                  <a:p>
                    <a:pPr>
                      <a:defRPr lang="cs-CZ" sz="900" b="0" i="0" u="none" strike="noStrike" kern="1200" baseline="0">
                        <a:solidFill>
                          <a:schemeClr val="tx1">
                            <a:lumMod val="75000"/>
                            <a:lumOff val="25000"/>
                          </a:schemeClr>
                        </a:solidFill>
                        <a:latin typeface="Arial Narrow" panose="020B0606020202030204" pitchFamily="34" charset="0"/>
                        <a:ea typeface="+mn-ea"/>
                        <a:cs typeface="+mn-cs"/>
                      </a:defRPr>
                    </a:pPr>
                    <a:fld id="{D74A8818-90A4-40DE-97D6-6DFC8DDD9D57}" type="CELLRANGE">
                      <a:rPr lang="en-US"/>
                      <a:pPr>
                        <a:defRPr lang="cs-CZ" sz="900" b="0" i="0" u="none" strike="noStrike" kern="1200" baseline="0">
                          <a:solidFill>
                            <a:schemeClr val="tx1">
                              <a:lumMod val="75000"/>
                              <a:lumOff val="25000"/>
                            </a:schemeClr>
                          </a:solidFill>
                          <a:latin typeface="Arial Narrow" panose="020B0606020202030204" pitchFamily="34" charset="0"/>
                          <a:ea typeface="+mn-ea"/>
                          <a:cs typeface="+mn-cs"/>
                        </a:defRPr>
                      </a:pPr>
                      <a:t>[CELLRANGE]</a:t>
                    </a:fld>
                    <a:endParaRPr lang="sk-SK"/>
                  </a:p>
                </c:rich>
              </c:tx>
              <c:spPr>
                <a:noFill/>
                <a:ln>
                  <a:solidFill>
                    <a:schemeClr val="accent1">
                      <a:lumMod val="75000"/>
                    </a:schemeClr>
                  </a:solidFill>
                </a:ln>
                <a:effectLst/>
              </c:spPr>
              <c:dLblPos val="r"/>
              <c:showLegendKey val="0"/>
              <c:showVal val="0"/>
              <c:showCatName val="0"/>
              <c:showSerName val="0"/>
              <c:showPercent val="0"/>
              <c:showBubbleSize val="0"/>
              <c:extLst>
                <c:ext xmlns:c15="http://schemas.microsoft.com/office/drawing/2012/chart" uri="{CE6537A1-D6FC-4f65-9D91-7224C49458BB}">
                  <c15:layout>
                    <c:manualLayout>
                      <c:w val="0.20609573672400897"/>
                      <c:h val="0.13084370677731674"/>
                    </c:manualLayout>
                  </c15:layout>
                  <c15:dlblFieldTable/>
                  <c15:showDataLabelsRange val="1"/>
                </c:ext>
                <c:ext xmlns:c16="http://schemas.microsoft.com/office/drawing/2014/chart" uri="{C3380CC4-5D6E-409C-BE32-E72D297353CC}">
                  <c16:uniqueId val="{0000001E-E042-4DC1-B39F-06717313B4CB}"/>
                </c:ext>
              </c:extLst>
            </c:dLbl>
            <c:dLbl>
              <c:idx val="31"/>
              <c:layout>
                <c:manualLayout>
                  <c:x val="-8.9603816791763977E-2"/>
                  <c:y val="-5.0171917829460134E-3"/>
                </c:manualLayout>
              </c:layout>
              <c:tx>
                <c:rich>
                  <a:bodyPr rot="0" spcFirstLastPara="1" vertOverflow="ellipsis" vert="horz" wrap="square" lIns="38100" tIns="19050" rIns="38100" bIns="19050" anchor="ctr" anchorCtr="1">
                    <a:spAutoFit/>
                  </a:bodyPr>
                  <a:lstStyle/>
                  <a:p>
                    <a:pPr>
                      <a:defRPr lang="cs-CZ" sz="900" b="0" i="0" u="none" strike="noStrike" kern="1200" baseline="0">
                        <a:solidFill>
                          <a:schemeClr val="tx1">
                            <a:lumMod val="75000"/>
                            <a:lumOff val="25000"/>
                          </a:schemeClr>
                        </a:solidFill>
                        <a:latin typeface="Arial Narrow" panose="020B0606020202030204" pitchFamily="34" charset="0"/>
                        <a:ea typeface="+mn-ea"/>
                        <a:cs typeface="+mn-cs"/>
                      </a:defRPr>
                    </a:pPr>
                    <a:fld id="{88CBA119-C49C-49A1-A44C-96107826CFBE}" type="CELLRANGE">
                      <a:rPr lang="en-US"/>
                      <a:pPr>
                        <a:defRPr lang="cs-CZ" sz="900" b="0" i="0" u="none" strike="noStrike" kern="1200" baseline="0">
                          <a:solidFill>
                            <a:schemeClr val="tx1">
                              <a:lumMod val="75000"/>
                              <a:lumOff val="25000"/>
                            </a:schemeClr>
                          </a:solidFill>
                          <a:latin typeface="Arial Narrow" panose="020B0606020202030204" pitchFamily="34" charset="0"/>
                          <a:ea typeface="+mn-ea"/>
                          <a:cs typeface="+mn-cs"/>
                        </a:defRPr>
                      </a:pPr>
                      <a:t>[CELLRANGE]</a:t>
                    </a:fld>
                    <a:endParaRPr lang="sk-SK"/>
                  </a:p>
                </c:rich>
              </c:tx>
              <c:spPr>
                <a:noFill/>
                <a:ln>
                  <a:solidFill>
                    <a:srgbClr val="C00000"/>
                  </a:solidFill>
                </a:ln>
                <a:effectLst/>
              </c:spPr>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F-E042-4DC1-B39F-06717313B4CB}"/>
                </c:ext>
              </c:extLst>
            </c:dLbl>
            <c:spPr>
              <a:noFill/>
              <a:ln>
                <a:noFill/>
              </a:ln>
              <a:effectLst/>
            </c:sp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Scater!$L$4:$L$35</c:f>
              <c:numCache>
                <c:formatCode>#,##0.00</c:formatCode>
                <c:ptCount val="32"/>
                <c:pt idx="0">
                  <c:v>2.0299999999999998</c:v>
                </c:pt>
                <c:pt idx="1">
                  <c:v>2.4899999999999998</c:v>
                </c:pt>
                <c:pt idx="2">
                  <c:v>0.78</c:v>
                </c:pt>
                <c:pt idx="3">
                  <c:v>1.6800000000000004</c:v>
                </c:pt>
                <c:pt idx="4">
                  <c:v>2.8699999999999997</c:v>
                </c:pt>
                <c:pt idx="5">
                  <c:v>2.94</c:v>
                </c:pt>
                <c:pt idx="6">
                  <c:v>1.28</c:v>
                </c:pt>
                <c:pt idx="7">
                  <c:v>1.1800000000000004</c:v>
                </c:pt>
                <c:pt idx="8">
                  <c:v>1.01</c:v>
                </c:pt>
                <c:pt idx="9">
                  <c:v>1.1900000000000004</c:v>
                </c:pt>
                <c:pt idx="11">
                  <c:v>0.8500000000000002</c:v>
                </c:pt>
                <c:pt idx="12">
                  <c:v>1.29</c:v>
                </c:pt>
                <c:pt idx="13" formatCode="#,##0.0">
                  <c:v>0.5</c:v>
                </c:pt>
                <c:pt idx="14">
                  <c:v>0.44</c:v>
                </c:pt>
                <c:pt idx="15">
                  <c:v>0.8500000000000002</c:v>
                </c:pt>
                <c:pt idx="16">
                  <c:v>1.24</c:v>
                </c:pt>
                <c:pt idx="17">
                  <c:v>1.21</c:v>
                </c:pt>
                <c:pt idx="18">
                  <c:v>0.61000000000000021</c:v>
                </c:pt>
                <c:pt idx="19">
                  <c:v>2.0299999999999998</c:v>
                </c:pt>
                <c:pt idx="20">
                  <c:v>3.09</c:v>
                </c:pt>
                <c:pt idx="22">
                  <c:v>1.27</c:v>
                </c:pt>
                <c:pt idx="23">
                  <c:v>0.48000000000000009</c:v>
                </c:pt>
                <c:pt idx="24" formatCode="#,##0">
                  <c:v>2</c:v>
                </c:pt>
                <c:pt idx="25">
                  <c:v>0.79</c:v>
                </c:pt>
                <c:pt idx="26">
                  <c:v>2.75</c:v>
                </c:pt>
                <c:pt idx="27">
                  <c:v>3.25</c:v>
                </c:pt>
                <c:pt idx="28">
                  <c:v>1.6900000000000004</c:v>
                </c:pt>
                <c:pt idx="29">
                  <c:v>1.5349999999999995</c:v>
                </c:pt>
                <c:pt idx="30">
                  <c:v>1.3517857142857148</c:v>
                </c:pt>
                <c:pt idx="31">
                  <c:v>0.45</c:v>
                </c:pt>
              </c:numCache>
            </c:numRef>
          </c:xVal>
          <c:yVal>
            <c:numRef>
              <c:f>Scater!$M$4:$M$35</c:f>
              <c:numCache>
                <c:formatCode>#,##0.00</c:formatCode>
                <c:ptCount val="32"/>
                <c:pt idx="0">
                  <c:v>5.7367331559098922</c:v>
                </c:pt>
                <c:pt idx="1">
                  <c:v>7.0520002577994694</c:v>
                </c:pt>
                <c:pt idx="2">
                  <c:v>3.503041187712685</c:v>
                </c:pt>
                <c:pt idx="3" formatCode="#,##0.0">
                  <c:v>6.233084953035589</c:v>
                </c:pt>
                <c:pt idx="4">
                  <c:v>10.563754774408908</c:v>
                </c:pt>
                <c:pt idx="5">
                  <c:v>7.9917436403693376</c:v>
                </c:pt>
                <c:pt idx="6">
                  <c:v>4.3854449733423309</c:v>
                </c:pt>
                <c:pt idx="7">
                  <c:v>7.635382200738591</c:v>
                </c:pt>
                <c:pt idx="8">
                  <c:v>3.8752760172066338</c:v>
                </c:pt>
                <c:pt idx="9">
                  <c:v>4.4330870181822819</c:v>
                </c:pt>
                <c:pt idx="11">
                  <c:v>2.6718884264063796</c:v>
                </c:pt>
                <c:pt idx="12">
                  <c:v>4.2624684971541793</c:v>
                </c:pt>
                <c:pt idx="13" formatCode="#,##0.0">
                  <c:v>1.4852903212117141</c:v>
                </c:pt>
                <c:pt idx="14">
                  <c:v>2.6003615111960299</c:v>
                </c:pt>
                <c:pt idx="15" formatCode="#,##0.0">
                  <c:v>3.7818177789748391</c:v>
                </c:pt>
                <c:pt idx="16">
                  <c:v>9.0169353873065283</c:v>
                </c:pt>
                <c:pt idx="17">
                  <c:v>3.6373586857616882</c:v>
                </c:pt>
                <c:pt idx="18">
                  <c:v>3.1748498606840347</c:v>
                </c:pt>
                <c:pt idx="19">
                  <c:v>7.8457540791277749</c:v>
                </c:pt>
                <c:pt idx="20">
                  <c:v>8.4642544064568455</c:v>
                </c:pt>
                <c:pt idx="22">
                  <c:v>4.9231578530034321</c:v>
                </c:pt>
                <c:pt idx="23">
                  <c:v>1.6311481690017688</c:v>
                </c:pt>
                <c:pt idx="24">
                  <c:v>6.9552773293905394</c:v>
                </c:pt>
                <c:pt idx="25">
                  <c:v>3.2744516841458879</c:v>
                </c:pt>
                <c:pt idx="26">
                  <c:v>8.6434003704548719</c:v>
                </c:pt>
                <c:pt idx="27">
                  <c:v>9.2061560750529647</c:v>
                </c:pt>
                <c:pt idx="28">
                  <c:v>6.4221716875063741</c:v>
                </c:pt>
                <c:pt idx="29">
                  <c:v>5.5257521979089095</c:v>
                </c:pt>
                <c:pt idx="30">
                  <c:v>4.6005895122636788</c:v>
                </c:pt>
                <c:pt idx="31">
                  <c:v>2.8699950494865236</c:v>
                </c:pt>
              </c:numCache>
            </c:numRef>
          </c:yVal>
          <c:bubbleSize>
            <c:numRef>
              <c:f>Scater!$N$4:$N$35</c:f>
              <c:numCache>
                <c:formatCode>#,##0.00</c:formatCode>
                <c:ptCount val="32"/>
                <c:pt idx="0">
                  <c:v>0</c:v>
                </c:pt>
                <c:pt idx="1">
                  <c:v>286</c:v>
                </c:pt>
                <c:pt idx="2">
                  <c:v>35</c:v>
                </c:pt>
                <c:pt idx="3">
                  <c:v>93</c:v>
                </c:pt>
                <c:pt idx="4">
                  <c:v>597</c:v>
                </c:pt>
                <c:pt idx="5">
                  <c:v>890</c:v>
                </c:pt>
                <c:pt idx="6">
                  <c:v>55</c:v>
                </c:pt>
                <c:pt idx="7">
                  <c:v>184</c:v>
                </c:pt>
                <c:pt idx="8">
                  <c:v>63</c:v>
                </c:pt>
                <c:pt idx="9">
                  <c:v>93</c:v>
                </c:pt>
                <c:pt idx="10">
                  <c:v>369</c:v>
                </c:pt>
                <c:pt idx="11">
                  <c:v>45</c:v>
                </c:pt>
                <c:pt idx="12">
                  <c:v>215</c:v>
                </c:pt>
                <c:pt idx="13">
                  <c:v>43</c:v>
                </c:pt>
                <c:pt idx="14">
                  <c:v>55</c:v>
                </c:pt>
                <c:pt idx="15">
                  <c:v>42</c:v>
                </c:pt>
                <c:pt idx="16">
                  <c:v>1067</c:v>
                </c:pt>
                <c:pt idx="17">
                  <c:v>74</c:v>
                </c:pt>
                <c:pt idx="18">
                  <c:v>0</c:v>
                </c:pt>
                <c:pt idx="19">
                  <c:v>536</c:v>
                </c:pt>
                <c:pt idx="20">
                  <c:v>471</c:v>
                </c:pt>
                <c:pt idx="21">
                  <c:v>123</c:v>
                </c:pt>
                <c:pt idx="22">
                  <c:v>85</c:v>
                </c:pt>
                <c:pt idx="23">
                  <c:v>53</c:v>
                </c:pt>
                <c:pt idx="24">
                  <c:v>0</c:v>
                </c:pt>
                <c:pt idx="25">
                  <c:v>48</c:v>
                </c:pt>
                <c:pt idx="26">
                  <c:v>560</c:v>
                </c:pt>
                <c:pt idx="27">
                  <c:v>564</c:v>
                </c:pt>
                <c:pt idx="28">
                  <c:v>290</c:v>
                </c:pt>
                <c:pt idx="29">
                  <c:v>266.76923076923066</c:v>
                </c:pt>
                <c:pt idx="30">
                  <c:v>245.35714285714292</c:v>
                </c:pt>
                <c:pt idx="31">
                  <c:v>48</c:v>
                </c:pt>
              </c:numCache>
            </c:numRef>
          </c:bubbleSize>
          <c:bubble3D val="0"/>
          <c:extLst>
            <c:ext xmlns:c15="http://schemas.microsoft.com/office/drawing/2012/chart" uri="{02D57815-91ED-43cb-92C2-25804820EDAC}">
              <c15:datalabelsRange>
                <c15:f>Scater!$K$4:$K$35</c15:f>
                <c15:dlblRangeCache>
                  <c:ptCount val="32"/>
                  <c:pt idx="0">
                    <c:v>EU28</c:v>
                  </c:pt>
                  <c:pt idx="1">
                    <c:v>BE</c:v>
                  </c:pt>
                  <c:pt idx="2">
                    <c:v>BG</c:v>
                  </c:pt>
                  <c:pt idx="3">
                    <c:v>CZ</c:v>
                  </c:pt>
                  <c:pt idx="4">
                    <c:v>DK</c:v>
                  </c:pt>
                  <c:pt idx="5">
                    <c:v>DE</c:v>
                  </c:pt>
                  <c:pt idx="6">
                    <c:v>EE</c:v>
                  </c:pt>
                  <c:pt idx="7">
                    <c:v>IE</c:v>
                  </c:pt>
                  <c:pt idx="8">
                    <c:v>EL</c:v>
                  </c:pt>
                  <c:pt idx="9">
                    <c:v>ES</c:v>
                  </c:pt>
                  <c:pt idx="11">
                    <c:v>HR</c:v>
                  </c:pt>
                  <c:pt idx="12">
                    <c:v>IT</c:v>
                  </c:pt>
                  <c:pt idx="13">
                    <c:v>CY</c:v>
                  </c:pt>
                  <c:pt idx="14">
                    <c:v>LV</c:v>
                  </c:pt>
                  <c:pt idx="15">
                    <c:v>LT</c:v>
                  </c:pt>
                  <c:pt idx="16">
                    <c:v>LU</c:v>
                  </c:pt>
                  <c:pt idx="17">
                    <c:v>HU</c:v>
                  </c:pt>
                  <c:pt idx="18">
                    <c:v>MT</c:v>
                  </c:pt>
                  <c:pt idx="19">
                    <c:v>NL</c:v>
                  </c:pt>
                  <c:pt idx="20">
                    <c:v>AT</c:v>
                  </c:pt>
                  <c:pt idx="22">
                    <c:v>PT</c:v>
                  </c:pt>
                  <c:pt idx="23">
                    <c:v>RO</c:v>
                  </c:pt>
                  <c:pt idx="24">
                    <c:v>SI</c:v>
                  </c:pt>
                  <c:pt idx="25">
                    <c:v>SK</c:v>
                  </c:pt>
                  <c:pt idx="26">
                    <c:v>FI</c:v>
                  </c:pt>
                  <c:pt idx="27">
                    <c:v>SE</c:v>
                  </c:pt>
                  <c:pt idx="28">
                    <c:v>UK</c:v>
                  </c:pt>
                  <c:pt idx="29">
                    <c:v>priemer krajín EÚ</c:v>
                  </c:pt>
                  <c:pt idx="30">
                    <c:v>priemer krajín EÚ 2007</c:v>
                  </c:pt>
                  <c:pt idx="31">
                    <c:v>SK 2007</c:v>
                  </c:pt>
                </c15:dlblRangeCache>
              </c15:datalabelsRange>
            </c:ext>
            <c:ext xmlns:c16="http://schemas.microsoft.com/office/drawing/2014/chart" uri="{C3380CC4-5D6E-409C-BE32-E72D297353CC}">
              <c16:uniqueId val="{00000020-E042-4DC1-B39F-06717313B4CB}"/>
            </c:ext>
          </c:extLst>
        </c:ser>
        <c:dLbls>
          <c:showLegendKey val="0"/>
          <c:showVal val="1"/>
          <c:showCatName val="0"/>
          <c:showSerName val="0"/>
          <c:showPercent val="0"/>
          <c:showBubbleSize val="0"/>
        </c:dLbls>
        <c:bubbleScale val="50"/>
        <c:showNegBubbles val="0"/>
        <c:sizeRepresents val="w"/>
        <c:axId val="73024640"/>
        <c:axId val="73026560"/>
      </c:bubbleChart>
      <c:valAx>
        <c:axId val="73024640"/>
        <c:scaling>
          <c:orientation val="minMax"/>
          <c:max val="3.5"/>
        </c:scaling>
        <c:delete val="0"/>
        <c:axPos val="b"/>
        <c:majorGridlines>
          <c:spPr>
            <a:ln w="9525" cap="flat" cmpd="sng" algn="ctr">
              <a:solidFill>
                <a:schemeClr val="tx1">
                  <a:lumMod val="15000"/>
                  <a:lumOff val="85000"/>
                </a:schemeClr>
              </a:solidFill>
              <a:round/>
            </a:ln>
            <a:effectLst/>
          </c:spPr>
        </c:majorGridlines>
        <c:title>
          <c:tx>
            <c:strRef>
              <c:f>Scater!$L$3</c:f>
              <c:strCache>
                <c:ptCount val="1"/>
                <c:pt idx="0">
                  <c:v>podiel výdavkov na výskum a vývoj na HDP</c:v>
                </c:pt>
              </c:strCache>
            </c:strRef>
          </c:tx>
          <c:layout>
            <c:manualLayout>
              <c:xMode val="edge"/>
              <c:yMode val="edge"/>
              <c:x val="0.2542358906707341"/>
              <c:y val="0.92306559255150866"/>
            </c:manualLayout>
          </c:layout>
          <c:overlay val="0"/>
          <c:spPr>
            <a:noFill/>
            <a:ln>
              <a:noFill/>
            </a:ln>
            <a:effectLst/>
          </c:spPr>
          <c:txPr>
            <a:bodyPr rot="0" spcFirstLastPara="1" vertOverflow="ellipsis" vert="horz" wrap="square" anchor="ctr" anchorCtr="1"/>
            <a:lstStyle/>
            <a:p>
              <a:pPr>
                <a:defRPr lang="cs-CZ"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cs-CZ"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73026560"/>
        <c:crosses val="autoZero"/>
        <c:crossBetween val="midCat"/>
      </c:valAx>
      <c:valAx>
        <c:axId val="73026560"/>
        <c:scaling>
          <c:orientation val="minMax"/>
        </c:scaling>
        <c:delete val="0"/>
        <c:axPos val="l"/>
        <c:majorGridlines>
          <c:spPr>
            <a:ln w="9525" cap="flat" cmpd="sng" algn="ctr">
              <a:solidFill>
                <a:schemeClr val="tx1">
                  <a:lumMod val="15000"/>
                  <a:lumOff val="85000"/>
                </a:schemeClr>
              </a:solidFill>
              <a:round/>
            </a:ln>
            <a:effectLst/>
          </c:spPr>
        </c:majorGridlines>
        <c:title>
          <c:tx>
            <c:strRef>
              <c:f>Scater!$M$3</c:f>
              <c:strCache>
                <c:ptCount val="1"/>
                <c:pt idx="0">
                  <c:v>počet zamestnancov výskumu a vývoja na 1000 obyvateľov</c:v>
                </c:pt>
              </c:strCache>
            </c:strRef>
          </c:tx>
          <c:layout>
            <c:manualLayout>
              <c:xMode val="edge"/>
              <c:yMode val="edge"/>
              <c:x val="0"/>
              <c:y val="0.12435455941451302"/>
            </c:manualLayout>
          </c:layout>
          <c:overlay val="0"/>
          <c:spPr>
            <a:noFill/>
            <a:ln>
              <a:noFill/>
            </a:ln>
            <a:effectLst/>
          </c:spPr>
          <c:txPr>
            <a:bodyPr rot="-5400000" spcFirstLastPara="1" vertOverflow="ellipsis" vert="horz" wrap="square" anchor="ctr" anchorCtr="1"/>
            <a:lstStyle/>
            <a:p>
              <a:pPr>
                <a:defRPr lang="cs-CZ"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cs-CZ"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73024640"/>
        <c:crosses val="autoZero"/>
        <c:crossBetween val="midCat"/>
      </c:valAx>
      <c:spPr>
        <a:noFill/>
        <a:ln>
          <a:noFill/>
        </a:ln>
        <a:effectLst/>
      </c:spPr>
    </c:plotArea>
    <c:legend>
      <c:legendPos val="t"/>
      <c:layout>
        <c:manualLayout>
          <c:xMode val="edge"/>
          <c:yMode val="edge"/>
          <c:x val="0.18388581176522989"/>
          <c:y val="2.7227544332587044E-2"/>
          <c:w val="0.5007505933486065"/>
          <c:h val="8.9247594050743645E-2"/>
        </c:manualLayout>
      </c:layout>
      <c:overlay val="0"/>
      <c:spPr>
        <a:noFill/>
        <a:ln>
          <a:solidFill>
            <a:schemeClr val="bg1">
              <a:lumMod val="50000"/>
            </a:schemeClr>
          </a:solidFill>
        </a:ln>
        <a:effectLst/>
      </c:spPr>
      <c:txPr>
        <a:bodyPr rot="0" spcFirstLastPara="1" vertOverflow="ellipsis" vert="horz" wrap="square" anchor="ctr" anchorCtr="1"/>
        <a:lstStyle/>
        <a:p>
          <a:pPr>
            <a:defRPr lang="cs-CZ"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a:latin typeface="Arial Narrow" panose="020B0606020202030204" pitchFamily="34" charset="0"/>
        </a:defRPr>
      </a:pPr>
      <a:endParaRPr lang="sk-SK"/>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Hárok2!$F$36</c:f>
              <c:strCache>
                <c:ptCount val="1"/>
                <c:pt idx="0">
                  <c:v>Štátne (vládne) výdavky</c:v>
                </c:pt>
              </c:strCache>
            </c:strRef>
          </c:tx>
          <c:spPr>
            <a:solidFill>
              <a:schemeClr val="accent1"/>
            </a:solidFill>
            <a:ln>
              <a:noFill/>
            </a:ln>
            <a:effectLst/>
          </c:spPr>
          <c:invertIfNegative val="0"/>
          <c:cat>
            <c:numRef>
              <c:f>Hárok2!$E$37:$E$47</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Hárok2!$F$37:$F$47</c:f>
              <c:numCache>
                <c:formatCode>General</c:formatCode>
                <c:ptCount val="11"/>
                <c:pt idx="0">
                  <c:v>152.39341432649542</c:v>
                </c:pt>
                <c:pt idx="1">
                  <c:v>165.61372236606243</c:v>
                </c:pt>
                <c:pt idx="2">
                  <c:v>153.19926699999999</c:v>
                </c:pt>
                <c:pt idx="3">
                  <c:v>206.39896000000005</c:v>
                </c:pt>
                <c:pt idx="4">
                  <c:v>233.06144900000007</c:v>
                </c:pt>
                <c:pt idx="5">
                  <c:v>243.30174600000007</c:v>
                </c:pt>
                <c:pt idx="6">
                  <c:v>237.61621100000002</c:v>
                </c:pt>
                <c:pt idx="7">
                  <c:v>277.113609</c:v>
                </c:pt>
                <c:pt idx="8">
                  <c:v>296.1331689999999</c:v>
                </c:pt>
                <c:pt idx="9">
                  <c:v>262.67048000000011</c:v>
                </c:pt>
                <c:pt idx="10">
                  <c:v>265.90897299999989</c:v>
                </c:pt>
              </c:numCache>
            </c:numRef>
          </c:val>
          <c:extLst>
            <c:ext xmlns:c16="http://schemas.microsoft.com/office/drawing/2014/chart" uri="{C3380CC4-5D6E-409C-BE32-E72D297353CC}">
              <c16:uniqueId val="{00000000-CD45-482D-A1A3-1A57E7BBCD1F}"/>
            </c:ext>
          </c:extLst>
        </c:ser>
        <c:ser>
          <c:idx val="1"/>
          <c:order val="1"/>
          <c:tx>
            <c:strRef>
              <c:f>Hárok2!$G$36</c:f>
              <c:strCache>
                <c:ptCount val="1"/>
                <c:pt idx="0">
                  <c:v>Výdavky zo štrukturálnych fondov EÚ</c:v>
                </c:pt>
              </c:strCache>
            </c:strRef>
          </c:tx>
          <c:spPr>
            <a:solidFill>
              <a:schemeClr val="accent4">
                <a:lumMod val="40000"/>
                <a:lumOff val="60000"/>
              </a:schemeClr>
            </a:solidFill>
            <a:ln>
              <a:noFill/>
            </a:ln>
            <a:effectLst/>
          </c:spPr>
          <c:invertIfNegative val="0"/>
          <c:cat>
            <c:numRef>
              <c:f>Hárok2!$E$37:$E$47</c:f>
              <c:numCache>
                <c:formatCode>General</c:formatCode>
                <c:ptCount val="11"/>
                <c:pt idx="0">
                  <c:v>2007</c:v>
                </c:pt>
                <c:pt idx="1">
                  <c:v>2008</c:v>
                </c:pt>
                <c:pt idx="2">
                  <c:v>2009</c:v>
                </c:pt>
                <c:pt idx="3">
                  <c:v>2010</c:v>
                </c:pt>
                <c:pt idx="4">
                  <c:v>2011</c:v>
                </c:pt>
                <c:pt idx="5">
                  <c:v>2012</c:v>
                </c:pt>
                <c:pt idx="6">
                  <c:v>2013</c:v>
                </c:pt>
                <c:pt idx="7">
                  <c:v>2014</c:v>
                </c:pt>
                <c:pt idx="8">
                  <c:v>2015</c:v>
                </c:pt>
                <c:pt idx="9">
                  <c:v>2016</c:v>
                </c:pt>
                <c:pt idx="10">
                  <c:v>2017</c:v>
                </c:pt>
              </c:numCache>
            </c:numRef>
          </c:cat>
          <c:val>
            <c:numRef>
              <c:f>Hárok2!$G$37:$G$47</c:f>
              <c:numCache>
                <c:formatCode>General</c:formatCode>
                <c:ptCount val="11"/>
                <c:pt idx="0">
                  <c:v>7.9988382128394075</c:v>
                </c:pt>
                <c:pt idx="1">
                  <c:v>7.5750182566553788</c:v>
                </c:pt>
                <c:pt idx="2">
                  <c:v>8.5586590000000005</c:v>
                </c:pt>
                <c:pt idx="3">
                  <c:v>27.144375000000007</c:v>
                </c:pt>
                <c:pt idx="4">
                  <c:v>44.393337000000002</c:v>
                </c:pt>
                <c:pt idx="5">
                  <c:v>76.946313000000018</c:v>
                </c:pt>
                <c:pt idx="6">
                  <c:v>75.228341999999969</c:v>
                </c:pt>
                <c:pt idx="7">
                  <c:v>107.35631600000001</c:v>
                </c:pt>
                <c:pt idx="8">
                  <c:v>326.4625739999999</c:v>
                </c:pt>
                <c:pt idx="9">
                  <c:v>27.412241999999992</c:v>
                </c:pt>
                <c:pt idx="10">
                  <c:v>44.961956000000001</c:v>
                </c:pt>
              </c:numCache>
            </c:numRef>
          </c:val>
          <c:extLst>
            <c:ext xmlns:c16="http://schemas.microsoft.com/office/drawing/2014/chart" uri="{C3380CC4-5D6E-409C-BE32-E72D297353CC}">
              <c16:uniqueId val="{00000001-CD45-482D-A1A3-1A57E7BBCD1F}"/>
            </c:ext>
          </c:extLst>
        </c:ser>
        <c:dLbls>
          <c:showLegendKey val="0"/>
          <c:showVal val="0"/>
          <c:showCatName val="0"/>
          <c:showSerName val="0"/>
          <c:showPercent val="0"/>
          <c:showBubbleSize val="0"/>
        </c:dLbls>
        <c:gapWidth val="150"/>
        <c:overlap val="100"/>
        <c:axId val="68321664"/>
        <c:axId val="68323200"/>
      </c:barChart>
      <c:catAx>
        <c:axId val="6832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cs-CZ"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68323200"/>
        <c:crosses val="autoZero"/>
        <c:auto val="1"/>
        <c:lblAlgn val="ctr"/>
        <c:lblOffset val="100"/>
        <c:noMultiLvlLbl val="0"/>
      </c:catAx>
      <c:valAx>
        <c:axId val="68323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cs-CZ"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6832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cs-CZ"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a:pPr>
      <a:endParaRPr lang="sk-SK"/>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28893263342082"/>
          <c:y val="2.3148148148148147E-2"/>
          <c:w val="0.5166666666666665"/>
          <c:h val="0.86111111111111138"/>
        </c:manualLayout>
      </c:layout>
      <c:pieChart>
        <c:varyColors val="1"/>
        <c:ser>
          <c:idx val="0"/>
          <c:order val="0"/>
          <c:dPt>
            <c:idx val="0"/>
            <c:bubble3D val="0"/>
            <c:spPr>
              <a:solidFill>
                <a:srgbClr val="00B0F0"/>
              </a:solidFill>
              <a:ln w="19050">
                <a:solidFill>
                  <a:schemeClr val="lt1"/>
                </a:solidFill>
              </a:ln>
              <a:effectLst/>
            </c:spPr>
            <c:extLst>
              <c:ext xmlns:c16="http://schemas.microsoft.com/office/drawing/2014/chart" uri="{C3380CC4-5D6E-409C-BE32-E72D297353CC}">
                <c16:uniqueId val="{00000001-97B3-4BFC-BF60-78FD3D0E1DBC}"/>
              </c:ext>
            </c:extLst>
          </c:dPt>
          <c:dPt>
            <c:idx val="1"/>
            <c:bubble3D val="0"/>
            <c:explosion val="13"/>
            <c:spPr>
              <a:solidFill>
                <a:schemeClr val="accent4">
                  <a:lumMod val="75000"/>
                </a:schemeClr>
              </a:solidFill>
              <a:ln w="19050">
                <a:solidFill>
                  <a:schemeClr val="lt1"/>
                </a:solidFill>
              </a:ln>
              <a:effectLst/>
            </c:spPr>
            <c:extLst>
              <c:ext xmlns:c16="http://schemas.microsoft.com/office/drawing/2014/chart" uri="{C3380CC4-5D6E-409C-BE32-E72D297353CC}">
                <c16:uniqueId val="{00000003-97B3-4BFC-BF60-78FD3D0E1DBC}"/>
              </c:ext>
            </c:extLst>
          </c:dPt>
          <c:dPt>
            <c:idx val="2"/>
            <c:bubble3D val="0"/>
            <c:explosion val="10"/>
            <c:spPr>
              <a:solidFill>
                <a:schemeClr val="accent3"/>
              </a:solidFill>
              <a:ln w="19050">
                <a:solidFill>
                  <a:schemeClr val="lt1"/>
                </a:solidFill>
              </a:ln>
              <a:effectLst/>
            </c:spPr>
            <c:extLst>
              <c:ext xmlns:c16="http://schemas.microsoft.com/office/drawing/2014/chart" uri="{C3380CC4-5D6E-409C-BE32-E72D297353CC}">
                <c16:uniqueId val="{00000005-97B3-4BFC-BF60-78FD3D0E1DBC}"/>
              </c:ext>
            </c:extLst>
          </c:dPt>
          <c:dPt>
            <c:idx val="3"/>
            <c:bubble3D val="0"/>
            <c:explosion val="16"/>
            <c:spPr>
              <a:solidFill>
                <a:srgbClr val="FF0000"/>
              </a:solidFill>
              <a:ln w="19050">
                <a:solidFill>
                  <a:schemeClr val="lt1"/>
                </a:solidFill>
              </a:ln>
              <a:effectLst/>
            </c:spPr>
            <c:extLst>
              <c:ext xmlns:c16="http://schemas.microsoft.com/office/drawing/2014/chart" uri="{C3380CC4-5D6E-409C-BE32-E72D297353CC}">
                <c16:uniqueId val="{00000007-97B3-4BFC-BF60-78FD3D0E1DBC}"/>
              </c:ext>
            </c:extLst>
          </c:dPt>
          <c:dLbls>
            <c:dLbl>
              <c:idx val="0"/>
              <c:layout>
                <c:manualLayout>
                  <c:x val="-2.1939741907261598E-2"/>
                  <c:y val="0.244212962962963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7B3-4BFC-BF60-78FD3D0E1DBC}"/>
                </c:ext>
              </c:extLst>
            </c:dLbl>
            <c:dLbl>
              <c:idx val="1"/>
              <c:layout>
                <c:manualLayout>
                  <c:x val="2.7796380654022179E-2"/>
                  <c:y val="-3.36525449892233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7B3-4BFC-BF60-78FD3D0E1DBC}"/>
                </c:ext>
              </c:extLst>
            </c:dLbl>
            <c:dLbl>
              <c:idx val="2"/>
              <c:layout>
                <c:manualLayout>
                  <c:x val="3.921631671041121E-2"/>
                  <c:y val="-0.1254410906969963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7B3-4BFC-BF60-78FD3D0E1DBC}"/>
                </c:ext>
              </c:extLst>
            </c:dLbl>
            <c:dLbl>
              <c:idx val="3"/>
              <c:layout>
                <c:manualLayout>
                  <c:x val="-6.8145231846019286E-3"/>
                  <c:y val="-3.21817585301837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7B3-4BFC-BF60-78FD3D0E1DBC}"/>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lang="cs-CZ" sz="900" b="1"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'MPSVR SR'!$A$3:$A$6</c:f>
              <c:strCache>
                <c:ptCount val="4"/>
                <c:pt idx="0">
                  <c:v>Sociálna inklúzia</c:v>
                </c:pt>
                <c:pt idx="1">
                  <c:v>Politika zamestnanosti</c:v>
                </c:pt>
                <c:pt idx="2">
                  <c:v>Inštitucionálna podpora </c:v>
                </c:pt>
                <c:pt idx="3">
                  <c:v>Informačné technológie</c:v>
                </c:pt>
              </c:strCache>
            </c:strRef>
          </c:cat>
          <c:val>
            <c:numRef>
              <c:f>'MPSVR SR'!$B$3:$B$6</c:f>
              <c:numCache>
                <c:formatCode>#,##0</c:formatCode>
                <c:ptCount val="4"/>
                <c:pt idx="0">
                  <c:v>1972413</c:v>
                </c:pt>
                <c:pt idx="1">
                  <c:v>134891</c:v>
                </c:pt>
                <c:pt idx="2">
                  <c:v>176131</c:v>
                </c:pt>
                <c:pt idx="3">
                  <c:v>17463</c:v>
                </c:pt>
              </c:numCache>
            </c:numRef>
          </c:val>
          <c:extLst>
            <c:ext xmlns:c16="http://schemas.microsoft.com/office/drawing/2014/chart" uri="{C3380CC4-5D6E-409C-BE32-E72D297353CC}">
              <c16:uniqueId val="{00000008-97B3-4BFC-BF60-78FD3D0E1DBC}"/>
            </c:ext>
          </c:extLst>
        </c:ser>
        <c:dLbls>
          <c:showLegendKey val="0"/>
          <c:showVal val="0"/>
          <c:showCatName val="0"/>
          <c:showSerName val="0"/>
          <c:showPercent val="0"/>
          <c:showBubbleSize val="0"/>
          <c:showLeaderLines val="1"/>
        </c:dLbls>
        <c:firstSliceAng val="210"/>
      </c:pieChart>
      <c:spPr>
        <a:noFill/>
        <a:ln>
          <a:noFill/>
        </a:ln>
        <a:effectLst/>
      </c:spPr>
    </c:plotArea>
    <c:legend>
      <c:legendPos val="r"/>
      <c:layout>
        <c:manualLayout>
          <c:xMode val="edge"/>
          <c:yMode val="edge"/>
          <c:x val="0.70780008748906409"/>
          <c:y val="0.1307859434237387"/>
          <c:w val="0.2866443569553806"/>
          <c:h val="0.76620589093030056"/>
        </c:manualLayout>
      </c:layout>
      <c:overlay val="0"/>
      <c:spPr>
        <a:noFill/>
        <a:ln>
          <a:noFill/>
        </a:ln>
        <a:effectLst/>
      </c:spPr>
      <c:txPr>
        <a:bodyPr rot="0" spcFirstLastPara="1" vertOverflow="ellipsis" vert="horz" wrap="square" anchor="ctr" anchorCtr="1"/>
        <a:lstStyle/>
        <a:p>
          <a:pPr>
            <a:defRPr lang="cs-CZ" sz="900" b="0" i="0" u="none" strike="noStrike" kern="1200" baseline="0">
              <a:solidFill>
                <a:schemeClr val="tx1">
                  <a:lumMod val="65000"/>
                  <a:lumOff val="35000"/>
                </a:schemeClr>
              </a:solidFill>
              <a:latin typeface="+mn-lt"/>
              <a:ea typeface="+mn-ea"/>
              <a:cs typeface="+mn-cs"/>
            </a:defRPr>
          </a:pPr>
          <a:endParaRPr lang="sk-SK"/>
        </a:p>
      </c:txPr>
    </c:legend>
    <c:plotVisOnly val="1"/>
    <c:dispBlanksAs val="zero"/>
    <c:showDLblsOverMax val="0"/>
  </c:chart>
  <c:spPr>
    <a:solidFill>
      <a:schemeClr val="bg1"/>
    </a:solidFill>
    <a:ln w="9525" cap="flat" cmpd="sng" algn="ctr">
      <a:noFill/>
      <a:round/>
    </a:ln>
    <a:effectLst/>
  </c:spPr>
  <c:txPr>
    <a:bodyPr/>
    <a:lstStyle/>
    <a:p>
      <a:pPr>
        <a:defRPr/>
      </a:pPr>
      <a:endParaRPr lang="sk-S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816391006679743E-2"/>
          <c:y val="5.5046512476604713E-2"/>
          <c:w val="0.91477037592523158"/>
          <c:h val="0.68084260332405355"/>
        </c:manualLayout>
      </c:layout>
      <c:barChart>
        <c:barDir val="col"/>
        <c:grouping val="stacked"/>
        <c:varyColors val="0"/>
        <c:ser>
          <c:idx val="0"/>
          <c:order val="0"/>
          <c:tx>
            <c:strRef>
              <c:f>DaňPríjmy_ESA2010_HDP!$A$21</c:f>
              <c:strCache>
                <c:ptCount val="1"/>
                <c:pt idx="0">
                  <c:v>Dane z príjmov, ziskov a kap. majetku</c:v>
                </c:pt>
              </c:strCache>
            </c:strRef>
          </c:tx>
          <c:spPr>
            <a:solidFill>
              <a:schemeClr val="accent1">
                <a:lumMod val="20000"/>
                <a:lumOff val="80000"/>
              </a:schemeClr>
            </a:solidFill>
            <a:ln>
              <a:solidFill>
                <a:srgbClr val="00206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cs-CZ" sz="800" b="0" i="0" u="none" strike="noStrike" kern="1200" baseline="0">
                    <a:solidFill>
                      <a:srgbClr val="002060"/>
                    </a:solidFill>
                    <a:latin typeface="Arial Narrow" panose="020B0606020202030204" pitchFamily="34" charset="0"/>
                    <a:ea typeface="+mn-ea"/>
                    <a:cs typeface="+mn-cs"/>
                  </a:defRPr>
                </a:pPr>
                <a:endParaRPr lang="sk-S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DaňPríjmy_ESA2010_HDP!$B$20:$L$20</c:f>
              <c:strCache>
                <c:ptCount val="11"/>
                <c:pt idx="0">
                  <c:v>2011</c:v>
                </c:pt>
                <c:pt idx="1">
                  <c:v>2012</c:v>
                </c:pt>
                <c:pt idx="2">
                  <c:v>2013</c:v>
                </c:pt>
                <c:pt idx="3">
                  <c:v>2014</c:v>
                </c:pt>
                <c:pt idx="4">
                  <c:v>2015</c:v>
                </c:pt>
                <c:pt idx="5">
                  <c:v>2016</c:v>
                </c:pt>
                <c:pt idx="6">
                  <c:v>2017</c:v>
                </c:pt>
                <c:pt idx="7">
                  <c:v>2018 OS</c:v>
                </c:pt>
                <c:pt idx="8">
                  <c:v>2019 RVS</c:v>
                </c:pt>
                <c:pt idx="9">
                  <c:v>2020 RVS</c:v>
                </c:pt>
                <c:pt idx="10">
                  <c:v>2021 RVS</c:v>
                </c:pt>
              </c:strCache>
            </c:strRef>
          </c:cat>
          <c:val>
            <c:numRef>
              <c:f>DaňPríjmy_ESA2010_HDP!$B$21:$L$21</c:f>
              <c:numCache>
                <c:formatCode>#,##0.0</c:formatCode>
                <c:ptCount val="11"/>
                <c:pt idx="0">
                  <c:v>19.687927169633806</c:v>
                </c:pt>
                <c:pt idx="1">
                  <c:v>21.533108217816558</c:v>
                </c:pt>
                <c:pt idx="2">
                  <c:v>21.789013976964533</c:v>
                </c:pt>
                <c:pt idx="3">
                  <c:v>22.482356894813478</c:v>
                </c:pt>
                <c:pt idx="4">
                  <c:v>23.660744422537693</c:v>
                </c:pt>
                <c:pt idx="5">
                  <c:v>23.467637040898442</c:v>
                </c:pt>
                <c:pt idx="6">
                  <c:v>22.775616297574661</c:v>
                </c:pt>
                <c:pt idx="7">
                  <c:v>22.378844370913129</c:v>
                </c:pt>
                <c:pt idx="8">
                  <c:v>22.572544520976589</c:v>
                </c:pt>
                <c:pt idx="9">
                  <c:v>22.679873644863381</c:v>
                </c:pt>
                <c:pt idx="10">
                  <c:v>23.006089865945452</c:v>
                </c:pt>
              </c:numCache>
            </c:numRef>
          </c:val>
          <c:extLst>
            <c:ext xmlns:c16="http://schemas.microsoft.com/office/drawing/2014/chart" uri="{C3380CC4-5D6E-409C-BE32-E72D297353CC}">
              <c16:uniqueId val="{00000000-A6FB-4A8C-926E-A9B8C8A23109}"/>
            </c:ext>
          </c:extLst>
        </c:ser>
        <c:ser>
          <c:idx val="3"/>
          <c:order val="3"/>
          <c:tx>
            <c:strRef>
              <c:f>DaňPríjmy_ESA2010_HDP!$A$24</c:f>
              <c:strCache>
                <c:ptCount val="1"/>
                <c:pt idx="0">
                  <c:v>Dane na tovary a služby</c:v>
                </c:pt>
              </c:strCache>
            </c:strRef>
          </c:tx>
          <c:spPr>
            <a:solidFill>
              <a:srgbClr val="FFFF00"/>
            </a:solidFill>
            <a:ln>
              <a:solidFill>
                <a:srgbClr val="00206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cs-CZ" sz="700" b="0" i="0" u="none" strike="noStrike" kern="1200" baseline="0">
                    <a:solidFill>
                      <a:srgbClr val="002060"/>
                    </a:solidFill>
                    <a:latin typeface="Arial Narrow" panose="020B0606020202030204" pitchFamily="34" charset="0"/>
                    <a:ea typeface="+mn-ea"/>
                    <a:cs typeface="+mn-cs"/>
                  </a:defRPr>
                </a:pPr>
                <a:endParaRPr lang="sk-S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DaňPríjmy_ESA2010_HDP!$B$20:$L$20</c:f>
              <c:strCache>
                <c:ptCount val="11"/>
                <c:pt idx="0">
                  <c:v>2011</c:v>
                </c:pt>
                <c:pt idx="1">
                  <c:v>2012</c:v>
                </c:pt>
                <c:pt idx="2">
                  <c:v>2013</c:v>
                </c:pt>
                <c:pt idx="3">
                  <c:v>2014</c:v>
                </c:pt>
                <c:pt idx="4">
                  <c:v>2015</c:v>
                </c:pt>
                <c:pt idx="5">
                  <c:v>2016</c:v>
                </c:pt>
                <c:pt idx="6">
                  <c:v>2017</c:v>
                </c:pt>
                <c:pt idx="7">
                  <c:v>2018 OS</c:v>
                </c:pt>
                <c:pt idx="8">
                  <c:v>2019 RVS</c:v>
                </c:pt>
                <c:pt idx="9">
                  <c:v>2020 RVS</c:v>
                </c:pt>
                <c:pt idx="10">
                  <c:v>2021 RVS</c:v>
                </c:pt>
              </c:strCache>
            </c:strRef>
          </c:cat>
          <c:val>
            <c:numRef>
              <c:f>DaňPríjmy_ESA2010_HDP!$B$24:$L$24</c:f>
              <c:numCache>
                <c:formatCode>#,##0.0</c:formatCode>
                <c:ptCount val="11"/>
                <c:pt idx="0">
                  <c:v>37.38358238868593</c:v>
                </c:pt>
                <c:pt idx="1">
                  <c:v>34.205635603725533</c:v>
                </c:pt>
                <c:pt idx="2">
                  <c:v>33.304508648875839</c:v>
                </c:pt>
                <c:pt idx="3">
                  <c:v>32.827356623512095</c:v>
                </c:pt>
                <c:pt idx="4">
                  <c:v>32.745847133305823</c:v>
                </c:pt>
                <c:pt idx="5">
                  <c:v>32.02285997223165</c:v>
                </c:pt>
                <c:pt idx="6">
                  <c:v>32.017345920627754</c:v>
                </c:pt>
                <c:pt idx="7">
                  <c:v>31.520003591965231</c:v>
                </c:pt>
                <c:pt idx="8">
                  <c:v>31.265604488059626</c:v>
                </c:pt>
                <c:pt idx="9">
                  <c:v>30.90767302909963</c:v>
                </c:pt>
                <c:pt idx="10">
                  <c:v>30.803038202055188</c:v>
                </c:pt>
              </c:numCache>
            </c:numRef>
          </c:val>
          <c:extLst>
            <c:ext xmlns:c16="http://schemas.microsoft.com/office/drawing/2014/chart" uri="{C3380CC4-5D6E-409C-BE32-E72D297353CC}">
              <c16:uniqueId val="{00000001-A6FB-4A8C-926E-A9B8C8A23109}"/>
            </c:ext>
          </c:extLst>
        </c:ser>
        <c:ser>
          <c:idx val="5"/>
          <c:order val="5"/>
          <c:tx>
            <c:strRef>
              <c:f>DaňPríjmy_ESA2010_HDP!$A$26</c:f>
              <c:strCache>
                <c:ptCount val="1"/>
                <c:pt idx="0">
                  <c:v>Ostatné dane</c:v>
                </c:pt>
              </c:strCache>
            </c:strRef>
          </c:tx>
          <c:spPr>
            <a:solidFill>
              <a:srgbClr val="92D050"/>
            </a:solidFill>
            <a:ln>
              <a:solidFill>
                <a:srgbClr val="002060"/>
              </a:solidFill>
            </a:ln>
            <a:effectLst/>
          </c:spPr>
          <c:invertIfNegative val="0"/>
          <c:dLbls>
            <c:delete val="1"/>
          </c:dLbls>
          <c:cat>
            <c:strRef>
              <c:f>DaňPríjmy_ESA2010_HDP!$B$20:$L$20</c:f>
              <c:strCache>
                <c:ptCount val="11"/>
                <c:pt idx="0">
                  <c:v>2011</c:v>
                </c:pt>
                <c:pt idx="1">
                  <c:v>2012</c:v>
                </c:pt>
                <c:pt idx="2">
                  <c:v>2013</c:v>
                </c:pt>
                <c:pt idx="3">
                  <c:v>2014</c:v>
                </c:pt>
                <c:pt idx="4">
                  <c:v>2015</c:v>
                </c:pt>
                <c:pt idx="5">
                  <c:v>2016</c:v>
                </c:pt>
                <c:pt idx="6">
                  <c:v>2017</c:v>
                </c:pt>
                <c:pt idx="7">
                  <c:v>2018 OS</c:v>
                </c:pt>
                <c:pt idx="8">
                  <c:v>2019 RVS</c:v>
                </c:pt>
                <c:pt idx="9">
                  <c:v>2020 RVS</c:v>
                </c:pt>
                <c:pt idx="10">
                  <c:v>2021 RVS</c:v>
                </c:pt>
              </c:strCache>
            </c:strRef>
          </c:cat>
          <c:val>
            <c:numRef>
              <c:f>DaňPríjmy_ESA2010_HDP!$B$26:$L$26</c:f>
              <c:numCache>
                <c:formatCode>#,##0.0</c:formatCode>
                <c:ptCount val="11"/>
                <c:pt idx="0">
                  <c:v>0.64220626678625359</c:v>
                </c:pt>
                <c:pt idx="1">
                  <c:v>1.5333535891336549</c:v>
                </c:pt>
                <c:pt idx="2">
                  <c:v>1.8796592021068808</c:v>
                </c:pt>
                <c:pt idx="3">
                  <c:v>1.6826238385885952</c:v>
                </c:pt>
                <c:pt idx="4">
                  <c:v>1.8190953226357593</c:v>
                </c:pt>
                <c:pt idx="5">
                  <c:v>1.8510350667891446</c:v>
                </c:pt>
                <c:pt idx="6">
                  <c:v>2.1232883267367773</c:v>
                </c:pt>
                <c:pt idx="7">
                  <c:v>2.1646712636169023</c:v>
                </c:pt>
                <c:pt idx="8">
                  <c:v>2.2423066126931541</c:v>
                </c:pt>
                <c:pt idx="9">
                  <c:v>2.244957551667619</c:v>
                </c:pt>
                <c:pt idx="10">
                  <c:v>1.6090618516679638</c:v>
                </c:pt>
              </c:numCache>
            </c:numRef>
          </c:val>
          <c:extLst>
            <c:ext xmlns:c16="http://schemas.microsoft.com/office/drawing/2014/chart" uri="{C3380CC4-5D6E-409C-BE32-E72D297353CC}">
              <c16:uniqueId val="{00000002-A6FB-4A8C-926E-A9B8C8A23109}"/>
            </c:ext>
          </c:extLst>
        </c:ser>
        <c:ser>
          <c:idx val="6"/>
          <c:order val="6"/>
          <c:tx>
            <c:strRef>
              <c:f>DaňPríjmy_ESA2010_HDP!$A$27</c:f>
              <c:strCache>
                <c:ptCount val="1"/>
                <c:pt idx="0">
                  <c:v>Fondy sociálneho a zdravotného poistenia (FSZP)</c:v>
                </c:pt>
              </c:strCache>
            </c:strRef>
          </c:tx>
          <c:spPr>
            <a:solidFill>
              <a:srgbClr val="00B0F0"/>
            </a:solidFill>
            <a:ln>
              <a:solidFill>
                <a:srgbClr val="00206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cs-CZ" sz="800" b="0" i="0" u="none" strike="noStrike" kern="1200" baseline="0">
                    <a:solidFill>
                      <a:schemeClr val="bg1"/>
                    </a:solidFill>
                    <a:latin typeface="Arial Narrow" panose="020B0606020202030204" pitchFamily="34" charset="0"/>
                    <a:ea typeface="+mn-ea"/>
                    <a:cs typeface="+mn-cs"/>
                  </a:defRPr>
                </a:pPr>
                <a:endParaRPr lang="sk-S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DaňPríjmy_ESA2010_HDP!$B$20:$L$20</c:f>
              <c:strCache>
                <c:ptCount val="11"/>
                <c:pt idx="0">
                  <c:v>2011</c:v>
                </c:pt>
                <c:pt idx="1">
                  <c:v>2012</c:v>
                </c:pt>
                <c:pt idx="2">
                  <c:v>2013</c:v>
                </c:pt>
                <c:pt idx="3">
                  <c:v>2014</c:v>
                </c:pt>
                <c:pt idx="4">
                  <c:v>2015</c:v>
                </c:pt>
                <c:pt idx="5">
                  <c:v>2016</c:v>
                </c:pt>
                <c:pt idx="6">
                  <c:v>2017</c:v>
                </c:pt>
                <c:pt idx="7">
                  <c:v>2018 OS</c:v>
                </c:pt>
                <c:pt idx="8">
                  <c:v>2019 RVS</c:v>
                </c:pt>
                <c:pt idx="9">
                  <c:v>2020 RVS</c:v>
                </c:pt>
                <c:pt idx="10">
                  <c:v>2021 RVS</c:v>
                </c:pt>
              </c:strCache>
            </c:strRef>
          </c:cat>
          <c:val>
            <c:numRef>
              <c:f>DaňPríjmy_ESA2010_HDP!$B$27:$L$27</c:f>
              <c:numCache>
                <c:formatCode>#,##0.0</c:formatCode>
                <c:ptCount val="11"/>
                <c:pt idx="0">
                  <c:v>38.879329755051849</c:v>
                </c:pt>
                <c:pt idx="1">
                  <c:v>39.253146167856436</c:v>
                </c:pt>
                <c:pt idx="2">
                  <c:v>40.533715584405968</c:v>
                </c:pt>
                <c:pt idx="3">
                  <c:v>39.839958771519299</c:v>
                </c:pt>
                <c:pt idx="4">
                  <c:v>39.389868390193044</c:v>
                </c:pt>
                <c:pt idx="5">
                  <c:v>40.334607877373841</c:v>
                </c:pt>
                <c:pt idx="6">
                  <c:v>40.862926216110971</c:v>
                </c:pt>
                <c:pt idx="7">
                  <c:v>41.796562393359018</c:v>
                </c:pt>
                <c:pt idx="8">
                  <c:v>41.874577174674322</c:v>
                </c:pt>
                <c:pt idx="9">
                  <c:v>42.161495396750503</c:v>
                </c:pt>
                <c:pt idx="10">
                  <c:v>42.595214541166264</c:v>
                </c:pt>
              </c:numCache>
            </c:numRef>
          </c:val>
          <c:extLst>
            <c:ext xmlns:c16="http://schemas.microsoft.com/office/drawing/2014/chart" uri="{C3380CC4-5D6E-409C-BE32-E72D297353CC}">
              <c16:uniqueId val="{00000003-A6FB-4A8C-926E-A9B8C8A23109}"/>
            </c:ext>
          </c:extLst>
        </c:ser>
        <c:dLbls>
          <c:showLegendKey val="0"/>
          <c:showVal val="1"/>
          <c:showCatName val="0"/>
          <c:showSerName val="0"/>
          <c:showPercent val="0"/>
          <c:showBubbleSize val="0"/>
        </c:dLbls>
        <c:gapWidth val="219"/>
        <c:overlap val="100"/>
        <c:axId val="61832192"/>
        <c:axId val="61854464"/>
        <c:extLst>
          <c:ext xmlns:c15="http://schemas.microsoft.com/office/drawing/2012/chart" uri="{02D57815-91ED-43cb-92C2-25804820EDAC}">
            <c15:filteredBarSeries>
              <c15:ser>
                <c:idx val="1"/>
                <c:order val="1"/>
                <c:tx>
                  <c:strRef>
                    <c:extLst>
                      <c:ext uri="{02D57815-91ED-43cb-92C2-25804820EDAC}">
                        <c15:formulaRef>
                          <c15:sqref>DaňPríjmy_ESA2010_HDP!$A$22</c15:sqref>
                        </c15:formulaRef>
                      </c:ext>
                    </c:extLst>
                    <c:strCache>
                      <c:ptCount val="1"/>
                      <c:pt idx="0">
                        <c:v>Daň z príjmov fyzických osôb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2060"/>
                          </a:solidFill>
                          <a:latin typeface="Arial Narrow" panose="020B0606020202030204" pitchFamily="34" charset="0"/>
                          <a:ea typeface="+mn-ea"/>
                          <a:cs typeface="+mn-cs"/>
                        </a:defRPr>
                      </a:pPr>
                      <a:endParaRPr lang="sk-SK"/>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DaňPríjmy_ESA2010_HDP!$B$20:$L$20</c15:sqref>
                        </c15:formulaRef>
                      </c:ext>
                    </c:extLst>
                    <c:strCache>
                      <c:ptCount val="11"/>
                      <c:pt idx="0">
                        <c:v>2011</c:v>
                      </c:pt>
                      <c:pt idx="1">
                        <c:v>2012</c:v>
                      </c:pt>
                      <c:pt idx="2">
                        <c:v>2013</c:v>
                      </c:pt>
                      <c:pt idx="3">
                        <c:v>2014</c:v>
                      </c:pt>
                      <c:pt idx="4">
                        <c:v>2015</c:v>
                      </c:pt>
                      <c:pt idx="5">
                        <c:v>2016</c:v>
                      </c:pt>
                      <c:pt idx="6">
                        <c:v>2017</c:v>
                      </c:pt>
                      <c:pt idx="7">
                        <c:v>2018 OS</c:v>
                      </c:pt>
                      <c:pt idx="8">
                        <c:v>2019 RVS</c:v>
                      </c:pt>
                      <c:pt idx="9">
                        <c:v>2020 RVS</c:v>
                      </c:pt>
                      <c:pt idx="10">
                        <c:v>2021 RVS</c:v>
                      </c:pt>
                    </c:strCache>
                  </c:strRef>
                </c:cat>
                <c:val>
                  <c:numRef>
                    <c:extLst>
                      <c:ext uri="{02D57815-91ED-43cb-92C2-25804820EDAC}">
                        <c15:formulaRef>
                          <c15:sqref>DaňPríjmy_ESA2010_HDP!$B$22:$L$22</c15:sqref>
                        </c15:formulaRef>
                      </c:ext>
                    </c:extLst>
                    <c:numCache>
                      <c:formatCode>#,##0.0</c:formatCode>
                      <c:ptCount val="11"/>
                      <c:pt idx="0">
                        <c:v>9.6423209912505747</c:v>
                      </c:pt>
                      <c:pt idx="1">
                        <c:v>11.556229035884524</c:v>
                      </c:pt>
                      <c:pt idx="2">
                        <c:v>10.698168318245653</c:v>
                      </c:pt>
                      <c:pt idx="3">
                        <c:v>10.638173193117558</c:v>
                      </c:pt>
                      <c:pt idx="4">
                        <c:v>10.715928015817395</c:v>
                      </c:pt>
                      <c:pt idx="5">
                        <c:v>11.298814415042484</c:v>
                      </c:pt>
                      <c:pt idx="6">
                        <c:v>11.195577067871961</c:v>
                      </c:pt>
                      <c:pt idx="7">
                        <c:v>11.586823299794036</c:v>
                      </c:pt>
                      <c:pt idx="8">
                        <c:v>11.786921178806999</c:v>
                      </c:pt>
                      <c:pt idx="9">
                        <c:v>12.035300444360141</c:v>
                      </c:pt>
                      <c:pt idx="10">
                        <c:v>12.288472844224959</c:v>
                      </c:pt>
                    </c:numCache>
                  </c:numRef>
                </c:val>
                <c:extLst>
                  <c:ext xmlns:c16="http://schemas.microsoft.com/office/drawing/2014/chart" uri="{C3380CC4-5D6E-409C-BE32-E72D297353CC}">
                    <c16:uniqueId val="{00000004-A6FB-4A8C-926E-A9B8C8A23109}"/>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DaňPríjmy_ESA2010_HDP!$A$23</c15:sqref>
                        </c15:formulaRef>
                      </c:ext>
                    </c:extLst>
                    <c:strCache>
                      <c:ptCount val="1"/>
                      <c:pt idx="0">
                        <c:v>Daň z príjmov právnických osôb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2060"/>
                          </a:solidFill>
                          <a:latin typeface="Arial Narrow" panose="020B0606020202030204" pitchFamily="34" charset="0"/>
                          <a:ea typeface="+mn-ea"/>
                          <a:cs typeface="+mn-cs"/>
                        </a:defRPr>
                      </a:pPr>
                      <a:endParaRPr lang="sk-SK"/>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DaňPríjmy_ESA2010_HDP!$B$20:$L$20</c15:sqref>
                        </c15:formulaRef>
                      </c:ext>
                    </c:extLst>
                    <c:strCache>
                      <c:ptCount val="11"/>
                      <c:pt idx="0">
                        <c:v>2011</c:v>
                      </c:pt>
                      <c:pt idx="1">
                        <c:v>2012</c:v>
                      </c:pt>
                      <c:pt idx="2">
                        <c:v>2013</c:v>
                      </c:pt>
                      <c:pt idx="3">
                        <c:v>2014</c:v>
                      </c:pt>
                      <c:pt idx="4">
                        <c:v>2015</c:v>
                      </c:pt>
                      <c:pt idx="5">
                        <c:v>2016</c:v>
                      </c:pt>
                      <c:pt idx="6">
                        <c:v>2017</c:v>
                      </c:pt>
                      <c:pt idx="7">
                        <c:v>2018 OS</c:v>
                      </c:pt>
                      <c:pt idx="8">
                        <c:v>2019 RVS</c:v>
                      </c:pt>
                      <c:pt idx="9">
                        <c:v>2020 RVS</c:v>
                      </c:pt>
                      <c:pt idx="10">
                        <c:v>2021 RVS</c:v>
                      </c:pt>
                    </c:strCache>
                  </c:strRef>
                </c:cat>
                <c:val>
                  <c:numRef>
                    <c:extLst xmlns:c15="http://schemas.microsoft.com/office/drawing/2012/chart">
                      <c:ext xmlns:c15="http://schemas.microsoft.com/office/drawing/2012/chart" uri="{02D57815-91ED-43cb-92C2-25804820EDAC}">
                        <c15:formulaRef>
                          <c15:sqref>DaňPríjmy_ESA2010_HDP!$B$23:$L$23</c15:sqref>
                        </c15:formulaRef>
                      </c:ext>
                    </c:extLst>
                    <c:numCache>
                      <c:formatCode>#,##0.0</c:formatCode>
                      <c:ptCount val="11"/>
                      <c:pt idx="0">
                        <c:v>9.2477167519280989</c:v>
                      </c:pt>
                      <c:pt idx="1">
                        <c:v>9.0695264512722673</c:v>
                      </c:pt>
                      <c:pt idx="2">
                        <c:v>10.204651105756803</c:v>
                      </c:pt>
                      <c:pt idx="3">
                        <c:v>11.027428874129077</c:v>
                      </c:pt>
                      <c:pt idx="4">
                        <c:v>12.240156580246769</c:v>
                      </c:pt>
                      <c:pt idx="5">
                        <c:v>11.412989383579555</c:v>
                      </c:pt>
                      <c:pt idx="6">
                        <c:v>10.880563095734461</c:v>
                      </c:pt>
                      <c:pt idx="7">
                        <c:v>9.9574267841020365</c:v>
                      </c:pt>
                      <c:pt idx="8">
                        <c:v>9.9751366928131464</c:v>
                      </c:pt>
                      <c:pt idx="9">
                        <c:v>9.8348273192929447</c:v>
                      </c:pt>
                      <c:pt idx="10">
                        <c:v>9.9440396234958186</c:v>
                      </c:pt>
                    </c:numCache>
                  </c:numRef>
                </c:val>
                <c:extLst xmlns:c15="http://schemas.microsoft.com/office/drawing/2012/chart">
                  <c:ext xmlns:c16="http://schemas.microsoft.com/office/drawing/2014/chart" uri="{C3380CC4-5D6E-409C-BE32-E72D297353CC}">
                    <c16:uniqueId val="{00000005-A6FB-4A8C-926E-A9B8C8A23109}"/>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DaňPríjmy_ESA2010_HDP!$A$25</c15:sqref>
                        </c15:formulaRef>
                      </c:ext>
                    </c:extLst>
                    <c:strCache>
                      <c:ptCount val="1"/>
                      <c:pt idx="0">
                        <c:v>Daň z pridanej hodnoty</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2060"/>
                          </a:solidFill>
                          <a:latin typeface="Arial Narrow" panose="020B0606020202030204" pitchFamily="34" charset="0"/>
                          <a:ea typeface="+mn-ea"/>
                          <a:cs typeface="+mn-cs"/>
                        </a:defRPr>
                      </a:pPr>
                      <a:endParaRPr lang="sk-SK"/>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DaňPríjmy_ESA2010_HDP!$B$20:$L$20</c15:sqref>
                        </c15:formulaRef>
                      </c:ext>
                    </c:extLst>
                    <c:strCache>
                      <c:ptCount val="11"/>
                      <c:pt idx="0">
                        <c:v>2011</c:v>
                      </c:pt>
                      <c:pt idx="1">
                        <c:v>2012</c:v>
                      </c:pt>
                      <c:pt idx="2">
                        <c:v>2013</c:v>
                      </c:pt>
                      <c:pt idx="3">
                        <c:v>2014</c:v>
                      </c:pt>
                      <c:pt idx="4">
                        <c:v>2015</c:v>
                      </c:pt>
                      <c:pt idx="5">
                        <c:v>2016</c:v>
                      </c:pt>
                      <c:pt idx="6">
                        <c:v>2017</c:v>
                      </c:pt>
                      <c:pt idx="7">
                        <c:v>2018 OS</c:v>
                      </c:pt>
                      <c:pt idx="8">
                        <c:v>2019 RVS</c:v>
                      </c:pt>
                      <c:pt idx="9">
                        <c:v>2020 RVS</c:v>
                      </c:pt>
                      <c:pt idx="10">
                        <c:v>2021 RVS</c:v>
                      </c:pt>
                    </c:strCache>
                  </c:strRef>
                </c:cat>
                <c:val>
                  <c:numRef>
                    <c:extLst xmlns:c15="http://schemas.microsoft.com/office/drawing/2012/chart">
                      <c:ext xmlns:c15="http://schemas.microsoft.com/office/drawing/2012/chart" uri="{02D57815-91ED-43cb-92C2-25804820EDAC}">
                        <c15:formulaRef>
                          <c15:sqref>DaňPríjmy_ESA2010_HDP!$B$25:$L$25</c15:sqref>
                        </c15:formulaRef>
                      </c:ext>
                    </c:extLst>
                    <c:numCache>
                      <c:formatCode>#,##0.0</c:formatCode>
                      <c:ptCount val="11"/>
                      <c:pt idx="0">
                        <c:v>26.248522831979251</c:v>
                      </c:pt>
                      <c:pt idx="1">
                        <c:v>23.49322875593322</c:v>
                      </c:pt>
                      <c:pt idx="2">
                        <c:v>23.408712674604889</c:v>
                      </c:pt>
                      <c:pt idx="3">
                        <c:v>23.426313118572423</c:v>
                      </c:pt>
                      <c:pt idx="4">
                        <c:v>23.575826310687109</c:v>
                      </c:pt>
                      <c:pt idx="5">
                        <c:v>22.854388193555245</c:v>
                      </c:pt>
                      <c:pt idx="6">
                        <c:v>23.193539740536643</c:v>
                      </c:pt>
                      <c:pt idx="7">
                        <c:v>23.065557071016805</c:v>
                      </c:pt>
                      <c:pt idx="8">
                        <c:v>22.919850736920331</c:v>
                      </c:pt>
                      <c:pt idx="9">
                        <c:v>22.796479963016619</c:v>
                      </c:pt>
                      <c:pt idx="10">
                        <c:v>22.881577205486966</c:v>
                      </c:pt>
                    </c:numCache>
                  </c:numRef>
                </c:val>
                <c:extLst xmlns:c15="http://schemas.microsoft.com/office/drawing/2012/chart">
                  <c:ext xmlns:c16="http://schemas.microsoft.com/office/drawing/2014/chart" uri="{C3380CC4-5D6E-409C-BE32-E72D297353CC}">
                    <c16:uniqueId val="{00000006-A6FB-4A8C-926E-A9B8C8A23109}"/>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DaňPríjmy_ESA2010_HDP!$A$28</c15:sqref>
                        </c15:formulaRef>
                      </c:ext>
                    </c:extLst>
                    <c:strCache>
                      <c:ptCount val="1"/>
                      <c:pt idx="0">
                        <c:v>       Sociálna poisťovňa</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2060"/>
                          </a:solidFill>
                          <a:latin typeface="Arial Narrow" panose="020B0606020202030204" pitchFamily="34" charset="0"/>
                          <a:ea typeface="+mn-ea"/>
                          <a:cs typeface="+mn-cs"/>
                        </a:defRPr>
                      </a:pPr>
                      <a:endParaRPr lang="sk-SK"/>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DaňPríjmy_ESA2010_HDP!$B$20:$L$20</c15:sqref>
                        </c15:formulaRef>
                      </c:ext>
                    </c:extLst>
                    <c:strCache>
                      <c:ptCount val="11"/>
                      <c:pt idx="0">
                        <c:v>2011</c:v>
                      </c:pt>
                      <c:pt idx="1">
                        <c:v>2012</c:v>
                      </c:pt>
                      <c:pt idx="2">
                        <c:v>2013</c:v>
                      </c:pt>
                      <c:pt idx="3">
                        <c:v>2014</c:v>
                      </c:pt>
                      <c:pt idx="4">
                        <c:v>2015</c:v>
                      </c:pt>
                      <c:pt idx="5">
                        <c:v>2016</c:v>
                      </c:pt>
                      <c:pt idx="6">
                        <c:v>2017</c:v>
                      </c:pt>
                      <c:pt idx="7">
                        <c:v>2018 OS</c:v>
                      </c:pt>
                      <c:pt idx="8">
                        <c:v>2019 RVS</c:v>
                      </c:pt>
                      <c:pt idx="9">
                        <c:v>2020 RVS</c:v>
                      </c:pt>
                      <c:pt idx="10">
                        <c:v>2021 RVS</c:v>
                      </c:pt>
                    </c:strCache>
                  </c:strRef>
                </c:cat>
                <c:val>
                  <c:numRef>
                    <c:extLst xmlns:c15="http://schemas.microsoft.com/office/drawing/2012/chart">
                      <c:ext xmlns:c15="http://schemas.microsoft.com/office/drawing/2012/chart" uri="{02D57815-91ED-43cb-92C2-25804820EDAC}">
                        <c15:formulaRef>
                          <c15:sqref>DaňPríjmy_ESA2010_HDP!$B$28:$L$28</c15:sqref>
                        </c15:formulaRef>
                      </c:ext>
                    </c:extLst>
                    <c:numCache>
                      <c:formatCode>#,##0.0</c:formatCode>
                      <c:ptCount val="11"/>
                      <c:pt idx="0">
                        <c:v>25.588965813279724</c:v>
                      </c:pt>
                      <c:pt idx="1">
                        <c:v>26.081619294350091</c:v>
                      </c:pt>
                      <c:pt idx="2">
                        <c:v>27.393123817355917</c:v>
                      </c:pt>
                      <c:pt idx="3">
                        <c:v>26.87649236178104</c:v>
                      </c:pt>
                      <c:pt idx="4">
                        <c:v>26.827024724771892</c:v>
                      </c:pt>
                      <c:pt idx="5">
                        <c:v>27.761062215631597</c:v>
                      </c:pt>
                      <c:pt idx="6">
                        <c:v>27.812460161538151</c:v>
                      </c:pt>
                      <c:pt idx="7">
                        <c:v>28.47490851713518</c:v>
                      </c:pt>
                      <c:pt idx="8">
                        <c:v>28.041416167364897</c:v>
                      </c:pt>
                      <c:pt idx="9">
                        <c:v>28.18137000271923</c:v>
                      </c:pt>
                      <c:pt idx="10">
                        <c:v>28.437266606676221</c:v>
                      </c:pt>
                    </c:numCache>
                  </c:numRef>
                </c:val>
                <c:extLst xmlns:c15="http://schemas.microsoft.com/office/drawing/2012/chart">
                  <c:ext xmlns:c16="http://schemas.microsoft.com/office/drawing/2014/chart" uri="{C3380CC4-5D6E-409C-BE32-E72D297353CC}">
                    <c16:uniqueId val="{00000007-A6FB-4A8C-926E-A9B8C8A23109}"/>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DaňPríjmy_ESA2010_HDP!$A$29</c15:sqref>
                        </c15:formulaRef>
                      </c:ext>
                    </c:extLst>
                    <c:strCache>
                      <c:ptCount val="1"/>
                      <c:pt idx="0">
                        <c:v>Zdravotné poisťovne</c:v>
                      </c:pt>
                    </c:strCache>
                  </c:strRef>
                </c:tx>
                <c:spPr>
                  <a:solidFill>
                    <a:srgbClr val="00B0F0"/>
                  </a:solidFill>
                  <a:ln>
                    <a:solidFill>
                      <a:srgbClr val="00206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2060"/>
                          </a:solidFill>
                          <a:latin typeface="Arial Narrow" panose="020B0606020202030204" pitchFamily="34" charset="0"/>
                          <a:ea typeface="+mn-ea"/>
                          <a:cs typeface="+mn-cs"/>
                        </a:defRPr>
                      </a:pPr>
                      <a:endParaRPr lang="sk-SK"/>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DaňPríjmy_ESA2010_HDP!$B$20:$L$20</c15:sqref>
                        </c15:formulaRef>
                      </c:ext>
                    </c:extLst>
                    <c:strCache>
                      <c:ptCount val="11"/>
                      <c:pt idx="0">
                        <c:v>2011</c:v>
                      </c:pt>
                      <c:pt idx="1">
                        <c:v>2012</c:v>
                      </c:pt>
                      <c:pt idx="2">
                        <c:v>2013</c:v>
                      </c:pt>
                      <c:pt idx="3">
                        <c:v>2014</c:v>
                      </c:pt>
                      <c:pt idx="4">
                        <c:v>2015</c:v>
                      </c:pt>
                      <c:pt idx="5">
                        <c:v>2016</c:v>
                      </c:pt>
                      <c:pt idx="6">
                        <c:v>2017</c:v>
                      </c:pt>
                      <c:pt idx="7">
                        <c:v>2018 OS</c:v>
                      </c:pt>
                      <c:pt idx="8">
                        <c:v>2019 RVS</c:v>
                      </c:pt>
                      <c:pt idx="9">
                        <c:v>2020 RVS</c:v>
                      </c:pt>
                      <c:pt idx="10">
                        <c:v>2021 RVS</c:v>
                      </c:pt>
                    </c:strCache>
                  </c:strRef>
                </c:cat>
                <c:val>
                  <c:numRef>
                    <c:extLst xmlns:c15="http://schemas.microsoft.com/office/drawing/2012/chart">
                      <c:ext xmlns:c15="http://schemas.microsoft.com/office/drawing/2012/chart" uri="{02D57815-91ED-43cb-92C2-25804820EDAC}">
                        <c15:formulaRef>
                          <c15:sqref>DaňPríjmy_ESA2010_HDP!$B$29:$L$29</c15:sqref>
                        </c15:formulaRef>
                      </c:ext>
                    </c:extLst>
                    <c:numCache>
                      <c:formatCode>#,##0.0</c:formatCode>
                      <c:ptCount val="11"/>
                      <c:pt idx="0">
                        <c:v>13.290363941772124</c:v>
                      </c:pt>
                      <c:pt idx="1">
                        <c:v>26.081619294350091</c:v>
                      </c:pt>
                      <c:pt idx="2">
                        <c:v>13.140591767050026</c:v>
                      </c:pt>
                      <c:pt idx="3">
                        <c:v>12.963466409738261</c:v>
                      </c:pt>
                      <c:pt idx="4">
                        <c:v>12.562843665421163</c:v>
                      </c:pt>
                      <c:pt idx="5">
                        <c:v>12.573545661742253</c:v>
                      </c:pt>
                      <c:pt idx="6">
                        <c:v>13.050466054572802</c:v>
                      </c:pt>
                      <c:pt idx="7">
                        <c:v>13.321653876223813</c:v>
                      </c:pt>
                      <c:pt idx="8">
                        <c:v>13.833161007309441</c:v>
                      </c:pt>
                      <c:pt idx="9">
                        <c:v>13.980125394031262</c:v>
                      </c:pt>
                      <c:pt idx="10">
                        <c:v>14.157947934490041</c:v>
                      </c:pt>
                    </c:numCache>
                  </c:numRef>
                </c:val>
                <c:extLst xmlns:c15="http://schemas.microsoft.com/office/drawing/2012/chart">
                  <c:ext xmlns:c16="http://schemas.microsoft.com/office/drawing/2014/chart" uri="{C3380CC4-5D6E-409C-BE32-E72D297353CC}">
                    <c16:uniqueId val="{00000008-A6FB-4A8C-926E-A9B8C8A23109}"/>
                  </c:ext>
                </c:extLst>
              </c15:ser>
            </c15:filteredBarSeries>
          </c:ext>
        </c:extLst>
      </c:barChart>
      <c:catAx>
        <c:axId val="61832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cs-CZ" sz="800" b="0" i="0" u="none" strike="noStrike" kern="1200" baseline="0">
                <a:solidFill>
                  <a:srgbClr val="002060"/>
                </a:solidFill>
                <a:latin typeface="Arial Narrow" panose="020B0606020202030204" pitchFamily="34" charset="0"/>
                <a:ea typeface="+mn-ea"/>
                <a:cs typeface="+mn-cs"/>
              </a:defRPr>
            </a:pPr>
            <a:endParaRPr lang="sk-SK"/>
          </a:p>
        </c:txPr>
        <c:crossAx val="61854464"/>
        <c:crosses val="autoZero"/>
        <c:auto val="1"/>
        <c:lblAlgn val="ctr"/>
        <c:lblOffset val="100"/>
        <c:noMultiLvlLbl val="0"/>
      </c:catAx>
      <c:valAx>
        <c:axId val="61854464"/>
        <c:scaling>
          <c:orientation val="minMax"/>
          <c:max val="100"/>
          <c:min val="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lang="cs-CZ" sz="900" b="0" i="0" u="none" strike="noStrike" kern="1200" baseline="0">
                    <a:solidFill>
                      <a:srgbClr val="002060"/>
                    </a:solidFill>
                    <a:latin typeface="Arial Narrow" panose="020B0606020202030204" pitchFamily="34" charset="0"/>
                    <a:ea typeface="+mn-ea"/>
                    <a:cs typeface="+mn-cs"/>
                  </a:defRPr>
                </a:pPr>
                <a:r>
                  <a:rPr lang="sk-SK" sz="900"/>
                  <a:t>v %</a:t>
                </a:r>
              </a:p>
            </c:rich>
          </c:tx>
          <c:layout>
            <c:manualLayout>
              <c:xMode val="edge"/>
              <c:yMode val="edge"/>
              <c:x val="6.6137566137566134E-3"/>
              <c:y val="0.87050529912895969"/>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lang="cs-CZ" sz="900" b="0" i="0" u="none" strike="noStrike" kern="1200" baseline="0">
                <a:solidFill>
                  <a:srgbClr val="002060"/>
                </a:solidFill>
                <a:latin typeface="Arial Narrow" panose="020B0606020202030204" pitchFamily="34" charset="0"/>
                <a:ea typeface="+mn-ea"/>
                <a:cs typeface="+mn-cs"/>
              </a:defRPr>
            </a:pPr>
            <a:endParaRPr lang="sk-SK"/>
          </a:p>
        </c:txPr>
        <c:crossAx val="61832192"/>
        <c:crosses val="autoZero"/>
        <c:crossBetween val="between"/>
      </c:valAx>
      <c:spPr>
        <a:noFill/>
        <a:ln>
          <a:noFill/>
        </a:ln>
        <a:effectLst/>
      </c:spPr>
    </c:plotArea>
    <c:legend>
      <c:legendPos val="b"/>
      <c:layout>
        <c:manualLayout>
          <c:xMode val="edge"/>
          <c:yMode val="edge"/>
          <c:x val="3.6461712777706101E-2"/>
          <c:y val="0.84610755977202368"/>
          <c:w val="0.91068313182163685"/>
          <c:h val="0.13201056241262715"/>
        </c:manualLayout>
      </c:layout>
      <c:overlay val="0"/>
      <c:spPr>
        <a:noFill/>
        <a:ln>
          <a:noFill/>
        </a:ln>
        <a:effectLst/>
      </c:spPr>
      <c:txPr>
        <a:bodyPr rot="0" spcFirstLastPara="1" vertOverflow="ellipsis" vert="horz" wrap="square" anchor="ctr" anchorCtr="1"/>
        <a:lstStyle/>
        <a:p>
          <a:pPr>
            <a:defRPr lang="cs-CZ" sz="900" b="0" i="0" u="none" strike="noStrike" kern="1200" baseline="0">
              <a:solidFill>
                <a:srgbClr val="002060"/>
              </a:solidFill>
              <a:latin typeface="Arial Narrow" panose="020B0606020202030204" pitchFamily="34" charset="0"/>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a:solidFill>
            <a:srgbClr val="002060"/>
          </a:solidFill>
          <a:latin typeface="Arial Narrow" panose="020B0606020202030204" pitchFamily="34" charset="0"/>
        </a:defRPr>
      </a:pPr>
      <a:endParaRPr lang="sk-SK"/>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F7A-4724-B127-44C3C72291B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F7A-4724-B127-44C3C72291B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F7A-4724-B127-44C3C72291B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F7A-4724-B127-44C3C72291B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F7A-4724-B127-44C3C72291BC}"/>
              </c:ext>
            </c:extLst>
          </c:dPt>
          <c:dLbls>
            <c:spPr>
              <a:noFill/>
              <a:ln>
                <a:noFill/>
              </a:ln>
              <a:effectLst/>
            </c:spPr>
            <c:txPr>
              <a:bodyPr rot="0" spcFirstLastPara="1" vertOverflow="ellipsis" vert="horz" wrap="square" lIns="38100" tIns="19050" rIns="38100" bIns="19050" anchor="ctr" anchorCtr="1">
                <a:spAutoFit/>
              </a:bodyPr>
              <a:lstStyle/>
              <a:p>
                <a:pPr>
                  <a:defRPr lang="cs-CZ"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'MH SR'!$B$15:$B$19</c:f>
              <c:strCache>
                <c:ptCount val="5"/>
                <c:pt idx="0">
                  <c:v>Reštrukt. priem. odvetví</c:v>
                </c:pt>
                <c:pt idx="1">
                  <c:v>Podpora podnikania</c:v>
                </c:pt>
                <c:pt idx="2">
                  <c:v>Invest. projekty, reg. rozvoj</c:v>
                </c:pt>
                <c:pt idx="3">
                  <c:v>OP Výskum a inovácie</c:v>
                </c:pt>
                <c:pt idx="4">
                  <c:v>Administratíva</c:v>
                </c:pt>
              </c:strCache>
            </c:strRef>
          </c:cat>
          <c:val>
            <c:numRef>
              <c:f>'MH SR'!$C$15:$C$19</c:f>
              <c:numCache>
                <c:formatCode>#,##0</c:formatCode>
                <c:ptCount val="5"/>
                <c:pt idx="0">
                  <c:v>114815.18000000002</c:v>
                </c:pt>
                <c:pt idx="1">
                  <c:v>4400</c:v>
                </c:pt>
                <c:pt idx="2">
                  <c:v>62151.589</c:v>
                </c:pt>
                <c:pt idx="3">
                  <c:v>202130.05399999995</c:v>
                </c:pt>
                <c:pt idx="4">
                  <c:v>44681.245000000003</c:v>
                </c:pt>
              </c:numCache>
            </c:numRef>
          </c:val>
          <c:extLst>
            <c:ext xmlns:c16="http://schemas.microsoft.com/office/drawing/2014/chart" uri="{C3380CC4-5D6E-409C-BE32-E72D297353CC}">
              <c16:uniqueId val="{0000000A-6F7A-4724-B127-44C3C72291BC}"/>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lang="cs-CZ" sz="900" b="0" i="0" u="none" strike="noStrike" kern="1200" baseline="0">
              <a:solidFill>
                <a:schemeClr val="tx1">
                  <a:lumMod val="65000"/>
                  <a:lumOff val="35000"/>
                </a:schemeClr>
              </a:solidFill>
              <a:latin typeface="+mn-lt"/>
              <a:ea typeface="+mn-ea"/>
              <a:cs typeface="+mn-cs"/>
            </a:defRPr>
          </a:pPr>
          <a:endParaRPr lang="sk-SK"/>
        </a:p>
      </c:txPr>
    </c:legend>
    <c:plotVisOnly val="1"/>
    <c:dispBlanksAs val="zero"/>
    <c:showDLblsOverMax val="0"/>
  </c:chart>
  <c:spPr>
    <a:solidFill>
      <a:schemeClr val="bg1"/>
    </a:solidFill>
    <a:ln w="9525" cap="flat" cmpd="sng" algn="ctr">
      <a:noFill/>
      <a:round/>
    </a:ln>
    <a:effectLst/>
  </c:spPr>
  <c:txPr>
    <a:bodyPr/>
    <a:lstStyle/>
    <a:p>
      <a:pPr>
        <a:defRPr/>
      </a:pPr>
      <a:endParaRPr lang="sk-SK"/>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22964302668382E-2"/>
          <c:y val="5.1102172011107311E-2"/>
          <c:w val="0.86864010289246218"/>
          <c:h val="0.78626398963771327"/>
        </c:manualLayout>
      </c:layout>
      <c:barChart>
        <c:barDir val="col"/>
        <c:grouping val="clustered"/>
        <c:varyColors val="0"/>
        <c:ser>
          <c:idx val="2"/>
          <c:order val="0"/>
          <c:tx>
            <c:strRef>
              <c:f>Hárok1!$D$4</c:f>
              <c:strCache>
                <c:ptCount val="1"/>
                <c:pt idx="0">
                  <c:v>Schválená investičná pomoc</c:v>
                </c:pt>
              </c:strCache>
            </c:strRef>
          </c:tx>
          <c:spPr>
            <a:solidFill>
              <a:schemeClr val="accent1">
                <a:lumMod val="20000"/>
                <a:lumOff val="80000"/>
              </a:schemeClr>
            </a:solidFill>
            <a:ln>
              <a:solidFill>
                <a:srgbClr val="002060"/>
              </a:solidFill>
            </a:ln>
            <a:effectLst/>
          </c:spPr>
          <c:invertIfNegative val="0"/>
          <c:dLbls>
            <c:numFmt formatCode="#,##0.0" sourceLinked="0"/>
            <c:spPr>
              <a:noFill/>
              <a:ln>
                <a:noFill/>
              </a:ln>
              <a:effectLst/>
            </c:spPr>
            <c:txPr>
              <a:bodyPr rot="-5400000" spcFirstLastPara="1" vertOverflow="ellipsis" wrap="square" anchor="ctr" anchorCtr="1"/>
              <a:lstStyle/>
              <a:p>
                <a:pPr>
                  <a:defRPr lang="cs-CZ" sz="900" b="0" i="0" u="none" strike="noStrike" kern="1200" baseline="0">
                    <a:solidFill>
                      <a:sysClr val="windowText" lastClr="000000"/>
                    </a:solidFill>
                    <a:latin typeface="Arial Narrow" panose="020B0606020202030204" pitchFamily="34" charset="0"/>
                    <a:ea typeface="+mn-ea"/>
                    <a:cs typeface="+mn-cs"/>
                  </a:defRPr>
                </a:pPr>
                <a:endParaRPr lang="sk-S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Hárok1!$C$5:$C$14</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Hárok1!$D$5:$D$14</c:f>
              <c:numCache>
                <c:formatCode>#,##0</c:formatCode>
                <c:ptCount val="10"/>
                <c:pt idx="0">
                  <c:v>28367673.106286939</c:v>
                </c:pt>
                <c:pt idx="1">
                  <c:v>37002583.152000003</c:v>
                </c:pt>
                <c:pt idx="2">
                  <c:v>53367024</c:v>
                </c:pt>
                <c:pt idx="3">
                  <c:v>64930195</c:v>
                </c:pt>
                <c:pt idx="4">
                  <c:v>121191498</c:v>
                </c:pt>
                <c:pt idx="5">
                  <c:v>60853168</c:v>
                </c:pt>
                <c:pt idx="6">
                  <c:v>99887481</c:v>
                </c:pt>
                <c:pt idx="7">
                  <c:v>49648372</c:v>
                </c:pt>
                <c:pt idx="8">
                  <c:v>59162000</c:v>
                </c:pt>
                <c:pt idx="9">
                  <c:v>83945520</c:v>
                </c:pt>
              </c:numCache>
            </c:numRef>
          </c:val>
          <c:extLst>
            <c:ext xmlns:c16="http://schemas.microsoft.com/office/drawing/2014/chart" uri="{C3380CC4-5D6E-409C-BE32-E72D297353CC}">
              <c16:uniqueId val="{00000000-BBAD-4F44-AA45-0D9619441436}"/>
            </c:ext>
          </c:extLst>
        </c:ser>
        <c:ser>
          <c:idx val="3"/>
          <c:order val="1"/>
          <c:tx>
            <c:strRef>
              <c:f>Hárok1!$E$4</c:f>
              <c:strCache>
                <c:ptCount val="1"/>
                <c:pt idx="0">
                  <c:v>Skutočne čerpaná investičná pomoc</c:v>
                </c:pt>
              </c:strCache>
            </c:strRef>
          </c:tx>
          <c:spPr>
            <a:solidFill>
              <a:srgbClr val="0070C0"/>
            </a:solidFill>
            <a:ln w="9525">
              <a:solidFill>
                <a:srgbClr val="002060"/>
              </a:solidFill>
            </a:ln>
            <a:effectLst/>
          </c:spPr>
          <c:invertIfNegative val="0"/>
          <c:dLbls>
            <c:dLbl>
              <c:idx val="6"/>
              <c:layout>
                <c:manualLayout>
                  <c:x val="3.33000333000333E-3"/>
                  <c:y val="-6.34057971014494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BAD-4F44-AA45-0D9619441436}"/>
                </c:ext>
              </c:extLst>
            </c:dLbl>
            <c:dLbl>
              <c:idx val="8"/>
              <c:layout>
                <c:manualLayout>
                  <c:x val="0"/>
                  <c:y val="-6.3405797101449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BAD-4F44-AA45-0D9619441436}"/>
                </c:ext>
              </c:extLst>
            </c:dLbl>
            <c:dLbl>
              <c:idx val="9"/>
              <c:layout>
                <c:manualLayout>
                  <c:x val="0"/>
                  <c:y val="-7.54830917874396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BAD-4F44-AA45-0D9619441436}"/>
                </c:ext>
              </c:extLst>
            </c:dLbl>
            <c:numFmt formatCode="#,##0.0" sourceLinked="0"/>
            <c:spPr>
              <a:noFill/>
              <a:ln>
                <a:noFill/>
              </a:ln>
              <a:effectLst/>
            </c:spPr>
            <c:txPr>
              <a:bodyPr rot="-5400000" spcFirstLastPara="1" vertOverflow="ellipsis" wrap="square" anchor="ctr" anchorCtr="1"/>
              <a:lstStyle/>
              <a:p>
                <a:pPr>
                  <a:defRPr lang="cs-CZ" sz="900" b="0" i="0" u="none" strike="noStrike" kern="1200" baseline="0">
                    <a:solidFill>
                      <a:sysClr val="windowText" lastClr="000000"/>
                    </a:solidFill>
                    <a:latin typeface="Arial Narrow" panose="020B0606020202030204" pitchFamily="34" charset="0"/>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Hárok1!$E$5:$E$14</c:f>
              <c:numCache>
                <c:formatCode>#,##0</c:formatCode>
                <c:ptCount val="10"/>
                <c:pt idx="0">
                  <c:v>13182051.309999999</c:v>
                </c:pt>
                <c:pt idx="1">
                  <c:v>27647832.260000002</c:v>
                </c:pt>
                <c:pt idx="2">
                  <c:v>43332370.230000012</c:v>
                </c:pt>
                <c:pt idx="3">
                  <c:v>45106886.490000002</c:v>
                </c:pt>
                <c:pt idx="4">
                  <c:v>75014790.61999999</c:v>
                </c:pt>
                <c:pt idx="5">
                  <c:v>28723525.739999998</c:v>
                </c:pt>
                <c:pt idx="6">
                  <c:v>7624722.3800000008</c:v>
                </c:pt>
                <c:pt idx="7">
                  <c:v>14579861.989999995</c:v>
                </c:pt>
                <c:pt idx="8">
                  <c:v>2563577.7900000005</c:v>
                </c:pt>
                <c:pt idx="9">
                  <c:v>2736893.75</c:v>
                </c:pt>
              </c:numCache>
            </c:numRef>
          </c:val>
          <c:extLst>
            <c:ext xmlns:c16="http://schemas.microsoft.com/office/drawing/2014/chart" uri="{C3380CC4-5D6E-409C-BE32-E72D297353CC}">
              <c16:uniqueId val="{00000004-BBAD-4F44-AA45-0D9619441436}"/>
            </c:ext>
          </c:extLst>
        </c:ser>
        <c:dLbls>
          <c:showLegendKey val="0"/>
          <c:showVal val="0"/>
          <c:showCatName val="0"/>
          <c:showSerName val="0"/>
          <c:showPercent val="0"/>
          <c:showBubbleSize val="0"/>
        </c:dLbls>
        <c:gapWidth val="150"/>
        <c:axId val="68444928"/>
        <c:axId val="68446464"/>
      </c:barChart>
      <c:scatterChart>
        <c:scatterStyle val="lineMarker"/>
        <c:varyColors val="0"/>
        <c:ser>
          <c:idx val="0"/>
          <c:order val="2"/>
          <c:tx>
            <c:strRef>
              <c:f>Hárok1!$F$4</c:f>
              <c:strCache>
                <c:ptCount val="1"/>
                <c:pt idx="0">
                  <c:v>Podiel čerpanej IP na schválenej IP</c:v>
                </c:pt>
              </c:strCache>
            </c:strRef>
          </c:tx>
          <c:spPr>
            <a:ln w="25400" cap="rnd">
              <a:noFill/>
              <a:round/>
            </a:ln>
            <a:effectLst/>
          </c:spPr>
          <c:marker>
            <c:symbol val="circle"/>
            <c:size val="9"/>
            <c:spPr>
              <a:solidFill>
                <a:srgbClr val="FF0000"/>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lang="cs-CZ" sz="900" b="0" i="0" u="none" strike="noStrike" kern="1200" baseline="0">
                    <a:solidFill>
                      <a:srgbClr val="FF0000"/>
                    </a:solidFill>
                    <a:latin typeface="Arial Narrow" panose="020B0606020202030204" pitchFamily="34" charset="0"/>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yVal>
            <c:numRef>
              <c:f>Hárok1!$F$5:$F$14</c:f>
              <c:numCache>
                <c:formatCode>0.0%</c:formatCode>
                <c:ptCount val="10"/>
                <c:pt idx="0">
                  <c:v>0.46468567445098474</c:v>
                </c:pt>
                <c:pt idx="1">
                  <c:v>0.74718654496167569</c:v>
                </c:pt>
                <c:pt idx="2">
                  <c:v>0.81196902098194557</c:v>
                </c:pt>
                <c:pt idx="3">
                  <c:v>0.69469815222332265</c:v>
                </c:pt>
                <c:pt idx="4">
                  <c:v>0.61897733634747265</c:v>
                </c:pt>
                <c:pt idx="5">
                  <c:v>0.47201364668475432</c:v>
                </c:pt>
                <c:pt idx="6">
                  <c:v>7.6333113055478893E-2</c:v>
                </c:pt>
                <c:pt idx="7">
                  <c:v>0.29366243851862855</c:v>
                </c:pt>
                <c:pt idx="8">
                  <c:v>4.3331493019167736E-2</c:v>
                </c:pt>
                <c:pt idx="9">
                  <c:v>3.2603213965438547E-2</c:v>
                </c:pt>
              </c:numCache>
            </c:numRef>
          </c:yVal>
          <c:smooth val="0"/>
          <c:extLst>
            <c:ext xmlns:c16="http://schemas.microsoft.com/office/drawing/2014/chart" uri="{C3380CC4-5D6E-409C-BE32-E72D297353CC}">
              <c16:uniqueId val="{00000005-BBAD-4F44-AA45-0D9619441436}"/>
            </c:ext>
          </c:extLst>
        </c:ser>
        <c:dLbls>
          <c:showLegendKey val="0"/>
          <c:showVal val="1"/>
          <c:showCatName val="0"/>
          <c:showSerName val="0"/>
          <c:showPercent val="0"/>
          <c:showBubbleSize val="0"/>
        </c:dLbls>
        <c:axId val="68475520"/>
        <c:axId val="68473600"/>
      </c:scatterChart>
      <c:catAx>
        <c:axId val="68444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cs-CZ" sz="1000" b="0" i="0" u="none" strike="noStrike" kern="1200" baseline="0">
                <a:solidFill>
                  <a:sysClr val="windowText" lastClr="000000"/>
                </a:solidFill>
                <a:latin typeface="Arial Narrow" panose="020B0606020202030204" pitchFamily="34" charset="0"/>
                <a:ea typeface="+mn-ea"/>
                <a:cs typeface="+mn-cs"/>
              </a:defRPr>
            </a:pPr>
            <a:endParaRPr lang="sk-SK"/>
          </a:p>
        </c:txPr>
        <c:crossAx val="68446464"/>
        <c:crosses val="autoZero"/>
        <c:auto val="1"/>
        <c:lblAlgn val="ctr"/>
        <c:lblOffset val="100"/>
        <c:noMultiLvlLbl val="0"/>
      </c:catAx>
      <c:valAx>
        <c:axId val="68446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lang="cs-CZ" sz="900" b="0" i="0" u="none" strike="noStrike" kern="1200" baseline="0">
                    <a:solidFill>
                      <a:sysClr val="windowText" lastClr="000000"/>
                    </a:solidFill>
                    <a:latin typeface="Arial Narrow" panose="020B0606020202030204" pitchFamily="34" charset="0"/>
                    <a:ea typeface="+mn-ea"/>
                    <a:cs typeface="+mn-cs"/>
                  </a:defRPr>
                </a:pPr>
                <a:r>
                  <a:rPr lang="sk-SK" sz="900"/>
                  <a:t>mil. eur</a:t>
                </a:r>
              </a:p>
            </c:rich>
          </c:tx>
          <c:layout>
            <c:manualLayout>
              <c:xMode val="edge"/>
              <c:yMode val="edge"/>
              <c:x val="4.7037545855098173E-5"/>
              <c:y val="0.86778484090648"/>
            </c:manualLayout>
          </c:layout>
          <c:overlay val="0"/>
          <c:spPr>
            <a:noFill/>
            <a:ln>
              <a:noFill/>
            </a:ln>
            <a:effectLst/>
          </c:spPr>
          <c:txPr>
            <a:bodyPr rot="0" spcFirstLastPara="1" vertOverflow="ellipsis" wrap="square" anchor="ctr" anchorCtr="1"/>
            <a:lstStyle/>
            <a:p>
              <a:pPr>
                <a:defRPr lang="cs-CZ" sz="900" b="0" i="0" u="none" strike="noStrike" kern="1200" baseline="0">
                  <a:solidFill>
                    <a:sysClr val="windowText" lastClr="000000"/>
                  </a:solidFill>
                  <a:latin typeface="Arial Narrow" panose="020B0606020202030204" pitchFamily="34" charset="0"/>
                  <a:ea typeface="+mn-ea"/>
                  <a:cs typeface="+mn-cs"/>
                </a:defRPr>
              </a:pPr>
              <a:endParaRPr lang="sk-SK"/>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cs-CZ" sz="1000" b="0" i="0" u="none" strike="noStrike" kern="1200" baseline="0">
                <a:solidFill>
                  <a:srgbClr val="002060"/>
                </a:solidFill>
                <a:latin typeface="Arial Narrow" panose="020B0606020202030204" pitchFamily="34" charset="0"/>
                <a:ea typeface="+mn-ea"/>
                <a:cs typeface="+mn-cs"/>
              </a:defRPr>
            </a:pPr>
            <a:endParaRPr lang="sk-SK"/>
          </a:p>
        </c:txPr>
        <c:crossAx val="68444928"/>
        <c:crosses val="autoZero"/>
        <c:crossBetween val="between"/>
        <c:dispUnits>
          <c:builtInUnit val="millions"/>
        </c:dispUnits>
      </c:valAx>
      <c:valAx>
        <c:axId val="68473600"/>
        <c:scaling>
          <c:orientation val="minMax"/>
        </c:scaling>
        <c:delete val="0"/>
        <c:axPos val="r"/>
        <c:title>
          <c:tx>
            <c:rich>
              <a:bodyPr rot="0" spcFirstLastPara="1" vertOverflow="ellipsis" wrap="square" anchor="ctr" anchorCtr="1"/>
              <a:lstStyle/>
              <a:p>
                <a:pPr>
                  <a:defRPr lang="cs-CZ" sz="900" b="0" i="0" u="none" strike="noStrike" kern="1200" baseline="0">
                    <a:solidFill>
                      <a:sysClr val="windowText" lastClr="000000"/>
                    </a:solidFill>
                    <a:latin typeface="Arial Narrow" panose="020B0606020202030204" pitchFamily="34" charset="0"/>
                    <a:ea typeface="+mn-ea"/>
                    <a:cs typeface="+mn-cs"/>
                  </a:defRPr>
                </a:pPr>
                <a:r>
                  <a:rPr lang="sk-SK" sz="900">
                    <a:solidFill>
                      <a:srgbClr val="FF0000"/>
                    </a:solidFill>
                  </a:rPr>
                  <a:t>Podiel čerpanej IP na schválenej IP v %</a:t>
                </a:r>
              </a:p>
            </c:rich>
          </c:tx>
          <c:layout>
            <c:manualLayout>
              <c:xMode val="edge"/>
              <c:yMode val="edge"/>
              <c:x val="0.75536130536130541"/>
              <c:y val="4.8563800448856942E-2"/>
            </c:manualLayout>
          </c:layout>
          <c:overlay val="0"/>
          <c:spPr>
            <a:noFill/>
            <a:ln>
              <a:noFill/>
            </a:ln>
            <a:effectLst/>
          </c:spPr>
          <c:txPr>
            <a:bodyPr rot="0" spcFirstLastPara="1" vertOverflow="ellipsis" wrap="square" anchor="ctr" anchorCtr="1"/>
            <a:lstStyle/>
            <a:p>
              <a:pPr>
                <a:defRPr lang="cs-CZ" sz="900" b="0" i="0" u="none" strike="noStrike" kern="1200" baseline="0">
                  <a:solidFill>
                    <a:sysClr val="windowText" lastClr="000000"/>
                  </a:solidFill>
                  <a:latin typeface="Arial Narrow" panose="020B0606020202030204" pitchFamily="34" charset="0"/>
                  <a:ea typeface="+mn-ea"/>
                  <a:cs typeface="+mn-cs"/>
                </a:defRPr>
              </a:pPr>
              <a:endParaRPr lang="sk-SK"/>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lang="cs-CZ" sz="1000" b="0" i="0" u="none" strike="noStrike" kern="1200" baseline="0">
                <a:solidFill>
                  <a:srgbClr val="FF0000"/>
                </a:solidFill>
                <a:latin typeface="Arial Narrow" panose="020B0606020202030204" pitchFamily="34" charset="0"/>
                <a:ea typeface="+mn-ea"/>
                <a:cs typeface="+mn-cs"/>
              </a:defRPr>
            </a:pPr>
            <a:endParaRPr lang="sk-SK"/>
          </a:p>
        </c:txPr>
        <c:crossAx val="68475520"/>
        <c:crosses val="max"/>
        <c:crossBetween val="between"/>
      </c:valAx>
      <c:catAx>
        <c:axId val="68475520"/>
        <c:scaling>
          <c:orientation val="minMax"/>
        </c:scaling>
        <c:delete val="1"/>
        <c:axPos val="b"/>
        <c:numFmt formatCode="General" sourceLinked="1"/>
        <c:majorTickMark val="out"/>
        <c:minorTickMark val="none"/>
        <c:tickLblPos val="nextTo"/>
        <c:crossAx val="68473600"/>
        <c:crosses val="autoZero"/>
        <c:auto val="1"/>
        <c:lblAlgn val="ctr"/>
        <c:lblOffset val="100"/>
        <c:noMultiLvlLbl val="0"/>
      </c:catAx>
      <c:spPr>
        <a:noFill/>
        <a:ln>
          <a:noFill/>
        </a:ln>
        <a:effectLst/>
      </c:spPr>
    </c:plotArea>
    <c:legend>
      <c:legendPos val="b"/>
      <c:legendEntry>
        <c:idx val="2"/>
        <c:txPr>
          <a:bodyPr rot="0" spcFirstLastPara="1" vertOverflow="ellipsis" vert="horz" wrap="square" anchor="ctr" anchorCtr="1"/>
          <a:lstStyle/>
          <a:p>
            <a:pPr>
              <a:defRPr sz="900" b="0" i="0" u="none" strike="noStrike" kern="1200" baseline="0">
                <a:solidFill>
                  <a:srgbClr val="FF0000"/>
                </a:solidFill>
                <a:latin typeface="Arial Narrow" panose="020B0606020202030204" pitchFamily="34" charset="0"/>
                <a:ea typeface="+mn-ea"/>
                <a:cs typeface="+mn-cs"/>
              </a:defRPr>
            </a:pPr>
            <a:endParaRPr lang="sk-SK"/>
          </a:p>
        </c:txPr>
      </c:legendEntry>
      <c:layout>
        <c:manualLayout>
          <c:xMode val="edge"/>
          <c:yMode val="edge"/>
          <c:x val="1.3221302944608561E-2"/>
          <c:y val="0.94154915718408172"/>
          <c:w val="0.98466782561270749"/>
          <c:h val="5.6120028770139468E-2"/>
        </c:manualLayout>
      </c:layout>
      <c:overlay val="0"/>
      <c:spPr>
        <a:noFill/>
        <a:ln>
          <a:noFill/>
        </a:ln>
        <a:effectLst/>
      </c:spPr>
      <c:txPr>
        <a:bodyPr rot="0" spcFirstLastPara="1" vertOverflow="ellipsis" vert="horz" wrap="square" anchor="ctr" anchorCtr="1"/>
        <a:lstStyle/>
        <a:p>
          <a:pPr>
            <a:defRPr lang="cs-CZ" sz="900" b="0" i="0" u="none" strike="noStrike" kern="1200" baseline="0">
              <a:solidFill>
                <a:sysClr val="windowText" lastClr="000000"/>
              </a:solidFill>
              <a:latin typeface="Arial Narrow" panose="020B0606020202030204" pitchFamily="34" charset="0"/>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sz="1400">
          <a:solidFill>
            <a:sysClr val="windowText" lastClr="000000"/>
          </a:solidFill>
          <a:latin typeface="Arial Narrow" panose="020B0606020202030204" pitchFamily="34" charset="0"/>
        </a:defRPr>
      </a:pPr>
      <a:endParaRPr lang="sk-SK"/>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99E-4E6C-BB5B-01FAC932919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99E-4E6C-BB5B-01FAC932919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99E-4E6C-BB5B-01FAC932919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99E-4E6C-BB5B-01FAC932919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99E-4E6C-BB5B-01FAC932919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99E-4E6C-BB5B-01FAC932919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E99E-4E6C-BB5B-01FAC9329191}"/>
              </c:ext>
            </c:extLst>
          </c:dPt>
          <c:dLbls>
            <c:dLbl>
              <c:idx val="0"/>
              <c:layout>
                <c:manualLayout>
                  <c:x val="1.7333165493232865E-2"/>
                  <c:y val="6.4173681396844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9E-4E6C-BB5B-01FAC9329191}"/>
                </c:ext>
              </c:extLst>
            </c:dLbl>
            <c:dLbl>
              <c:idx val="1"/>
              <c:layout>
                <c:manualLayout>
                  <c:x val="0.10633359088107372"/>
                  <c:y val="-3.91761731739804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9E-4E6C-BB5B-01FAC9329191}"/>
                </c:ext>
              </c:extLst>
            </c:dLbl>
            <c:dLbl>
              <c:idx val="5"/>
              <c:layout>
                <c:manualLayout>
                  <c:x val="-5.2721179973782223E-3"/>
                  <c:y val="-8.56651836817291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99E-4E6C-BB5B-01FAC9329191}"/>
                </c:ext>
              </c:extLst>
            </c:dLbl>
            <c:dLbl>
              <c:idx val="6"/>
              <c:layout>
                <c:manualLayout>
                  <c:x val="2.4034586635876688E-2"/>
                  <c:y val="-1.8663259727746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99E-4E6C-BB5B-01FAC9329191}"/>
                </c:ext>
              </c:extLst>
            </c:dLbl>
            <c:spPr>
              <a:noFill/>
              <a:ln>
                <a:noFill/>
              </a:ln>
              <a:effectLst/>
            </c:spPr>
            <c:txPr>
              <a:bodyPr rot="0" spcFirstLastPara="1" vertOverflow="ellipsis" vert="horz" wrap="square" lIns="38100" tIns="19050" rIns="38100" bIns="19050" anchor="ctr" anchorCtr="1">
                <a:spAutoFit/>
              </a:bodyPr>
              <a:lstStyle/>
              <a:p>
                <a:pPr>
                  <a:defRPr lang="cs-CZ"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'MPRV SR'!$B$15:$B$21</c:f>
              <c:strCache>
                <c:ptCount val="7"/>
                <c:pt idx="0">
                  <c:v>Priame platby</c:v>
                </c:pt>
                <c:pt idx="1">
                  <c:v>Rozvoj vidieka</c:v>
                </c:pt>
                <c:pt idx="2">
                  <c:v>Rybné hospodárstvo</c:v>
                </c:pt>
                <c:pt idx="3">
                  <c:v>Trhovo-orientované výdavky</c:v>
                </c:pt>
                <c:pt idx="4">
                  <c:v>Štátna pomoc</c:v>
                </c:pt>
                <c:pt idx="5">
                  <c:v>Regionálny rozvoj</c:v>
                </c:pt>
                <c:pt idx="6">
                  <c:v>Inštitucionálna podpora </c:v>
                </c:pt>
              </c:strCache>
            </c:strRef>
          </c:cat>
          <c:val>
            <c:numRef>
              <c:f>'MPRV SR'!$C$15:$C$21</c:f>
              <c:numCache>
                <c:formatCode>#,##0</c:formatCode>
                <c:ptCount val="7"/>
                <c:pt idx="0">
                  <c:v>472148.13099999999</c:v>
                </c:pt>
                <c:pt idx="1">
                  <c:v>300562.902</c:v>
                </c:pt>
                <c:pt idx="2">
                  <c:v>4068.3429999999998</c:v>
                </c:pt>
                <c:pt idx="3">
                  <c:v>16400</c:v>
                </c:pt>
                <c:pt idx="4">
                  <c:v>31000</c:v>
                </c:pt>
                <c:pt idx="5">
                  <c:v>155790.70499999999</c:v>
                </c:pt>
                <c:pt idx="6">
                  <c:v>213488.62299999999</c:v>
                </c:pt>
              </c:numCache>
            </c:numRef>
          </c:val>
          <c:extLst>
            <c:ext xmlns:c16="http://schemas.microsoft.com/office/drawing/2014/chart" uri="{C3380CC4-5D6E-409C-BE32-E72D297353CC}">
              <c16:uniqueId val="{0000000E-E99E-4E6C-BB5B-01FAC9329191}"/>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lang="cs-CZ" sz="900" b="0" i="0" u="none" strike="noStrike" kern="1200" baseline="0">
              <a:solidFill>
                <a:schemeClr val="tx1">
                  <a:lumMod val="65000"/>
                  <a:lumOff val="35000"/>
                </a:schemeClr>
              </a:solidFill>
              <a:latin typeface="+mn-lt"/>
              <a:ea typeface="+mn-ea"/>
              <a:cs typeface="+mn-cs"/>
            </a:defRPr>
          </a:pPr>
          <a:endParaRPr lang="sk-SK"/>
        </a:p>
      </c:txPr>
    </c:legend>
    <c:plotVisOnly val="1"/>
    <c:dispBlanksAs val="zero"/>
    <c:showDLblsOverMax val="0"/>
  </c:chart>
  <c:spPr>
    <a:solidFill>
      <a:schemeClr val="bg1"/>
    </a:solidFill>
    <a:ln w="9525" cap="flat" cmpd="sng" algn="ctr">
      <a:noFill/>
      <a:round/>
    </a:ln>
    <a:effectLst/>
  </c:spPr>
  <c:txPr>
    <a:bodyPr/>
    <a:lstStyle/>
    <a:p>
      <a:pPr>
        <a:defRPr/>
      </a:pPr>
      <a:endParaRPr lang="sk-SK"/>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124723816302637E-2"/>
          <c:y val="0.11882305077850204"/>
          <c:w val="0.65062651066921762"/>
          <c:h val="0.80467072939886841"/>
        </c:manualLayout>
      </c:layout>
      <c:ofPieChart>
        <c:ofPieType val="pie"/>
        <c:varyColors val="1"/>
        <c:ser>
          <c:idx val="0"/>
          <c:order val="0"/>
          <c:dPt>
            <c:idx val="0"/>
            <c:bubble3D val="0"/>
            <c:explosion val="29"/>
            <c:spPr>
              <a:solidFill>
                <a:srgbClr val="00B0F0"/>
              </a:solidFill>
              <a:ln w="19050">
                <a:solidFill>
                  <a:schemeClr val="lt1"/>
                </a:solidFill>
              </a:ln>
              <a:effectLst/>
            </c:spPr>
            <c:extLst>
              <c:ext xmlns:c16="http://schemas.microsoft.com/office/drawing/2014/chart" uri="{C3380CC4-5D6E-409C-BE32-E72D297353CC}">
                <c16:uniqueId val="{00000001-3DF5-4302-8A62-C9DDED48B97B}"/>
              </c:ext>
            </c:extLst>
          </c:dPt>
          <c:dPt>
            <c:idx val="1"/>
            <c:bubble3D val="0"/>
            <c:spPr>
              <a:solidFill>
                <a:schemeClr val="accent4">
                  <a:lumMod val="75000"/>
                </a:schemeClr>
              </a:solidFill>
              <a:ln w="19050">
                <a:solidFill>
                  <a:schemeClr val="lt1"/>
                </a:solidFill>
              </a:ln>
              <a:effectLst/>
            </c:spPr>
            <c:extLst>
              <c:ext xmlns:c16="http://schemas.microsoft.com/office/drawing/2014/chart" uri="{C3380CC4-5D6E-409C-BE32-E72D297353CC}">
                <c16:uniqueId val="{00000003-3DF5-4302-8A62-C9DDED48B97B}"/>
              </c:ext>
            </c:extLst>
          </c:dPt>
          <c:dPt>
            <c:idx val="2"/>
            <c:bubble3D val="0"/>
            <c:explosion val="2"/>
            <c:spPr>
              <a:solidFill>
                <a:schemeClr val="accent3"/>
              </a:solidFill>
              <a:ln w="19050">
                <a:solidFill>
                  <a:schemeClr val="lt1"/>
                </a:solidFill>
              </a:ln>
              <a:effectLst/>
            </c:spPr>
            <c:extLst>
              <c:ext xmlns:c16="http://schemas.microsoft.com/office/drawing/2014/chart" uri="{C3380CC4-5D6E-409C-BE32-E72D297353CC}">
                <c16:uniqueId val="{00000005-3DF5-4302-8A62-C9DDED48B97B}"/>
              </c:ext>
            </c:extLst>
          </c:dPt>
          <c:dPt>
            <c:idx val="3"/>
            <c:bubble3D val="0"/>
            <c:spPr>
              <a:solidFill>
                <a:srgbClr val="7030A0"/>
              </a:solidFill>
              <a:ln w="19050">
                <a:solidFill>
                  <a:schemeClr val="lt1"/>
                </a:solidFill>
              </a:ln>
              <a:effectLst/>
            </c:spPr>
            <c:extLst>
              <c:ext xmlns:c16="http://schemas.microsoft.com/office/drawing/2014/chart" uri="{C3380CC4-5D6E-409C-BE32-E72D297353CC}">
                <c16:uniqueId val="{00000007-3DF5-4302-8A62-C9DDED48B97B}"/>
              </c:ext>
            </c:extLst>
          </c:dPt>
          <c:dPt>
            <c:idx val="4"/>
            <c:bubble3D val="0"/>
            <c:explosion val="69"/>
            <c:spPr>
              <a:solidFill>
                <a:srgbClr val="00B050"/>
              </a:solidFill>
              <a:ln w="19050">
                <a:solidFill>
                  <a:schemeClr val="lt1"/>
                </a:solidFill>
              </a:ln>
              <a:effectLst/>
            </c:spPr>
            <c:extLst>
              <c:ext xmlns:c16="http://schemas.microsoft.com/office/drawing/2014/chart" uri="{C3380CC4-5D6E-409C-BE32-E72D297353CC}">
                <c16:uniqueId val="{00000009-3DF5-4302-8A62-C9DDED48B97B}"/>
              </c:ext>
            </c:extLst>
          </c:dPt>
          <c:dPt>
            <c:idx val="5"/>
            <c:bubble3D val="0"/>
            <c:spPr>
              <a:solidFill>
                <a:srgbClr val="FF0000"/>
              </a:solidFill>
              <a:ln w="19050">
                <a:solidFill>
                  <a:schemeClr val="lt1"/>
                </a:solidFill>
              </a:ln>
              <a:effectLst/>
            </c:spPr>
            <c:extLst>
              <c:ext xmlns:c16="http://schemas.microsoft.com/office/drawing/2014/chart" uri="{C3380CC4-5D6E-409C-BE32-E72D297353CC}">
                <c16:uniqueId val="{0000000B-3DF5-4302-8A62-C9DDED48B97B}"/>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3DF5-4302-8A62-C9DDED48B97B}"/>
              </c:ext>
            </c:extLst>
          </c:dPt>
          <c:dLbls>
            <c:dLbl>
              <c:idx val="0"/>
              <c:layout>
                <c:manualLayout>
                  <c:x val="6.971762719013154E-2"/>
                  <c:y val="-0.2055318924060667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F5-4302-8A62-C9DDED48B97B}"/>
                </c:ext>
              </c:extLst>
            </c:dLbl>
            <c:dLbl>
              <c:idx val="1"/>
              <c:layout>
                <c:manualLayout>
                  <c:x val="-1.4283966185038069E-2"/>
                  <c:y val="-3.57633567616128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DF5-4302-8A62-C9DDED48B97B}"/>
                </c:ext>
              </c:extLst>
            </c:dLbl>
            <c:dLbl>
              <c:idx val="2"/>
              <c:layout>
                <c:manualLayout>
                  <c:x val="-7.8779037223014409E-2"/>
                  <c:y val="5.32489562965702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DF5-4302-8A62-C9DDED48B97B}"/>
                </c:ext>
              </c:extLst>
            </c:dLbl>
            <c:dLbl>
              <c:idx val="3"/>
              <c:layout>
                <c:manualLayout>
                  <c:x val="-9.7129928636583525E-4"/>
                  <c:y val="-0.114485207421361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DF5-4302-8A62-C9DDED48B97B}"/>
                </c:ext>
              </c:extLst>
            </c:dLbl>
            <c:dLbl>
              <c:idx val="4"/>
              <c:layout>
                <c:manualLayout>
                  <c:x val="9.2369763710099501E-2"/>
                  <c:y val="-2.8201715749386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DF5-4302-8A62-C9DDED48B97B}"/>
                </c:ext>
              </c:extLst>
            </c:dLbl>
            <c:dLbl>
              <c:idx val="5"/>
              <c:layout>
                <c:manualLayout>
                  <c:x val="-5.1161825110844182E-2"/>
                  <c:y val="-6.60507587251271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DF5-4302-8A62-C9DDED48B97B}"/>
                </c:ext>
              </c:extLst>
            </c:dLbl>
            <c:dLbl>
              <c:idx val="6"/>
              <c:delete val="1"/>
              <c:extLst>
                <c:ext xmlns:c15="http://schemas.microsoft.com/office/drawing/2012/chart" uri="{CE6537A1-D6FC-4f65-9D91-7224C49458BB}"/>
                <c:ext xmlns:c16="http://schemas.microsoft.com/office/drawing/2014/chart" uri="{C3380CC4-5D6E-409C-BE32-E72D297353CC}">
                  <c16:uniqueId val="{0000000D-3DF5-4302-8A62-C9DDED48B97B}"/>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lang="cs-CZ" sz="900" b="1"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'MDV SR'!$A$3:$A$8</c:f>
              <c:strCache>
                <c:ptCount val="6"/>
                <c:pt idx="0">
                  <c:v>Cestná. a žel. infraštruktúra </c:v>
                </c:pt>
                <c:pt idx="1">
                  <c:v>Podpora bývania </c:v>
                </c:pt>
                <c:pt idx="2">
                  <c:v>Ostatné činnosti</c:v>
                </c:pt>
                <c:pt idx="3">
                  <c:v>Cestovný ruch</c:v>
                </c:pt>
                <c:pt idx="4">
                  <c:v>Letecká doprava </c:v>
                </c:pt>
                <c:pt idx="5">
                  <c:v>Vodná doprava</c:v>
                </c:pt>
              </c:strCache>
            </c:strRef>
          </c:cat>
          <c:val>
            <c:numRef>
              <c:f>'MDV SR'!$B$3:$B$8</c:f>
              <c:numCache>
                <c:formatCode>#,##0</c:formatCode>
                <c:ptCount val="6"/>
                <c:pt idx="0">
                  <c:v>920894</c:v>
                </c:pt>
                <c:pt idx="1">
                  <c:v>117000</c:v>
                </c:pt>
                <c:pt idx="2">
                  <c:v>101173</c:v>
                </c:pt>
                <c:pt idx="3">
                  <c:v>8554</c:v>
                </c:pt>
                <c:pt idx="4">
                  <c:v>6000</c:v>
                </c:pt>
                <c:pt idx="5">
                  <c:v>210</c:v>
                </c:pt>
              </c:numCache>
            </c:numRef>
          </c:val>
          <c:extLst>
            <c:ext xmlns:c16="http://schemas.microsoft.com/office/drawing/2014/chart" uri="{C3380CC4-5D6E-409C-BE32-E72D297353CC}">
              <c16:uniqueId val="{0000000E-3DF5-4302-8A62-C9DDED48B97B}"/>
            </c:ext>
          </c:extLst>
        </c:ser>
        <c:dLbls>
          <c:showLegendKey val="0"/>
          <c:showVal val="1"/>
          <c:showCatName val="0"/>
          <c:showSerName val="0"/>
          <c:showPercent val="0"/>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legend>
      <c:legendPos val="r"/>
      <c:layout>
        <c:manualLayout>
          <c:xMode val="edge"/>
          <c:yMode val="edge"/>
          <c:x val="0.7225959987808741"/>
          <c:y val="4.996605758010883E-2"/>
          <c:w val="0.27067824244630073"/>
          <c:h val="0.90779205340691171"/>
        </c:manualLayout>
      </c:layout>
      <c:overlay val="0"/>
      <c:spPr>
        <a:noFill/>
        <a:ln>
          <a:noFill/>
        </a:ln>
        <a:effectLst/>
      </c:spPr>
      <c:txPr>
        <a:bodyPr rot="0" spcFirstLastPara="1" vertOverflow="ellipsis" vert="horz" wrap="square" anchor="ctr" anchorCtr="1"/>
        <a:lstStyle/>
        <a:p>
          <a:pPr>
            <a:defRPr lang="cs-CZ" sz="900" b="0" i="0" u="none" strike="noStrike" kern="1200" baseline="0">
              <a:solidFill>
                <a:schemeClr val="tx1">
                  <a:lumMod val="65000"/>
                  <a:lumOff val="35000"/>
                </a:schemeClr>
              </a:solidFill>
              <a:latin typeface="+mn-lt"/>
              <a:ea typeface="+mn-ea"/>
              <a:cs typeface="+mn-cs"/>
            </a:defRPr>
          </a:pPr>
          <a:endParaRPr lang="sk-SK"/>
        </a:p>
      </c:txPr>
    </c:legend>
    <c:plotVisOnly val="1"/>
    <c:dispBlanksAs val="zero"/>
    <c:showDLblsOverMax val="0"/>
  </c:chart>
  <c:spPr>
    <a:solidFill>
      <a:schemeClr val="bg1"/>
    </a:solidFill>
    <a:ln w="9525" cap="flat" cmpd="sng" algn="ctr">
      <a:noFill/>
      <a:round/>
    </a:ln>
    <a:effectLst/>
  </c:spPr>
  <c:txPr>
    <a:bodyPr/>
    <a:lstStyle/>
    <a:p>
      <a:pPr>
        <a:defRPr/>
      </a:pPr>
      <a:endParaRPr lang="sk-SK"/>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311554140838818E-2"/>
          <c:y val="7.5757575757575774E-2"/>
          <c:w val="0.91060688557547353"/>
          <c:h val="0.76447474024424633"/>
        </c:manualLayout>
      </c:layout>
      <c:lineChart>
        <c:grouping val="standard"/>
        <c:varyColors val="0"/>
        <c:ser>
          <c:idx val="0"/>
          <c:order val="0"/>
          <c:spPr>
            <a:ln w="28575" cap="rnd">
              <a:solidFill>
                <a:schemeClr val="accent4">
                  <a:lumMod val="75000"/>
                </a:schemeClr>
              </a:solidFill>
              <a:round/>
            </a:ln>
            <a:effectLst/>
          </c:spPr>
          <c:marker>
            <c:symbol val="circle"/>
            <c:size val="5"/>
            <c:spPr>
              <a:solidFill>
                <a:schemeClr val="tx2"/>
              </a:solidFill>
              <a:ln w="9525">
                <a:solidFill>
                  <a:schemeClr val="bg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cs-CZ" sz="900" b="0" i="0" u="none" strike="noStrike" kern="1200" baseline="0">
                    <a:solidFill>
                      <a:schemeClr val="tx1">
                        <a:lumMod val="75000"/>
                        <a:lumOff val="25000"/>
                      </a:schemeClr>
                    </a:solidFill>
                    <a:latin typeface="+mn-lt"/>
                    <a:ea typeface="+mn-ea"/>
                    <a:cs typeface="+mn-cs"/>
                  </a:defRPr>
                </a:pPr>
                <a:endParaRPr lang="sk-SK"/>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Hárok3!$A$1:$A$8</c:f>
              <c:numCache>
                <c:formatCode>General</c:formatCode>
                <c:ptCount val="8"/>
                <c:pt idx="0">
                  <c:v>2010</c:v>
                </c:pt>
                <c:pt idx="1">
                  <c:v>2011</c:v>
                </c:pt>
                <c:pt idx="2">
                  <c:v>2012</c:v>
                </c:pt>
                <c:pt idx="3">
                  <c:v>2013</c:v>
                </c:pt>
                <c:pt idx="4">
                  <c:v>2014</c:v>
                </c:pt>
                <c:pt idx="5">
                  <c:v>2015</c:v>
                </c:pt>
                <c:pt idx="6">
                  <c:v>2016</c:v>
                </c:pt>
                <c:pt idx="7">
                  <c:v>2017</c:v>
                </c:pt>
              </c:numCache>
            </c:numRef>
          </c:cat>
          <c:val>
            <c:numRef>
              <c:f>Hárok3!$B$1:$B$8</c:f>
              <c:numCache>
                <c:formatCode>0.0</c:formatCode>
                <c:ptCount val="8"/>
                <c:pt idx="0">
                  <c:v>59.69471322395183</c:v>
                </c:pt>
                <c:pt idx="1">
                  <c:v>46.268782071080622</c:v>
                </c:pt>
                <c:pt idx="2">
                  <c:v>37.093370245395128</c:v>
                </c:pt>
                <c:pt idx="3">
                  <c:v>53.20507508717391</c:v>
                </c:pt>
                <c:pt idx="4">
                  <c:v>63.743962095806523</c:v>
                </c:pt>
                <c:pt idx="5">
                  <c:v>175.66421968964758</c:v>
                </c:pt>
                <c:pt idx="6">
                  <c:v>40.216242823863404</c:v>
                </c:pt>
                <c:pt idx="7">
                  <c:v>37.380467451679934</c:v>
                </c:pt>
              </c:numCache>
            </c:numRef>
          </c:val>
          <c:smooth val="0"/>
          <c:extLst>
            <c:ext xmlns:c16="http://schemas.microsoft.com/office/drawing/2014/chart" uri="{C3380CC4-5D6E-409C-BE32-E72D297353CC}">
              <c16:uniqueId val="{00000000-0F42-4617-BAFB-7759676D4CB3}"/>
            </c:ext>
          </c:extLst>
        </c:ser>
        <c:dLbls>
          <c:showLegendKey val="0"/>
          <c:showVal val="0"/>
          <c:showCatName val="0"/>
          <c:showSerName val="0"/>
          <c:showPercent val="0"/>
          <c:showBubbleSize val="0"/>
        </c:dLbls>
        <c:marker val="1"/>
        <c:smooth val="0"/>
        <c:axId val="73376128"/>
        <c:axId val="73377664"/>
      </c:lineChart>
      <c:catAx>
        <c:axId val="73376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cs-CZ" sz="900" b="0" i="0" u="none" strike="noStrike" kern="1200" baseline="0">
                <a:solidFill>
                  <a:schemeClr val="tx1">
                    <a:lumMod val="65000"/>
                    <a:lumOff val="35000"/>
                  </a:schemeClr>
                </a:solidFill>
                <a:latin typeface="+mn-lt"/>
                <a:ea typeface="+mn-ea"/>
                <a:cs typeface="+mn-cs"/>
              </a:defRPr>
            </a:pPr>
            <a:endParaRPr lang="sk-SK"/>
          </a:p>
        </c:txPr>
        <c:crossAx val="73377664"/>
        <c:crosses val="autoZero"/>
        <c:auto val="1"/>
        <c:lblAlgn val="ctr"/>
        <c:lblOffset val="100"/>
        <c:noMultiLvlLbl val="0"/>
      </c:catAx>
      <c:valAx>
        <c:axId val="73377664"/>
        <c:scaling>
          <c:orientation val="minMax"/>
          <c:max val="18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lang="cs-CZ" sz="900" b="0" i="0" u="none" strike="noStrike" kern="1200" baseline="0">
                <a:solidFill>
                  <a:schemeClr val="tx1">
                    <a:lumMod val="65000"/>
                    <a:lumOff val="35000"/>
                  </a:schemeClr>
                </a:solidFill>
                <a:latin typeface="+mn-lt"/>
                <a:ea typeface="+mn-ea"/>
                <a:cs typeface="+mn-cs"/>
              </a:defRPr>
            </a:pPr>
            <a:endParaRPr lang="sk-SK"/>
          </a:p>
        </c:txPr>
        <c:crossAx val="73376128"/>
        <c:crosses val="autoZero"/>
        <c:crossBetween val="between"/>
        <c:majorUnit val="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k-SK"/>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2771828521434846"/>
          <c:y val="9.2133591996652595E-2"/>
          <c:w val="0.50650393700787399"/>
          <c:h val="0.74701602470631323"/>
        </c:manualLayout>
      </c:layout>
      <c:barChart>
        <c:barDir val="bar"/>
        <c:grouping val="clustered"/>
        <c:varyColors val="0"/>
        <c:ser>
          <c:idx val="0"/>
          <c:order val="0"/>
          <c:tx>
            <c:strRef>
              <c:f>Hárok1!$D$1</c:f>
              <c:strCache>
                <c:ptCount val="1"/>
                <c:pt idx="0">
                  <c:v>Alokácia 2014 - 2020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cs-CZ" sz="800" b="1" i="0" u="none" strike="noStrike" kern="1200" baseline="0">
                    <a:solidFill>
                      <a:sysClr val="windowText" lastClr="000000"/>
                    </a:solidFill>
                    <a:latin typeface="Arial Narrow" panose="020B0606020202030204" pitchFamily="34" charset="0"/>
                    <a:ea typeface="+mn-ea"/>
                    <a:cs typeface="+mn-cs"/>
                  </a:defRPr>
                </a:pPr>
                <a:endParaRPr lang="sk-S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Hárok1!$A$2:$A$9</c:f>
              <c:strCache>
                <c:ptCount val="7"/>
                <c:pt idx="0">
                  <c:v>Železničná infraštruktúra (TEN-T CORE) a obnova mobilných prostriedkov</c:v>
                </c:pt>
                <c:pt idx="1">
                  <c:v>Cestná infraštruktúra (TEN-T)</c:v>
                </c:pt>
                <c:pt idx="2">
                  <c:v>Verejná osobná doprava</c:v>
                </c:pt>
                <c:pt idx="3">
                  <c:v>Infraštruktúra vodnej dopravy (TEN-T CORE)</c:v>
                </c:pt>
                <c:pt idx="4">
                  <c:v>Železničná infraštruktúra (mimo TEN-T CORE)</c:v>
                </c:pt>
                <c:pt idx="5">
                  <c:v>Cestná infraštruktúra (mimo TEN-T CORE)</c:v>
                </c:pt>
                <c:pt idx="6">
                  <c:v>Technická pomoc</c:v>
                </c:pt>
              </c:strCache>
            </c:strRef>
          </c:cat>
          <c:val>
            <c:numRef>
              <c:f>Hárok1!$D$2:$D$9</c:f>
              <c:numCache>
                <c:formatCode>#,##0</c:formatCode>
                <c:ptCount val="7"/>
                <c:pt idx="0">
                  <c:v>853928431</c:v>
                </c:pt>
                <c:pt idx="1">
                  <c:v>1344117648</c:v>
                </c:pt>
                <c:pt idx="2">
                  <c:v>361450001</c:v>
                </c:pt>
                <c:pt idx="3">
                  <c:v>128005883</c:v>
                </c:pt>
                <c:pt idx="4">
                  <c:v>332037915</c:v>
                </c:pt>
                <c:pt idx="5">
                  <c:v>570302622</c:v>
                </c:pt>
                <c:pt idx="6">
                  <c:v>102352942</c:v>
                </c:pt>
              </c:numCache>
            </c:numRef>
          </c:val>
          <c:extLst>
            <c:ext xmlns:c16="http://schemas.microsoft.com/office/drawing/2014/chart" uri="{C3380CC4-5D6E-409C-BE32-E72D297353CC}">
              <c16:uniqueId val="{00000000-8B7B-4EF2-A817-88E7F4D493F9}"/>
            </c:ext>
          </c:extLst>
        </c:ser>
        <c:ser>
          <c:idx val="1"/>
          <c:order val="1"/>
          <c:tx>
            <c:strRef>
              <c:f>Hárok1!$G$1</c:f>
              <c:strCache>
                <c:ptCount val="1"/>
                <c:pt idx="0">
                  <c:v>Čerpanie z alokácie k 30.9.2018</c:v>
                </c:pt>
              </c:strCache>
            </c:strRef>
          </c:tx>
          <c:spPr>
            <a:solidFill>
              <a:schemeClr val="accent4">
                <a:lumMod val="75000"/>
              </a:schemeClr>
            </a:solidFill>
            <a:ln>
              <a:noFill/>
            </a:ln>
            <a:effectLst/>
          </c:spPr>
          <c:invertIfNegative val="0"/>
          <c:dLbls>
            <c:delete val="1"/>
          </c:dLbls>
          <c:cat>
            <c:strRef>
              <c:f>Hárok1!$A$2:$A$9</c:f>
              <c:strCache>
                <c:ptCount val="7"/>
                <c:pt idx="0">
                  <c:v>Železničná infraštruktúra (TEN-T CORE) a obnova mobilných prostriedkov</c:v>
                </c:pt>
                <c:pt idx="1">
                  <c:v>Cestná infraštruktúra (TEN-T)</c:v>
                </c:pt>
                <c:pt idx="2">
                  <c:v>Verejná osobná doprava</c:v>
                </c:pt>
                <c:pt idx="3">
                  <c:v>Infraštruktúra vodnej dopravy (TEN-T CORE)</c:v>
                </c:pt>
                <c:pt idx="4">
                  <c:v>Železničná infraštruktúra (mimo TEN-T CORE)</c:v>
                </c:pt>
                <c:pt idx="5">
                  <c:v>Cestná infraštruktúra (mimo TEN-T CORE)</c:v>
                </c:pt>
                <c:pt idx="6">
                  <c:v>Technická pomoc</c:v>
                </c:pt>
              </c:strCache>
            </c:strRef>
          </c:cat>
          <c:val>
            <c:numRef>
              <c:f>Hárok1!$G$2:$G$9</c:f>
              <c:numCache>
                <c:formatCode>#,##0</c:formatCode>
                <c:ptCount val="7"/>
                <c:pt idx="0">
                  <c:v>76683995.470000014</c:v>
                </c:pt>
                <c:pt idx="1">
                  <c:v>610300459.04999971</c:v>
                </c:pt>
                <c:pt idx="2">
                  <c:v>125966920.18000001</c:v>
                </c:pt>
                <c:pt idx="3">
                  <c:v>26683</c:v>
                </c:pt>
                <c:pt idx="4">
                  <c:v>986804.1</c:v>
                </c:pt>
                <c:pt idx="5">
                  <c:v>130582562.53</c:v>
                </c:pt>
                <c:pt idx="6">
                  <c:v>25396589.379999999</c:v>
                </c:pt>
              </c:numCache>
            </c:numRef>
          </c:val>
          <c:extLst>
            <c:ext xmlns:c16="http://schemas.microsoft.com/office/drawing/2014/chart" uri="{C3380CC4-5D6E-409C-BE32-E72D297353CC}">
              <c16:uniqueId val="{00000001-8B7B-4EF2-A817-88E7F4D493F9}"/>
            </c:ext>
          </c:extLst>
        </c:ser>
        <c:ser>
          <c:idx val="2"/>
          <c:order val="2"/>
          <c:tx>
            <c:strRef>
              <c:f>Hárok1!$H$1</c:f>
              <c:strCache>
                <c:ptCount val="1"/>
                <c:pt idx="0">
                  <c:v>Schválený rozpočet na rok 2019</c:v>
                </c:pt>
              </c:strCache>
            </c:strRef>
          </c:tx>
          <c:spPr>
            <a:solidFill>
              <a:srgbClr val="FF0000"/>
            </a:solidFill>
            <a:ln>
              <a:solidFill>
                <a:srgbClr val="FF0000"/>
              </a:solidFill>
            </a:ln>
            <a:effectLst/>
          </c:spPr>
          <c:invertIfNegative val="0"/>
          <c:dLbls>
            <c:delete val="1"/>
          </c:dLbls>
          <c:cat>
            <c:strRef>
              <c:f>Hárok1!$A$2:$A$9</c:f>
              <c:strCache>
                <c:ptCount val="7"/>
                <c:pt idx="0">
                  <c:v>Železničná infraštruktúra (TEN-T CORE) a obnova mobilných prostriedkov</c:v>
                </c:pt>
                <c:pt idx="1">
                  <c:v>Cestná infraštruktúra (TEN-T)</c:v>
                </c:pt>
                <c:pt idx="2">
                  <c:v>Verejná osobná doprava</c:v>
                </c:pt>
                <c:pt idx="3">
                  <c:v>Infraštruktúra vodnej dopravy (TEN-T CORE)</c:v>
                </c:pt>
                <c:pt idx="4">
                  <c:v>Železničná infraštruktúra (mimo TEN-T CORE)</c:v>
                </c:pt>
                <c:pt idx="5">
                  <c:v>Cestná infraštruktúra (mimo TEN-T CORE)</c:v>
                </c:pt>
                <c:pt idx="6">
                  <c:v>Technická pomoc</c:v>
                </c:pt>
              </c:strCache>
            </c:strRef>
          </c:cat>
          <c:val>
            <c:numRef>
              <c:f>Hárok1!$H$2:$H$9</c:f>
              <c:numCache>
                <c:formatCode>#,##0</c:formatCode>
                <c:ptCount val="7"/>
                <c:pt idx="0">
                  <c:v>0</c:v>
                </c:pt>
                <c:pt idx="1">
                  <c:v>0</c:v>
                </c:pt>
                <c:pt idx="2">
                  <c:v>0</c:v>
                </c:pt>
                <c:pt idx="3">
                  <c:v>0</c:v>
                </c:pt>
                <c:pt idx="4">
                  <c:v>27013776</c:v>
                </c:pt>
                <c:pt idx="5">
                  <c:v>0</c:v>
                </c:pt>
                <c:pt idx="6">
                  <c:v>8471081</c:v>
                </c:pt>
              </c:numCache>
            </c:numRef>
          </c:val>
          <c:extLst>
            <c:ext xmlns:c16="http://schemas.microsoft.com/office/drawing/2014/chart" uri="{C3380CC4-5D6E-409C-BE32-E72D297353CC}">
              <c16:uniqueId val="{00000002-8B7B-4EF2-A817-88E7F4D493F9}"/>
            </c:ext>
          </c:extLst>
        </c:ser>
        <c:dLbls>
          <c:showLegendKey val="0"/>
          <c:showVal val="1"/>
          <c:showCatName val="0"/>
          <c:showSerName val="0"/>
          <c:showPercent val="0"/>
          <c:showBubbleSize val="0"/>
        </c:dLbls>
        <c:gapWidth val="182"/>
        <c:axId val="73427584"/>
        <c:axId val="73441664"/>
      </c:barChart>
      <c:catAx>
        <c:axId val="73427584"/>
        <c:scaling>
          <c:orientation val="maxMin"/>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cs-CZ"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73441664"/>
        <c:crosses val="autoZero"/>
        <c:auto val="1"/>
        <c:lblAlgn val="ctr"/>
        <c:lblOffset val="100"/>
        <c:noMultiLvlLbl val="0"/>
      </c:catAx>
      <c:valAx>
        <c:axId val="73441664"/>
        <c:scaling>
          <c:orientation val="minMax"/>
          <c:max val="1400000000"/>
          <c:min val="0"/>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t" anchorCtr="0"/>
          <a:lstStyle/>
          <a:p>
            <a:pPr>
              <a:defRPr lang="cs-CZ"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73427584"/>
        <c:crosses val="autoZero"/>
        <c:crossBetween val="between"/>
        <c:majorUnit val="400000000"/>
        <c:minorUnit val="80000000"/>
        <c:dispUnits>
          <c:builtInUnit val="thousands"/>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lang="cs-CZ"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noFill/>
    <a:ln w="9525" cap="flat" cmpd="sng" algn="ctr">
      <a:noFill/>
      <a:round/>
    </a:ln>
    <a:effectLst/>
  </c:spPr>
  <c:txPr>
    <a:bodyPr/>
    <a:lstStyle/>
    <a:p>
      <a:pPr>
        <a:defRPr/>
      </a:pPr>
      <a:endParaRPr lang="sk-SK"/>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'[Graf v programe Microsoft Word]Hárok2 (2)'!$C$4</c:f>
              <c:strCache>
                <c:ptCount val="1"/>
                <c:pt idx="0">
                  <c:v>Celkové príjmy z EÚ</c:v>
                </c:pt>
              </c:strCache>
            </c:strRef>
          </c:tx>
          <c:spPr>
            <a:solidFill>
              <a:schemeClr val="accent1"/>
            </a:solidFill>
            <a:ln>
              <a:noFill/>
            </a:ln>
            <a:effectLst/>
          </c:spPr>
          <c:invertIfNegative val="0"/>
          <c:cat>
            <c:numRef>
              <c:f>'[Graf v programe Microsoft Word]Hárok2 (2)'!$D$3:$S$3</c:f>
              <c:numCache>
                <c:formatCode>General</c:formatCode>
                <c:ptCount val="16"/>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numCache>
            </c:numRef>
          </c:cat>
          <c:val>
            <c:numRef>
              <c:f>'[Graf v programe Microsoft Word]Hárok2 (2)'!$D$4:$S$4</c:f>
              <c:numCache>
                <c:formatCode>#,##0</c:formatCode>
                <c:ptCount val="16"/>
                <c:pt idx="0">
                  <c:v>303.9899999999999</c:v>
                </c:pt>
                <c:pt idx="1">
                  <c:v>704.99300000000005</c:v>
                </c:pt>
                <c:pt idx="2">
                  <c:v>893.62300000000005</c:v>
                </c:pt>
                <c:pt idx="3">
                  <c:v>910.83799999999962</c:v>
                </c:pt>
                <c:pt idx="4">
                  <c:v>893.49699999999996</c:v>
                </c:pt>
                <c:pt idx="5">
                  <c:v>1119.6589999999999</c:v>
                </c:pt>
                <c:pt idx="6">
                  <c:v>1672.4829999999999</c:v>
                </c:pt>
                <c:pt idx="7">
                  <c:v>2041.0929999999998</c:v>
                </c:pt>
                <c:pt idx="8">
                  <c:v>2137.8490000000002</c:v>
                </c:pt>
                <c:pt idx="9">
                  <c:v>2185.3580000000002</c:v>
                </c:pt>
                <c:pt idx="10">
                  <c:v>1265.0909999999999</c:v>
                </c:pt>
                <c:pt idx="11">
                  <c:v>4288.8730000000005</c:v>
                </c:pt>
                <c:pt idx="12">
                  <c:v>1947.481</c:v>
                </c:pt>
                <c:pt idx="13">
                  <c:v>1426</c:v>
                </c:pt>
                <c:pt idx="14">
                  <c:v>1461.961</c:v>
                </c:pt>
                <c:pt idx="15">
                  <c:v>1773</c:v>
                </c:pt>
              </c:numCache>
            </c:numRef>
          </c:val>
          <c:extLst>
            <c:ext xmlns:c16="http://schemas.microsoft.com/office/drawing/2014/chart" uri="{C3380CC4-5D6E-409C-BE32-E72D297353CC}">
              <c16:uniqueId val="{00000000-924C-466E-BB0A-E3B3F0041111}"/>
            </c:ext>
          </c:extLst>
        </c:ser>
        <c:ser>
          <c:idx val="1"/>
          <c:order val="1"/>
          <c:tx>
            <c:strRef>
              <c:f>'[Graf v programe Microsoft Word]Hárok2 (2)'!$C$5</c:f>
              <c:strCache>
                <c:ptCount val="1"/>
                <c:pt idx="0">
                  <c:v>Celkové odvody a príspevky do EÚ</c:v>
                </c:pt>
              </c:strCache>
            </c:strRef>
          </c:tx>
          <c:spPr>
            <a:solidFill>
              <a:schemeClr val="accent2"/>
            </a:solidFill>
            <a:ln>
              <a:noFill/>
            </a:ln>
            <a:effectLst/>
          </c:spPr>
          <c:invertIfNegative val="0"/>
          <c:cat>
            <c:numRef>
              <c:f>'[Graf v programe Microsoft Word]Hárok2 (2)'!$D$3:$S$3</c:f>
              <c:numCache>
                <c:formatCode>General</c:formatCode>
                <c:ptCount val="16"/>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numCache>
            </c:numRef>
          </c:cat>
          <c:val>
            <c:numRef>
              <c:f>'[Graf v programe Microsoft Word]Hárok2 (2)'!$D$5:$S$5</c:f>
              <c:numCache>
                <c:formatCode>#,##0</c:formatCode>
                <c:ptCount val="16"/>
                <c:pt idx="0">
                  <c:v>290.68900000000002</c:v>
                </c:pt>
                <c:pt idx="1">
                  <c:v>485.61399999999986</c:v>
                </c:pt>
                <c:pt idx="2">
                  <c:v>526.32599999999979</c:v>
                </c:pt>
                <c:pt idx="3">
                  <c:v>589.79999999999995</c:v>
                </c:pt>
                <c:pt idx="4">
                  <c:v>643.37400000000002</c:v>
                </c:pt>
                <c:pt idx="5">
                  <c:v>695.726</c:v>
                </c:pt>
                <c:pt idx="6">
                  <c:v>627.529</c:v>
                </c:pt>
                <c:pt idx="7">
                  <c:v>704.65599999999972</c:v>
                </c:pt>
                <c:pt idx="8">
                  <c:v>722.83099999999979</c:v>
                </c:pt>
                <c:pt idx="9">
                  <c:v>825.09799999999996</c:v>
                </c:pt>
                <c:pt idx="10">
                  <c:v>785.36599999999976</c:v>
                </c:pt>
                <c:pt idx="11">
                  <c:v>695.50800000000004</c:v>
                </c:pt>
                <c:pt idx="12">
                  <c:v>740</c:v>
                </c:pt>
                <c:pt idx="13">
                  <c:v>738</c:v>
                </c:pt>
                <c:pt idx="14">
                  <c:v>891</c:v>
                </c:pt>
                <c:pt idx="15">
                  <c:v>954</c:v>
                </c:pt>
              </c:numCache>
            </c:numRef>
          </c:val>
          <c:extLst>
            <c:ext xmlns:c16="http://schemas.microsoft.com/office/drawing/2014/chart" uri="{C3380CC4-5D6E-409C-BE32-E72D297353CC}">
              <c16:uniqueId val="{00000001-924C-466E-BB0A-E3B3F0041111}"/>
            </c:ext>
          </c:extLst>
        </c:ser>
        <c:dLbls>
          <c:showLegendKey val="0"/>
          <c:showVal val="0"/>
          <c:showCatName val="0"/>
          <c:showSerName val="0"/>
          <c:showPercent val="0"/>
          <c:showBubbleSize val="0"/>
        </c:dLbls>
        <c:gapWidth val="219"/>
        <c:axId val="74627712"/>
        <c:axId val="74666368"/>
      </c:barChart>
      <c:lineChart>
        <c:grouping val="standard"/>
        <c:varyColors val="0"/>
        <c:ser>
          <c:idx val="2"/>
          <c:order val="2"/>
          <c:tx>
            <c:strRef>
              <c:f>'[Graf v programe Microsoft Word]Hárok2 (2)'!$C$6</c:f>
              <c:strCache>
                <c:ptCount val="1"/>
                <c:pt idx="0">
                  <c:v>Čistá finančná pozícia</c:v>
                </c:pt>
              </c:strCache>
            </c:strRef>
          </c:tx>
          <c:spPr>
            <a:ln w="12700" cap="rnd">
              <a:solidFill>
                <a:srgbClr val="FF0000"/>
              </a:solidFill>
              <a:round/>
            </a:ln>
            <a:effectLst/>
          </c:spPr>
          <c:marker>
            <c:symbol val="none"/>
          </c:marker>
          <c:dLbls>
            <c:dLbl>
              <c:idx val="0"/>
              <c:layout>
                <c:manualLayout>
                  <c:x val="-9.4831673779042242E-3"/>
                  <c:y val="-6.71915899408370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24C-466E-BB0A-E3B3F0041111}"/>
                </c:ext>
              </c:extLst>
            </c:dLbl>
            <c:dLbl>
              <c:idx val="1"/>
              <c:layout>
                <c:manualLayout>
                  <c:x val="-9.4831673779042242E-3"/>
                  <c:y val="-5.03936924556279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24C-466E-BB0A-E3B3F0041111}"/>
                </c:ext>
              </c:extLst>
            </c:dLbl>
            <c:dLbl>
              <c:idx val="2"/>
              <c:layout>
                <c:manualLayout>
                  <c:x val="-3.4771212038973607E-17"/>
                  <c:y val="-3.77952693417208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24C-466E-BB0A-E3B3F0041111}"/>
                </c:ext>
              </c:extLst>
            </c:dLbl>
            <c:dLbl>
              <c:idx val="3"/>
              <c:layout>
                <c:manualLayout>
                  <c:x val="0"/>
                  <c:y val="-5.0393692455627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24C-466E-BB0A-E3B3F0041111}"/>
                </c:ext>
              </c:extLst>
            </c:dLbl>
            <c:dLbl>
              <c:idx val="4"/>
              <c:layout>
                <c:manualLayout>
                  <c:x val="1.8966334755808449E-3"/>
                  <c:y val="-6.29921155695348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24C-466E-BB0A-E3B3F0041111}"/>
                </c:ext>
              </c:extLst>
            </c:dLbl>
            <c:dLbl>
              <c:idx val="5"/>
              <c:layout>
                <c:manualLayout>
                  <c:x val="-1.8966334755809143E-3"/>
                  <c:y val="-7.13910643121393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24C-466E-BB0A-E3B3F0041111}"/>
                </c:ext>
              </c:extLst>
            </c:dLbl>
            <c:dLbl>
              <c:idx val="6"/>
              <c:layout>
                <c:manualLayout>
                  <c:x val="-1.1379800853485068E-2"/>
                  <c:y val="-4.61942180843254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24C-466E-BB0A-E3B3F0041111}"/>
                </c:ext>
              </c:extLst>
            </c:dLbl>
            <c:dLbl>
              <c:idx val="7"/>
              <c:layout>
                <c:manualLayout>
                  <c:x val="-3.7932669511617592E-3"/>
                  <c:y val="-4.19947437130231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24C-466E-BB0A-E3B3F0041111}"/>
                </c:ext>
              </c:extLst>
            </c:dLbl>
            <c:dLbl>
              <c:idx val="8"/>
              <c:layout>
                <c:manualLayout>
                  <c:x val="-9.4831673779042242E-3"/>
                  <c:y val="-4.19947437130231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24C-466E-BB0A-E3B3F0041111}"/>
                </c:ext>
              </c:extLst>
            </c:dLbl>
            <c:dLbl>
              <c:idx val="9"/>
              <c:layout>
                <c:manualLayout>
                  <c:x val="0"/>
                  <c:y val="-5.03936924556278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24C-466E-BB0A-E3B3F0041111}"/>
                </c:ext>
              </c:extLst>
            </c:dLbl>
            <c:dLbl>
              <c:idx val="10"/>
              <c:layout>
                <c:manualLayout>
                  <c:x val="0"/>
                  <c:y val="-6.29921155695346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24C-466E-BB0A-E3B3F0041111}"/>
                </c:ext>
              </c:extLst>
            </c:dLbl>
            <c:spPr>
              <a:solidFill>
                <a:schemeClr val="accent2">
                  <a:lumMod val="20000"/>
                  <a:lumOff val="80000"/>
                </a:schemeClr>
              </a:solidFill>
              <a:ln>
                <a:noFill/>
              </a:ln>
              <a:effectLst/>
            </c:spPr>
            <c:txPr>
              <a:bodyPr rot="0" spcFirstLastPara="1" vertOverflow="ellipsis" vert="horz" wrap="square" lIns="38100" tIns="19050" rIns="38100" bIns="19050" anchor="ctr" anchorCtr="1">
                <a:spAutoFit/>
              </a:bodyPr>
              <a:lstStyle/>
              <a:p>
                <a:pPr>
                  <a:defRPr lang="cs-CZ"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'[Graf v programe Microsoft Word]Hárok2 (2)'!$D$3:$P$3</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'[Graf v programe Microsoft Word]Hárok2 (2)'!$D$6:$S$6</c:f>
              <c:numCache>
                <c:formatCode>#,##0</c:formatCode>
                <c:ptCount val="16"/>
                <c:pt idx="0">
                  <c:v>13.300999999999995</c:v>
                </c:pt>
                <c:pt idx="1">
                  <c:v>219.37900000000008</c:v>
                </c:pt>
                <c:pt idx="2">
                  <c:v>367.29700000000003</c:v>
                </c:pt>
                <c:pt idx="3">
                  <c:v>321.0379999999999</c:v>
                </c:pt>
                <c:pt idx="4">
                  <c:v>250.12299999999999</c:v>
                </c:pt>
                <c:pt idx="5">
                  <c:v>423.93299999999999</c:v>
                </c:pt>
                <c:pt idx="6">
                  <c:v>1044.954</c:v>
                </c:pt>
                <c:pt idx="7">
                  <c:v>1336.4370000000001</c:v>
                </c:pt>
                <c:pt idx="8">
                  <c:v>1415.018</c:v>
                </c:pt>
                <c:pt idx="9">
                  <c:v>1360.2600000000002</c:v>
                </c:pt>
                <c:pt idx="10">
                  <c:v>479.7249999999998</c:v>
                </c:pt>
                <c:pt idx="11">
                  <c:v>3593.3649999999998</c:v>
                </c:pt>
                <c:pt idx="12">
                  <c:v>1207.481</c:v>
                </c:pt>
                <c:pt idx="13">
                  <c:v>688</c:v>
                </c:pt>
                <c:pt idx="14">
                  <c:v>570.96099999999979</c:v>
                </c:pt>
                <c:pt idx="15">
                  <c:v>819</c:v>
                </c:pt>
              </c:numCache>
            </c:numRef>
          </c:val>
          <c:smooth val="0"/>
          <c:extLst>
            <c:ext xmlns:c16="http://schemas.microsoft.com/office/drawing/2014/chart" uri="{C3380CC4-5D6E-409C-BE32-E72D297353CC}">
              <c16:uniqueId val="{0000000D-924C-466E-BB0A-E3B3F0041111}"/>
            </c:ext>
          </c:extLst>
        </c:ser>
        <c:dLbls>
          <c:showLegendKey val="0"/>
          <c:showVal val="0"/>
          <c:showCatName val="0"/>
          <c:showSerName val="0"/>
          <c:showPercent val="0"/>
          <c:showBubbleSize val="0"/>
        </c:dLbls>
        <c:marker val="1"/>
        <c:smooth val="0"/>
        <c:axId val="74627712"/>
        <c:axId val="74666368"/>
      </c:lineChart>
      <c:catAx>
        <c:axId val="74627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cs-CZ" sz="900" b="0" i="0" u="none" strike="noStrike" kern="1200" baseline="0">
                <a:solidFill>
                  <a:schemeClr val="tx1">
                    <a:lumMod val="65000"/>
                    <a:lumOff val="35000"/>
                  </a:schemeClr>
                </a:solidFill>
                <a:latin typeface="+mn-lt"/>
                <a:ea typeface="+mn-ea"/>
                <a:cs typeface="+mn-cs"/>
              </a:defRPr>
            </a:pPr>
            <a:endParaRPr lang="sk-SK"/>
          </a:p>
        </c:txPr>
        <c:crossAx val="74666368"/>
        <c:crosses val="autoZero"/>
        <c:auto val="1"/>
        <c:lblAlgn val="ctr"/>
        <c:lblOffset val="100"/>
        <c:noMultiLvlLbl val="0"/>
      </c:catAx>
      <c:valAx>
        <c:axId val="746663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cs-CZ" sz="900" b="0" i="0" u="none" strike="noStrike" kern="1200" baseline="0">
                <a:solidFill>
                  <a:schemeClr val="tx1">
                    <a:lumMod val="65000"/>
                    <a:lumOff val="35000"/>
                  </a:schemeClr>
                </a:solidFill>
                <a:latin typeface="+mn-lt"/>
                <a:ea typeface="+mn-ea"/>
                <a:cs typeface="+mn-cs"/>
              </a:defRPr>
            </a:pPr>
            <a:endParaRPr lang="sk-SK"/>
          </a:p>
        </c:txPr>
        <c:crossAx val="74627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cs-CZ"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a:pPr>
      <a:endParaRPr lang="sk-SK"/>
    </a:p>
  </c:txPr>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595640261709265"/>
          <c:y val="7.0853426222158233E-2"/>
          <c:w val="0.85277144005186301"/>
          <c:h val="0.73785765129778191"/>
        </c:manualLayout>
      </c:layout>
      <c:barChart>
        <c:barDir val="col"/>
        <c:grouping val="stacked"/>
        <c:varyColors val="0"/>
        <c:ser>
          <c:idx val="1"/>
          <c:order val="0"/>
          <c:tx>
            <c:strRef>
              <c:f>Hárok1!$B$5</c:f>
              <c:strCache>
                <c:ptCount val="1"/>
                <c:pt idx="0">
                  <c:v>Tvorba fondov bez transferu</c:v>
                </c:pt>
              </c:strCache>
            </c:strRef>
          </c:tx>
          <c:spPr>
            <a:solidFill>
              <a:srgbClr val="4472C4">
                <a:lumMod val="60000"/>
                <a:lumOff val="40000"/>
              </a:srgbClr>
            </a:solidFill>
            <a:ln>
              <a:noFill/>
            </a:ln>
            <a:effectLst/>
          </c:spPr>
          <c:invertIfNegative val="0"/>
          <c:cat>
            <c:strRef>
              <c:f>Hárok1!$C$3:$N$3</c:f>
              <c:strCache>
                <c:ptCount val="12"/>
                <c:pt idx="0">
                  <c:v>2010</c:v>
                </c:pt>
                <c:pt idx="1">
                  <c:v>2011</c:v>
                </c:pt>
                <c:pt idx="2">
                  <c:v>2012</c:v>
                </c:pt>
                <c:pt idx="3">
                  <c:v>2013</c:v>
                </c:pt>
                <c:pt idx="4">
                  <c:v>2014</c:v>
                </c:pt>
                <c:pt idx="5">
                  <c:v>2015</c:v>
                </c:pt>
                <c:pt idx="6">
                  <c:v>2016</c:v>
                </c:pt>
                <c:pt idx="7">
                  <c:v>2017</c:v>
                </c:pt>
                <c:pt idx="8">
                  <c:v>2018 OS</c:v>
                </c:pt>
                <c:pt idx="9">
                  <c:v>2019 R</c:v>
                </c:pt>
                <c:pt idx="10">
                  <c:v>2020 R</c:v>
                </c:pt>
                <c:pt idx="11">
                  <c:v>2021 R</c:v>
                </c:pt>
              </c:strCache>
            </c:strRef>
          </c:cat>
          <c:val>
            <c:numRef>
              <c:f>Hárok1!$C$5:$N$5</c:f>
              <c:numCache>
                <c:formatCode>#,##0</c:formatCode>
                <c:ptCount val="12"/>
                <c:pt idx="0">
                  <c:v>4521279.375</c:v>
                </c:pt>
                <c:pt idx="1">
                  <c:v>4807653.5950000007</c:v>
                </c:pt>
                <c:pt idx="2">
                  <c:v>4999516.6689999998</c:v>
                </c:pt>
                <c:pt idx="3">
                  <c:v>5969660.1710000001</c:v>
                </c:pt>
                <c:pt idx="4">
                  <c:v>5998832.5200000005</c:v>
                </c:pt>
                <c:pt idx="5">
                  <c:v>6965244.1659999993</c:v>
                </c:pt>
                <c:pt idx="6">
                  <c:v>6784906.1259999992</c:v>
                </c:pt>
                <c:pt idx="7">
                  <c:v>7332119</c:v>
                </c:pt>
                <c:pt idx="8">
                  <c:v>8055794</c:v>
                </c:pt>
                <c:pt idx="9">
                  <c:v>8380651</c:v>
                </c:pt>
                <c:pt idx="10">
                  <c:v>8913208</c:v>
                </c:pt>
                <c:pt idx="11">
                  <c:v>9412964</c:v>
                </c:pt>
              </c:numCache>
            </c:numRef>
          </c:val>
          <c:extLst>
            <c:ext xmlns:c16="http://schemas.microsoft.com/office/drawing/2014/chart" uri="{C3380CC4-5D6E-409C-BE32-E72D297353CC}">
              <c16:uniqueId val="{00000000-E740-45A2-AD06-4C6D14C9712B}"/>
            </c:ext>
          </c:extLst>
        </c:ser>
        <c:ser>
          <c:idx val="0"/>
          <c:order val="1"/>
          <c:tx>
            <c:strRef>
              <c:f>Hárok1!$B$4</c:f>
              <c:strCache>
                <c:ptCount val="1"/>
                <c:pt idx="0">
                  <c:v>VPS transfer SP</c:v>
                </c:pt>
              </c:strCache>
            </c:strRef>
          </c:tx>
          <c:spPr>
            <a:solidFill>
              <a:schemeClr val="accent1"/>
            </a:solidFill>
            <a:ln>
              <a:noFill/>
            </a:ln>
            <a:effectLst/>
          </c:spPr>
          <c:invertIfNegative val="0"/>
          <c:cat>
            <c:strRef>
              <c:f>Hárok1!$C$3:$N$3</c:f>
              <c:strCache>
                <c:ptCount val="12"/>
                <c:pt idx="0">
                  <c:v>2010</c:v>
                </c:pt>
                <c:pt idx="1">
                  <c:v>2011</c:v>
                </c:pt>
                <c:pt idx="2">
                  <c:v>2012</c:v>
                </c:pt>
                <c:pt idx="3">
                  <c:v>2013</c:v>
                </c:pt>
                <c:pt idx="4">
                  <c:v>2014</c:v>
                </c:pt>
                <c:pt idx="5">
                  <c:v>2015</c:v>
                </c:pt>
                <c:pt idx="6">
                  <c:v>2016</c:v>
                </c:pt>
                <c:pt idx="7">
                  <c:v>2017</c:v>
                </c:pt>
                <c:pt idx="8">
                  <c:v>2018 OS</c:v>
                </c:pt>
                <c:pt idx="9">
                  <c:v>2019 R</c:v>
                </c:pt>
                <c:pt idx="10">
                  <c:v>2020 R</c:v>
                </c:pt>
                <c:pt idx="11">
                  <c:v>2021 R</c:v>
                </c:pt>
              </c:strCache>
            </c:strRef>
          </c:cat>
          <c:val>
            <c:numRef>
              <c:f>Hárok1!$C$4:$N$4</c:f>
              <c:numCache>
                <c:formatCode>#,##0</c:formatCode>
                <c:ptCount val="12"/>
                <c:pt idx="0">
                  <c:v>1441708.625</c:v>
                </c:pt>
                <c:pt idx="1">
                  <c:v>1446193.4049999998</c:v>
                </c:pt>
                <c:pt idx="2">
                  <c:v>1408333.331</c:v>
                </c:pt>
                <c:pt idx="3">
                  <c:v>673543.82900000003</c:v>
                </c:pt>
                <c:pt idx="4">
                  <c:v>900895.48</c:v>
                </c:pt>
                <c:pt idx="5">
                  <c:v>452982.83399999997</c:v>
                </c:pt>
                <c:pt idx="6">
                  <c:v>365323.87400000001</c:v>
                </c:pt>
                <c:pt idx="7">
                  <c:v>415325</c:v>
                </c:pt>
                <c:pt idx="8">
                  <c:v>106413</c:v>
                </c:pt>
                <c:pt idx="9">
                  <c:v>0</c:v>
                </c:pt>
                <c:pt idx="10">
                  <c:v>0</c:v>
                </c:pt>
                <c:pt idx="11">
                  <c:v>0</c:v>
                </c:pt>
              </c:numCache>
            </c:numRef>
          </c:val>
          <c:extLst>
            <c:ext xmlns:c16="http://schemas.microsoft.com/office/drawing/2014/chart" uri="{C3380CC4-5D6E-409C-BE32-E72D297353CC}">
              <c16:uniqueId val="{00000001-E740-45A2-AD06-4C6D14C9712B}"/>
            </c:ext>
          </c:extLst>
        </c:ser>
        <c:dLbls>
          <c:showLegendKey val="0"/>
          <c:showVal val="0"/>
          <c:showCatName val="0"/>
          <c:showSerName val="0"/>
          <c:showPercent val="0"/>
          <c:showBubbleSize val="0"/>
        </c:dLbls>
        <c:gapWidth val="150"/>
        <c:overlap val="100"/>
        <c:axId val="63790080"/>
        <c:axId val="63816448"/>
        <c:extLst>
          <c:ext xmlns:c15="http://schemas.microsoft.com/office/drawing/2012/chart" uri="{02D57815-91ED-43cb-92C2-25804820EDAC}">
            <c15:filteredBarSeries>
              <c15:ser>
                <c:idx val="2"/>
                <c:order val="2"/>
                <c:tx>
                  <c:strRef>
                    <c:extLst>
                      <c:ext uri="{02D57815-91ED-43cb-92C2-25804820EDAC}">
                        <c15:formulaRef>
                          <c15:sqref>Hárok1!$B$6</c15:sqref>
                        </c15:formulaRef>
                      </c:ext>
                    </c:extLst>
                    <c:strCache>
                      <c:ptCount val="1"/>
                      <c:pt idx="0">
                        <c:v>Tvorba fondov v bežnom roku</c:v>
                      </c:pt>
                    </c:strCache>
                  </c:strRef>
                </c:tx>
                <c:spPr>
                  <a:solidFill>
                    <a:schemeClr val="accent3"/>
                  </a:solidFill>
                  <a:ln>
                    <a:noFill/>
                  </a:ln>
                  <a:effectLst/>
                </c:spPr>
                <c:invertIfNegative val="0"/>
                <c:cat>
                  <c:strRef>
                    <c:extLst>
                      <c:ext uri="{02D57815-91ED-43cb-92C2-25804820EDAC}">
                        <c15:formulaRef>
                          <c15:sqref>Hárok1!$C$3:$N$3</c15:sqref>
                        </c15:formulaRef>
                      </c:ext>
                    </c:extLst>
                    <c:strCache>
                      <c:ptCount val="12"/>
                      <c:pt idx="0">
                        <c:v>2010</c:v>
                      </c:pt>
                      <c:pt idx="1">
                        <c:v>2011</c:v>
                      </c:pt>
                      <c:pt idx="2">
                        <c:v>2012</c:v>
                      </c:pt>
                      <c:pt idx="3">
                        <c:v>2013</c:v>
                      </c:pt>
                      <c:pt idx="4">
                        <c:v>2014</c:v>
                      </c:pt>
                      <c:pt idx="5">
                        <c:v>2015</c:v>
                      </c:pt>
                      <c:pt idx="6">
                        <c:v>2016</c:v>
                      </c:pt>
                      <c:pt idx="7">
                        <c:v>2017</c:v>
                      </c:pt>
                      <c:pt idx="8">
                        <c:v>2018 OS</c:v>
                      </c:pt>
                      <c:pt idx="9">
                        <c:v>2019 R</c:v>
                      </c:pt>
                      <c:pt idx="10">
                        <c:v>2020 R</c:v>
                      </c:pt>
                      <c:pt idx="11">
                        <c:v>2021 R</c:v>
                      </c:pt>
                    </c:strCache>
                  </c:strRef>
                </c:cat>
                <c:val>
                  <c:numRef>
                    <c:extLst>
                      <c:ext uri="{02D57815-91ED-43cb-92C2-25804820EDAC}">
                        <c15:formulaRef>
                          <c15:sqref>Hárok1!$C$6:$N$6</c15:sqref>
                        </c15:formulaRef>
                      </c:ext>
                    </c:extLst>
                    <c:numCache>
                      <c:formatCode>#,##0</c:formatCode>
                      <c:ptCount val="12"/>
                      <c:pt idx="0">
                        <c:v>5962988</c:v>
                      </c:pt>
                      <c:pt idx="1">
                        <c:v>6253847</c:v>
                      </c:pt>
                      <c:pt idx="2">
                        <c:v>6407850</c:v>
                      </c:pt>
                      <c:pt idx="3">
                        <c:v>6643204</c:v>
                      </c:pt>
                      <c:pt idx="4">
                        <c:v>6899728</c:v>
                      </c:pt>
                      <c:pt idx="5">
                        <c:v>7418227</c:v>
                      </c:pt>
                      <c:pt idx="6">
                        <c:v>7150230</c:v>
                      </c:pt>
                      <c:pt idx="7">
                        <c:v>7747444</c:v>
                      </c:pt>
                      <c:pt idx="8">
                        <c:v>8162207</c:v>
                      </c:pt>
                      <c:pt idx="9">
                        <c:v>8380651</c:v>
                      </c:pt>
                      <c:pt idx="10">
                        <c:v>8913208</c:v>
                      </c:pt>
                      <c:pt idx="11">
                        <c:v>9412964</c:v>
                      </c:pt>
                    </c:numCache>
                  </c:numRef>
                </c:val>
                <c:extLst>
                  <c:ext xmlns:c16="http://schemas.microsoft.com/office/drawing/2014/chart" uri="{C3380CC4-5D6E-409C-BE32-E72D297353CC}">
                    <c16:uniqueId val="{00000003-E740-45A2-AD06-4C6D14C9712B}"/>
                  </c:ext>
                </c:extLst>
              </c15:ser>
            </c15:filteredBarSeries>
          </c:ext>
        </c:extLst>
      </c:barChart>
      <c:lineChart>
        <c:grouping val="standard"/>
        <c:varyColors val="0"/>
        <c:ser>
          <c:idx val="3"/>
          <c:order val="3"/>
          <c:tx>
            <c:strRef>
              <c:f>Hárok1!$B$7</c:f>
              <c:strCache>
                <c:ptCount val="1"/>
                <c:pt idx="0">
                  <c:v>Použitie prostriedkov fondov</c:v>
                </c:pt>
              </c:strCache>
            </c:strRef>
          </c:tx>
          <c:spPr>
            <a:ln w="28575" cap="rnd">
              <a:solidFill>
                <a:schemeClr val="accent4"/>
              </a:solidFill>
              <a:round/>
            </a:ln>
            <a:effectLst/>
          </c:spPr>
          <c:marker>
            <c:symbol val="none"/>
          </c:marker>
          <c:cat>
            <c:strRef>
              <c:f>Hárok1!$C$3:$N$3</c:f>
              <c:strCache>
                <c:ptCount val="12"/>
                <c:pt idx="0">
                  <c:v>2010</c:v>
                </c:pt>
                <c:pt idx="1">
                  <c:v>2011</c:v>
                </c:pt>
                <c:pt idx="2">
                  <c:v>2012</c:v>
                </c:pt>
                <c:pt idx="3">
                  <c:v>2013</c:v>
                </c:pt>
                <c:pt idx="4">
                  <c:v>2014</c:v>
                </c:pt>
                <c:pt idx="5">
                  <c:v>2015</c:v>
                </c:pt>
                <c:pt idx="6">
                  <c:v>2016</c:v>
                </c:pt>
                <c:pt idx="7">
                  <c:v>2017</c:v>
                </c:pt>
                <c:pt idx="8">
                  <c:v>2018 OS</c:v>
                </c:pt>
                <c:pt idx="9">
                  <c:v>2019 R</c:v>
                </c:pt>
                <c:pt idx="10">
                  <c:v>2020 R</c:v>
                </c:pt>
                <c:pt idx="11">
                  <c:v>2021 R</c:v>
                </c:pt>
              </c:strCache>
            </c:strRef>
          </c:cat>
          <c:val>
            <c:numRef>
              <c:f>Hárok1!$C$7:$N$7</c:f>
              <c:numCache>
                <c:formatCode>#,##0</c:formatCode>
                <c:ptCount val="12"/>
                <c:pt idx="0">
                  <c:v>5947178</c:v>
                </c:pt>
                <c:pt idx="1">
                  <c:v>6132633</c:v>
                </c:pt>
                <c:pt idx="2">
                  <c:v>6433093</c:v>
                </c:pt>
                <c:pt idx="3">
                  <c:v>6653267</c:v>
                </c:pt>
                <c:pt idx="4">
                  <c:v>6959916</c:v>
                </c:pt>
                <c:pt idx="5">
                  <c:v>7176418</c:v>
                </c:pt>
                <c:pt idx="6">
                  <c:v>7324318</c:v>
                </c:pt>
                <c:pt idx="7">
                  <c:v>7710844</c:v>
                </c:pt>
                <c:pt idx="8">
                  <c:v>8099445</c:v>
                </c:pt>
                <c:pt idx="9">
                  <c:v>8359931</c:v>
                </c:pt>
                <c:pt idx="10">
                  <c:v>8669602</c:v>
                </c:pt>
                <c:pt idx="11">
                  <c:v>8975654</c:v>
                </c:pt>
              </c:numCache>
            </c:numRef>
          </c:val>
          <c:smooth val="0"/>
          <c:extLst>
            <c:ext xmlns:c16="http://schemas.microsoft.com/office/drawing/2014/chart" uri="{C3380CC4-5D6E-409C-BE32-E72D297353CC}">
              <c16:uniqueId val="{00000002-E740-45A2-AD06-4C6D14C9712B}"/>
            </c:ext>
          </c:extLst>
        </c:ser>
        <c:dLbls>
          <c:showLegendKey val="0"/>
          <c:showVal val="0"/>
          <c:showCatName val="0"/>
          <c:showSerName val="0"/>
          <c:showPercent val="0"/>
          <c:showBubbleSize val="0"/>
        </c:dLbls>
        <c:marker val="1"/>
        <c:smooth val="0"/>
        <c:axId val="63790080"/>
        <c:axId val="63816448"/>
      </c:lineChart>
      <c:catAx>
        <c:axId val="63790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cs-CZ" sz="8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63816448"/>
        <c:crosses val="autoZero"/>
        <c:auto val="1"/>
        <c:lblAlgn val="ctr"/>
        <c:lblOffset val="100"/>
        <c:noMultiLvlLbl val="0"/>
      </c:catAx>
      <c:valAx>
        <c:axId val="638164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cs-CZ" sz="8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63790080"/>
        <c:crosses val="autoZero"/>
        <c:crossBetween val="between"/>
      </c:valAx>
      <c:spPr>
        <a:noFill/>
        <a:ln>
          <a:noFill/>
        </a:ln>
        <a:effectLst/>
      </c:spPr>
    </c:plotArea>
    <c:legend>
      <c:legendPos val="b"/>
      <c:layout>
        <c:manualLayout>
          <c:xMode val="edge"/>
          <c:yMode val="edge"/>
          <c:x val="1.6281412966220619E-2"/>
          <c:y val="0.89882611365098475"/>
          <c:w val="0.94107460448041036"/>
          <c:h val="9.6196549522642463E-2"/>
        </c:manualLayout>
      </c:layout>
      <c:overlay val="0"/>
      <c:spPr>
        <a:noFill/>
        <a:ln>
          <a:noFill/>
        </a:ln>
        <a:effectLst/>
      </c:spPr>
      <c:txPr>
        <a:bodyPr rot="0" spcFirstLastPara="1" vertOverflow="ellipsis" vert="horz" wrap="square" anchor="ctr" anchorCtr="1"/>
        <a:lstStyle/>
        <a:p>
          <a:pPr>
            <a:defRPr lang="cs-CZ" sz="8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sz="800">
          <a:latin typeface="Arial Narrow" panose="020B0606020202030204" pitchFamily="34" charset="0"/>
        </a:defRPr>
      </a:pPr>
      <a:endParaRPr lang="sk-SK"/>
    </a:p>
  </c:txPr>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3826715435670959E-2"/>
          <c:y val="7.1614583333333356E-2"/>
          <c:w val="0.90163066966026839"/>
          <c:h val="0.59343421916010497"/>
        </c:manualLayout>
      </c:layout>
      <c:lineChart>
        <c:grouping val="standard"/>
        <c:varyColors val="0"/>
        <c:ser>
          <c:idx val="1"/>
          <c:order val="0"/>
          <c:tx>
            <c:strRef>
              <c:f>Hárok1!$A$11</c:f>
              <c:strCache>
                <c:ptCount val="1"/>
                <c:pt idx="0">
                  <c:v>Príjem VZP prepočítaný na 1 poistenca štátu</c:v>
                </c:pt>
              </c:strCache>
            </c:strRef>
          </c:tx>
          <c:spPr>
            <a:ln w="28575" cap="rnd">
              <a:solidFill>
                <a:srgbClr val="00B0F0"/>
              </a:solidFill>
              <a:round/>
            </a:ln>
            <a:effectLst/>
          </c:spPr>
          <c:marker>
            <c:symbol val="square"/>
            <c:size val="5"/>
            <c:spPr>
              <a:solidFill>
                <a:srgbClr val="00B0F0"/>
              </a:solidFill>
              <a:ln w="9525">
                <a:solidFill>
                  <a:schemeClr val="accent1">
                    <a:tint val="77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cs-CZ" sz="900" b="0" i="0" u="none" strike="noStrike" kern="1200" baseline="0">
                    <a:solidFill>
                      <a:schemeClr val="tx1">
                        <a:lumMod val="75000"/>
                        <a:lumOff val="25000"/>
                      </a:schemeClr>
                    </a:solidFill>
                    <a:latin typeface="+mn-lt"/>
                    <a:ea typeface="+mn-ea"/>
                    <a:cs typeface="+mn-cs"/>
                  </a:defRPr>
                </a:pPr>
                <a:endParaRPr lang="sk-SK"/>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Hárok1!$B$1:$H$1</c:f>
              <c:strCache>
                <c:ptCount val="7"/>
                <c:pt idx="0">
                  <c:v>2013</c:v>
                </c:pt>
                <c:pt idx="1">
                  <c:v>2014</c:v>
                </c:pt>
                <c:pt idx="2">
                  <c:v>2015</c:v>
                </c:pt>
                <c:pt idx="3">
                  <c:v>2016</c:v>
                </c:pt>
                <c:pt idx="4">
                  <c:v>2017</c:v>
                </c:pt>
                <c:pt idx="5">
                  <c:v>2018 OS</c:v>
                </c:pt>
                <c:pt idx="6">
                  <c:v>2019 N</c:v>
                </c:pt>
              </c:strCache>
            </c:strRef>
          </c:cat>
          <c:val>
            <c:numRef>
              <c:f>Hárok1!$B$11:$H$11</c:f>
              <c:numCache>
                <c:formatCode>0.0</c:formatCode>
                <c:ptCount val="7"/>
                <c:pt idx="0">
                  <c:v>410.38438060131034</c:v>
                </c:pt>
                <c:pt idx="1">
                  <c:v>393.2696194362091</c:v>
                </c:pt>
                <c:pt idx="2">
                  <c:v>445.09873818307244</c:v>
                </c:pt>
                <c:pt idx="3">
                  <c:v>466.17962432371996</c:v>
                </c:pt>
                <c:pt idx="4">
                  <c:v>445.62790163614164</c:v>
                </c:pt>
                <c:pt idx="5">
                  <c:v>404.47980462862267</c:v>
                </c:pt>
                <c:pt idx="6">
                  <c:v>325.42372881355925</c:v>
                </c:pt>
              </c:numCache>
            </c:numRef>
          </c:val>
          <c:smooth val="0"/>
          <c:extLst>
            <c:ext xmlns:c16="http://schemas.microsoft.com/office/drawing/2014/chart" uri="{C3380CC4-5D6E-409C-BE32-E72D297353CC}">
              <c16:uniqueId val="{00000000-C923-4C2A-B998-BF449AE0985B}"/>
            </c:ext>
          </c:extLst>
        </c:ser>
        <c:ser>
          <c:idx val="0"/>
          <c:order val="1"/>
          <c:tx>
            <c:strRef>
              <c:f>Hárok1!$A$8</c:f>
              <c:strCache>
                <c:ptCount val="1"/>
                <c:pt idx="0">
                  <c:v>Príjem VZP prepočítaný na 1 ekonomicky aktívneho obyvateľa</c:v>
                </c:pt>
              </c:strCache>
              <c:extLst xmlns:c15="http://schemas.microsoft.com/office/drawing/2012/chart"/>
            </c:strRef>
          </c:tx>
          <c:spPr>
            <a:ln w="28575" cap="rnd">
              <a:solidFill>
                <a:schemeClr val="accent4">
                  <a:lumMod val="75000"/>
                </a:schemeClr>
              </a:solidFill>
              <a:round/>
            </a:ln>
            <a:effectLst/>
          </c:spPr>
          <c:marker>
            <c:symbol val="diamond"/>
            <c:size val="5"/>
            <c:spPr>
              <a:solidFill>
                <a:schemeClr val="accent4">
                  <a:lumMod val="75000"/>
                </a:schemeClr>
              </a:solidFill>
              <a:ln w="9525">
                <a:solidFill>
                  <a:schemeClr val="accent1">
                    <a:shade val="76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cs-CZ" sz="900" b="0" i="0" u="none" strike="noStrike" kern="1200" baseline="0">
                    <a:solidFill>
                      <a:schemeClr val="tx1">
                        <a:lumMod val="75000"/>
                        <a:lumOff val="25000"/>
                      </a:schemeClr>
                    </a:solidFill>
                    <a:latin typeface="+mn-lt"/>
                    <a:ea typeface="+mn-ea"/>
                    <a:cs typeface="+mn-cs"/>
                  </a:defRPr>
                </a:pPr>
                <a:endParaRPr lang="sk-SK"/>
              </a:p>
            </c:txPr>
            <c:dLblPos val="t"/>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Hárok1!$B$1:$H$1</c:f>
              <c:strCache>
                <c:ptCount val="7"/>
                <c:pt idx="0">
                  <c:v>2013</c:v>
                </c:pt>
                <c:pt idx="1">
                  <c:v>2014</c:v>
                </c:pt>
                <c:pt idx="2">
                  <c:v>2015</c:v>
                </c:pt>
                <c:pt idx="3">
                  <c:v>2016</c:v>
                </c:pt>
                <c:pt idx="4">
                  <c:v>2017</c:v>
                </c:pt>
                <c:pt idx="5">
                  <c:v>2018 OS</c:v>
                </c:pt>
                <c:pt idx="6">
                  <c:v>2019 N</c:v>
                </c:pt>
              </c:strCache>
              <c:extLst xmlns:c15="http://schemas.microsoft.com/office/drawing/2012/chart"/>
            </c:strRef>
          </c:cat>
          <c:val>
            <c:numRef>
              <c:f>Hárok1!$B$8:$H$8</c:f>
              <c:numCache>
                <c:formatCode>0.0</c:formatCode>
                <c:ptCount val="7"/>
                <c:pt idx="0">
                  <c:v>943.93179390859223</c:v>
                </c:pt>
                <c:pt idx="1">
                  <c:v>998.52377103387494</c:v>
                </c:pt>
                <c:pt idx="2">
                  <c:v>1032.5395318263156</c:v>
                </c:pt>
                <c:pt idx="3">
                  <c:v>1095.0886479823068</c:v>
                </c:pt>
                <c:pt idx="4">
                  <c:v>1222.5769751286555</c:v>
                </c:pt>
                <c:pt idx="5">
                  <c:v>1347.196414769325</c:v>
                </c:pt>
                <c:pt idx="6">
                  <c:v>1443.9915208624027</c:v>
                </c:pt>
              </c:numCache>
            </c:numRef>
          </c:val>
          <c:smooth val="0"/>
          <c:extLst xmlns:c15="http://schemas.microsoft.com/office/drawing/2012/chart">
            <c:ext xmlns:c16="http://schemas.microsoft.com/office/drawing/2014/chart" uri="{C3380CC4-5D6E-409C-BE32-E72D297353CC}">
              <c16:uniqueId val="{00000001-C923-4C2A-B998-BF449AE0985B}"/>
            </c:ext>
          </c:extLst>
        </c:ser>
        <c:dLbls>
          <c:showLegendKey val="0"/>
          <c:showVal val="1"/>
          <c:showCatName val="0"/>
          <c:showSerName val="0"/>
          <c:showPercent val="0"/>
          <c:showBubbleSize val="0"/>
        </c:dLbls>
        <c:marker val="1"/>
        <c:smooth val="0"/>
        <c:axId val="73484160"/>
        <c:axId val="73485696"/>
        <c:extLst/>
      </c:lineChart>
      <c:catAx>
        <c:axId val="7348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cs-CZ" sz="900" b="0" i="0" u="none" strike="noStrike" kern="1200" baseline="0">
                <a:solidFill>
                  <a:schemeClr val="tx1">
                    <a:lumMod val="65000"/>
                    <a:lumOff val="35000"/>
                  </a:schemeClr>
                </a:solidFill>
                <a:latin typeface="+mn-lt"/>
                <a:ea typeface="+mn-ea"/>
                <a:cs typeface="+mn-cs"/>
              </a:defRPr>
            </a:pPr>
            <a:endParaRPr lang="sk-SK"/>
          </a:p>
        </c:txPr>
        <c:crossAx val="73485696"/>
        <c:crosses val="autoZero"/>
        <c:auto val="1"/>
        <c:lblAlgn val="ctr"/>
        <c:lblOffset val="100"/>
        <c:noMultiLvlLbl val="0"/>
      </c:catAx>
      <c:valAx>
        <c:axId val="73485696"/>
        <c:scaling>
          <c:orientation val="minMax"/>
          <c:max val="1500"/>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lang="cs-CZ" sz="900" b="0" i="0" u="none" strike="noStrike" kern="1200" baseline="0">
                <a:solidFill>
                  <a:schemeClr val="tx1">
                    <a:lumMod val="65000"/>
                    <a:lumOff val="35000"/>
                  </a:schemeClr>
                </a:solidFill>
                <a:latin typeface="+mn-lt"/>
                <a:ea typeface="+mn-ea"/>
                <a:cs typeface="+mn-cs"/>
              </a:defRPr>
            </a:pPr>
            <a:endParaRPr lang="sk-SK"/>
          </a:p>
        </c:txPr>
        <c:crossAx val="73484160"/>
        <c:crosses val="autoZero"/>
        <c:crossBetween val="between"/>
        <c:majorUnit val="300"/>
      </c:valAx>
      <c:spPr>
        <a:noFill/>
        <a:ln>
          <a:noFill/>
        </a:ln>
        <a:effectLst/>
      </c:spPr>
    </c:plotArea>
    <c:legend>
      <c:legendPos val="b"/>
      <c:layout>
        <c:manualLayout>
          <c:xMode val="edge"/>
          <c:yMode val="edge"/>
          <c:x val="0.15007677253194759"/>
          <c:y val="0.80305835793963254"/>
          <c:w val="0.75339397836314681"/>
          <c:h val="0.15787914206036749"/>
        </c:manualLayout>
      </c:layout>
      <c:overlay val="0"/>
      <c:spPr>
        <a:noFill/>
        <a:ln>
          <a:noFill/>
        </a:ln>
        <a:effectLst/>
      </c:spPr>
      <c:txPr>
        <a:bodyPr rot="0" spcFirstLastPara="1" vertOverflow="ellipsis" vert="horz" wrap="square" anchor="ctr" anchorCtr="1"/>
        <a:lstStyle/>
        <a:p>
          <a:pPr>
            <a:defRPr lang="cs-CZ"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a:pPr>
      <a:endParaRPr lang="sk-SK"/>
    </a:p>
  </c:txPr>
  <c:externalData r:id="rId4">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Sheet0!$A$4</c:f>
              <c:strCache>
                <c:ptCount val="1"/>
                <c:pt idx="0">
                  <c:v>EÚ</c:v>
                </c:pt>
              </c:strCache>
            </c:strRef>
          </c:tx>
          <c:spPr>
            <a:ln w="28575" cap="rnd">
              <a:solidFill>
                <a:srgbClr val="00B0F0"/>
              </a:solidFill>
              <a:round/>
            </a:ln>
            <a:effectLst/>
          </c:spPr>
          <c:marker>
            <c:symbol val="none"/>
          </c:marker>
          <c:cat>
            <c:strRef>
              <c:f>Sheet0!$B$3:$J$3</c:f>
              <c:strCache>
                <c:ptCount val="9"/>
                <c:pt idx="0">
                  <c:v>2010</c:v>
                </c:pt>
                <c:pt idx="1">
                  <c:v>2011</c:v>
                </c:pt>
                <c:pt idx="2">
                  <c:v>2012</c:v>
                </c:pt>
                <c:pt idx="3">
                  <c:v>2013</c:v>
                </c:pt>
                <c:pt idx="4">
                  <c:v>2014</c:v>
                </c:pt>
                <c:pt idx="5">
                  <c:v>2015</c:v>
                </c:pt>
                <c:pt idx="6">
                  <c:v>2016</c:v>
                </c:pt>
                <c:pt idx="7">
                  <c:v>2017</c:v>
                </c:pt>
                <c:pt idx="8">
                  <c:v>2020</c:v>
                </c:pt>
              </c:strCache>
            </c:strRef>
          </c:cat>
          <c:val>
            <c:numRef>
              <c:f>Sheet0!$B$4:$I$4</c:f>
              <c:numCache>
                <c:formatCode>General</c:formatCode>
                <c:ptCount val="8"/>
                <c:pt idx="0">
                  <c:v>33.800000000000004</c:v>
                </c:pt>
                <c:pt idx="1">
                  <c:v>34.800000000000004</c:v>
                </c:pt>
                <c:pt idx="2">
                  <c:v>36</c:v>
                </c:pt>
                <c:pt idx="3">
                  <c:v>37.1</c:v>
                </c:pt>
                <c:pt idx="4">
                  <c:v>37.9</c:v>
                </c:pt>
                <c:pt idx="5">
                  <c:v>38.700000000000003</c:v>
                </c:pt>
                <c:pt idx="6">
                  <c:v>39.1</c:v>
                </c:pt>
                <c:pt idx="7">
                  <c:v>39.9</c:v>
                </c:pt>
              </c:numCache>
            </c:numRef>
          </c:val>
          <c:smooth val="0"/>
          <c:extLst>
            <c:ext xmlns:c16="http://schemas.microsoft.com/office/drawing/2014/chart" uri="{C3380CC4-5D6E-409C-BE32-E72D297353CC}">
              <c16:uniqueId val="{00000000-7BBE-42E1-B4CA-6FA1F8249C75}"/>
            </c:ext>
          </c:extLst>
        </c:ser>
        <c:ser>
          <c:idx val="1"/>
          <c:order val="1"/>
          <c:tx>
            <c:strRef>
              <c:f>Sheet0!$A$8</c:f>
              <c:strCache>
                <c:ptCount val="1"/>
                <c:pt idx="0">
                  <c:v>V3</c:v>
                </c:pt>
              </c:strCache>
            </c:strRef>
          </c:tx>
          <c:spPr>
            <a:ln w="28575" cap="rnd">
              <a:solidFill>
                <a:schemeClr val="accent4">
                  <a:lumMod val="75000"/>
                </a:schemeClr>
              </a:solidFill>
              <a:round/>
            </a:ln>
            <a:effectLst/>
          </c:spPr>
          <c:marker>
            <c:symbol val="none"/>
          </c:marker>
          <c:cat>
            <c:strRef>
              <c:f>Sheet0!$B$3:$J$3</c:f>
              <c:strCache>
                <c:ptCount val="9"/>
                <c:pt idx="0">
                  <c:v>2010</c:v>
                </c:pt>
                <c:pt idx="1">
                  <c:v>2011</c:v>
                </c:pt>
                <c:pt idx="2">
                  <c:v>2012</c:v>
                </c:pt>
                <c:pt idx="3">
                  <c:v>2013</c:v>
                </c:pt>
                <c:pt idx="4">
                  <c:v>2014</c:v>
                </c:pt>
                <c:pt idx="5">
                  <c:v>2015</c:v>
                </c:pt>
                <c:pt idx="6">
                  <c:v>2016</c:v>
                </c:pt>
                <c:pt idx="7">
                  <c:v>2017</c:v>
                </c:pt>
                <c:pt idx="8">
                  <c:v>2020</c:v>
                </c:pt>
              </c:strCache>
            </c:strRef>
          </c:cat>
          <c:val>
            <c:numRef>
              <c:f>Sheet0!$B$8:$I$8</c:f>
              <c:numCache>
                <c:formatCode>0.0</c:formatCode>
                <c:ptCount val="8"/>
                <c:pt idx="0">
                  <c:v>27.099999999999991</c:v>
                </c:pt>
                <c:pt idx="1">
                  <c:v>29.466666666666669</c:v>
                </c:pt>
                <c:pt idx="2">
                  <c:v>31.5</c:v>
                </c:pt>
                <c:pt idx="3">
                  <c:v>33.166666666666636</c:v>
                </c:pt>
                <c:pt idx="4">
                  <c:v>34.800000000000004</c:v>
                </c:pt>
                <c:pt idx="5">
                  <c:v>35.933333333333337</c:v>
                </c:pt>
                <c:pt idx="6">
                  <c:v>36.800000000000004</c:v>
                </c:pt>
                <c:pt idx="7">
                  <c:v>37.333333333333336</c:v>
                </c:pt>
              </c:numCache>
            </c:numRef>
          </c:val>
          <c:smooth val="0"/>
          <c:extLst>
            <c:ext xmlns:c16="http://schemas.microsoft.com/office/drawing/2014/chart" uri="{C3380CC4-5D6E-409C-BE32-E72D297353CC}">
              <c16:uniqueId val="{00000001-7BBE-42E1-B4CA-6FA1F8249C75}"/>
            </c:ext>
          </c:extLst>
        </c:ser>
        <c:ser>
          <c:idx val="2"/>
          <c:order val="2"/>
          <c:tx>
            <c:strRef>
              <c:f>Sheet0!$A$9</c:f>
              <c:strCache>
                <c:ptCount val="1"/>
                <c:pt idx="0">
                  <c:v>Slovensko</c:v>
                </c:pt>
              </c:strCache>
            </c:strRef>
          </c:tx>
          <c:spPr>
            <a:ln w="28575" cap="rnd">
              <a:solidFill>
                <a:schemeClr val="accent3"/>
              </a:solidFill>
              <a:round/>
            </a:ln>
            <a:effectLst/>
          </c:spPr>
          <c:marker>
            <c:symbol val="none"/>
          </c:marker>
          <c:dPt>
            <c:idx val="8"/>
            <c:bubble3D val="0"/>
            <c:spPr>
              <a:ln w="28575" cap="rnd">
                <a:gradFill flip="none" rotWithShape="1">
                  <a:gsLst>
                    <a:gs pos="0">
                      <a:srgbClr val="FF0000"/>
                    </a:gs>
                    <a:gs pos="0">
                      <a:schemeClr val="accent2">
                        <a:lumMod val="89000"/>
                      </a:schemeClr>
                    </a:gs>
                    <a:gs pos="0">
                      <a:srgbClr val="FF0000"/>
                    </a:gs>
                  </a:gsLst>
                  <a:path path="circle">
                    <a:fillToRect l="50000" t="50000" r="50000" b="50000"/>
                  </a:path>
                  <a:tileRect/>
                </a:gradFill>
                <a:prstDash val="dash"/>
                <a:round/>
              </a:ln>
              <a:effectLst/>
            </c:spPr>
            <c:extLst>
              <c:ext xmlns:c16="http://schemas.microsoft.com/office/drawing/2014/chart" uri="{C3380CC4-5D6E-409C-BE32-E72D297353CC}">
                <c16:uniqueId val="{00000003-7BBE-42E1-B4CA-6FA1F8249C75}"/>
              </c:ext>
            </c:extLst>
          </c:dPt>
          <c:dLbls>
            <c:dLbl>
              <c:idx val="7"/>
              <c:layout>
                <c:manualLayout>
                  <c:x val="-3.4990003759570391E-2"/>
                  <c:y val="-5.55304223335719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BBE-42E1-B4CA-6FA1F8249C75}"/>
                </c:ext>
              </c:extLst>
            </c:dLbl>
            <c:spPr>
              <a:noFill/>
              <a:ln>
                <a:noFill/>
              </a:ln>
              <a:effectLst/>
            </c:spPr>
            <c:txPr>
              <a:bodyPr rot="0" spcFirstLastPara="1" vertOverflow="ellipsis" vert="horz" wrap="square" anchor="ctr" anchorCtr="1"/>
              <a:lstStyle/>
              <a:p>
                <a:pPr>
                  <a:defRPr lang="cs-CZ" sz="900" b="0" i="0" u="none" strike="noStrike" kern="1200" baseline="0">
                    <a:solidFill>
                      <a:schemeClr val="tx1">
                        <a:lumMod val="75000"/>
                        <a:lumOff val="25000"/>
                      </a:schemeClr>
                    </a:solidFill>
                    <a:latin typeface="Arial Narrow" panose="020B0606020202030204" pitchFamily="34" charset="0"/>
                    <a:ea typeface="+mn-ea"/>
                    <a:cs typeface="+mn-cs"/>
                  </a:defRPr>
                </a:pPr>
                <a:endParaRPr lang="sk-SK"/>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Sheet0!$B$3:$J$3</c:f>
              <c:strCache>
                <c:ptCount val="9"/>
                <c:pt idx="0">
                  <c:v>2010</c:v>
                </c:pt>
                <c:pt idx="1">
                  <c:v>2011</c:v>
                </c:pt>
                <c:pt idx="2">
                  <c:v>2012</c:v>
                </c:pt>
                <c:pt idx="3">
                  <c:v>2013</c:v>
                </c:pt>
                <c:pt idx="4">
                  <c:v>2014</c:v>
                </c:pt>
                <c:pt idx="5">
                  <c:v>2015</c:v>
                </c:pt>
                <c:pt idx="6">
                  <c:v>2016</c:v>
                </c:pt>
                <c:pt idx="7">
                  <c:v>2017</c:v>
                </c:pt>
                <c:pt idx="8">
                  <c:v>2020</c:v>
                </c:pt>
              </c:strCache>
            </c:strRef>
          </c:cat>
          <c:val>
            <c:numRef>
              <c:f>Sheet0!$B$9:$J$9</c:f>
              <c:numCache>
                <c:formatCode>General</c:formatCode>
                <c:ptCount val="9"/>
                <c:pt idx="0">
                  <c:v>22.1</c:v>
                </c:pt>
                <c:pt idx="1">
                  <c:v>23.2</c:v>
                </c:pt>
                <c:pt idx="2">
                  <c:v>23.7</c:v>
                </c:pt>
                <c:pt idx="3">
                  <c:v>26.9</c:v>
                </c:pt>
                <c:pt idx="4">
                  <c:v>26.9</c:v>
                </c:pt>
                <c:pt idx="5">
                  <c:v>28.4</c:v>
                </c:pt>
                <c:pt idx="6">
                  <c:v>31.5</c:v>
                </c:pt>
                <c:pt idx="7">
                  <c:v>34.300000000000004</c:v>
                </c:pt>
                <c:pt idx="8">
                  <c:v>40</c:v>
                </c:pt>
              </c:numCache>
            </c:numRef>
          </c:val>
          <c:smooth val="0"/>
          <c:extLst>
            <c:ext xmlns:c16="http://schemas.microsoft.com/office/drawing/2014/chart" uri="{C3380CC4-5D6E-409C-BE32-E72D297353CC}">
              <c16:uniqueId val="{00000005-7BBE-42E1-B4CA-6FA1F8249C75}"/>
            </c:ext>
          </c:extLst>
        </c:ser>
        <c:dLbls>
          <c:showLegendKey val="0"/>
          <c:showVal val="0"/>
          <c:showCatName val="0"/>
          <c:showSerName val="0"/>
          <c:showPercent val="0"/>
          <c:showBubbleSize val="0"/>
        </c:dLbls>
        <c:smooth val="0"/>
        <c:axId val="74831360"/>
        <c:axId val="74832896"/>
      </c:lineChart>
      <c:catAx>
        <c:axId val="74831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cs-CZ"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74832896"/>
        <c:crosses val="autoZero"/>
        <c:auto val="1"/>
        <c:lblAlgn val="ctr"/>
        <c:lblOffset val="100"/>
        <c:noMultiLvlLbl val="0"/>
      </c:catAx>
      <c:valAx>
        <c:axId val="74832896"/>
        <c:scaling>
          <c:orientation val="minMax"/>
          <c:min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cs-CZ"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74831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cs-CZ"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a:latin typeface="Arial Narrow" panose="020B0606020202030204" pitchFamily="34" charset="0"/>
        </a:defRPr>
      </a:pPr>
      <a:endParaRPr lang="sk-SK"/>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170926550847834"/>
          <c:y val="2.5396657632561027E-2"/>
          <c:w val="0.69603917014425054"/>
          <c:h val="0.8188146481689792"/>
        </c:manualLayout>
      </c:layout>
      <c:barChart>
        <c:barDir val="bar"/>
        <c:grouping val="clustered"/>
        <c:varyColors val="0"/>
        <c:ser>
          <c:idx val="5"/>
          <c:order val="5"/>
          <c:tx>
            <c:strRef>
              <c:f>'DaňPríjmy_ESA2010_Vývoj VF'!$G$1</c:f>
              <c:strCache>
                <c:ptCount val="1"/>
                <c:pt idx="0">
                  <c:v>2018 OS</c:v>
                </c:pt>
              </c:strCache>
            </c:strRef>
          </c:tx>
          <c:spPr>
            <a:solidFill>
              <a:srgbClr val="00B050"/>
            </a:solidFill>
            <a:ln>
              <a:solidFill>
                <a:srgbClr val="002060"/>
              </a:solidFill>
            </a:ln>
          </c:spPr>
          <c:invertIfNegative val="0"/>
          <c:cat>
            <c:strRef>
              <c:f>'DaňPríjmy_ESA2010_Vývoj VF'!$A$2:$A$68</c:f>
              <c:strCache>
                <c:ptCount val="9"/>
                <c:pt idx="0">
                  <c:v>Dane z príjmov, ziskov a kap. majetku</c:v>
                </c:pt>
                <c:pt idx="1">
                  <c:v>Daň z príjmov fyzických osôb </c:v>
                </c:pt>
                <c:pt idx="2">
                  <c:v>Daň z príjmov právnických osôb </c:v>
                </c:pt>
                <c:pt idx="3">
                  <c:v>Dane na tovary a služby</c:v>
                </c:pt>
                <c:pt idx="4">
                  <c:v>Daň z pridanej hodnoty</c:v>
                </c:pt>
                <c:pt idx="5">
                  <c:v>Spotrebné dane</c:v>
                </c:pt>
                <c:pt idx="6">
                  <c:v>Sociálna poisťovňa</c:v>
                </c:pt>
                <c:pt idx="7">
                  <c:v>Zdravotné poisťovne</c:v>
                </c:pt>
                <c:pt idx="8">
                  <c:v>FSZP spolu</c:v>
                </c:pt>
              </c:strCache>
              <c:extLst/>
            </c:strRef>
          </c:cat>
          <c:val>
            <c:numRef>
              <c:f>'DaňPríjmy_ESA2010_Vývoj VF'!$G$2:$G$68</c:f>
              <c:numCache>
                <c:formatCode>#,##0</c:formatCode>
                <c:ptCount val="9"/>
                <c:pt idx="0">
                  <c:v>6160472</c:v>
                </c:pt>
                <c:pt idx="1">
                  <c:v>3189633</c:v>
                </c:pt>
                <c:pt idx="2">
                  <c:v>2741091</c:v>
                </c:pt>
                <c:pt idx="3">
                  <c:v>8676860</c:v>
                </c:pt>
                <c:pt idx="4">
                  <c:v>6349511</c:v>
                </c:pt>
                <c:pt idx="5">
                  <c:v>2327349</c:v>
                </c:pt>
                <c:pt idx="6">
                  <c:v>7838603</c:v>
                </c:pt>
                <c:pt idx="7">
                  <c:v>3667199</c:v>
                </c:pt>
                <c:pt idx="8">
                  <c:v>11505802</c:v>
                </c:pt>
              </c:numCache>
              <c:extLst/>
            </c:numRef>
          </c:val>
          <c:extLst xmlns:c15="http://schemas.microsoft.com/office/drawing/2012/chart">
            <c:ext xmlns:c16="http://schemas.microsoft.com/office/drawing/2014/chart" uri="{C3380CC4-5D6E-409C-BE32-E72D297353CC}">
              <c16:uniqueId val="{00000000-07F9-4353-8443-FFAAB977951C}"/>
            </c:ext>
          </c:extLst>
        </c:ser>
        <c:ser>
          <c:idx val="6"/>
          <c:order val="6"/>
          <c:tx>
            <c:strRef>
              <c:f>'DaňPríjmy_ESA2010_Vývoj VF'!$H$1</c:f>
              <c:strCache>
                <c:ptCount val="1"/>
                <c:pt idx="0">
                  <c:v>2019 RVS</c:v>
                </c:pt>
              </c:strCache>
            </c:strRef>
          </c:tx>
          <c:spPr>
            <a:solidFill>
              <a:schemeClr val="accent1">
                <a:lumMod val="20000"/>
                <a:lumOff val="80000"/>
              </a:schemeClr>
            </a:solidFill>
            <a:ln>
              <a:solidFill>
                <a:srgbClr val="002060"/>
              </a:solidFill>
            </a:ln>
          </c:spPr>
          <c:invertIfNegative val="0"/>
          <c:dLbls>
            <c:dLbl>
              <c:idx val="0"/>
              <c:tx>
                <c:rich>
                  <a:bodyPr/>
                  <a:lstStyle/>
                  <a:p>
                    <a:r>
                      <a:rPr lang="en-US"/>
                      <a:t>6,5 %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7F9-4353-8443-FFAAB977951C}"/>
                </c:ext>
              </c:extLst>
            </c:dLbl>
            <c:dLbl>
              <c:idx val="1"/>
              <c:tx>
                <c:rich>
                  <a:bodyPr/>
                  <a:lstStyle/>
                  <a:p>
                    <a:r>
                      <a:rPr lang="en-US"/>
                      <a:t>7,4 %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7F9-4353-8443-FFAAB977951C}"/>
                </c:ext>
              </c:extLst>
            </c:dLbl>
            <c:dLbl>
              <c:idx val="2"/>
              <c:tx>
                <c:rich>
                  <a:bodyPr/>
                  <a:lstStyle/>
                  <a:p>
                    <a:r>
                      <a:rPr lang="en-US"/>
                      <a:t>5,8%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7F9-4353-8443-FFAAB977951C}"/>
                </c:ext>
              </c:extLst>
            </c:dLbl>
            <c:dLbl>
              <c:idx val="3"/>
              <c:tx>
                <c:rich>
                  <a:bodyPr/>
                  <a:lstStyle/>
                  <a:p>
                    <a:r>
                      <a:rPr lang="en-US"/>
                      <a:t>4,8%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7F9-4353-8443-FFAAB977951C}"/>
                </c:ext>
              </c:extLst>
            </c:dLbl>
            <c:dLbl>
              <c:idx val="4"/>
              <c:tx>
                <c:rich>
                  <a:bodyPr/>
                  <a:lstStyle/>
                  <a:p>
                    <a:r>
                      <a:rPr lang="en-US"/>
                      <a:t>4,9 %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7F9-4353-8443-FFAAB977951C}"/>
                </c:ext>
              </c:extLst>
            </c:dLbl>
            <c:dLbl>
              <c:idx val="5"/>
              <c:tx>
                <c:rich>
                  <a:bodyPr/>
                  <a:lstStyle/>
                  <a:p>
                    <a:r>
                      <a:rPr lang="en-US"/>
                      <a:t>4,3 %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7F9-4353-8443-FFAAB977951C}"/>
                </c:ext>
              </c:extLst>
            </c:dLbl>
            <c:dLbl>
              <c:idx val="6"/>
              <c:tx>
                <c:rich>
                  <a:bodyPr/>
                  <a:lstStyle/>
                  <a:p>
                    <a:r>
                      <a:rPr lang="en-US"/>
                      <a:t>4,0 %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7F9-4353-8443-FFAAB977951C}"/>
                </c:ext>
              </c:extLst>
            </c:dLbl>
            <c:dLbl>
              <c:idx val="7"/>
              <c:tx>
                <c:rich>
                  <a:bodyPr/>
                  <a:lstStyle/>
                  <a:p>
                    <a:r>
                      <a:rPr lang="en-US"/>
                      <a:t>9,7 %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7F9-4353-8443-FFAAB977951C}"/>
                </c:ext>
              </c:extLst>
            </c:dLbl>
            <c:dLbl>
              <c:idx val="8"/>
              <c:layout>
                <c:manualLayout>
                  <c:x val="0"/>
                  <c:y val="3.8350910834132314E-2"/>
                </c:manualLayout>
              </c:layout>
              <c:tx>
                <c:rich>
                  <a:bodyPr/>
                  <a:lstStyle/>
                  <a:p>
                    <a:r>
                      <a:rPr lang="en-US"/>
                      <a:t>5,8 %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7F9-4353-8443-FFAAB977951C}"/>
                </c:ext>
              </c:extLst>
            </c:dLbl>
            <c:spPr>
              <a:noFill/>
              <a:ln>
                <a:noFill/>
              </a:ln>
              <a:effectLst/>
            </c:spPr>
            <c:txPr>
              <a:bodyPr wrap="square" lIns="38100" tIns="19050" rIns="38100" bIns="19050" anchor="ctr">
                <a:spAutoFit/>
              </a:bodyPr>
              <a:lstStyle/>
              <a:p>
                <a:pPr>
                  <a:defRPr lang="cs-CZ">
                    <a:latin typeface="Arial Narrow" panose="020B0606020202030204" pitchFamily="34" charset="0"/>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'DaňPríjmy_ESA2010_Vývoj VF'!$A$2:$A$68</c:f>
              <c:strCache>
                <c:ptCount val="9"/>
                <c:pt idx="0">
                  <c:v>Dane z príjmov, ziskov a kap. majetku</c:v>
                </c:pt>
                <c:pt idx="1">
                  <c:v>Daň z príjmov fyzických osôb </c:v>
                </c:pt>
                <c:pt idx="2">
                  <c:v>Daň z príjmov právnických osôb </c:v>
                </c:pt>
                <c:pt idx="3">
                  <c:v>Dane na tovary a služby</c:v>
                </c:pt>
                <c:pt idx="4">
                  <c:v>Daň z pridanej hodnoty</c:v>
                </c:pt>
                <c:pt idx="5">
                  <c:v>Spotrebné dane</c:v>
                </c:pt>
                <c:pt idx="6">
                  <c:v>Sociálna poisťovňa</c:v>
                </c:pt>
                <c:pt idx="7">
                  <c:v>Zdravotné poisťovne</c:v>
                </c:pt>
                <c:pt idx="8">
                  <c:v>FSZP spolu</c:v>
                </c:pt>
              </c:strCache>
              <c:extLst/>
            </c:strRef>
          </c:cat>
          <c:val>
            <c:numRef>
              <c:f>'DaňPríjmy_ESA2010_Vývoj VF'!$H$2:$H$68</c:f>
              <c:numCache>
                <c:formatCode>#,##0</c:formatCode>
                <c:ptCount val="9"/>
                <c:pt idx="0">
                  <c:v>6562689</c:v>
                </c:pt>
                <c:pt idx="1">
                  <c:v>3426902</c:v>
                </c:pt>
                <c:pt idx="2">
                  <c:v>2900148</c:v>
                </c:pt>
                <c:pt idx="3">
                  <c:v>9090089</c:v>
                </c:pt>
                <c:pt idx="4">
                  <c:v>6663664</c:v>
                </c:pt>
                <c:pt idx="5">
                  <c:v>2426425</c:v>
                </c:pt>
                <c:pt idx="6">
                  <c:v>8152696</c:v>
                </c:pt>
                <c:pt idx="7">
                  <c:v>4021821</c:v>
                </c:pt>
                <c:pt idx="8">
                  <c:v>12174517</c:v>
                </c:pt>
              </c:numCache>
              <c:extLst/>
            </c:numRef>
          </c:val>
          <c:extLst xmlns:c15="http://schemas.microsoft.com/office/drawing/2012/chart">
            <c:ext xmlns:c16="http://schemas.microsoft.com/office/drawing/2014/chart" uri="{C3380CC4-5D6E-409C-BE32-E72D297353CC}">
              <c16:uniqueId val="{0000000A-07F9-4353-8443-FFAAB977951C}"/>
            </c:ext>
          </c:extLst>
        </c:ser>
        <c:dLbls>
          <c:showLegendKey val="0"/>
          <c:showVal val="0"/>
          <c:showCatName val="0"/>
          <c:showSerName val="0"/>
          <c:showPercent val="0"/>
          <c:showBubbleSize val="0"/>
        </c:dLbls>
        <c:gapWidth val="74"/>
        <c:axId val="62359424"/>
        <c:axId val="62360960"/>
        <c:extLst>
          <c:ext xmlns:c15="http://schemas.microsoft.com/office/drawing/2012/chart" uri="{02D57815-91ED-43cb-92C2-25804820EDAC}">
            <c15:filteredBarSeries>
              <c15:ser>
                <c:idx val="0"/>
                <c:order val="0"/>
                <c:tx>
                  <c:strRef>
                    <c:extLst>
                      <c:ext uri="{02D57815-91ED-43cb-92C2-25804820EDAC}">
                        <c15:formulaRef>
                          <c15:sqref>'DaňPríjmy_ESA2010_Vývoj VF'!$B$1</c15:sqref>
                        </c15:formulaRef>
                      </c:ext>
                    </c:extLst>
                    <c:strCache>
                      <c:ptCount val="1"/>
                      <c:pt idx="0">
                        <c:v>2016 Skutočnosť</c:v>
                      </c:pt>
                    </c:strCache>
                  </c:strRef>
                </c:tx>
                <c:spPr>
                  <a:solidFill>
                    <a:schemeClr val="accent1"/>
                  </a:solidFill>
                  <a:ln>
                    <a:noFill/>
                  </a:ln>
                  <a:effectLst/>
                </c:spPr>
                <c:invertIfNegative val="0"/>
                <c:cat>
                  <c:strRef>
                    <c:extLst>
                      <c:ext uri="{02D57815-91ED-43cb-92C2-25804820EDAC}">
                        <c15:formulaRef>
                          <c15:sqref>'DaňPríjmy_ESA2010_Vývoj VF'!$A$2:$A$68</c15:sqref>
                        </c15:formulaRef>
                      </c:ext>
                    </c:extLst>
                    <c:strCache>
                      <c:ptCount val="9"/>
                      <c:pt idx="0">
                        <c:v>Dane z príjmov, ziskov a kap. majetku</c:v>
                      </c:pt>
                      <c:pt idx="1">
                        <c:v>Daň z príjmov fyzických osôb </c:v>
                      </c:pt>
                      <c:pt idx="2">
                        <c:v>Daň z príjmov právnických osôb </c:v>
                      </c:pt>
                      <c:pt idx="3">
                        <c:v>Dane na tovary a služby</c:v>
                      </c:pt>
                      <c:pt idx="4">
                        <c:v>Daň z pridanej hodnoty</c:v>
                      </c:pt>
                      <c:pt idx="5">
                        <c:v>Spotrebné dane</c:v>
                      </c:pt>
                      <c:pt idx="6">
                        <c:v>Sociálna poisťovňa</c:v>
                      </c:pt>
                      <c:pt idx="7">
                        <c:v>Zdravotné poisťovne</c:v>
                      </c:pt>
                      <c:pt idx="8">
                        <c:v>FSZP spolu</c:v>
                      </c:pt>
                    </c:strCache>
                  </c:strRef>
                </c:cat>
                <c:val>
                  <c:numRef>
                    <c:extLst>
                      <c:ext uri="{02D57815-91ED-43cb-92C2-25804820EDAC}">
                        <c15:formulaRef>
                          <c15:sqref>'DaňPríjmy_ESA2010_Vývoj VF'!$B$2:$B$68</c15:sqref>
                        </c15:formulaRef>
                      </c:ext>
                    </c:extLst>
                    <c:numCache>
                      <c:formatCode>#,##0</c:formatCode>
                      <c:ptCount val="9"/>
                      <c:pt idx="0">
                        <c:v>5564279.535029999</c:v>
                      </c:pt>
                      <c:pt idx="1">
                        <c:v>2678998.6125899991</c:v>
                      </c:pt>
                      <c:pt idx="2">
                        <c:v>2706070</c:v>
                      </c:pt>
                      <c:pt idx="3">
                        <c:v>7592761</c:v>
                      </c:pt>
                      <c:pt idx="4">
                        <c:v>5418876</c:v>
                      </c:pt>
                      <c:pt idx="5">
                        <c:v>2173885</c:v>
                      </c:pt>
                      <c:pt idx="6">
                        <c:v>6582270</c:v>
                      </c:pt>
                      <c:pt idx="7">
                        <c:v>2981243</c:v>
                      </c:pt>
                      <c:pt idx="8">
                        <c:v>9563513</c:v>
                      </c:pt>
                    </c:numCache>
                  </c:numRef>
                </c:val>
                <c:extLst>
                  <c:ext xmlns:c16="http://schemas.microsoft.com/office/drawing/2014/chart" uri="{C3380CC4-5D6E-409C-BE32-E72D297353CC}">
                    <c16:uniqueId val="{0000000B-07F9-4353-8443-FFAAB977951C}"/>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'DaňPríjmy_ESA2010_Vývoj VF'!$C$1</c15:sqref>
                        </c15:formulaRef>
                      </c:ext>
                    </c:extLst>
                    <c:strCache>
                      <c:ptCount val="1"/>
                      <c:pt idx="0">
                        <c:v>2017 RVS</c:v>
                      </c:pt>
                    </c:strCache>
                  </c:strRef>
                </c:tx>
                <c:spPr>
                  <a:solidFill>
                    <a:srgbClr val="00B0F0"/>
                  </a:solidFill>
                  <a:ln>
                    <a:solidFill>
                      <a:srgbClr val="002060"/>
                    </a:solidFill>
                  </a:ln>
                  <a:effectLst/>
                </c:spPr>
                <c:invertIfNegative val="0"/>
                <c:cat>
                  <c:strRef>
                    <c:extLst xmlns:c15="http://schemas.microsoft.com/office/drawing/2012/chart">
                      <c:ext xmlns:c15="http://schemas.microsoft.com/office/drawing/2012/chart" uri="{02D57815-91ED-43cb-92C2-25804820EDAC}">
                        <c15:formulaRef>
                          <c15:sqref>'DaňPríjmy_ESA2010_Vývoj VF'!$A$2:$A$68</c15:sqref>
                        </c15:formulaRef>
                      </c:ext>
                    </c:extLst>
                    <c:strCache>
                      <c:ptCount val="9"/>
                      <c:pt idx="0">
                        <c:v>Dane z príjmov, ziskov a kap. majetku</c:v>
                      </c:pt>
                      <c:pt idx="1">
                        <c:v>Daň z príjmov fyzických osôb </c:v>
                      </c:pt>
                      <c:pt idx="2">
                        <c:v>Daň z príjmov právnických osôb </c:v>
                      </c:pt>
                      <c:pt idx="3">
                        <c:v>Dane na tovary a služby</c:v>
                      </c:pt>
                      <c:pt idx="4">
                        <c:v>Daň z pridanej hodnoty</c:v>
                      </c:pt>
                      <c:pt idx="5">
                        <c:v>Spotrebné dane</c:v>
                      </c:pt>
                      <c:pt idx="6">
                        <c:v>Sociálna poisťovňa</c:v>
                      </c:pt>
                      <c:pt idx="7">
                        <c:v>Zdravotné poisťovne</c:v>
                      </c:pt>
                      <c:pt idx="8">
                        <c:v>FSZP spolu</c:v>
                      </c:pt>
                    </c:strCache>
                  </c:strRef>
                </c:cat>
                <c:val>
                  <c:numRef>
                    <c:extLst xmlns:c15="http://schemas.microsoft.com/office/drawing/2012/chart">
                      <c:ext xmlns:c15="http://schemas.microsoft.com/office/drawing/2012/chart" uri="{02D57815-91ED-43cb-92C2-25804820EDAC}">
                        <c15:formulaRef>
                          <c15:sqref>'DaňPríjmy_ESA2010_Vývoj VF'!$C$2:$C$68</c15:sqref>
                        </c15:formulaRef>
                      </c:ext>
                    </c:extLst>
                    <c:numCache>
                      <c:formatCode>#,##0</c:formatCode>
                      <c:ptCount val="9"/>
                      <c:pt idx="0">
                        <c:v>6010211</c:v>
                      </c:pt>
                      <c:pt idx="1">
                        <c:v>2815162</c:v>
                      </c:pt>
                      <c:pt idx="2">
                        <c:v>3005025</c:v>
                      </c:pt>
                      <c:pt idx="3">
                        <c:v>8019457</c:v>
                      </c:pt>
                      <c:pt idx="4">
                        <c:v>5759704</c:v>
                      </c:pt>
                      <c:pt idx="5">
                        <c:v>2259753</c:v>
                      </c:pt>
                      <c:pt idx="6">
                        <c:v>6862245</c:v>
                      </c:pt>
                      <c:pt idx="7">
                        <c:v>3113695</c:v>
                      </c:pt>
                      <c:pt idx="8">
                        <c:v>9975940</c:v>
                      </c:pt>
                    </c:numCache>
                  </c:numRef>
                </c:val>
                <c:extLst xmlns:c15="http://schemas.microsoft.com/office/drawing/2012/chart">
                  <c:ext xmlns:c16="http://schemas.microsoft.com/office/drawing/2014/chart" uri="{C3380CC4-5D6E-409C-BE32-E72D297353CC}">
                    <c16:uniqueId val="{0000000C-07F9-4353-8443-FFAAB977951C}"/>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'DaňPríjmy_ESA2010_Vývoj VF'!$D$1</c15:sqref>
                        </c15:formulaRef>
                      </c:ext>
                    </c:extLst>
                    <c:strCache>
                      <c:ptCount val="1"/>
                      <c:pt idx="0">
                        <c:v>2017</c:v>
                      </c:pt>
                    </c:strCache>
                  </c:strRef>
                </c:tx>
                <c:spPr>
                  <a:solidFill>
                    <a:schemeClr val="accent1">
                      <a:lumMod val="20000"/>
                      <a:lumOff val="80000"/>
                    </a:schemeClr>
                  </a:solidFill>
                  <a:ln>
                    <a:solidFill>
                      <a:srgbClr val="002060"/>
                    </a:solidFill>
                  </a:ln>
                  <a:effectLst/>
                </c:spPr>
                <c:invertIfNegative val="0"/>
                <c:dLbls>
                  <c:dLbl>
                    <c:idx val="0"/>
                    <c:layout>
                      <c:manualLayout>
                        <c:x val="1.1614401858304299E-2"/>
                        <c:y val="-1.1640077173046861E-16"/>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a:t>- 1,92 %</a:t>
                          </a:r>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showLegendKey val="0"/>
                    <c:showVal val="1"/>
                    <c:showCatName val="1"/>
                    <c:showSerName val="0"/>
                    <c:showPercent val="0"/>
                    <c:showBubbleSize val="0"/>
                    <c:extLst xmlns:c15="http://schemas.microsoft.com/office/drawing/2012/chart">
                      <c:ext xmlns:c15="http://schemas.microsoft.com/office/drawing/2012/chart" uri="{CE6537A1-D6FC-4f65-9D91-7224C49458BB}">
                        <c15:spPr xmlns:c15="http://schemas.microsoft.com/office/drawing/2012/chart">
                          <a:prstGeom prst="wedgeRectCallout">
                            <a:avLst>
                              <a:gd name="adj1" fmla="val -48500"/>
                              <a:gd name="adj2" fmla="val 0"/>
                            </a:avLst>
                          </a:prstGeom>
                        </c15:spPr>
                      </c:ext>
                      <c:ext xmlns:c16="http://schemas.microsoft.com/office/drawing/2014/chart" uri="{C3380CC4-5D6E-409C-BE32-E72D297353CC}">
                        <c16:uniqueId val="{0000000D-07F9-4353-8443-FFAAB977951C}"/>
                      </c:ext>
                    </c:extLst>
                  </c:dLbl>
                  <c:dLbl>
                    <c:idx val="1"/>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a:t>1,06 %</a:t>
                          </a:r>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showLegendKey val="0"/>
                    <c:showVal val="1"/>
                    <c:showCatName val="1"/>
                    <c:showSerName val="0"/>
                    <c:showPercent val="0"/>
                    <c:showBubbleSize val="0"/>
                    <c:extLst xmlns:c15="http://schemas.microsoft.com/office/drawing/2012/chart">
                      <c:ext xmlns:c15="http://schemas.microsoft.com/office/drawing/2012/chart" uri="{CE6537A1-D6FC-4f65-9D91-7224C49458BB}">
                        <c15:spPr xmlns:c15="http://schemas.microsoft.com/office/drawing/2012/chart">
                          <a:prstGeom prst="wedgeRectCallout">
                            <a:avLst>
                              <a:gd name="adj1" fmla="val -49282"/>
                              <a:gd name="adj2" fmla="val -4249"/>
                            </a:avLst>
                          </a:prstGeom>
                        </c15:spPr>
                      </c:ext>
                      <c:ext xmlns:c16="http://schemas.microsoft.com/office/drawing/2014/chart" uri="{C3380CC4-5D6E-409C-BE32-E72D297353CC}">
                        <c16:uniqueId val="{0000000E-07F9-4353-8443-FFAAB977951C}"/>
                      </c:ext>
                    </c:extLst>
                  </c:dLbl>
                  <c:dLbl>
                    <c:idx val="2"/>
                    <c:layout>
                      <c:manualLayout>
                        <c:x val="8.7108013937281705E-3"/>
                        <c:y val="0"/>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a:t>- 4,48 %</a:t>
                          </a:r>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showLegendKey val="0"/>
                    <c:showVal val="1"/>
                    <c:showCatName val="1"/>
                    <c:showSerName val="0"/>
                    <c:showPercent val="0"/>
                    <c:showBubbleSize val="0"/>
                    <c:extLst xmlns:c15="http://schemas.microsoft.com/office/drawing/2012/chart">
                      <c:ext xmlns:c15="http://schemas.microsoft.com/office/drawing/2012/chart" uri="{CE6537A1-D6FC-4f65-9D91-7224C49458BB}">
                        <c15:spPr xmlns:c15="http://schemas.microsoft.com/office/drawing/2012/chart">
                          <a:prstGeom prst="wedgeRectCallout">
                            <a:avLst>
                              <a:gd name="adj1" fmla="val -51119"/>
                              <a:gd name="adj2" fmla="val -4249"/>
                            </a:avLst>
                          </a:prstGeom>
                        </c15:spPr>
                      </c:ext>
                      <c:ext xmlns:c16="http://schemas.microsoft.com/office/drawing/2014/chart" uri="{C3380CC4-5D6E-409C-BE32-E72D297353CC}">
                        <c16:uniqueId val="{0000000F-07F9-4353-8443-FFAAB977951C}"/>
                      </c:ext>
                    </c:extLst>
                  </c:dLbl>
                  <c:dLbl>
                    <c:idx val="3"/>
                    <c:layout>
                      <c:manualLayout>
                        <c:x val="1.0162601626016158E-2"/>
                        <c:y val="0"/>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a:t>1,13 %</a:t>
                          </a:r>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showLegendKey val="0"/>
                    <c:showVal val="1"/>
                    <c:showCatName val="1"/>
                    <c:showSerName val="0"/>
                    <c:showPercent val="0"/>
                    <c:showBubbleSize val="0"/>
                    <c:extLst xmlns:c15="http://schemas.microsoft.com/office/drawing/2012/chart">
                      <c:ext xmlns:c15="http://schemas.microsoft.com/office/drawing/2012/chart" uri="{CE6537A1-D6FC-4f65-9D91-7224C49458BB}">
                        <c15:spPr xmlns:c15="http://schemas.microsoft.com/office/drawing/2012/chart">
                          <a:prstGeom prst="wedgeRectCallout">
                            <a:avLst>
                              <a:gd name="adj1" fmla="val -47316"/>
                              <a:gd name="adj2" fmla="val -4249"/>
                            </a:avLst>
                          </a:prstGeom>
                        </c15:spPr>
                      </c:ext>
                      <c:ext xmlns:c16="http://schemas.microsoft.com/office/drawing/2014/chart" uri="{C3380CC4-5D6E-409C-BE32-E72D297353CC}">
                        <c16:uniqueId val="{00000010-07F9-4353-8443-FFAAB977951C}"/>
                      </c:ext>
                    </c:extLst>
                  </c:dLbl>
                  <c:dLbl>
                    <c:idx val="4"/>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a:t>1,31 %</a:t>
                          </a:r>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showLegendKey val="0"/>
                    <c:showVal val="1"/>
                    <c:showCatName val="1"/>
                    <c:showSerName val="0"/>
                    <c:showPercent val="0"/>
                    <c:showBubbleSize val="0"/>
                    <c:extLst xmlns:c15="http://schemas.microsoft.com/office/drawing/2012/chart">
                      <c:ext xmlns:c15="http://schemas.microsoft.com/office/drawing/2012/chart" uri="{CE6537A1-D6FC-4f65-9D91-7224C49458BB}">
                        <c15:spPr xmlns:c15="http://schemas.microsoft.com/office/drawing/2012/chart">
                          <a:prstGeom prst="wedgeRectCallout">
                            <a:avLst>
                              <a:gd name="adj1" fmla="val -45482"/>
                              <a:gd name="adj2" fmla="val 0"/>
                            </a:avLst>
                          </a:prstGeom>
                        </c15:spPr>
                      </c:ext>
                      <c:ext xmlns:c16="http://schemas.microsoft.com/office/drawing/2014/chart" uri="{C3380CC4-5D6E-409C-BE32-E72D297353CC}">
                        <c16:uniqueId val="{00000011-07F9-4353-8443-FFAAB977951C}"/>
                      </c:ext>
                    </c:extLst>
                  </c:dLbl>
                  <c:dLbl>
                    <c:idx val="5"/>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a:t>0,68 %</a:t>
                          </a:r>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showLegendKey val="0"/>
                    <c:showVal val="1"/>
                    <c:showCatName val="1"/>
                    <c:showSerName val="0"/>
                    <c:showPercent val="0"/>
                    <c:showBubbleSize val="0"/>
                    <c:extLst xmlns:c15="http://schemas.microsoft.com/office/drawing/2012/chart">
                      <c:ext xmlns:c15="http://schemas.microsoft.com/office/drawing/2012/chart" uri="{CE6537A1-D6FC-4f65-9D91-7224C49458BB}">
                        <c15:spPr xmlns:c15="http://schemas.microsoft.com/office/drawing/2012/chart">
                          <a:prstGeom prst="wedgeRectCallout">
                            <a:avLst>
                              <a:gd name="adj1" fmla="val -50787"/>
                              <a:gd name="adj2" fmla="val 8498"/>
                            </a:avLst>
                          </a:prstGeom>
                        </c15:spPr>
                      </c:ext>
                      <c:ext xmlns:c16="http://schemas.microsoft.com/office/drawing/2014/chart" uri="{C3380CC4-5D6E-409C-BE32-E72D297353CC}">
                        <c16:uniqueId val="{00000012-07F9-4353-8443-FFAAB977951C}"/>
                      </c:ext>
                    </c:extLst>
                  </c:dLbl>
                  <c:dLbl>
                    <c:idx val="6"/>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a:t>1,31 %</a:t>
                          </a:r>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showLegendKey val="0"/>
                    <c:showVal val="1"/>
                    <c:showCatName val="1"/>
                    <c:showSerName val="0"/>
                    <c:showPercent val="0"/>
                    <c:showBubbleSize val="0"/>
                    <c:extLst xmlns:c15="http://schemas.microsoft.com/office/drawing/2012/chart">
                      <c:ext xmlns:c15="http://schemas.microsoft.com/office/drawing/2012/chart" uri="{CE6537A1-D6FC-4f65-9D91-7224C49458BB}">
                        <c15:spPr xmlns:c15="http://schemas.microsoft.com/office/drawing/2012/chart">
                          <a:prstGeom prst="wedgeRectCallout">
                            <a:avLst>
                              <a:gd name="adj1" fmla="val -51344"/>
                              <a:gd name="adj2" fmla="val 0"/>
                            </a:avLst>
                          </a:prstGeom>
                        </c15:spPr>
                      </c:ext>
                      <c:ext xmlns:c16="http://schemas.microsoft.com/office/drawing/2014/chart" uri="{C3380CC4-5D6E-409C-BE32-E72D297353CC}">
                        <c16:uniqueId val="{00000013-07F9-4353-8443-FFAAB977951C}"/>
                      </c:ext>
                    </c:extLst>
                  </c:dLbl>
                  <c:dLbl>
                    <c:idx val="7"/>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a:t>4,78 %</a:t>
                          </a:r>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showLegendKey val="0"/>
                    <c:showVal val="1"/>
                    <c:showCatName val="1"/>
                    <c:showSerName val="0"/>
                    <c:showPercent val="0"/>
                    <c:showBubbleSize val="0"/>
                    <c:extLst xmlns:c15="http://schemas.microsoft.com/office/drawing/2012/chart">
                      <c:ext xmlns:c15="http://schemas.microsoft.com/office/drawing/2012/chart" uri="{CE6537A1-D6FC-4f65-9D91-7224C49458BB}">
                        <c15:spPr xmlns:c15="http://schemas.microsoft.com/office/drawing/2012/chart">
                          <a:prstGeom prst="wedgeRectCallout">
                            <a:avLst>
                              <a:gd name="adj1" fmla="val -50430"/>
                              <a:gd name="adj2" fmla="val 4249"/>
                            </a:avLst>
                          </a:prstGeom>
                        </c15:spPr>
                      </c:ext>
                      <c:ext xmlns:c16="http://schemas.microsoft.com/office/drawing/2014/chart" uri="{C3380CC4-5D6E-409C-BE32-E72D297353CC}">
                        <c16:uniqueId val="{00000014-07F9-4353-8443-FFAAB977951C}"/>
                      </c:ext>
                    </c:extLst>
                  </c:dLbl>
                  <c:dLbl>
                    <c:idx val="8"/>
                    <c:layout>
                      <c:manualLayout>
                        <c:x val="3.1939605110336819E-2"/>
                        <c:y val="0"/>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a:t>2,39 %</a:t>
                          </a:r>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showLegendKey val="0"/>
                    <c:showVal val="1"/>
                    <c:showCatName val="1"/>
                    <c:showSerName val="0"/>
                    <c:showPercent val="0"/>
                    <c:showBubbleSize val="0"/>
                    <c:extLst xmlns:c15="http://schemas.microsoft.com/office/drawing/2012/chart">
                      <c:ext xmlns:c15="http://schemas.microsoft.com/office/drawing/2012/chart" uri="{CE6537A1-D6FC-4f65-9D91-7224C49458BB}">
                        <c15:spPr xmlns:c15="http://schemas.microsoft.com/office/drawing/2012/chart">
                          <a:prstGeom prst="wedgeRectCallout">
                            <a:avLst>
                              <a:gd name="adj1" fmla="val -46477"/>
                              <a:gd name="adj2" fmla="val 0"/>
                            </a:avLst>
                          </a:prstGeom>
                        </c15:spPr>
                      </c:ext>
                      <c:ext xmlns:c16="http://schemas.microsoft.com/office/drawing/2014/chart" uri="{C3380CC4-5D6E-409C-BE32-E72D297353CC}">
                        <c16:uniqueId val="{00000015-07F9-4353-8443-FFAAB977951C}"/>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sk-SK"/>
                    </a:p>
                  </c:txPr>
                  <c:showLegendKey val="0"/>
                  <c:showVal val="1"/>
                  <c:showCatName val="1"/>
                  <c:showSerName val="0"/>
                  <c:showPercent val="0"/>
                  <c:showBubbleSize val="0"/>
                  <c:showLeaderLines val="0"/>
                  <c:extLst xmlns:c15="http://schemas.microsoft.com/office/drawing/2012/chart">
                    <c:ext xmlns:c15="http://schemas.microsoft.com/office/drawing/2012/chart" uri="{CE6537A1-D6FC-4f65-9D91-7224C49458BB}">
                      <c15:spPr xmlns:c15="http://schemas.microsoft.com/office/drawing/2012/chart">
                        <a:prstGeom prst="wedgeRectCallout">
                          <a:avLst/>
                        </a:prstGeom>
                      </c15:spPr>
                      <c15:showLeaderLines val="0"/>
                    </c:ext>
                  </c:extLst>
                </c:dLbls>
                <c:cat>
                  <c:strRef>
                    <c:extLst xmlns:c15="http://schemas.microsoft.com/office/drawing/2012/chart">
                      <c:ext xmlns:c15="http://schemas.microsoft.com/office/drawing/2012/chart" uri="{02D57815-91ED-43cb-92C2-25804820EDAC}">
                        <c15:formulaRef>
                          <c15:sqref>'DaňPríjmy_ESA2010_Vývoj VF'!$A$2:$A$68</c15:sqref>
                        </c15:formulaRef>
                      </c:ext>
                    </c:extLst>
                    <c:strCache>
                      <c:ptCount val="9"/>
                      <c:pt idx="0">
                        <c:v>Dane z príjmov, ziskov a kap. majetku</c:v>
                      </c:pt>
                      <c:pt idx="1">
                        <c:v>Daň z príjmov fyzických osôb </c:v>
                      </c:pt>
                      <c:pt idx="2">
                        <c:v>Daň z príjmov právnických osôb </c:v>
                      </c:pt>
                      <c:pt idx="3">
                        <c:v>Dane na tovary a služby</c:v>
                      </c:pt>
                      <c:pt idx="4">
                        <c:v>Daň z pridanej hodnoty</c:v>
                      </c:pt>
                      <c:pt idx="5">
                        <c:v>Spotrebné dane</c:v>
                      </c:pt>
                      <c:pt idx="6">
                        <c:v>Sociálna poisťovňa</c:v>
                      </c:pt>
                      <c:pt idx="7">
                        <c:v>Zdravotné poisťovne</c:v>
                      </c:pt>
                      <c:pt idx="8">
                        <c:v>FSZP spolu</c:v>
                      </c:pt>
                    </c:strCache>
                  </c:strRef>
                </c:cat>
                <c:val>
                  <c:numRef>
                    <c:extLst xmlns:c15="http://schemas.microsoft.com/office/drawing/2012/chart">
                      <c:ext xmlns:c15="http://schemas.microsoft.com/office/drawing/2012/chart" uri="{02D57815-91ED-43cb-92C2-25804820EDAC}">
                        <c15:formulaRef>
                          <c15:sqref>'DaňPríjmy_ESA2010_Vývoj VF'!$D$2:$D$68</c15:sqref>
                        </c15:formulaRef>
                      </c:ext>
                    </c:extLst>
                    <c:numCache>
                      <c:formatCode>#,##0</c:formatCode>
                      <c:ptCount val="9"/>
                      <c:pt idx="0">
                        <c:v>5809893.1979799997</c:v>
                      </c:pt>
                      <c:pt idx="1">
                        <c:v>2855909.7583900001</c:v>
                      </c:pt>
                      <c:pt idx="2">
                        <c:v>2775552</c:v>
                      </c:pt>
                      <c:pt idx="3">
                        <c:v>8167390.5773799978</c:v>
                      </c:pt>
                      <c:pt idx="4">
                        <c:v>5916502.2110999972</c:v>
                      </c:pt>
                      <c:pt idx="5">
                        <c:v>2250888.3662800007</c:v>
                      </c:pt>
                      <c:pt idx="6">
                        <c:v>7094755</c:v>
                      </c:pt>
                      <c:pt idx="7">
                        <c:v>3329078.3611100018</c:v>
                      </c:pt>
                      <c:pt idx="8">
                        <c:v>10423833.361110002</c:v>
                      </c:pt>
                    </c:numCache>
                  </c:numRef>
                </c:val>
                <c:extLst xmlns:c15="http://schemas.microsoft.com/office/drawing/2012/chart">
                  <c:ext xmlns:c16="http://schemas.microsoft.com/office/drawing/2014/chart" uri="{C3380CC4-5D6E-409C-BE32-E72D297353CC}">
                    <c16:uniqueId val="{00000016-07F9-4353-8443-FFAAB977951C}"/>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'DaňPríjmy_ESA2010_Vývoj VF'!$E$1</c15:sqref>
                        </c15:formulaRef>
                      </c:ext>
                    </c:extLst>
                    <c:strCache>
                      <c:ptCount val="1"/>
                      <c:pt idx="0">
                        <c:v>Rozdiel 2017 OS- 2017RVS</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'DaňPríjmy_ESA2010_Vývoj VF'!$A$2:$A$68</c15:sqref>
                        </c15:formulaRef>
                      </c:ext>
                    </c:extLst>
                    <c:strCache>
                      <c:ptCount val="9"/>
                      <c:pt idx="0">
                        <c:v>Dane z príjmov, ziskov a kap. majetku</c:v>
                      </c:pt>
                      <c:pt idx="1">
                        <c:v>Daň z príjmov fyzických osôb </c:v>
                      </c:pt>
                      <c:pt idx="2">
                        <c:v>Daň z príjmov právnických osôb </c:v>
                      </c:pt>
                      <c:pt idx="3">
                        <c:v>Dane na tovary a služby</c:v>
                      </c:pt>
                      <c:pt idx="4">
                        <c:v>Daň z pridanej hodnoty</c:v>
                      </c:pt>
                      <c:pt idx="5">
                        <c:v>Spotrebné dane</c:v>
                      </c:pt>
                      <c:pt idx="6">
                        <c:v>Sociálna poisťovňa</c:v>
                      </c:pt>
                      <c:pt idx="7">
                        <c:v>Zdravotné poisťovne</c:v>
                      </c:pt>
                      <c:pt idx="8">
                        <c:v>FSZP spolu</c:v>
                      </c:pt>
                    </c:strCache>
                  </c:strRef>
                </c:cat>
                <c:val>
                  <c:numRef>
                    <c:extLst xmlns:c15="http://schemas.microsoft.com/office/drawing/2012/chart">
                      <c:ext xmlns:c15="http://schemas.microsoft.com/office/drawing/2012/chart" uri="{02D57815-91ED-43cb-92C2-25804820EDAC}">
                        <c15:formulaRef>
                          <c15:sqref>'DaňPríjmy_ESA2010_Vývoj VF'!$E$2:$E$68</c15:sqref>
                        </c15:formulaRef>
                      </c:ext>
                    </c:extLst>
                    <c:numCache>
                      <c:formatCode>#,##0</c:formatCode>
                      <c:ptCount val="9"/>
                      <c:pt idx="0">
                        <c:v>-200317.80202000029</c:v>
                      </c:pt>
                      <c:pt idx="1">
                        <c:v>40747.75839000009</c:v>
                      </c:pt>
                      <c:pt idx="2">
                        <c:v>-229473</c:v>
                      </c:pt>
                      <c:pt idx="3">
                        <c:v>147933.57737999782</c:v>
                      </c:pt>
                      <c:pt idx="4">
                        <c:v>156798.21109999716</c:v>
                      </c:pt>
                      <c:pt idx="5">
                        <c:v>-8864.6337199993432</c:v>
                      </c:pt>
                      <c:pt idx="6">
                        <c:v>232510</c:v>
                      </c:pt>
                      <c:pt idx="7">
                        <c:v>215383.3611100018</c:v>
                      </c:pt>
                      <c:pt idx="8">
                        <c:v>447893.3611100018</c:v>
                      </c:pt>
                    </c:numCache>
                  </c:numRef>
                </c:val>
                <c:extLst xmlns:c15="http://schemas.microsoft.com/office/drawing/2012/chart">
                  <c:ext xmlns:c16="http://schemas.microsoft.com/office/drawing/2014/chart" uri="{C3380CC4-5D6E-409C-BE32-E72D297353CC}">
                    <c16:uniqueId val="{00000017-07F9-4353-8443-FFAAB977951C}"/>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'DaňPríjmy_ESA2010_Vývoj VF'!$F$1</c15:sqref>
                        </c15:formulaRef>
                      </c:ext>
                    </c:extLst>
                    <c:strCache>
                      <c:ptCount val="1"/>
                      <c:pt idx="0">
                        <c:v>2018 RVS</c:v>
                      </c:pt>
                    </c:strCache>
                  </c:strRef>
                </c:tx>
                <c:spPr>
                  <a:solidFill>
                    <a:schemeClr val="accent6">
                      <a:lumMod val="20000"/>
                      <a:lumOff val="80000"/>
                    </a:schemeClr>
                  </a:solidFill>
                  <a:ln>
                    <a:solidFill>
                      <a:srgbClr val="002060"/>
                    </a:solidFill>
                  </a:ln>
                  <a:effectLst/>
                </c:spPr>
                <c:invertIfNegative val="0"/>
                <c:dLbls>
                  <c:dLbl>
                    <c:idx val="0"/>
                    <c:tx>
                      <c:rich>
                        <a:bodyPr/>
                        <a:lstStyle/>
                        <a:p>
                          <a:r>
                            <a:rPr lang="en-US"/>
                            <a:t>100,1 %</a:t>
                          </a:r>
                        </a:p>
                      </c:rich>
                    </c:tx>
                    <c:dLblPos val="outEnd"/>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8-07F9-4353-8443-FFAAB977951C}"/>
                      </c:ext>
                    </c:extLst>
                  </c:dLbl>
                  <c:dLbl>
                    <c:idx val="1"/>
                    <c:tx>
                      <c:rich>
                        <a:bodyPr/>
                        <a:lstStyle/>
                        <a:p>
                          <a:r>
                            <a:rPr lang="en-US"/>
                            <a:t>101,7 %</a:t>
                          </a:r>
                        </a:p>
                      </c:rich>
                    </c:tx>
                    <c:dLblPos val="outEnd"/>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9-07F9-4353-8443-FFAAB977951C}"/>
                      </c:ext>
                    </c:extLst>
                  </c:dLbl>
                  <c:dLbl>
                    <c:idx val="2"/>
                    <c:tx>
                      <c:rich>
                        <a:bodyPr/>
                        <a:lstStyle/>
                        <a:p>
                          <a:r>
                            <a:rPr lang="en-US"/>
                            <a:t>98,7 %</a:t>
                          </a:r>
                        </a:p>
                      </c:rich>
                    </c:tx>
                    <c:dLblPos val="outEnd"/>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A-07F9-4353-8443-FFAAB977951C}"/>
                      </c:ext>
                    </c:extLst>
                  </c:dLbl>
                  <c:dLbl>
                    <c:idx val="3"/>
                    <c:tx>
                      <c:rich>
                        <a:bodyPr/>
                        <a:lstStyle/>
                        <a:p>
                          <a:r>
                            <a:rPr lang="en-US"/>
                            <a:t>101,9 %</a:t>
                          </a:r>
                        </a:p>
                      </c:rich>
                    </c:tx>
                    <c:dLblPos val="outEnd"/>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B-07F9-4353-8443-FFAAB977951C}"/>
                      </c:ext>
                    </c:extLst>
                  </c:dLbl>
                  <c:dLbl>
                    <c:idx val="4"/>
                    <c:layout>
                      <c:manualLayout>
                        <c:x val="4.5745654162854532E-3"/>
                        <c:y val="-5.8200385865234258E-17"/>
                      </c:manualLayout>
                    </c:layout>
                    <c:tx>
                      <c:rich>
                        <a:bodyPr/>
                        <a:lstStyle/>
                        <a:p>
                          <a:r>
                            <a:rPr lang="en-US"/>
                            <a:t>102,7 %</a:t>
                          </a:r>
                        </a:p>
                      </c:rich>
                    </c:tx>
                    <c:dLblPos val="outEnd"/>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C-07F9-4353-8443-FFAAB977951C}"/>
                      </c:ext>
                    </c:extLst>
                  </c:dLbl>
                  <c:dLbl>
                    <c:idx val="5"/>
                    <c:tx>
                      <c:rich>
                        <a:bodyPr/>
                        <a:lstStyle/>
                        <a:p>
                          <a:r>
                            <a:rPr lang="en-US" baseline="0"/>
                            <a:t>99,6</a:t>
                          </a:r>
                          <a:r>
                            <a:rPr lang="en-US"/>
                            <a:t> %</a:t>
                          </a:r>
                        </a:p>
                      </c:rich>
                    </c:tx>
                    <c:dLblPos val="outEnd"/>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D-07F9-4353-8443-FFAAB977951C}"/>
                      </c:ext>
                    </c:extLst>
                  </c:dLbl>
                  <c:dLbl>
                    <c:idx val="6"/>
                    <c:tx>
                      <c:rich>
                        <a:bodyPr/>
                        <a:lstStyle/>
                        <a:p>
                          <a:r>
                            <a:rPr lang="en-US"/>
                            <a:t>101,7 %</a:t>
                          </a:r>
                        </a:p>
                      </c:rich>
                    </c:tx>
                    <c:dLblPos val="outEnd"/>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E-07F9-4353-8443-FFAAB977951C}"/>
                      </c:ext>
                    </c:extLst>
                  </c:dLbl>
                  <c:dLbl>
                    <c:idx val="7"/>
                    <c:tx>
                      <c:rich>
                        <a:bodyPr/>
                        <a:lstStyle/>
                        <a:p>
                          <a:r>
                            <a:rPr lang="en-US"/>
                            <a:t>102,7 %</a:t>
                          </a:r>
                        </a:p>
                      </c:rich>
                    </c:tx>
                    <c:dLblPos val="outEnd"/>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F-07F9-4353-8443-FFAAB977951C}"/>
                      </c:ext>
                    </c:extLst>
                  </c:dLbl>
                  <c:dLbl>
                    <c:idx val="8"/>
                    <c:tx>
                      <c:rich>
                        <a:bodyPr/>
                        <a:lstStyle/>
                        <a:p>
                          <a:r>
                            <a:rPr lang="en-US"/>
                            <a:t>102,0 %</a:t>
                          </a:r>
                        </a:p>
                      </c:rich>
                    </c:tx>
                    <c:dLblPos val="outEnd"/>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20-07F9-4353-8443-FFAAB977951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0"/>
                    </c:ext>
                  </c:extLst>
                </c:dLbls>
                <c:cat>
                  <c:strRef>
                    <c:extLst xmlns:c15="http://schemas.microsoft.com/office/drawing/2012/chart">
                      <c:ext xmlns:c15="http://schemas.microsoft.com/office/drawing/2012/chart" uri="{02D57815-91ED-43cb-92C2-25804820EDAC}">
                        <c15:formulaRef>
                          <c15:sqref>'DaňPríjmy_ESA2010_Vývoj VF'!$A$2:$A$68</c15:sqref>
                        </c15:formulaRef>
                      </c:ext>
                    </c:extLst>
                    <c:strCache>
                      <c:ptCount val="9"/>
                      <c:pt idx="0">
                        <c:v>Dane z príjmov, ziskov a kap. majetku</c:v>
                      </c:pt>
                      <c:pt idx="1">
                        <c:v>Daň z príjmov fyzických osôb </c:v>
                      </c:pt>
                      <c:pt idx="2">
                        <c:v>Daň z príjmov právnických osôb </c:v>
                      </c:pt>
                      <c:pt idx="3">
                        <c:v>Dane na tovary a služby</c:v>
                      </c:pt>
                      <c:pt idx="4">
                        <c:v>Daň z pridanej hodnoty</c:v>
                      </c:pt>
                      <c:pt idx="5">
                        <c:v>Spotrebné dane</c:v>
                      </c:pt>
                      <c:pt idx="6">
                        <c:v>Sociálna poisťovňa</c:v>
                      </c:pt>
                      <c:pt idx="7">
                        <c:v>Zdravotné poisťovne</c:v>
                      </c:pt>
                      <c:pt idx="8">
                        <c:v>FSZP spolu</c:v>
                      </c:pt>
                    </c:strCache>
                  </c:strRef>
                </c:cat>
                <c:val>
                  <c:numRef>
                    <c:extLst xmlns:c15="http://schemas.microsoft.com/office/drawing/2012/chart">
                      <c:ext xmlns:c15="http://schemas.microsoft.com/office/drawing/2012/chart" uri="{02D57815-91ED-43cb-92C2-25804820EDAC}">
                        <c15:formulaRef>
                          <c15:sqref>'DaňPríjmy_ESA2010_Vývoj VF'!$F$2:$F$68</c15:sqref>
                        </c15:formulaRef>
                      </c:ext>
                    </c:extLst>
                    <c:numCache>
                      <c:formatCode>#,##0</c:formatCode>
                      <c:ptCount val="9"/>
                      <c:pt idx="0">
                        <c:v>5938202</c:v>
                      </c:pt>
                      <c:pt idx="1">
                        <c:v>3077092</c:v>
                      </c:pt>
                      <c:pt idx="2">
                        <c:v>2618472</c:v>
                      </c:pt>
                      <c:pt idx="3">
                        <c:v>8445546</c:v>
                      </c:pt>
                      <c:pt idx="4">
                        <c:v>6104417</c:v>
                      </c:pt>
                      <c:pt idx="5">
                        <c:v>2341129</c:v>
                      </c:pt>
                      <c:pt idx="6">
                        <c:v>7458232</c:v>
                      </c:pt>
                      <c:pt idx="7">
                        <c:v>3553004</c:v>
                      </c:pt>
                      <c:pt idx="8">
                        <c:v>11011236</c:v>
                      </c:pt>
                    </c:numCache>
                  </c:numRef>
                </c:val>
                <c:extLst xmlns:c15="http://schemas.microsoft.com/office/drawing/2012/chart">
                  <c:ext xmlns:c16="http://schemas.microsoft.com/office/drawing/2014/chart" uri="{C3380CC4-5D6E-409C-BE32-E72D297353CC}">
                    <c16:uniqueId val="{00000021-07F9-4353-8443-FFAAB977951C}"/>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'DaňPríjmy_ESA2010_Vývoj VF'!$I$1</c15:sqref>
                        </c15:formulaRef>
                      </c:ext>
                    </c:extLst>
                    <c:strCache>
                      <c:ptCount val="1"/>
                      <c:pt idx="0">
                        <c:v>Rozdiel               2019 RVS - 2018 OS</c:v>
                      </c:pt>
                    </c:strCache>
                  </c:strRef>
                </c:tx>
                <c:invertIfNegative val="0"/>
                <c:cat>
                  <c:strRef>
                    <c:extLst xmlns:c15="http://schemas.microsoft.com/office/drawing/2012/chart">
                      <c:ext xmlns:c15="http://schemas.microsoft.com/office/drawing/2012/chart" uri="{02D57815-91ED-43cb-92C2-25804820EDAC}">
                        <c15:formulaRef>
                          <c15:sqref>'DaňPríjmy_ESA2010_Vývoj VF'!$A$2:$A$68</c15:sqref>
                        </c15:formulaRef>
                      </c:ext>
                    </c:extLst>
                    <c:strCache>
                      <c:ptCount val="9"/>
                      <c:pt idx="0">
                        <c:v>Dane z príjmov, ziskov a kap. majetku</c:v>
                      </c:pt>
                      <c:pt idx="1">
                        <c:v>Daň z príjmov fyzických osôb </c:v>
                      </c:pt>
                      <c:pt idx="2">
                        <c:v>Daň z príjmov právnických osôb </c:v>
                      </c:pt>
                      <c:pt idx="3">
                        <c:v>Dane na tovary a služby</c:v>
                      </c:pt>
                      <c:pt idx="4">
                        <c:v>Daň z pridanej hodnoty</c:v>
                      </c:pt>
                      <c:pt idx="5">
                        <c:v>Spotrebné dane</c:v>
                      </c:pt>
                      <c:pt idx="6">
                        <c:v>Sociálna poisťovňa</c:v>
                      </c:pt>
                      <c:pt idx="7">
                        <c:v>Zdravotné poisťovne</c:v>
                      </c:pt>
                      <c:pt idx="8">
                        <c:v>FSZP spolu</c:v>
                      </c:pt>
                    </c:strCache>
                  </c:strRef>
                </c:cat>
                <c:val>
                  <c:numRef>
                    <c:extLst xmlns:c15="http://schemas.microsoft.com/office/drawing/2012/chart">
                      <c:ext xmlns:c15="http://schemas.microsoft.com/office/drawing/2012/chart" uri="{02D57815-91ED-43cb-92C2-25804820EDAC}">
                        <c15:formulaRef>
                          <c15:sqref>'DaňPríjmy_ESA2010_Vývoj VF'!$I$2:$I$68</c15:sqref>
                        </c15:formulaRef>
                      </c:ext>
                    </c:extLst>
                    <c:numCache>
                      <c:formatCode>#,##0</c:formatCode>
                      <c:ptCount val="9"/>
                      <c:pt idx="0">
                        <c:v>402217</c:v>
                      </c:pt>
                      <c:pt idx="1">
                        <c:v>237269</c:v>
                      </c:pt>
                      <c:pt idx="2">
                        <c:v>159057</c:v>
                      </c:pt>
                      <c:pt idx="3">
                        <c:v>413229</c:v>
                      </c:pt>
                      <c:pt idx="4">
                        <c:v>314153</c:v>
                      </c:pt>
                      <c:pt idx="5">
                        <c:v>99076</c:v>
                      </c:pt>
                      <c:pt idx="6">
                        <c:v>314093</c:v>
                      </c:pt>
                      <c:pt idx="7">
                        <c:v>354622</c:v>
                      </c:pt>
                      <c:pt idx="8">
                        <c:v>668715</c:v>
                      </c:pt>
                    </c:numCache>
                  </c:numRef>
                </c:val>
                <c:extLst xmlns:c15="http://schemas.microsoft.com/office/drawing/2012/chart">
                  <c:ext xmlns:c16="http://schemas.microsoft.com/office/drawing/2014/chart" uri="{C3380CC4-5D6E-409C-BE32-E72D297353CC}">
                    <c16:uniqueId val="{00000022-07F9-4353-8443-FFAAB977951C}"/>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'DaňPríjmy_ESA2010_Vývoj VF'!$J$1</c15:sqref>
                        </c15:formulaRef>
                      </c:ext>
                    </c:extLst>
                    <c:strCache>
                      <c:ptCount val="1"/>
                      <c:pt idx="0">
                        <c:v>Rozdiel 2019 RVS - 2018 OS (%)</c:v>
                      </c:pt>
                    </c:strCache>
                  </c:strRef>
                </c:tx>
                <c:invertIfNegative val="0"/>
                <c:cat>
                  <c:strRef>
                    <c:extLst xmlns:c15="http://schemas.microsoft.com/office/drawing/2012/chart">
                      <c:ext xmlns:c15="http://schemas.microsoft.com/office/drawing/2012/chart" uri="{02D57815-91ED-43cb-92C2-25804820EDAC}">
                        <c15:formulaRef>
                          <c15:sqref>'DaňPríjmy_ESA2010_Vývoj VF'!$A$2:$A$68</c15:sqref>
                        </c15:formulaRef>
                      </c:ext>
                    </c:extLst>
                    <c:strCache>
                      <c:ptCount val="9"/>
                      <c:pt idx="0">
                        <c:v>Dane z príjmov, ziskov a kap. majetku</c:v>
                      </c:pt>
                      <c:pt idx="1">
                        <c:v>Daň z príjmov fyzických osôb </c:v>
                      </c:pt>
                      <c:pt idx="2">
                        <c:v>Daň z príjmov právnických osôb </c:v>
                      </c:pt>
                      <c:pt idx="3">
                        <c:v>Dane na tovary a služby</c:v>
                      </c:pt>
                      <c:pt idx="4">
                        <c:v>Daň z pridanej hodnoty</c:v>
                      </c:pt>
                      <c:pt idx="5">
                        <c:v>Spotrebné dane</c:v>
                      </c:pt>
                      <c:pt idx="6">
                        <c:v>Sociálna poisťovňa</c:v>
                      </c:pt>
                      <c:pt idx="7">
                        <c:v>Zdravotné poisťovne</c:v>
                      </c:pt>
                      <c:pt idx="8">
                        <c:v>FSZP spolu</c:v>
                      </c:pt>
                    </c:strCache>
                  </c:strRef>
                </c:cat>
                <c:val>
                  <c:numRef>
                    <c:extLst xmlns:c15="http://schemas.microsoft.com/office/drawing/2012/chart">
                      <c:ext xmlns:c15="http://schemas.microsoft.com/office/drawing/2012/chart" uri="{02D57815-91ED-43cb-92C2-25804820EDAC}">
                        <c15:formulaRef>
                          <c15:sqref>'DaňPríjmy_ESA2010_Vývoj VF'!$J$2:$J$68</c15:sqref>
                        </c15:formulaRef>
                      </c:ext>
                    </c:extLst>
                    <c:numCache>
                      <c:formatCode>#,##0.0</c:formatCode>
                      <c:ptCount val="9"/>
                      <c:pt idx="0">
                        <c:v>6.1288444416610321</c:v>
                      </c:pt>
                      <c:pt idx="1">
                        <c:v>7.7108191760272362</c:v>
                      </c:pt>
                      <c:pt idx="2">
                        <c:v>6.0744205017277251</c:v>
                      </c:pt>
                      <c:pt idx="3">
                        <c:v>4.8928630546799461</c:v>
                      </c:pt>
                      <c:pt idx="4">
                        <c:v>5.1463227364709851</c:v>
                      </c:pt>
                      <c:pt idx="5">
                        <c:v>4.2319752563827109</c:v>
                      </c:pt>
                      <c:pt idx="6">
                        <c:v>4.2113600113270815</c:v>
                      </c:pt>
                      <c:pt idx="7">
                        <c:v>9.9809062978820169</c:v>
                      </c:pt>
                      <c:pt idx="8">
                        <c:v>6.0730239548039835</c:v>
                      </c:pt>
                    </c:numCache>
                  </c:numRef>
                </c:val>
                <c:extLst xmlns:c15="http://schemas.microsoft.com/office/drawing/2012/chart">
                  <c:ext xmlns:c16="http://schemas.microsoft.com/office/drawing/2014/chart" uri="{C3380CC4-5D6E-409C-BE32-E72D297353CC}">
                    <c16:uniqueId val="{00000023-07F9-4353-8443-FFAAB977951C}"/>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'DaňPríjmy_ESA2010_Vývoj VF'!$K$1</c15:sqref>
                        </c15:formulaRef>
                      </c:ext>
                    </c:extLst>
                    <c:strCache>
                      <c:ptCount val="1"/>
                      <c:pt idx="0">
                        <c:v>Rozdiel 2018 RVS-2017 </c:v>
                      </c:pt>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'DaňPríjmy_ESA2010_Vývoj VF'!$A$2:$A$68</c15:sqref>
                        </c15:formulaRef>
                      </c:ext>
                    </c:extLst>
                    <c:strCache>
                      <c:ptCount val="9"/>
                      <c:pt idx="0">
                        <c:v>Dane z príjmov, ziskov a kap. majetku</c:v>
                      </c:pt>
                      <c:pt idx="1">
                        <c:v>Daň z príjmov fyzických osôb </c:v>
                      </c:pt>
                      <c:pt idx="2">
                        <c:v>Daň z príjmov právnických osôb </c:v>
                      </c:pt>
                      <c:pt idx="3">
                        <c:v>Dane na tovary a služby</c:v>
                      </c:pt>
                      <c:pt idx="4">
                        <c:v>Daň z pridanej hodnoty</c:v>
                      </c:pt>
                      <c:pt idx="5">
                        <c:v>Spotrebné dane</c:v>
                      </c:pt>
                      <c:pt idx="6">
                        <c:v>Sociálna poisťovňa</c:v>
                      </c:pt>
                      <c:pt idx="7">
                        <c:v>Zdravotné poisťovne</c:v>
                      </c:pt>
                      <c:pt idx="8">
                        <c:v>FSZP spolu</c:v>
                      </c:pt>
                    </c:strCache>
                  </c:strRef>
                </c:cat>
                <c:val>
                  <c:numRef>
                    <c:extLst xmlns:c15="http://schemas.microsoft.com/office/drawing/2012/chart">
                      <c:ext xmlns:c15="http://schemas.microsoft.com/office/drawing/2012/chart" uri="{02D57815-91ED-43cb-92C2-25804820EDAC}">
                        <c15:formulaRef>
                          <c15:sqref>'DaňPríjmy_ESA2010_Vývoj VF'!$K$2:$K$68</c15:sqref>
                        </c15:formulaRef>
                      </c:ext>
                    </c:extLst>
                    <c:numCache>
                      <c:formatCode>#,##0</c:formatCode>
                      <c:ptCount val="9"/>
                      <c:pt idx="0">
                        <c:v>128308.80202000029</c:v>
                      </c:pt>
                      <c:pt idx="1">
                        <c:v>221182.24160999991</c:v>
                      </c:pt>
                      <c:pt idx="2">
                        <c:v>-157080</c:v>
                      </c:pt>
                      <c:pt idx="3">
                        <c:v>278155.42262000218</c:v>
                      </c:pt>
                      <c:pt idx="4">
                        <c:v>187914.78890000284</c:v>
                      </c:pt>
                      <c:pt idx="5">
                        <c:v>90240.633719999343</c:v>
                      </c:pt>
                      <c:pt idx="6">
                        <c:v>363477</c:v>
                      </c:pt>
                      <c:pt idx="7">
                        <c:v>223925.6388899982</c:v>
                      </c:pt>
                      <c:pt idx="8">
                        <c:v>587402.6388899982</c:v>
                      </c:pt>
                    </c:numCache>
                  </c:numRef>
                </c:val>
                <c:extLst xmlns:c15="http://schemas.microsoft.com/office/drawing/2012/chart">
                  <c:ext xmlns:c16="http://schemas.microsoft.com/office/drawing/2014/chart" uri="{C3380CC4-5D6E-409C-BE32-E72D297353CC}">
                    <c16:uniqueId val="{00000024-07F9-4353-8443-FFAAB977951C}"/>
                  </c:ext>
                </c:extLst>
              </c15:ser>
            </c15:filteredBarSeries>
            <c15:filteredBarSeries>
              <c15:ser>
                <c:idx val="10"/>
                <c:order val="10"/>
                <c:tx>
                  <c:strRef>
                    <c:extLst xmlns:c15="http://schemas.microsoft.com/office/drawing/2012/chart">
                      <c:ext xmlns:c15="http://schemas.microsoft.com/office/drawing/2012/chart" uri="{02D57815-91ED-43cb-92C2-25804820EDAC}">
                        <c15:formulaRef>
                          <c15:sqref>'DaňPríjmy_ESA2010_Vývoj VF'!$L$1</c15:sqref>
                        </c15:formulaRef>
                      </c:ext>
                    </c:extLst>
                    <c:strCache>
                      <c:ptCount val="1"/>
                      <c:pt idx="0">
                        <c:v>Podiel 2018RVS/2017</c:v>
                      </c:pt>
                    </c:strCache>
                  </c:strRef>
                </c:tx>
                <c:spPr>
                  <a:solidFill>
                    <a:schemeClr val="accent1">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'DaňPríjmy_ESA2010_Vývoj VF'!$A$2:$A$68</c15:sqref>
                        </c15:formulaRef>
                      </c:ext>
                    </c:extLst>
                    <c:strCache>
                      <c:ptCount val="9"/>
                      <c:pt idx="0">
                        <c:v>Dane z príjmov, ziskov a kap. majetku</c:v>
                      </c:pt>
                      <c:pt idx="1">
                        <c:v>Daň z príjmov fyzických osôb </c:v>
                      </c:pt>
                      <c:pt idx="2">
                        <c:v>Daň z príjmov právnických osôb </c:v>
                      </c:pt>
                      <c:pt idx="3">
                        <c:v>Dane na tovary a služby</c:v>
                      </c:pt>
                      <c:pt idx="4">
                        <c:v>Daň z pridanej hodnoty</c:v>
                      </c:pt>
                      <c:pt idx="5">
                        <c:v>Spotrebné dane</c:v>
                      </c:pt>
                      <c:pt idx="6">
                        <c:v>Sociálna poisťovňa</c:v>
                      </c:pt>
                      <c:pt idx="7">
                        <c:v>Zdravotné poisťovne</c:v>
                      </c:pt>
                      <c:pt idx="8">
                        <c:v>FSZP spolu</c:v>
                      </c:pt>
                    </c:strCache>
                  </c:strRef>
                </c:cat>
                <c:val>
                  <c:numRef>
                    <c:extLst xmlns:c15="http://schemas.microsoft.com/office/drawing/2012/chart">
                      <c:ext xmlns:c15="http://schemas.microsoft.com/office/drawing/2012/chart" uri="{02D57815-91ED-43cb-92C2-25804820EDAC}">
                        <c15:formulaRef>
                          <c15:sqref>'DaňPríjmy_ESA2010_Vývoj VF'!$L$2:$L$68</c15:sqref>
                        </c15:formulaRef>
                      </c:ext>
                    </c:extLst>
                    <c:numCache>
                      <c:formatCode>#,##0.0</c:formatCode>
                      <c:ptCount val="9"/>
                      <c:pt idx="0">
                        <c:v>2.2084537124470907</c:v>
                      </c:pt>
                      <c:pt idx="1">
                        <c:v>7.7447209583642413</c:v>
                      </c:pt>
                      <c:pt idx="2">
                        <c:v>-5.6594147758716105</c:v>
                      </c:pt>
                      <c:pt idx="3">
                        <c:v>3.4056828797972232</c:v>
                      </c:pt>
                      <c:pt idx="4">
                        <c:v>3.1761128821595705</c:v>
                      </c:pt>
                      <c:pt idx="5">
                        <c:v>4.0091119165158009</c:v>
                      </c:pt>
                      <c:pt idx="6">
                        <c:v>5.1231790245047222</c:v>
                      </c:pt>
                      <c:pt idx="7">
                        <c:v>6.72635530319375</c:v>
                      </c:pt>
                      <c:pt idx="8">
                        <c:v>5.6351883087609869</c:v>
                      </c:pt>
                    </c:numCache>
                  </c:numRef>
                </c:val>
                <c:extLst xmlns:c15="http://schemas.microsoft.com/office/drawing/2012/chart">
                  <c:ext xmlns:c16="http://schemas.microsoft.com/office/drawing/2014/chart" uri="{C3380CC4-5D6E-409C-BE32-E72D297353CC}">
                    <c16:uniqueId val="{00000025-07F9-4353-8443-FFAAB977951C}"/>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'DaňPríjmy_ESA2010_Vývoj VF'!$M$1</c15:sqref>
                        </c15:formulaRef>
                      </c:ext>
                    </c:extLst>
                    <c:strCache>
                      <c:ptCount val="1"/>
                      <c:pt idx="0">
                        <c:v>Podiel 2017RVS/2017</c:v>
                      </c:pt>
                    </c:strCache>
                  </c:strRef>
                </c:tx>
                <c:spPr>
                  <a:solidFill>
                    <a:schemeClr val="accent2">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'DaňPríjmy_ESA2010_Vývoj VF'!$A$2:$A$68</c15:sqref>
                        </c15:formulaRef>
                      </c:ext>
                    </c:extLst>
                    <c:strCache>
                      <c:ptCount val="9"/>
                      <c:pt idx="0">
                        <c:v>Dane z príjmov, ziskov a kap. majetku</c:v>
                      </c:pt>
                      <c:pt idx="1">
                        <c:v>Daň z príjmov fyzických osôb </c:v>
                      </c:pt>
                      <c:pt idx="2">
                        <c:v>Daň z príjmov právnických osôb </c:v>
                      </c:pt>
                      <c:pt idx="3">
                        <c:v>Dane na tovary a služby</c:v>
                      </c:pt>
                      <c:pt idx="4">
                        <c:v>Daň z pridanej hodnoty</c:v>
                      </c:pt>
                      <c:pt idx="5">
                        <c:v>Spotrebné dane</c:v>
                      </c:pt>
                      <c:pt idx="6">
                        <c:v>Sociálna poisťovňa</c:v>
                      </c:pt>
                      <c:pt idx="7">
                        <c:v>Zdravotné poisťovne</c:v>
                      </c:pt>
                      <c:pt idx="8">
                        <c:v>FSZP spolu</c:v>
                      </c:pt>
                    </c:strCache>
                  </c:strRef>
                </c:cat>
                <c:val>
                  <c:numRef>
                    <c:extLst xmlns:c15="http://schemas.microsoft.com/office/drawing/2012/chart">
                      <c:ext xmlns:c15="http://schemas.microsoft.com/office/drawing/2012/chart" uri="{02D57815-91ED-43cb-92C2-25804820EDAC}">
                        <c15:formulaRef>
                          <c15:sqref>'DaňPríjmy_ESA2010_Vývoj VF'!$M$2:$M$68</c15:sqref>
                        </c15:formulaRef>
                      </c:ext>
                    </c:extLst>
                    <c:numCache>
                      <c:formatCode>#,##0.00</c:formatCode>
                      <c:ptCount val="9"/>
                      <c:pt idx="0">
                        <c:v>-3.3329578948226657</c:v>
                      </c:pt>
                      <c:pt idx="1">
                        <c:v>1.4474392020778943</c:v>
                      </c:pt>
                      <c:pt idx="2">
                        <c:v>-7.6363091821199491</c:v>
                      </c:pt>
                      <c:pt idx="3">
                        <c:v>1.8446832170806304</c:v>
                      </c:pt>
                      <c:pt idx="4">
                        <c:v>2.7223310624989958</c:v>
                      </c:pt>
                      <c:pt idx="5">
                        <c:v>-0.39228330352916196</c:v>
                      </c:pt>
                      <c:pt idx="6">
                        <c:v>3.3882497637434978</c:v>
                      </c:pt>
                      <c:pt idx="7">
                        <c:v>6.9172915494292733</c:v>
                      </c:pt>
                      <c:pt idx="8">
                        <c:v>4.4897359157132239</c:v>
                      </c:pt>
                    </c:numCache>
                  </c:numRef>
                </c:val>
                <c:extLst xmlns:c15="http://schemas.microsoft.com/office/drawing/2012/chart">
                  <c:ext xmlns:c16="http://schemas.microsoft.com/office/drawing/2014/chart" uri="{C3380CC4-5D6E-409C-BE32-E72D297353CC}">
                    <c16:uniqueId val="{00000026-07F9-4353-8443-FFAAB977951C}"/>
                  </c:ext>
                </c:extLst>
              </c15:ser>
            </c15:filteredBarSeries>
          </c:ext>
        </c:extLst>
      </c:barChart>
      <c:catAx>
        <c:axId val="623594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cs-CZ"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62360960"/>
        <c:crosses val="autoZero"/>
        <c:auto val="1"/>
        <c:lblAlgn val="ctr"/>
        <c:lblOffset val="100"/>
        <c:noMultiLvlLbl val="0"/>
      </c:catAx>
      <c:valAx>
        <c:axId val="62360960"/>
        <c:scaling>
          <c:orientation val="minMax"/>
          <c:max val="13000000"/>
          <c:min val="0"/>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cs-CZ"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62359424"/>
        <c:crosses val="autoZero"/>
        <c:crossBetween val="between"/>
      </c:valAx>
      <c:spPr>
        <a:noFill/>
        <a:ln>
          <a:noFill/>
        </a:ln>
        <a:effectLst/>
      </c:spPr>
    </c:plotArea>
    <c:legend>
      <c:legendPos val="b"/>
      <c:layout>
        <c:manualLayout>
          <c:xMode val="edge"/>
          <c:yMode val="edge"/>
          <c:x val="2.4542591898234937E-2"/>
          <c:y val="0.85881680897270396"/>
          <c:w val="0.21458307294921469"/>
          <c:h val="0.10283228019316375"/>
        </c:manualLayout>
      </c:layout>
      <c:overlay val="0"/>
      <c:spPr>
        <a:noFill/>
        <a:ln>
          <a:noFill/>
        </a:ln>
        <a:effectLst/>
      </c:spPr>
      <c:txPr>
        <a:bodyPr rot="0" spcFirstLastPara="1" vertOverflow="ellipsis" vert="horz" wrap="square" anchor="ctr" anchorCtr="1"/>
        <a:lstStyle/>
        <a:p>
          <a:pPr>
            <a:defRPr lang="cs-CZ"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796796233804174E-2"/>
          <c:y val="0.14401984155650277"/>
          <c:w val="0.89595276284908831"/>
          <c:h val="0.67664563718526061"/>
        </c:manualLayout>
      </c:layout>
      <c:barChart>
        <c:barDir val="col"/>
        <c:grouping val="clustered"/>
        <c:varyColors val="0"/>
        <c:ser>
          <c:idx val="2"/>
          <c:order val="2"/>
          <c:tx>
            <c:strRef>
              <c:f>'Schodok VS ESA 2010'!$A$4</c:f>
              <c:strCache>
                <c:ptCount val="1"/>
                <c:pt idx="0">
                  <c:v>Schodok skutočnosť</c:v>
                </c:pt>
              </c:strCache>
            </c:strRef>
          </c:tx>
          <c:spPr>
            <a:solidFill>
              <a:srgbClr val="9DC3E6"/>
            </a:solidFill>
            <a:ln>
              <a:solidFill>
                <a:srgbClr val="FF0000"/>
              </a:solidFill>
            </a:ln>
            <a:effectLst/>
          </c:spPr>
          <c:invertIfNegative val="0"/>
          <c:cat>
            <c:strRef>
              <c:f>'Schodok VS ESA 2010'!$B$1:$W$1</c:f>
              <c:strCach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OS</c:v>
                </c:pt>
                <c:pt idx="13">
                  <c:v>2019 RVS</c:v>
                </c:pt>
                <c:pt idx="14">
                  <c:v>2020 RVS</c:v>
                </c:pt>
                <c:pt idx="15">
                  <c:v>2021 RVS</c:v>
                </c:pt>
              </c:strCache>
              <c:extLst/>
            </c:strRef>
          </c:cat>
          <c:val>
            <c:numRef>
              <c:f>'Schodok VS ESA 2010'!$B$4:$W$4</c:f>
              <c:numCache>
                <c:formatCode>#,##0</c:formatCode>
                <c:ptCount val="17"/>
                <c:pt idx="0">
                  <c:v>-1745.6798374161845</c:v>
                </c:pt>
                <c:pt idx="1">
                  <c:v>-1114.8054167363698</c:v>
                </c:pt>
                <c:pt idx="2">
                  <c:v>-1662.8050000000003</c:v>
                </c:pt>
                <c:pt idx="3">
                  <c:v>-4996.4930000000004</c:v>
                </c:pt>
                <c:pt idx="4">
                  <c:v>-5058.107</c:v>
                </c:pt>
                <c:pt idx="5">
                  <c:v>-3020.6909999999989</c:v>
                </c:pt>
                <c:pt idx="6">
                  <c:v>-3158.8849999999984</c:v>
                </c:pt>
                <c:pt idx="7">
                  <c:v>-2017.4120000000003</c:v>
                </c:pt>
                <c:pt idx="8">
                  <c:v>-2056.1039999999994</c:v>
                </c:pt>
                <c:pt idx="9">
                  <c:v>-2159.5829999999987</c:v>
                </c:pt>
                <c:pt idx="10">
                  <c:v>-1804.6999999999966</c:v>
                </c:pt>
                <c:pt idx="11">
                  <c:v>-659.29999999999563</c:v>
                </c:pt>
                <c:pt idx="12">
                  <c:v>-542.90000000000157</c:v>
                </c:pt>
                <c:pt idx="13">
                  <c:v>-96.9</c:v>
                </c:pt>
                <c:pt idx="14">
                  <c:v>0</c:v>
                </c:pt>
                <c:pt idx="15">
                  <c:v>218.5</c:v>
                </c:pt>
              </c:numCache>
              <c:extLst/>
            </c:numRef>
          </c:val>
          <c:extLst>
            <c:ext xmlns:c16="http://schemas.microsoft.com/office/drawing/2014/chart" uri="{C3380CC4-5D6E-409C-BE32-E72D297353CC}">
              <c16:uniqueId val="{00000000-F737-4979-88C2-09CD35726518}"/>
            </c:ext>
          </c:extLst>
        </c:ser>
        <c:ser>
          <c:idx val="4"/>
          <c:order val="4"/>
          <c:tx>
            <c:strRef>
              <c:f>'Schodok VS ESA 2010'!$A$6</c:f>
              <c:strCache>
                <c:ptCount val="1"/>
                <c:pt idx="0">
                  <c:v>Cieľový schodok RVS v mil. eur</c:v>
                </c:pt>
              </c:strCache>
            </c:strRef>
          </c:tx>
          <c:spPr>
            <a:solidFill>
              <a:srgbClr val="FFFF00"/>
            </a:solidFill>
            <a:ln>
              <a:solidFill>
                <a:srgbClr val="FF0000"/>
              </a:solidFill>
            </a:ln>
            <a:effectLst/>
          </c:spPr>
          <c:invertIfNegative val="0"/>
          <c:cat>
            <c:strRef>
              <c:f>'Schodok VS ESA 2010'!$B$1:$W$1</c:f>
              <c:strCach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OS</c:v>
                </c:pt>
                <c:pt idx="13">
                  <c:v>2019 RVS</c:v>
                </c:pt>
                <c:pt idx="14">
                  <c:v>2020 RVS</c:v>
                </c:pt>
                <c:pt idx="15">
                  <c:v>2021 RVS</c:v>
                </c:pt>
              </c:strCache>
              <c:extLst/>
            </c:strRef>
          </c:cat>
          <c:val>
            <c:numRef>
              <c:f>'Schodok VS ESA 2010'!$B$6:$W$6</c:f>
              <c:numCache>
                <c:formatCode>#,##0</c:formatCode>
                <c:ptCount val="17"/>
                <c:pt idx="0">
                  <c:v>-1440</c:v>
                </c:pt>
                <c:pt idx="1">
                  <c:v>-1410</c:v>
                </c:pt>
                <c:pt idx="2">
                  <c:v>-1507</c:v>
                </c:pt>
                <c:pt idx="3">
                  <c:v>-1307</c:v>
                </c:pt>
                <c:pt idx="4">
                  <c:v>-2205.6999999999998</c:v>
                </c:pt>
                <c:pt idx="5">
                  <c:v>-3448.9</c:v>
                </c:pt>
                <c:pt idx="6">
                  <c:v>-3323.7</c:v>
                </c:pt>
                <c:pt idx="7">
                  <c:v>-2186.5</c:v>
                </c:pt>
                <c:pt idx="8">
                  <c:v>-2000.4</c:v>
                </c:pt>
                <c:pt idx="9">
                  <c:v>-1940.1</c:v>
                </c:pt>
                <c:pt idx="10">
                  <c:v>-1556.5030000000006</c:v>
                </c:pt>
                <c:pt idx="11">
                  <c:v>-1083</c:v>
                </c:pt>
                <c:pt idx="12">
                  <c:v>-742.8</c:v>
                </c:pt>
                <c:pt idx="13">
                  <c:v>-96.9</c:v>
                </c:pt>
                <c:pt idx="14">
                  <c:v>0</c:v>
                </c:pt>
                <c:pt idx="15">
                  <c:v>218.5</c:v>
                </c:pt>
              </c:numCache>
              <c:extLst/>
            </c:numRef>
          </c:val>
          <c:extLst>
            <c:ext xmlns:c16="http://schemas.microsoft.com/office/drawing/2014/chart" uri="{C3380CC4-5D6E-409C-BE32-E72D297353CC}">
              <c16:uniqueId val="{00000001-F737-4979-88C2-09CD35726518}"/>
            </c:ext>
          </c:extLst>
        </c:ser>
        <c:dLbls>
          <c:showLegendKey val="0"/>
          <c:showVal val="0"/>
          <c:showCatName val="0"/>
          <c:showSerName val="0"/>
          <c:showPercent val="0"/>
          <c:showBubbleSize val="0"/>
        </c:dLbls>
        <c:gapWidth val="237"/>
        <c:overlap val="-41"/>
        <c:axId val="63480192"/>
        <c:axId val="63481728"/>
        <c:extLst>
          <c:ext xmlns:c15="http://schemas.microsoft.com/office/drawing/2012/chart" uri="{02D57815-91ED-43cb-92C2-25804820EDAC}">
            <c15:filteredBarSeries>
              <c15:ser>
                <c:idx val="0"/>
                <c:order val="0"/>
                <c:tx>
                  <c:strRef>
                    <c:extLst>
                      <c:ext uri="{02D57815-91ED-43cb-92C2-25804820EDAC}">
                        <c15:formulaRef>
                          <c15:sqref>'Schodok VS ESA 2010'!$A$2</c15:sqref>
                        </c15:formulaRef>
                      </c:ext>
                    </c:extLst>
                    <c:strCache>
                      <c:ptCount val="1"/>
                      <c:pt idx="0">
                        <c:v>Príjmy spolu</c:v>
                      </c:pt>
                    </c:strCache>
                  </c:strRef>
                </c:tx>
                <c:spPr>
                  <a:solidFill>
                    <a:schemeClr val="accent1"/>
                  </a:solidFill>
                  <a:ln>
                    <a:noFill/>
                  </a:ln>
                  <a:effectLst/>
                </c:spPr>
                <c:invertIfNegative val="0"/>
                <c:cat>
                  <c:strRef>
                    <c:extLst>
                      <c:ext uri="{02D57815-91ED-43cb-92C2-25804820EDAC}">
                        <c15:formulaRef>
                          <c15:sqref>'Schodok VS ESA 2010'!$B$1:$W$1</c15:sqref>
                        </c15:formulaRef>
                      </c:ext>
                    </c:extLst>
                    <c:strCach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OS</c:v>
                      </c:pt>
                      <c:pt idx="13">
                        <c:v>2019 RVS</c:v>
                      </c:pt>
                      <c:pt idx="14">
                        <c:v>2020 RVS</c:v>
                      </c:pt>
                      <c:pt idx="15">
                        <c:v>2021 RVS</c:v>
                      </c:pt>
                    </c:strCache>
                  </c:strRef>
                </c:cat>
                <c:val>
                  <c:numRef>
                    <c:extLst>
                      <c:ext uri="{02D57815-91ED-43cb-92C2-25804820EDAC}">
                        <c15:formulaRef>
                          <c15:sqref>'Schodok VS ESA 2010'!$B$2:$W$2</c15:sqref>
                        </c15:formulaRef>
                      </c:ext>
                    </c:extLst>
                    <c:numCache>
                      <c:formatCode>#,##0</c:formatCode>
                      <c:ptCount val="17"/>
                      <c:pt idx="0">
                        <c:v>18342.116458607183</c:v>
                      </c:pt>
                      <c:pt idx="1">
                        <c:v>19907.269722498841</c:v>
                      </c:pt>
                      <c:pt idx="2">
                        <c:v>23636.485000000001</c:v>
                      </c:pt>
                      <c:pt idx="3">
                        <c:v>23227.662</c:v>
                      </c:pt>
                      <c:pt idx="4">
                        <c:v>23422.342000000001</c:v>
                      </c:pt>
                      <c:pt idx="5">
                        <c:v>25807.131000000001</c:v>
                      </c:pt>
                      <c:pt idx="6">
                        <c:v>26380.595999999998</c:v>
                      </c:pt>
                      <c:pt idx="7">
                        <c:v>28719.138999999996</c:v>
                      </c:pt>
                      <c:pt idx="8">
                        <c:v>29927.390000000003</c:v>
                      </c:pt>
                      <c:pt idx="9">
                        <c:v>33532.294999999998</c:v>
                      </c:pt>
                      <c:pt idx="10">
                        <c:v>31863.9</c:v>
                      </c:pt>
                      <c:pt idx="11">
                        <c:v>33443.800000000003</c:v>
                      </c:pt>
                      <c:pt idx="12">
                        <c:v>35388.1</c:v>
                      </c:pt>
                      <c:pt idx="13">
                        <c:v>37161.300000000003</c:v>
                      </c:pt>
                      <c:pt idx="14">
                        <c:v>39744.800000000003</c:v>
                      </c:pt>
                      <c:pt idx="15">
                        <c:v>41076.800000000003</c:v>
                      </c:pt>
                    </c:numCache>
                  </c:numRef>
                </c:val>
                <c:extLst>
                  <c:ext xmlns:c16="http://schemas.microsoft.com/office/drawing/2014/chart" uri="{C3380CC4-5D6E-409C-BE32-E72D297353CC}">
                    <c16:uniqueId val="{00000002-F737-4979-88C2-09CD35726518}"/>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'Schodok VS ESA 2010'!$A$3</c15:sqref>
                        </c15:formulaRef>
                      </c:ext>
                    </c:extLst>
                    <c:strCache>
                      <c:ptCount val="1"/>
                      <c:pt idx="0">
                        <c:v>Výdavky spolu</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'Schodok VS ESA 2010'!$B$1:$W$1</c15:sqref>
                        </c15:formulaRef>
                      </c:ext>
                    </c:extLst>
                    <c:strCach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OS</c:v>
                      </c:pt>
                      <c:pt idx="13">
                        <c:v>2019 RVS</c:v>
                      </c:pt>
                      <c:pt idx="14">
                        <c:v>2020 RVS</c:v>
                      </c:pt>
                      <c:pt idx="15">
                        <c:v>2021 RVS</c:v>
                      </c:pt>
                    </c:strCache>
                  </c:strRef>
                </c:cat>
                <c:val>
                  <c:numRef>
                    <c:extLst xmlns:c15="http://schemas.microsoft.com/office/drawing/2012/chart">
                      <c:ext xmlns:c15="http://schemas.microsoft.com/office/drawing/2012/chart" uri="{02D57815-91ED-43cb-92C2-25804820EDAC}">
                        <c15:formulaRef>
                          <c15:sqref>'Schodok VS ESA 2010'!$B$3:$W$3</c15:sqref>
                        </c15:formulaRef>
                      </c:ext>
                    </c:extLst>
                    <c:numCache>
                      <c:formatCode>#,##0</c:formatCode>
                      <c:ptCount val="17"/>
                      <c:pt idx="0">
                        <c:v>20087.796296023367</c:v>
                      </c:pt>
                      <c:pt idx="1">
                        <c:v>21022.07513923521</c:v>
                      </c:pt>
                      <c:pt idx="2">
                        <c:v>25299.29</c:v>
                      </c:pt>
                      <c:pt idx="3">
                        <c:v>28224.155000000002</c:v>
                      </c:pt>
                      <c:pt idx="4">
                        <c:v>28480.449000000001</c:v>
                      </c:pt>
                      <c:pt idx="5">
                        <c:v>28827.822</c:v>
                      </c:pt>
                      <c:pt idx="6">
                        <c:v>29539.480999999996</c:v>
                      </c:pt>
                      <c:pt idx="7">
                        <c:v>30736.550999999996</c:v>
                      </c:pt>
                      <c:pt idx="8">
                        <c:v>31983.494000000002</c:v>
                      </c:pt>
                      <c:pt idx="9">
                        <c:v>35691.877999999997</c:v>
                      </c:pt>
                      <c:pt idx="10">
                        <c:v>33668.6</c:v>
                      </c:pt>
                      <c:pt idx="11">
                        <c:v>34103.1</c:v>
                      </c:pt>
                      <c:pt idx="12">
                        <c:v>35931</c:v>
                      </c:pt>
                      <c:pt idx="13">
                        <c:v>37258.199999999997</c:v>
                      </c:pt>
                      <c:pt idx="14">
                        <c:v>39744.800000000003</c:v>
                      </c:pt>
                      <c:pt idx="15">
                        <c:v>40858.300000000003</c:v>
                      </c:pt>
                    </c:numCache>
                  </c:numRef>
                </c:val>
                <c:extLst xmlns:c15="http://schemas.microsoft.com/office/drawing/2012/chart">
                  <c:ext xmlns:c16="http://schemas.microsoft.com/office/drawing/2014/chart" uri="{C3380CC4-5D6E-409C-BE32-E72D297353CC}">
                    <c16:uniqueId val="{00000003-F737-4979-88C2-09CD35726518}"/>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'Schodok VS ESA 2010'!$A$5</c15:sqref>
                        </c15:formulaRef>
                      </c:ext>
                    </c:extLst>
                    <c:strCache>
                      <c:ptCount val="1"/>
                      <c:pt idx="0">
                        <c:v>Schodok k HDP (v%)</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'Schodok VS ESA 2010'!$B$1:$W$1</c15:sqref>
                        </c15:formulaRef>
                      </c:ext>
                    </c:extLst>
                    <c:strCach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OS</c:v>
                      </c:pt>
                      <c:pt idx="13">
                        <c:v>2019 RVS</c:v>
                      </c:pt>
                      <c:pt idx="14">
                        <c:v>2020 RVS</c:v>
                      </c:pt>
                      <c:pt idx="15">
                        <c:v>2021 RVS</c:v>
                      </c:pt>
                    </c:strCache>
                  </c:strRef>
                </c:cat>
                <c:val>
                  <c:numRef>
                    <c:extLst xmlns:c15="http://schemas.microsoft.com/office/drawing/2012/chart">
                      <c:ext xmlns:c15="http://schemas.microsoft.com/office/drawing/2012/chart" uri="{02D57815-91ED-43cb-92C2-25804820EDAC}">
                        <c15:formulaRef>
                          <c15:sqref>'Schodok VS ESA 2010'!$B$5:$W$5</c15:sqref>
                        </c15:formulaRef>
                      </c:ext>
                    </c:extLst>
                    <c:numCache>
                      <c:formatCode>#,##0.00</c:formatCode>
                      <c:ptCount val="17"/>
                      <c:pt idx="0">
                        <c:v>-3.1021789205355077</c:v>
                      </c:pt>
                      <c:pt idx="1">
                        <c:v>-1.7680197683828753</c:v>
                      </c:pt>
                      <c:pt idx="2">
                        <c:v>-2.4277502642659834</c:v>
                      </c:pt>
                      <c:pt idx="3">
                        <c:v>-7.8042034828054287</c:v>
                      </c:pt>
                      <c:pt idx="4">
                        <c:v>-7.4849202320897694</c:v>
                      </c:pt>
                      <c:pt idx="5">
                        <c:v>-4.2769513728421895</c:v>
                      </c:pt>
                      <c:pt idx="6">
                        <c:v>-4.3759324649490123</c:v>
                      </c:pt>
                      <c:pt idx="7">
                        <c:v>-2.7413021855280109</c:v>
                      </c:pt>
                      <c:pt idx="8">
                        <c:v>-2.7211360433030478</c:v>
                      </c:pt>
                      <c:pt idx="9">
                        <c:v>-2.7372374696283819</c:v>
                      </c:pt>
                      <c:pt idx="10">
                        <c:v>-2.2218255238470404</c:v>
                      </c:pt>
                      <c:pt idx="11">
                        <c:v>-0.77578213618370684</c:v>
                      </c:pt>
                      <c:pt idx="12">
                        <c:v>-0.6001308813710724</c:v>
                      </c:pt>
                      <c:pt idx="13">
                        <c:v>-0.1</c:v>
                      </c:pt>
                      <c:pt idx="14">
                        <c:v>0</c:v>
                      </c:pt>
                      <c:pt idx="15">
                        <c:v>0.2</c:v>
                      </c:pt>
                    </c:numCache>
                  </c:numRef>
                </c:val>
                <c:extLst xmlns:c15="http://schemas.microsoft.com/office/drawing/2012/chart">
                  <c:ext xmlns:c16="http://schemas.microsoft.com/office/drawing/2014/chart" uri="{C3380CC4-5D6E-409C-BE32-E72D297353CC}">
                    <c16:uniqueId val="{00000004-F737-4979-88C2-09CD35726518}"/>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'Schodok VS ESA 2010'!$A$7</c15:sqref>
                        </c15:formulaRef>
                      </c:ext>
                    </c:extLst>
                    <c:strCache>
                      <c:ptCount val="1"/>
                      <c:pt idx="0">
                        <c:v>Cieľový schodok RVS v % HDP</c:v>
                      </c:pt>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'Schodok VS ESA 2010'!$B$1:$W$1</c15:sqref>
                        </c15:formulaRef>
                      </c:ext>
                    </c:extLst>
                    <c:strCach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OS</c:v>
                      </c:pt>
                      <c:pt idx="13">
                        <c:v>2019 RVS</c:v>
                      </c:pt>
                      <c:pt idx="14">
                        <c:v>2020 RVS</c:v>
                      </c:pt>
                      <c:pt idx="15">
                        <c:v>2021 RVS</c:v>
                      </c:pt>
                    </c:strCache>
                  </c:strRef>
                </c:cat>
                <c:val>
                  <c:numRef>
                    <c:extLst xmlns:c15="http://schemas.microsoft.com/office/drawing/2012/chart">
                      <c:ext xmlns:c15="http://schemas.microsoft.com/office/drawing/2012/chart" uri="{02D57815-91ED-43cb-92C2-25804820EDAC}">
                        <c15:formulaRef>
                          <c15:sqref>'Schodok VS ESA 2010'!$B$7:$W$7</c15:sqref>
                        </c15:formulaRef>
                      </c:ext>
                    </c:extLst>
                    <c:numCache>
                      <c:formatCode>General</c:formatCode>
                      <c:ptCount val="17"/>
                      <c:pt idx="0">
                        <c:v>-3.3</c:v>
                      </c:pt>
                      <c:pt idx="1">
                        <c:v>-2.95</c:v>
                      </c:pt>
                      <c:pt idx="2">
                        <c:v>-2.34</c:v>
                      </c:pt>
                      <c:pt idx="3">
                        <c:v>-1.84</c:v>
                      </c:pt>
                      <c:pt idx="4">
                        <c:v>-2.9</c:v>
                      </c:pt>
                      <c:pt idx="5">
                        <c:v>-4.9000000000000004</c:v>
                      </c:pt>
                      <c:pt idx="6" formatCode="#,##0.00">
                        <c:v>-4.5999999999999996</c:v>
                      </c:pt>
                      <c:pt idx="7" formatCode="#,##0.00">
                        <c:v>-2.9</c:v>
                      </c:pt>
                      <c:pt idx="8" formatCode="#,##0.00">
                        <c:v>-2.64</c:v>
                      </c:pt>
                      <c:pt idx="9" formatCode="#,##0.00">
                        <c:v>-2.4900000000000002</c:v>
                      </c:pt>
                      <c:pt idx="10" formatCode="#,##0.00">
                        <c:v>-1.93</c:v>
                      </c:pt>
                      <c:pt idx="11" formatCode="#,##0.00">
                        <c:v>-1.29</c:v>
                      </c:pt>
                      <c:pt idx="12" formatCode="#,##0.00">
                        <c:v>-0.83</c:v>
                      </c:pt>
                      <c:pt idx="13" formatCode="#,##0.00">
                        <c:v>-0.1</c:v>
                      </c:pt>
                      <c:pt idx="14" formatCode="#,##0.00">
                        <c:v>0</c:v>
                      </c:pt>
                      <c:pt idx="15" formatCode="#,##0.00">
                        <c:v>0.2</c:v>
                      </c:pt>
                    </c:numCache>
                  </c:numRef>
                </c:val>
                <c:extLst xmlns:c15="http://schemas.microsoft.com/office/drawing/2012/chart">
                  <c:ext xmlns:c16="http://schemas.microsoft.com/office/drawing/2014/chart" uri="{C3380CC4-5D6E-409C-BE32-E72D297353CC}">
                    <c16:uniqueId val="{00000005-F737-4979-88C2-09CD35726518}"/>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'Schodok VS ESA 2010'!$A$8</c15:sqref>
                        </c15:formulaRef>
                      </c:ext>
                    </c:extLst>
                    <c:strCache>
                      <c:ptCount val="1"/>
                      <c:pt idx="0">
                        <c:v>HDP v b.c.</c:v>
                      </c:pt>
                    </c:strCache>
                  </c:strRef>
                </c:tx>
                <c:spPr>
                  <a:solidFill>
                    <a:schemeClr val="accent1">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'Schodok VS ESA 2010'!$B$1:$W$1</c15:sqref>
                        </c15:formulaRef>
                      </c:ext>
                    </c:extLst>
                    <c:strCach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OS</c:v>
                      </c:pt>
                      <c:pt idx="13">
                        <c:v>2019 RVS</c:v>
                      </c:pt>
                      <c:pt idx="14">
                        <c:v>2020 RVS</c:v>
                      </c:pt>
                      <c:pt idx="15">
                        <c:v>2021 RVS</c:v>
                      </c:pt>
                    </c:strCache>
                  </c:strRef>
                </c:cat>
                <c:val>
                  <c:numRef>
                    <c:extLst xmlns:c15="http://schemas.microsoft.com/office/drawing/2012/chart">
                      <c:ext xmlns:c15="http://schemas.microsoft.com/office/drawing/2012/chart" uri="{02D57815-91ED-43cb-92C2-25804820EDAC}">
                        <c15:formulaRef>
                          <c15:sqref>'Schodok VS ESA 2010'!$B$8:$W$8</c15:sqref>
                        </c15:formulaRef>
                      </c:ext>
                    </c:extLst>
                    <c:numCache>
                      <c:formatCode>#,##0</c:formatCode>
                      <c:ptCount val="17"/>
                      <c:pt idx="0">
                        <c:v>56272.7</c:v>
                      </c:pt>
                      <c:pt idx="1">
                        <c:v>63053.9</c:v>
                      </c:pt>
                      <c:pt idx="2">
                        <c:v>68491.600000000006</c:v>
                      </c:pt>
                      <c:pt idx="3">
                        <c:v>64023.1</c:v>
                      </c:pt>
                      <c:pt idx="4">
                        <c:v>67577.3</c:v>
                      </c:pt>
                      <c:pt idx="5">
                        <c:v>70627.199999999997</c:v>
                      </c:pt>
                      <c:pt idx="6">
                        <c:v>72187.7</c:v>
                      </c:pt>
                      <c:pt idx="7">
                        <c:v>73593.2</c:v>
                      </c:pt>
                      <c:pt idx="8">
                        <c:v>75560.5</c:v>
                      </c:pt>
                      <c:pt idx="9">
                        <c:v>78896.442999999999</c:v>
                      </c:pt>
                      <c:pt idx="10">
                        <c:v>81226</c:v>
                      </c:pt>
                      <c:pt idx="11">
                        <c:v>84985.2</c:v>
                      </c:pt>
                      <c:pt idx="12">
                        <c:v>90463.6</c:v>
                      </c:pt>
                      <c:pt idx="13">
                        <c:v>96890.4</c:v>
                      </c:pt>
                      <c:pt idx="14">
                        <c:v>103188.6</c:v>
                      </c:pt>
                      <c:pt idx="15">
                        <c:v>109272.9</c:v>
                      </c:pt>
                    </c:numCache>
                  </c:numRef>
                </c:val>
                <c:extLst xmlns:c15="http://schemas.microsoft.com/office/drawing/2012/chart">
                  <c:ext xmlns:c16="http://schemas.microsoft.com/office/drawing/2014/chart" uri="{C3380CC4-5D6E-409C-BE32-E72D297353CC}">
                    <c16:uniqueId val="{00000006-F737-4979-88C2-09CD35726518}"/>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'Schodok VS ESA 2010'!$A$9</c15:sqref>
                        </c15:formulaRef>
                      </c:ext>
                    </c:extLst>
                    <c:strCache>
                      <c:ptCount val="1"/>
                      <c:pt idx="0">
                        <c:v>Príjmy spolu (% HDP)</c:v>
                      </c:pt>
                    </c:strCache>
                  </c:strRef>
                </c:tx>
                <c:spPr>
                  <a:solidFill>
                    <a:schemeClr val="accent2">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'Schodok VS ESA 2010'!$B$1:$W$1</c15:sqref>
                        </c15:formulaRef>
                      </c:ext>
                    </c:extLst>
                    <c:strCach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OS</c:v>
                      </c:pt>
                      <c:pt idx="13">
                        <c:v>2019 RVS</c:v>
                      </c:pt>
                      <c:pt idx="14">
                        <c:v>2020 RVS</c:v>
                      </c:pt>
                      <c:pt idx="15">
                        <c:v>2021 RVS</c:v>
                      </c:pt>
                    </c:strCache>
                  </c:strRef>
                </c:cat>
                <c:val>
                  <c:numRef>
                    <c:extLst xmlns:c15="http://schemas.microsoft.com/office/drawing/2012/chart">
                      <c:ext xmlns:c15="http://schemas.microsoft.com/office/drawing/2012/chart" uri="{02D57815-91ED-43cb-92C2-25804820EDAC}">
                        <c15:formulaRef>
                          <c15:sqref>'Schodok VS ESA 2010'!$B$9:$W$9</c15:sqref>
                        </c15:formulaRef>
                      </c:ext>
                    </c:extLst>
                    <c:numCache>
                      <c:formatCode>#,##0.00</c:formatCode>
                      <c:ptCount val="17"/>
                      <c:pt idx="0">
                        <c:v>32.595053122752567</c:v>
                      </c:pt>
                      <c:pt idx="1">
                        <c:v>31.571829375342112</c:v>
                      </c:pt>
                      <c:pt idx="2">
                        <c:v>34.510049407518586</c:v>
                      </c:pt>
                      <c:pt idx="3">
                        <c:v>36.28012701665493</c:v>
                      </c:pt>
                      <c:pt idx="4">
                        <c:v>34.66007372298094</c:v>
                      </c:pt>
                      <c:pt idx="5">
                        <c:v>36.539932207421508</c:v>
                      </c:pt>
                      <c:pt idx="6">
                        <c:v>36.544447322743345</c:v>
                      </c:pt>
                      <c:pt idx="7">
                        <c:v>39.024174787888008</c:v>
                      </c:pt>
                      <c:pt idx="8">
                        <c:v>39.607188941311932</c:v>
                      </c:pt>
                      <c:pt idx="9">
                        <c:v>42.501656253375074</c:v>
                      </c:pt>
                      <c:pt idx="10">
                        <c:v>39.228695245364783</c:v>
                      </c:pt>
                      <c:pt idx="11">
                        <c:v>39.352499023359371</c:v>
                      </c:pt>
                      <c:pt idx="12">
                        <c:v>39.118606820864962</c:v>
                      </c:pt>
                      <c:pt idx="13">
                        <c:v>38.353954571350727</c:v>
                      </c:pt>
                      <c:pt idx="14">
                        <c:v>38.516657847863044</c:v>
                      </c:pt>
                      <c:pt idx="15">
                        <c:v>37.591022110697168</c:v>
                      </c:pt>
                    </c:numCache>
                  </c:numRef>
                </c:val>
                <c:extLst xmlns:c15="http://schemas.microsoft.com/office/drawing/2012/chart">
                  <c:ext xmlns:c16="http://schemas.microsoft.com/office/drawing/2014/chart" uri="{C3380CC4-5D6E-409C-BE32-E72D297353CC}">
                    <c16:uniqueId val="{00000007-F737-4979-88C2-09CD35726518}"/>
                  </c:ext>
                </c:extLst>
              </c15:ser>
            </c15:filteredBarSeries>
            <c15:filteredBarSeries>
              <c15:ser>
                <c:idx val="8"/>
                <c:order val="8"/>
                <c:tx>
                  <c:strRef>
                    <c:extLst xmlns:c15="http://schemas.microsoft.com/office/drawing/2012/chart">
                      <c:ext xmlns:c15="http://schemas.microsoft.com/office/drawing/2012/chart" uri="{02D57815-91ED-43cb-92C2-25804820EDAC}">
                        <c15:formulaRef>
                          <c15:sqref>'Schodok VS ESA 2010'!$A$10</c15:sqref>
                        </c15:formulaRef>
                      </c:ext>
                    </c:extLst>
                    <c:strCache>
                      <c:ptCount val="1"/>
                      <c:pt idx="0">
                        <c:v>Výdavky spolu (% HDP)</c:v>
                      </c:pt>
                    </c:strCache>
                  </c:strRef>
                </c:tx>
                <c:spPr>
                  <a:solidFill>
                    <a:schemeClr val="accent3">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'Schodok VS ESA 2010'!$B$1:$W$1</c15:sqref>
                        </c15:formulaRef>
                      </c:ext>
                    </c:extLst>
                    <c:strCach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OS</c:v>
                      </c:pt>
                      <c:pt idx="13">
                        <c:v>2019 RVS</c:v>
                      </c:pt>
                      <c:pt idx="14">
                        <c:v>2020 RVS</c:v>
                      </c:pt>
                      <c:pt idx="15">
                        <c:v>2021 RVS</c:v>
                      </c:pt>
                    </c:strCache>
                  </c:strRef>
                </c:cat>
                <c:val>
                  <c:numRef>
                    <c:extLst xmlns:c15="http://schemas.microsoft.com/office/drawing/2012/chart">
                      <c:ext xmlns:c15="http://schemas.microsoft.com/office/drawing/2012/chart" uri="{02D57815-91ED-43cb-92C2-25804820EDAC}">
                        <c15:formulaRef>
                          <c15:sqref>'Schodok VS ESA 2010'!$B$10:$W$10</c15:sqref>
                        </c15:formulaRef>
                      </c:ext>
                    </c:extLst>
                    <c:numCache>
                      <c:formatCode>#,##0.00</c:formatCode>
                      <c:ptCount val="17"/>
                      <c:pt idx="0">
                        <c:v>35.697232043288075</c:v>
                      </c:pt>
                      <c:pt idx="1">
                        <c:v>33.33984914372499</c:v>
                      </c:pt>
                      <c:pt idx="2">
                        <c:v>36.937799671784568</c:v>
                      </c:pt>
                      <c:pt idx="3">
                        <c:v>44.084330499460357</c:v>
                      </c:pt>
                      <c:pt idx="4">
                        <c:v>42.14499395507071</c:v>
                      </c:pt>
                      <c:pt idx="5">
                        <c:v>40.816883580263699</c:v>
                      </c:pt>
                      <c:pt idx="6">
                        <c:v>40.920379787692362</c:v>
                      </c:pt>
                      <c:pt idx="7">
                        <c:v>41.765476973416021</c:v>
                      </c:pt>
                      <c:pt idx="8">
                        <c:v>42.32832498461498</c:v>
                      </c:pt>
                      <c:pt idx="9">
                        <c:v>45.238893723003457</c:v>
                      </c:pt>
                      <c:pt idx="10">
                        <c:v>41.450520769211828</c:v>
                      </c:pt>
                      <c:pt idx="11">
                        <c:v>40.128281159543072</c:v>
                      </c:pt>
                      <c:pt idx="12">
                        <c:v>39.718737702236034</c:v>
                      </c:pt>
                      <c:pt idx="13">
                        <c:v>38.45396447945307</c:v>
                      </c:pt>
                      <c:pt idx="14">
                        <c:v>38.516657847863044</c:v>
                      </c:pt>
                      <c:pt idx="15">
                        <c:v>37.391064024108452</c:v>
                      </c:pt>
                    </c:numCache>
                  </c:numRef>
                </c:val>
                <c:extLst xmlns:c15="http://schemas.microsoft.com/office/drawing/2012/chart">
                  <c:ext xmlns:c16="http://schemas.microsoft.com/office/drawing/2014/chart" uri="{C3380CC4-5D6E-409C-BE32-E72D297353CC}">
                    <c16:uniqueId val="{00000008-F737-4979-88C2-09CD35726518}"/>
                  </c:ext>
                </c:extLst>
              </c15:ser>
            </c15:filteredBarSeries>
          </c:ext>
        </c:extLst>
      </c:barChart>
      <c:catAx>
        <c:axId val="63480192"/>
        <c:scaling>
          <c:orientation val="minMax"/>
        </c:scaling>
        <c:delete val="0"/>
        <c:axPos val="b"/>
        <c:numFmt formatCode="General" sourceLinked="1"/>
        <c:majorTickMark val="out"/>
        <c:minorTickMark val="none"/>
        <c:tickLblPos val="high"/>
        <c:spPr>
          <a:noFill/>
          <a:ln w="25400" cap="flat" cmpd="sng" algn="ctr">
            <a:solidFill>
              <a:schemeClr val="bg1"/>
            </a:solidFill>
            <a:round/>
          </a:ln>
          <a:effectLst/>
        </c:spPr>
        <c:txPr>
          <a:bodyPr rot="0" spcFirstLastPara="1" vertOverflow="ellipsis" vert="horz" wrap="square" anchor="ctr" anchorCtr="1"/>
          <a:lstStyle/>
          <a:p>
            <a:pPr>
              <a:defRPr lang="cs-CZ" sz="800" b="0" i="0" u="none" strike="noStrike" kern="1200" baseline="0">
                <a:solidFill>
                  <a:srgbClr val="002060"/>
                </a:solidFill>
                <a:latin typeface="Arial Narrow" panose="020B0606020202030204" pitchFamily="34" charset="0"/>
                <a:ea typeface="+mn-ea"/>
                <a:cs typeface="+mn-cs"/>
              </a:defRPr>
            </a:pPr>
            <a:endParaRPr lang="sk-SK"/>
          </a:p>
        </c:txPr>
        <c:crossAx val="63481728"/>
        <c:crosses val="autoZero"/>
        <c:auto val="1"/>
        <c:lblAlgn val="ctr"/>
        <c:lblOffset val="100"/>
        <c:noMultiLvlLbl val="0"/>
      </c:catAx>
      <c:valAx>
        <c:axId val="63481728"/>
        <c:scaling>
          <c:orientation val="minMax"/>
          <c:max val="1500"/>
          <c:min val="-550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lang="cs-CZ" sz="1000" b="0" i="0" u="none" strike="noStrike" kern="1200" baseline="0">
                    <a:solidFill>
                      <a:schemeClr val="tx1">
                        <a:lumMod val="65000"/>
                        <a:lumOff val="35000"/>
                      </a:schemeClr>
                    </a:solidFill>
                    <a:latin typeface="Arial Narrow" panose="020B0606020202030204" pitchFamily="34" charset="0"/>
                    <a:ea typeface="+mn-ea"/>
                    <a:cs typeface="+mn-cs"/>
                  </a:defRPr>
                </a:pPr>
                <a:r>
                  <a:rPr lang="en-US">
                    <a:latin typeface="Arial Narrow" panose="020B0606020202030204" pitchFamily="34" charset="0"/>
                  </a:rPr>
                  <a:t>mil.eur</a:t>
                </a:r>
              </a:p>
            </c:rich>
          </c:tx>
          <c:layout>
            <c:manualLayout>
              <c:xMode val="edge"/>
              <c:yMode val="edge"/>
              <c:x val="1.3227513227513232E-2"/>
              <c:y val="0.88956712979684804"/>
            </c:manualLayout>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cs-CZ" sz="900" b="0" i="0" u="none" strike="noStrike" kern="1200" baseline="0">
                <a:solidFill>
                  <a:srgbClr val="002060"/>
                </a:solidFill>
                <a:latin typeface="Arial Narrow" panose="020B0606020202030204" pitchFamily="34" charset="0"/>
                <a:ea typeface="+mn-ea"/>
                <a:cs typeface="+mn-cs"/>
              </a:defRPr>
            </a:pPr>
            <a:endParaRPr lang="sk-SK"/>
          </a:p>
        </c:txPr>
        <c:crossAx val="63480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rtl="0">
            <a:defRPr lang="cs-CZ" sz="900" b="0" i="0" u="none" strike="noStrike" kern="1200" baseline="0">
              <a:solidFill>
                <a:srgbClr val="002060"/>
              </a:solidFill>
              <a:latin typeface="Arial Narrow" panose="020B0606020202030204" pitchFamily="34" charset="0"/>
              <a:ea typeface="+mn-ea"/>
              <a:cs typeface="+mn-cs"/>
            </a:defRPr>
          </a:pPr>
          <a:endParaRPr lang="sk-SK"/>
        </a:p>
      </c:txPr>
    </c:legend>
    <c:plotVisOnly val="1"/>
    <c:dispBlanksAs val="zero"/>
    <c:showDLblsOverMax val="0"/>
  </c:chart>
  <c:spPr>
    <a:solidFill>
      <a:schemeClr val="accent1">
        <a:lumMod val="20000"/>
        <a:lumOff val="80000"/>
      </a:schemeClr>
    </a:solidFill>
    <a:ln w="9525" cap="flat" cmpd="sng" algn="ctr">
      <a:noFill/>
      <a:round/>
    </a:ln>
    <a:effectLst/>
  </c:spPr>
  <c:txPr>
    <a:bodyPr/>
    <a:lstStyle/>
    <a:p>
      <a:pPr>
        <a:defRPr/>
      </a:pPr>
      <a:endParaRPr lang="sk-SK"/>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868224805232702E-2"/>
          <c:y val="3.3133526536216325E-2"/>
          <c:w val="0.83562245691510806"/>
          <c:h val="0.72909331330658012"/>
        </c:manualLayout>
      </c:layout>
      <c:barChart>
        <c:barDir val="col"/>
        <c:grouping val="clustered"/>
        <c:varyColors val="0"/>
        <c:ser>
          <c:idx val="0"/>
          <c:order val="0"/>
          <c:tx>
            <c:strRef>
              <c:f>'Dlh VS (maastricht) ESA 2010'!$A$2:$B$2</c:f>
              <c:strCache>
                <c:ptCount val="2"/>
                <c:pt idx="0">
                  <c:v>Hrubý dlh verejnej správy </c:v>
                </c:pt>
                <c:pt idx="1">
                  <c:v>mil. eur</c:v>
                </c:pt>
              </c:strCache>
            </c:strRef>
          </c:tx>
          <c:spPr>
            <a:solidFill>
              <a:schemeClr val="accent5">
                <a:lumMod val="20000"/>
                <a:lumOff val="80000"/>
              </a:schemeClr>
            </a:solidFill>
            <a:ln w="15875">
              <a:solidFill>
                <a:srgbClr val="002060"/>
              </a:solidFill>
            </a:ln>
            <a:effectLst/>
          </c:spPr>
          <c:invertIfNegative val="0"/>
          <c:dPt>
            <c:idx val="12"/>
            <c:invertIfNegative val="0"/>
            <c:bubble3D val="0"/>
            <c:spPr>
              <a:solidFill>
                <a:srgbClr val="FFC000"/>
              </a:solidFill>
              <a:ln w="15875">
                <a:solidFill>
                  <a:srgbClr val="002060"/>
                </a:solidFill>
              </a:ln>
              <a:effectLst/>
            </c:spPr>
            <c:extLst>
              <c:ext xmlns:c16="http://schemas.microsoft.com/office/drawing/2014/chart" uri="{C3380CC4-5D6E-409C-BE32-E72D297353CC}">
                <c16:uniqueId val="{00000001-B198-43CD-8E16-AFE8ECA2C630}"/>
              </c:ext>
            </c:extLst>
          </c:dPt>
          <c:dPt>
            <c:idx val="13"/>
            <c:invertIfNegative val="0"/>
            <c:bubble3D val="0"/>
            <c:spPr>
              <a:solidFill>
                <a:srgbClr val="FFC000"/>
              </a:solidFill>
              <a:ln w="15875">
                <a:solidFill>
                  <a:srgbClr val="002060"/>
                </a:solidFill>
              </a:ln>
              <a:effectLst/>
            </c:spPr>
            <c:extLst>
              <c:ext xmlns:c16="http://schemas.microsoft.com/office/drawing/2014/chart" uri="{C3380CC4-5D6E-409C-BE32-E72D297353CC}">
                <c16:uniqueId val="{00000003-B198-43CD-8E16-AFE8ECA2C630}"/>
              </c:ext>
            </c:extLst>
          </c:dPt>
          <c:dPt>
            <c:idx val="14"/>
            <c:invertIfNegative val="0"/>
            <c:bubble3D val="0"/>
            <c:spPr>
              <a:solidFill>
                <a:srgbClr val="FFC000"/>
              </a:solidFill>
              <a:ln w="15875">
                <a:solidFill>
                  <a:srgbClr val="002060"/>
                </a:solidFill>
              </a:ln>
              <a:effectLst/>
            </c:spPr>
            <c:extLst>
              <c:ext xmlns:c16="http://schemas.microsoft.com/office/drawing/2014/chart" uri="{C3380CC4-5D6E-409C-BE32-E72D297353CC}">
                <c16:uniqueId val="{00000005-B198-43CD-8E16-AFE8ECA2C630}"/>
              </c:ext>
            </c:extLst>
          </c:dPt>
          <c:dLbls>
            <c:dLbl>
              <c:idx val="1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198-43CD-8E16-AFE8ECA2C630}"/>
                </c:ext>
              </c:extLst>
            </c:dLbl>
            <c:dLbl>
              <c:idx val="1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198-43CD-8E16-AFE8ECA2C630}"/>
                </c:ext>
              </c:extLst>
            </c:dLbl>
            <c:dLbl>
              <c:idx val="1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198-43CD-8E16-AFE8ECA2C630}"/>
                </c:ext>
              </c:extLst>
            </c:dLbl>
            <c:dLbl>
              <c:idx val="1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198-43CD-8E16-AFE8ECA2C630}"/>
                </c:ext>
              </c:extLst>
            </c:dLbl>
            <c:dLbl>
              <c:idx val="1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198-43CD-8E16-AFE8ECA2C63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'Dlh VS (maastricht) ESA 2010'!$C$1:$S$1</c:f>
              <c:strCache>
                <c:ptCount val="15"/>
                <c:pt idx="0">
                  <c:v>2007</c:v>
                </c:pt>
                <c:pt idx="1">
                  <c:v>2008</c:v>
                </c:pt>
                <c:pt idx="2">
                  <c:v>2009</c:v>
                </c:pt>
                <c:pt idx="3">
                  <c:v>2010</c:v>
                </c:pt>
                <c:pt idx="4">
                  <c:v>2011</c:v>
                </c:pt>
                <c:pt idx="5">
                  <c:v>2012</c:v>
                </c:pt>
                <c:pt idx="6">
                  <c:v>2013</c:v>
                </c:pt>
                <c:pt idx="7">
                  <c:v>2014</c:v>
                </c:pt>
                <c:pt idx="8">
                  <c:v>2015</c:v>
                </c:pt>
                <c:pt idx="9">
                  <c:v>2016</c:v>
                </c:pt>
                <c:pt idx="10">
                  <c:v>2017</c:v>
                </c:pt>
                <c:pt idx="11">
                  <c:v>2018 OS</c:v>
                </c:pt>
                <c:pt idx="12">
                  <c:v>2019 RVS</c:v>
                </c:pt>
                <c:pt idx="13">
                  <c:v>2020 RVS</c:v>
                </c:pt>
                <c:pt idx="14">
                  <c:v>2021 RVS</c:v>
                </c:pt>
              </c:strCache>
              <c:extLst/>
            </c:strRef>
          </c:cat>
          <c:val>
            <c:numRef>
              <c:f>'Dlh VS (maastricht) ESA 2010'!$C$2:$S$2</c:f>
              <c:numCache>
                <c:formatCode>#,##0</c:formatCode>
                <c:ptCount val="15"/>
                <c:pt idx="0">
                  <c:v>18979.8</c:v>
                </c:pt>
                <c:pt idx="1">
                  <c:v>19493.7</c:v>
                </c:pt>
                <c:pt idx="2">
                  <c:v>23236.799999999996</c:v>
                </c:pt>
                <c:pt idx="3">
                  <c:v>27842.3</c:v>
                </c:pt>
                <c:pt idx="4">
                  <c:v>30846.9</c:v>
                </c:pt>
                <c:pt idx="5">
                  <c:v>37925.707999999999</c:v>
                </c:pt>
                <c:pt idx="6">
                  <c:v>40600.009000000005</c:v>
                </c:pt>
                <c:pt idx="7">
                  <c:v>40725.018000000011</c:v>
                </c:pt>
                <c:pt idx="8">
                  <c:v>41295</c:v>
                </c:pt>
                <c:pt idx="9">
                  <c:v>42053.2</c:v>
                </c:pt>
                <c:pt idx="10">
                  <c:v>43230</c:v>
                </c:pt>
                <c:pt idx="11">
                  <c:v>43968</c:v>
                </c:pt>
                <c:pt idx="12">
                  <c:v>45719</c:v>
                </c:pt>
                <c:pt idx="13">
                  <c:v>47381</c:v>
                </c:pt>
                <c:pt idx="14">
                  <c:v>48894</c:v>
                </c:pt>
              </c:numCache>
              <c:extLst/>
            </c:numRef>
          </c:val>
          <c:extLst>
            <c:ext xmlns:c16="http://schemas.microsoft.com/office/drawing/2014/chart" uri="{C3380CC4-5D6E-409C-BE32-E72D297353CC}">
              <c16:uniqueId val="{00000008-B198-43CD-8E16-AFE8ECA2C630}"/>
            </c:ext>
          </c:extLst>
        </c:ser>
        <c:ser>
          <c:idx val="1"/>
          <c:order val="1"/>
          <c:tx>
            <c:strRef>
              <c:f>'Dlh VS (maastricht) ESA 2010'!$A$3:$B$3</c:f>
              <c:strCache>
                <c:ptCount val="2"/>
                <c:pt idx="0">
                  <c:v>1. členenie podľa rezidentov</c:v>
                </c:pt>
              </c:strCache>
            </c:strRef>
          </c:tx>
          <c:spPr>
            <a:solidFill>
              <a:schemeClr val="accent3"/>
            </a:solidFill>
            <a:ln>
              <a:noFill/>
            </a:ln>
            <a:effectLst/>
          </c:spPr>
          <c:invertIfNegative val="0"/>
          <c:cat>
            <c:strRef>
              <c:f>'Dlh VS (maastricht) ESA 2010'!$C$1:$S$1</c:f>
              <c:strCache>
                <c:ptCount val="17"/>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RVS</c:v>
                </c:pt>
                <c:pt idx="13">
                  <c:v>2018 OS</c:v>
                </c:pt>
                <c:pt idx="14">
                  <c:v>2019 RVS</c:v>
                </c:pt>
                <c:pt idx="15">
                  <c:v>2020 RVS</c:v>
                </c:pt>
                <c:pt idx="16">
                  <c:v>2021 RVS</c:v>
                </c:pt>
              </c:strCache>
              <c:extLst/>
            </c:strRef>
          </c:cat>
          <c:val>
            <c:numRef>
              <c:f>'Dlh VS (maastricht) ESA 2010'!$C$3:$S$3</c:f>
              <c:extLst/>
            </c:numRef>
          </c:val>
          <c:extLst>
            <c:ext xmlns:c16="http://schemas.microsoft.com/office/drawing/2014/chart" uri="{C3380CC4-5D6E-409C-BE32-E72D297353CC}">
              <c16:uniqueId val="{00000009-B198-43CD-8E16-AFE8ECA2C630}"/>
            </c:ext>
          </c:extLst>
        </c:ser>
        <c:ser>
          <c:idx val="2"/>
          <c:order val="2"/>
          <c:tx>
            <c:strRef>
              <c:f>'Dlh VS (maastricht) ESA 2010'!$A$4:$B$4</c:f>
              <c:strCache>
                <c:ptCount val="2"/>
                <c:pt idx="0">
                  <c:v>- domáci</c:v>
                </c:pt>
                <c:pt idx="1">
                  <c:v>mil. Eur</c:v>
                </c:pt>
              </c:strCache>
            </c:strRef>
          </c:tx>
          <c:spPr>
            <a:solidFill>
              <a:schemeClr val="accent5"/>
            </a:solidFill>
            <a:ln>
              <a:noFill/>
            </a:ln>
            <a:effectLst/>
          </c:spPr>
          <c:invertIfNegative val="0"/>
          <c:cat>
            <c:strRef>
              <c:f>'Dlh VS (maastricht) ESA 2010'!$C$1:$S$1</c:f>
              <c:strCache>
                <c:ptCount val="17"/>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RVS</c:v>
                </c:pt>
                <c:pt idx="13">
                  <c:v>2018 OS</c:v>
                </c:pt>
                <c:pt idx="14">
                  <c:v>2019 RVS</c:v>
                </c:pt>
                <c:pt idx="15">
                  <c:v>2020 RVS</c:v>
                </c:pt>
                <c:pt idx="16">
                  <c:v>2021 RVS</c:v>
                </c:pt>
              </c:strCache>
              <c:extLst/>
            </c:strRef>
          </c:cat>
          <c:val>
            <c:numRef>
              <c:f>'Dlh VS (maastricht) ESA 2010'!$C$4:$S$4</c:f>
              <c:extLst/>
            </c:numRef>
          </c:val>
          <c:extLst>
            <c:ext xmlns:c16="http://schemas.microsoft.com/office/drawing/2014/chart" uri="{C3380CC4-5D6E-409C-BE32-E72D297353CC}">
              <c16:uniqueId val="{0000000A-B198-43CD-8E16-AFE8ECA2C630}"/>
            </c:ext>
          </c:extLst>
        </c:ser>
        <c:ser>
          <c:idx val="3"/>
          <c:order val="3"/>
          <c:tx>
            <c:strRef>
              <c:f>'Dlh VS (maastricht) ESA 2010'!$A$5:$B$5</c:f>
              <c:strCache>
                <c:ptCount val="2"/>
                <c:pt idx="0">
                  <c:v>- zahraničný</c:v>
                </c:pt>
                <c:pt idx="1">
                  <c:v>mil. Eur</c:v>
                </c:pt>
              </c:strCache>
            </c:strRef>
          </c:tx>
          <c:spPr>
            <a:solidFill>
              <a:schemeClr val="accent1">
                <a:lumMod val="60000"/>
              </a:schemeClr>
            </a:solidFill>
            <a:ln>
              <a:noFill/>
            </a:ln>
            <a:effectLst/>
          </c:spPr>
          <c:invertIfNegative val="0"/>
          <c:cat>
            <c:strRef>
              <c:f>'Dlh VS (maastricht) ESA 2010'!$C$1:$S$1</c:f>
              <c:strCache>
                <c:ptCount val="17"/>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RVS</c:v>
                </c:pt>
                <c:pt idx="13">
                  <c:v>2018 OS</c:v>
                </c:pt>
                <c:pt idx="14">
                  <c:v>2019 RVS</c:v>
                </c:pt>
                <c:pt idx="15">
                  <c:v>2020 RVS</c:v>
                </c:pt>
                <c:pt idx="16">
                  <c:v>2021 RVS</c:v>
                </c:pt>
              </c:strCache>
              <c:extLst/>
            </c:strRef>
          </c:cat>
          <c:val>
            <c:numRef>
              <c:f>'Dlh VS (maastricht) ESA 2010'!$C$5:$S$5</c:f>
              <c:extLst/>
            </c:numRef>
          </c:val>
          <c:extLst>
            <c:ext xmlns:c16="http://schemas.microsoft.com/office/drawing/2014/chart" uri="{C3380CC4-5D6E-409C-BE32-E72D297353CC}">
              <c16:uniqueId val="{0000000B-B198-43CD-8E16-AFE8ECA2C630}"/>
            </c:ext>
          </c:extLst>
        </c:ser>
        <c:ser>
          <c:idx val="4"/>
          <c:order val="4"/>
          <c:tx>
            <c:strRef>
              <c:f>'Dlh VS (maastricht) ESA 2010'!$A$6:$B$6</c:f>
              <c:strCache>
                <c:ptCount val="2"/>
                <c:pt idx="0">
                  <c:v>2. členenie podľa pôvodnej splatnosti</c:v>
                </c:pt>
              </c:strCache>
            </c:strRef>
          </c:tx>
          <c:spPr>
            <a:solidFill>
              <a:schemeClr val="accent3">
                <a:lumMod val="60000"/>
              </a:schemeClr>
            </a:solidFill>
            <a:ln>
              <a:noFill/>
            </a:ln>
            <a:effectLst/>
          </c:spPr>
          <c:invertIfNegative val="0"/>
          <c:cat>
            <c:strRef>
              <c:f>'Dlh VS (maastricht) ESA 2010'!$C$1:$S$1</c:f>
              <c:strCache>
                <c:ptCount val="17"/>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RVS</c:v>
                </c:pt>
                <c:pt idx="13">
                  <c:v>2018 OS</c:v>
                </c:pt>
                <c:pt idx="14">
                  <c:v>2019 RVS</c:v>
                </c:pt>
                <c:pt idx="15">
                  <c:v>2020 RVS</c:v>
                </c:pt>
                <c:pt idx="16">
                  <c:v>2021 RVS</c:v>
                </c:pt>
              </c:strCache>
              <c:extLst/>
            </c:strRef>
          </c:cat>
          <c:val>
            <c:numRef>
              <c:f>'Dlh VS (maastricht) ESA 2010'!$C$6:$S$6</c:f>
              <c:extLst/>
            </c:numRef>
          </c:val>
          <c:extLst>
            <c:ext xmlns:c16="http://schemas.microsoft.com/office/drawing/2014/chart" uri="{C3380CC4-5D6E-409C-BE32-E72D297353CC}">
              <c16:uniqueId val="{0000000C-B198-43CD-8E16-AFE8ECA2C630}"/>
            </c:ext>
          </c:extLst>
        </c:ser>
        <c:ser>
          <c:idx val="5"/>
          <c:order val="5"/>
          <c:tx>
            <c:strRef>
              <c:f>'Dlh VS (maastricht) ESA 2010'!$A$7:$B$7</c:f>
              <c:strCache>
                <c:ptCount val="2"/>
                <c:pt idx="0">
                  <c:v>- krátkodobý</c:v>
                </c:pt>
                <c:pt idx="1">
                  <c:v>mil. Eur</c:v>
                </c:pt>
              </c:strCache>
            </c:strRef>
          </c:tx>
          <c:spPr>
            <a:solidFill>
              <a:schemeClr val="accent5">
                <a:lumMod val="60000"/>
              </a:schemeClr>
            </a:solidFill>
            <a:ln>
              <a:noFill/>
            </a:ln>
            <a:effectLst/>
          </c:spPr>
          <c:invertIfNegative val="0"/>
          <c:cat>
            <c:strRef>
              <c:f>'Dlh VS (maastricht) ESA 2010'!$C$1:$S$1</c:f>
              <c:strCache>
                <c:ptCount val="17"/>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RVS</c:v>
                </c:pt>
                <c:pt idx="13">
                  <c:v>2018 OS</c:v>
                </c:pt>
                <c:pt idx="14">
                  <c:v>2019 RVS</c:v>
                </c:pt>
                <c:pt idx="15">
                  <c:v>2020 RVS</c:v>
                </c:pt>
                <c:pt idx="16">
                  <c:v>2021 RVS</c:v>
                </c:pt>
              </c:strCache>
              <c:extLst/>
            </c:strRef>
          </c:cat>
          <c:val>
            <c:numRef>
              <c:f>'Dlh VS (maastricht) ESA 2010'!$C$7:$S$7</c:f>
              <c:extLst/>
            </c:numRef>
          </c:val>
          <c:extLst>
            <c:ext xmlns:c16="http://schemas.microsoft.com/office/drawing/2014/chart" uri="{C3380CC4-5D6E-409C-BE32-E72D297353CC}">
              <c16:uniqueId val="{0000000D-B198-43CD-8E16-AFE8ECA2C630}"/>
            </c:ext>
          </c:extLst>
        </c:ser>
        <c:ser>
          <c:idx val="6"/>
          <c:order val="6"/>
          <c:tx>
            <c:strRef>
              <c:f>'Dlh VS (maastricht) ESA 2010'!$A$8:$B$8</c:f>
              <c:strCache>
                <c:ptCount val="2"/>
                <c:pt idx="0">
                  <c:v>- dlhodobý</c:v>
                </c:pt>
                <c:pt idx="1">
                  <c:v>mil. Eur</c:v>
                </c:pt>
              </c:strCache>
            </c:strRef>
          </c:tx>
          <c:spPr>
            <a:solidFill>
              <a:schemeClr val="accent1">
                <a:lumMod val="80000"/>
                <a:lumOff val="20000"/>
              </a:schemeClr>
            </a:solidFill>
            <a:ln>
              <a:noFill/>
            </a:ln>
            <a:effectLst/>
          </c:spPr>
          <c:invertIfNegative val="0"/>
          <c:cat>
            <c:strRef>
              <c:f>'Dlh VS (maastricht) ESA 2010'!$C$1:$S$1</c:f>
              <c:strCache>
                <c:ptCount val="17"/>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RVS</c:v>
                </c:pt>
                <c:pt idx="13">
                  <c:v>2018 OS</c:v>
                </c:pt>
                <c:pt idx="14">
                  <c:v>2019 RVS</c:v>
                </c:pt>
                <c:pt idx="15">
                  <c:v>2020 RVS</c:v>
                </c:pt>
                <c:pt idx="16">
                  <c:v>2021 RVS</c:v>
                </c:pt>
              </c:strCache>
              <c:extLst/>
            </c:strRef>
          </c:cat>
          <c:val>
            <c:numRef>
              <c:f>'Dlh VS (maastricht) ESA 2010'!$C$8:$S$8</c:f>
              <c:extLst/>
            </c:numRef>
          </c:val>
          <c:extLst>
            <c:ext xmlns:c16="http://schemas.microsoft.com/office/drawing/2014/chart" uri="{C3380CC4-5D6E-409C-BE32-E72D297353CC}">
              <c16:uniqueId val="{0000000E-B198-43CD-8E16-AFE8ECA2C630}"/>
            </c:ext>
          </c:extLst>
        </c:ser>
        <c:ser>
          <c:idx val="8"/>
          <c:order val="8"/>
          <c:tx>
            <c:strRef>
              <c:f>'Dlh VS (maastricht) ESA 2010'!$A$10:$B$10</c:f>
              <c:strCache>
                <c:ptCount val="2"/>
                <c:pt idx="0">
                  <c:v>1. členenie podľa rezidentov</c:v>
                </c:pt>
              </c:strCache>
            </c:strRef>
          </c:tx>
          <c:spPr>
            <a:solidFill>
              <a:schemeClr val="accent5">
                <a:lumMod val="80000"/>
                <a:lumOff val="20000"/>
              </a:schemeClr>
            </a:solidFill>
            <a:ln>
              <a:noFill/>
            </a:ln>
            <a:effectLst/>
          </c:spPr>
          <c:invertIfNegative val="0"/>
          <c:cat>
            <c:strRef>
              <c:f>'Dlh VS (maastricht) ESA 2010'!$C$1:$S$1</c:f>
              <c:strCache>
                <c:ptCount val="17"/>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RVS</c:v>
                </c:pt>
                <c:pt idx="13">
                  <c:v>2018 OS</c:v>
                </c:pt>
                <c:pt idx="14">
                  <c:v>2019 RVS</c:v>
                </c:pt>
                <c:pt idx="15">
                  <c:v>2020 RVS</c:v>
                </c:pt>
                <c:pt idx="16">
                  <c:v>2021 RVS</c:v>
                </c:pt>
              </c:strCache>
              <c:extLst/>
            </c:strRef>
          </c:cat>
          <c:val>
            <c:numRef>
              <c:f>'Dlh VS (maastricht) ESA 2010'!$C$10:$S$10</c:f>
              <c:extLst/>
            </c:numRef>
          </c:val>
          <c:extLst>
            <c:ext xmlns:c16="http://schemas.microsoft.com/office/drawing/2014/chart" uri="{C3380CC4-5D6E-409C-BE32-E72D297353CC}">
              <c16:uniqueId val="{0000000F-B198-43CD-8E16-AFE8ECA2C630}"/>
            </c:ext>
          </c:extLst>
        </c:ser>
        <c:ser>
          <c:idx val="9"/>
          <c:order val="9"/>
          <c:tx>
            <c:strRef>
              <c:f>'Dlh VS (maastricht) ESA 2010'!$A$11:$B$11</c:f>
              <c:strCache>
                <c:ptCount val="2"/>
                <c:pt idx="0">
                  <c:v>- domáci</c:v>
                </c:pt>
                <c:pt idx="1">
                  <c:v>% HDP</c:v>
                </c:pt>
              </c:strCache>
            </c:strRef>
          </c:tx>
          <c:spPr>
            <a:solidFill>
              <a:schemeClr val="accent1">
                <a:lumMod val="80000"/>
              </a:schemeClr>
            </a:solidFill>
            <a:ln>
              <a:noFill/>
            </a:ln>
            <a:effectLst/>
          </c:spPr>
          <c:invertIfNegative val="0"/>
          <c:cat>
            <c:strRef>
              <c:f>'Dlh VS (maastricht) ESA 2010'!$C$1:$S$1</c:f>
              <c:strCache>
                <c:ptCount val="17"/>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RVS</c:v>
                </c:pt>
                <c:pt idx="13">
                  <c:v>2018 OS</c:v>
                </c:pt>
                <c:pt idx="14">
                  <c:v>2019 RVS</c:v>
                </c:pt>
                <c:pt idx="15">
                  <c:v>2020 RVS</c:v>
                </c:pt>
                <c:pt idx="16">
                  <c:v>2021 RVS</c:v>
                </c:pt>
              </c:strCache>
              <c:extLst/>
            </c:strRef>
          </c:cat>
          <c:val>
            <c:numRef>
              <c:f>'Dlh VS (maastricht) ESA 2010'!$C$11:$S$11</c:f>
              <c:extLst/>
            </c:numRef>
          </c:val>
          <c:extLst>
            <c:ext xmlns:c16="http://schemas.microsoft.com/office/drawing/2014/chart" uri="{C3380CC4-5D6E-409C-BE32-E72D297353CC}">
              <c16:uniqueId val="{00000010-B198-43CD-8E16-AFE8ECA2C630}"/>
            </c:ext>
          </c:extLst>
        </c:ser>
        <c:ser>
          <c:idx val="10"/>
          <c:order val="10"/>
          <c:tx>
            <c:strRef>
              <c:f>'Dlh VS (maastricht) ESA 2010'!$A$12:$B$12</c:f>
              <c:strCache>
                <c:ptCount val="2"/>
                <c:pt idx="0">
                  <c:v>- zahraničný</c:v>
                </c:pt>
                <c:pt idx="1">
                  <c:v>% HDP</c:v>
                </c:pt>
              </c:strCache>
            </c:strRef>
          </c:tx>
          <c:spPr>
            <a:solidFill>
              <a:schemeClr val="accent3">
                <a:lumMod val="80000"/>
              </a:schemeClr>
            </a:solidFill>
            <a:ln>
              <a:noFill/>
            </a:ln>
            <a:effectLst/>
          </c:spPr>
          <c:invertIfNegative val="0"/>
          <c:cat>
            <c:strRef>
              <c:f>'Dlh VS (maastricht) ESA 2010'!$C$1:$S$1</c:f>
              <c:strCache>
                <c:ptCount val="17"/>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RVS</c:v>
                </c:pt>
                <c:pt idx="13">
                  <c:v>2018 OS</c:v>
                </c:pt>
                <c:pt idx="14">
                  <c:v>2019 RVS</c:v>
                </c:pt>
                <c:pt idx="15">
                  <c:v>2020 RVS</c:v>
                </c:pt>
                <c:pt idx="16">
                  <c:v>2021 RVS</c:v>
                </c:pt>
              </c:strCache>
              <c:extLst/>
            </c:strRef>
          </c:cat>
          <c:val>
            <c:numRef>
              <c:f>'Dlh VS (maastricht) ESA 2010'!$C$12:$S$12</c:f>
              <c:extLst/>
            </c:numRef>
          </c:val>
          <c:extLst>
            <c:ext xmlns:c16="http://schemas.microsoft.com/office/drawing/2014/chart" uri="{C3380CC4-5D6E-409C-BE32-E72D297353CC}">
              <c16:uniqueId val="{00000011-B198-43CD-8E16-AFE8ECA2C630}"/>
            </c:ext>
          </c:extLst>
        </c:ser>
        <c:ser>
          <c:idx val="11"/>
          <c:order val="11"/>
          <c:tx>
            <c:strRef>
              <c:f>'Dlh VS (maastricht) ESA 2010'!$A$13:$B$13</c:f>
              <c:strCache>
                <c:ptCount val="2"/>
                <c:pt idx="0">
                  <c:v>2. členenie podľa pôvodnej splatnosti</c:v>
                </c:pt>
              </c:strCache>
            </c:strRef>
          </c:tx>
          <c:spPr>
            <a:solidFill>
              <a:schemeClr val="accent5">
                <a:lumMod val="80000"/>
              </a:schemeClr>
            </a:solidFill>
            <a:ln>
              <a:noFill/>
            </a:ln>
            <a:effectLst/>
          </c:spPr>
          <c:invertIfNegative val="0"/>
          <c:cat>
            <c:strRef>
              <c:f>'Dlh VS (maastricht) ESA 2010'!$C$1:$S$1</c:f>
              <c:strCache>
                <c:ptCount val="17"/>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RVS</c:v>
                </c:pt>
                <c:pt idx="13">
                  <c:v>2018 OS</c:v>
                </c:pt>
                <c:pt idx="14">
                  <c:v>2019 RVS</c:v>
                </c:pt>
                <c:pt idx="15">
                  <c:v>2020 RVS</c:v>
                </c:pt>
                <c:pt idx="16">
                  <c:v>2021 RVS</c:v>
                </c:pt>
              </c:strCache>
              <c:extLst/>
            </c:strRef>
          </c:cat>
          <c:val>
            <c:numRef>
              <c:f>'Dlh VS (maastricht) ESA 2010'!$C$13:$S$13</c:f>
              <c:extLst/>
            </c:numRef>
          </c:val>
          <c:extLst>
            <c:ext xmlns:c16="http://schemas.microsoft.com/office/drawing/2014/chart" uri="{C3380CC4-5D6E-409C-BE32-E72D297353CC}">
              <c16:uniqueId val="{00000012-B198-43CD-8E16-AFE8ECA2C630}"/>
            </c:ext>
          </c:extLst>
        </c:ser>
        <c:ser>
          <c:idx val="12"/>
          <c:order val="12"/>
          <c:tx>
            <c:strRef>
              <c:f>'Dlh VS (maastricht) ESA 2010'!$A$14:$B$14</c:f>
              <c:strCache>
                <c:ptCount val="2"/>
                <c:pt idx="0">
                  <c:v>- krátkodobý</c:v>
                </c:pt>
                <c:pt idx="1">
                  <c:v>% HDP</c:v>
                </c:pt>
              </c:strCache>
            </c:strRef>
          </c:tx>
          <c:spPr>
            <a:solidFill>
              <a:schemeClr val="accent1">
                <a:lumMod val="60000"/>
                <a:lumOff val="40000"/>
              </a:schemeClr>
            </a:solidFill>
            <a:ln>
              <a:noFill/>
            </a:ln>
            <a:effectLst/>
          </c:spPr>
          <c:invertIfNegative val="0"/>
          <c:cat>
            <c:strRef>
              <c:f>'Dlh VS (maastricht) ESA 2010'!$C$1:$S$1</c:f>
              <c:strCache>
                <c:ptCount val="17"/>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RVS</c:v>
                </c:pt>
                <c:pt idx="13">
                  <c:v>2018 OS</c:v>
                </c:pt>
                <c:pt idx="14">
                  <c:v>2019 RVS</c:v>
                </c:pt>
                <c:pt idx="15">
                  <c:v>2020 RVS</c:v>
                </c:pt>
                <c:pt idx="16">
                  <c:v>2021 RVS</c:v>
                </c:pt>
              </c:strCache>
              <c:extLst/>
            </c:strRef>
          </c:cat>
          <c:val>
            <c:numRef>
              <c:f>'Dlh VS (maastricht) ESA 2010'!$C$14:$S$14</c:f>
              <c:extLst/>
            </c:numRef>
          </c:val>
          <c:extLst>
            <c:ext xmlns:c16="http://schemas.microsoft.com/office/drawing/2014/chart" uri="{C3380CC4-5D6E-409C-BE32-E72D297353CC}">
              <c16:uniqueId val="{00000013-B198-43CD-8E16-AFE8ECA2C630}"/>
            </c:ext>
          </c:extLst>
        </c:ser>
        <c:ser>
          <c:idx val="13"/>
          <c:order val="13"/>
          <c:tx>
            <c:strRef>
              <c:f>'Dlh VS (maastricht) ESA 2010'!$A$15:$B$15</c:f>
              <c:strCache>
                <c:ptCount val="2"/>
                <c:pt idx="0">
                  <c:v>- dlhodobý</c:v>
                </c:pt>
                <c:pt idx="1">
                  <c:v>% HDP</c:v>
                </c:pt>
              </c:strCache>
            </c:strRef>
          </c:tx>
          <c:spPr>
            <a:solidFill>
              <a:schemeClr val="accent3">
                <a:lumMod val="60000"/>
                <a:lumOff val="40000"/>
              </a:schemeClr>
            </a:solidFill>
            <a:ln>
              <a:noFill/>
            </a:ln>
            <a:effectLst/>
          </c:spPr>
          <c:invertIfNegative val="0"/>
          <c:cat>
            <c:strRef>
              <c:f>'Dlh VS (maastricht) ESA 2010'!$C$1:$S$1</c:f>
              <c:strCache>
                <c:ptCount val="17"/>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RVS</c:v>
                </c:pt>
                <c:pt idx="13">
                  <c:v>2018 OS</c:v>
                </c:pt>
                <c:pt idx="14">
                  <c:v>2019 RVS</c:v>
                </c:pt>
                <c:pt idx="15">
                  <c:v>2020 RVS</c:v>
                </c:pt>
                <c:pt idx="16">
                  <c:v>2021 RVS</c:v>
                </c:pt>
              </c:strCache>
              <c:extLst/>
            </c:strRef>
          </c:cat>
          <c:val>
            <c:numRef>
              <c:f>'Dlh VS (maastricht) ESA 2010'!$C$15:$S$15</c:f>
              <c:extLst/>
            </c:numRef>
          </c:val>
          <c:extLst>
            <c:ext xmlns:c16="http://schemas.microsoft.com/office/drawing/2014/chart" uri="{C3380CC4-5D6E-409C-BE32-E72D297353CC}">
              <c16:uniqueId val="{00000014-B198-43CD-8E16-AFE8ECA2C630}"/>
            </c:ext>
          </c:extLst>
        </c:ser>
        <c:ser>
          <c:idx val="16"/>
          <c:order val="16"/>
          <c:tx>
            <c:strRef>
              <c:f>'Dlh VS (maastricht) ESA 2010'!$A$18:$B$18</c:f>
              <c:strCache>
                <c:ptCount val="2"/>
                <c:pt idx="0">
                  <c:v>Čistý dlh verejnej správy</c:v>
                </c:pt>
                <c:pt idx="1">
                  <c:v>% HDP</c:v>
                </c:pt>
              </c:strCache>
            </c:strRef>
          </c:tx>
          <c:spPr>
            <a:solidFill>
              <a:schemeClr val="accent3">
                <a:lumMod val="50000"/>
              </a:schemeClr>
            </a:solidFill>
            <a:ln>
              <a:noFill/>
            </a:ln>
            <a:effectLst/>
          </c:spPr>
          <c:invertIfNegative val="0"/>
          <c:cat>
            <c:strRef>
              <c:f>'Dlh VS (maastricht) ESA 2010'!$C$1:$S$1</c:f>
              <c:strCache>
                <c:ptCount val="17"/>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RVS</c:v>
                </c:pt>
                <c:pt idx="13">
                  <c:v>2018 OS</c:v>
                </c:pt>
                <c:pt idx="14">
                  <c:v>2019 RVS</c:v>
                </c:pt>
                <c:pt idx="15">
                  <c:v>2020 RVS</c:v>
                </c:pt>
                <c:pt idx="16">
                  <c:v>2021 RVS</c:v>
                </c:pt>
              </c:strCache>
              <c:extLst/>
            </c:strRef>
          </c:cat>
          <c:val>
            <c:numRef>
              <c:f>'Dlh VS (maastricht) ESA 2010'!$C$18:$S$18</c:f>
              <c:extLst/>
            </c:numRef>
          </c:val>
          <c:extLst>
            <c:ext xmlns:c16="http://schemas.microsoft.com/office/drawing/2014/chart" uri="{C3380CC4-5D6E-409C-BE32-E72D297353CC}">
              <c16:uniqueId val="{00000015-B198-43CD-8E16-AFE8ECA2C630}"/>
            </c:ext>
          </c:extLst>
        </c:ser>
        <c:ser>
          <c:idx val="18"/>
          <c:order val="18"/>
          <c:tx>
            <c:strRef>
              <c:f>'Dlh VS (maastricht) ESA 2010'!$A$20:$B$20</c:f>
              <c:strCache>
                <c:ptCount val="2"/>
                <c:pt idx="0">
                  <c:v>Príspevky k zmene hrubého dlhu verejnej správy:</c:v>
                </c:pt>
              </c:strCache>
            </c:strRef>
          </c:tx>
          <c:spPr>
            <a:solidFill>
              <a:schemeClr val="accent1">
                <a:lumMod val="70000"/>
                <a:lumOff val="30000"/>
              </a:schemeClr>
            </a:solidFill>
            <a:ln>
              <a:noFill/>
            </a:ln>
            <a:effectLst/>
          </c:spPr>
          <c:invertIfNegative val="0"/>
          <c:cat>
            <c:strRef>
              <c:f>'Dlh VS (maastricht) ESA 2010'!$C$1:$S$1</c:f>
              <c:strCache>
                <c:ptCount val="17"/>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RVS</c:v>
                </c:pt>
                <c:pt idx="13">
                  <c:v>2018 OS</c:v>
                </c:pt>
                <c:pt idx="14">
                  <c:v>2019 RVS</c:v>
                </c:pt>
                <c:pt idx="15">
                  <c:v>2020 RVS</c:v>
                </c:pt>
                <c:pt idx="16">
                  <c:v>2021 RVS</c:v>
                </c:pt>
              </c:strCache>
              <c:extLst/>
            </c:strRef>
          </c:cat>
          <c:val>
            <c:numRef>
              <c:f>'Dlh VS (maastricht) ESA 2010'!$C$20:$S$20</c:f>
              <c:extLst/>
            </c:numRef>
          </c:val>
          <c:extLst>
            <c:ext xmlns:c16="http://schemas.microsoft.com/office/drawing/2014/chart" uri="{C3380CC4-5D6E-409C-BE32-E72D297353CC}">
              <c16:uniqueId val="{00000016-B198-43CD-8E16-AFE8ECA2C630}"/>
            </c:ext>
          </c:extLst>
        </c:ser>
        <c:ser>
          <c:idx val="20"/>
          <c:order val="20"/>
          <c:tx>
            <c:strRef>
              <c:f>'Dlh VS (maastricht) ESA 2010'!$A$22:$B$22</c:f>
              <c:strCache>
                <c:ptCount val="2"/>
                <c:pt idx="0">
                  <c:v>Snehová guľa</c:v>
                </c:pt>
                <c:pt idx="1">
                  <c:v>% HDP</c:v>
                </c:pt>
              </c:strCache>
            </c:strRef>
          </c:tx>
          <c:spPr>
            <a:solidFill>
              <a:schemeClr val="accent5">
                <a:lumMod val="70000"/>
                <a:lumOff val="30000"/>
              </a:schemeClr>
            </a:solidFill>
            <a:ln>
              <a:noFill/>
            </a:ln>
            <a:effectLst/>
          </c:spPr>
          <c:invertIfNegative val="0"/>
          <c:cat>
            <c:strRef>
              <c:f>'Dlh VS (maastricht) ESA 2010'!$C$1:$S$1</c:f>
              <c:strCache>
                <c:ptCount val="17"/>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RVS</c:v>
                </c:pt>
                <c:pt idx="13">
                  <c:v>2018 OS</c:v>
                </c:pt>
                <c:pt idx="14">
                  <c:v>2019 RVS</c:v>
                </c:pt>
                <c:pt idx="15">
                  <c:v>2020 RVS</c:v>
                </c:pt>
                <c:pt idx="16">
                  <c:v>2021 RVS</c:v>
                </c:pt>
              </c:strCache>
              <c:extLst/>
            </c:strRef>
          </c:cat>
          <c:val>
            <c:numRef>
              <c:f>'Dlh VS (maastricht) ESA 2010'!$C$22:$S$22</c:f>
              <c:extLst/>
            </c:numRef>
          </c:val>
          <c:extLst>
            <c:ext xmlns:c16="http://schemas.microsoft.com/office/drawing/2014/chart" uri="{C3380CC4-5D6E-409C-BE32-E72D297353CC}">
              <c16:uniqueId val="{00000017-B198-43CD-8E16-AFE8ECA2C630}"/>
            </c:ext>
          </c:extLst>
        </c:ser>
        <c:ser>
          <c:idx val="21"/>
          <c:order val="21"/>
          <c:tx>
            <c:strRef>
              <c:f>'Dlh VS (maastricht) ESA 2010'!$A$23:$B$23</c:f>
              <c:strCache>
                <c:ptCount val="2"/>
                <c:pt idx="0">
                  <c:v>Úroky</c:v>
                </c:pt>
                <c:pt idx="1">
                  <c:v>% HDP</c:v>
                </c:pt>
              </c:strCache>
            </c:strRef>
          </c:tx>
          <c:spPr>
            <a:solidFill>
              <a:schemeClr val="accent1">
                <a:lumMod val="70000"/>
              </a:schemeClr>
            </a:solidFill>
            <a:ln>
              <a:noFill/>
            </a:ln>
            <a:effectLst/>
          </c:spPr>
          <c:invertIfNegative val="0"/>
          <c:cat>
            <c:strRef>
              <c:f>'Dlh VS (maastricht) ESA 2010'!$C$1:$S$1</c:f>
              <c:strCache>
                <c:ptCount val="17"/>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RVS</c:v>
                </c:pt>
                <c:pt idx="13">
                  <c:v>2018 OS</c:v>
                </c:pt>
                <c:pt idx="14">
                  <c:v>2019 RVS</c:v>
                </c:pt>
                <c:pt idx="15">
                  <c:v>2020 RVS</c:v>
                </c:pt>
                <c:pt idx="16">
                  <c:v>2021 RVS</c:v>
                </c:pt>
              </c:strCache>
              <c:extLst/>
            </c:strRef>
          </c:cat>
          <c:val>
            <c:numRef>
              <c:f>'Dlh VS (maastricht) ESA 2010'!$C$23:$S$23</c:f>
              <c:extLst/>
            </c:numRef>
          </c:val>
          <c:extLst>
            <c:ext xmlns:c16="http://schemas.microsoft.com/office/drawing/2014/chart" uri="{C3380CC4-5D6E-409C-BE32-E72D297353CC}">
              <c16:uniqueId val="{00000018-B198-43CD-8E16-AFE8ECA2C630}"/>
            </c:ext>
          </c:extLst>
        </c:ser>
        <c:dLbls>
          <c:showLegendKey val="0"/>
          <c:showVal val="0"/>
          <c:showCatName val="0"/>
          <c:showSerName val="0"/>
          <c:showPercent val="0"/>
          <c:showBubbleSize val="0"/>
        </c:dLbls>
        <c:gapWidth val="150"/>
        <c:axId val="67437312"/>
        <c:axId val="67438848"/>
        <c:extLst>
          <c:ext xmlns:c15="http://schemas.microsoft.com/office/drawing/2012/chart" uri="{02D57815-91ED-43cb-92C2-25804820EDAC}">
            <c15:filteredBarSeries>
              <c15:ser>
                <c:idx val="14"/>
                <c:order val="14"/>
                <c:tx>
                  <c:strRef>
                    <c:extLst>
                      <c:ext uri="{02D57815-91ED-43cb-92C2-25804820EDAC}">
                        <c15:formulaRef>
                          <c15:sqref>'Dlh VS (maastricht) ESA 2010'!$A$16:$B$16</c15:sqref>
                        </c15:formulaRef>
                      </c:ext>
                    </c:extLst>
                    <c:strCache>
                      <c:ptCount val="2"/>
                      <c:pt idx="0">
                        <c:v>Čistý dlh verejnej správy</c:v>
                      </c:pt>
                      <c:pt idx="1">
                        <c:v>mil. eur</c:v>
                      </c:pt>
                    </c:strCache>
                  </c:strRef>
                </c:tx>
                <c:spPr>
                  <a:solidFill>
                    <a:schemeClr val="accent5">
                      <a:lumMod val="60000"/>
                      <a:lumOff val="40000"/>
                    </a:schemeClr>
                  </a:solidFill>
                  <a:ln>
                    <a:noFill/>
                  </a:ln>
                  <a:effectLst/>
                </c:spPr>
                <c:invertIfNegative val="0"/>
                <c:cat>
                  <c:strRef>
                    <c:extLst>
                      <c:ext uri="{02D57815-91ED-43cb-92C2-25804820EDAC}">
                        <c15:formulaRef>
                          <c15:sqref>'Dlh VS (maastricht) ESA 2010'!$C$1:$S$1</c15:sqref>
                        </c15:formulaRef>
                      </c:ext>
                    </c:extLst>
                    <c:strCache>
                      <c:ptCount val="15"/>
                      <c:pt idx="0">
                        <c:v>2007</c:v>
                      </c:pt>
                      <c:pt idx="1">
                        <c:v>2008</c:v>
                      </c:pt>
                      <c:pt idx="2">
                        <c:v>2009</c:v>
                      </c:pt>
                      <c:pt idx="3">
                        <c:v>2010</c:v>
                      </c:pt>
                      <c:pt idx="4">
                        <c:v>2011</c:v>
                      </c:pt>
                      <c:pt idx="5">
                        <c:v>2012</c:v>
                      </c:pt>
                      <c:pt idx="6">
                        <c:v>2013</c:v>
                      </c:pt>
                      <c:pt idx="7">
                        <c:v>2014</c:v>
                      </c:pt>
                      <c:pt idx="8">
                        <c:v>2015</c:v>
                      </c:pt>
                      <c:pt idx="9">
                        <c:v>2016</c:v>
                      </c:pt>
                      <c:pt idx="10">
                        <c:v>2017</c:v>
                      </c:pt>
                      <c:pt idx="11">
                        <c:v>2018 OS</c:v>
                      </c:pt>
                      <c:pt idx="12">
                        <c:v>2019 RVS</c:v>
                      </c:pt>
                      <c:pt idx="13">
                        <c:v>2020 RVS</c:v>
                      </c:pt>
                      <c:pt idx="14">
                        <c:v>2021 RVS</c:v>
                      </c:pt>
                    </c:strCache>
                  </c:strRef>
                </c:cat>
                <c:val>
                  <c:numRef>
                    <c:extLst>
                      <c:ext uri="{02D57815-91ED-43cb-92C2-25804820EDAC}">
                        <c15:formulaRef>
                          <c15:sqref>'Dlh VS (maastricht) ESA 2010'!$C$16:$S$16</c15:sqref>
                        </c15:formulaRef>
                      </c:ext>
                    </c:extLst>
                    <c:numCache>
                      <c:formatCode>#,##0</c:formatCode>
                      <c:ptCount val="15"/>
                      <c:pt idx="0">
                        <c:v>15340.006082652859</c:v>
                      </c:pt>
                      <c:pt idx="1">
                        <c:v>15835.860459138286</c:v>
                      </c:pt>
                      <c:pt idx="2">
                        <c:v>20832.129999999997</c:v>
                      </c:pt>
                      <c:pt idx="3">
                        <c:v>25300.609864999999</c:v>
                      </c:pt>
                      <c:pt idx="4">
                        <c:v>29210.670329</c:v>
                      </c:pt>
                      <c:pt idx="5">
                        <c:v>33145.381000000001</c:v>
                      </c:pt>
                      <c:pt idx="6">
                        <c:v>35614.023000000001</c:v>
                      </c:pt>
                      <c:pt idx="7">
                        <c:v>37838.805199999995</c:v>
                      </c:pt>
                      <c:pt idx="8">
                        <c:v>37906.165000000001</c:v>
                      </c:pt>
                      <c:pt idx="9">
                        <c:v>38057.843000000001</c:v>
                      </c:pt>
                      <c:pt idx="10">
                        <c:v>38674.368999999999</c:v>
                      </c:pt>
                      <c:pt idx="11">
                        <c:v>39609.178833579375</c:v>
                      </c:pt>
                      <c:pt idx="12">
                        <c:v>40388.868183858911</c:v>
                      </c:pt>
                      <c:pt idx="13">
                        <c:v>40894.177412477096</c:v>
                      </c:pt>
                      <c:pt idx="14">
                        <c:v>41536.35366286205</c:v>
                      </c:pt>
                    </c:numCache>
                  </c:numRef>
                </c:val>
                <c:extLst>
                  <c:ext xmlns:c16="http://schemas.microsoft.com/office/drawing/2014/chart" uri="{C3380CC4-5D6E-409C-BE32-E72D297353CC}">
                    <c16:uniqueId val="{0000001A-B198-43CD-8E16-AFE8ECA2C630}"/>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'Dlh VS (maastricht) ESA 2010'!$A$17:$B$17</c15:sqref>
                        </c15:formulaRef>
                      </c:ext>
                    </c:extLst>
                    <c:strCache>
                      <c:ptCount val="2"/>
                      <c:pt idx="0">
                        <c:v>Čistý dlh verejnej správy</c:v>
                      </c:pt>
                      <c:pt idx="1">
                        <c:v>% HDP</c:v>
                      </c:pt>
                    </c:strCache>
                  </c:strRef>
                </c:tx>
                <c:spPr>
                  <a:solidFill>
                    <a:schemeClr val="accent1">
                      <a:lumMod val="50000"/>
                    </a:schemeClr>
                  </a:solidFill>
                  <a:ln>
                    <a:noFill/>
                  </a:ln>
                  <a:effectLst/>
                </c:spPr>
                <c:invertIfNegative val="0"/>
                <c:cat>
                  <c:strRef>
                    <c:extLst xmlns:c15="http://schemas.microsoft.com/office/drawing/2012/chart">
                      <c:ext xmlns:c15="http://schemas.microsoft.com/office/drawing/2012/chart" uri="{02D57815-91ED-43cb-92C2-25804820EDAC}">
                        <c15:formulaRef>
                          <c15:sqref>'Dlh VS (maastricht) ESA 2010'!$C$1:$S$1</c15:sqref>
                        </c15:formulaRef>
                      </c:ext>
                    </c:extLst>
                    <c:strCache>
                      <c:ptCount val="15"/>
                      <c:pt idx="0">
                        <c:v>2007</c:v>
                      </c:pt>
                      <c:pt idx="1">
                        <c:v>2008</c:v>
                      </c:pt>
                      <c:pt idx="2">
                        <c:v>2009</c:v>
                      </c:pt>
                      <c:pt idx="3">
                        <c:v>2010</c:v>
                      </c:pt>
                      <c:pt idx="4">
                        <c:v>2011</c:v>
                      </c:pt>
                      <c:pt idx="5">
                        <c:v>2012</c:v>
                      </c:pt>
                      <c:pt idx="6">
                        <c:v>2013</c:v>
                      </c:pt>
                      <c:pt idx="7">
                        <c:v>2014</c:v>
                      </c:pt>
                      <c:pt idx="8">
                        <c:v>2015</c:v>
                      </c:pt>
                      <c:pt idx="9">
                        <c:v>2016</c:v>
                      </c:pt>
                      <c:pt idx="10">
                        <c:v>2017</c:v>
                      </c:pt>
                      <c:pt idx="11">
                        <c:v>2018 OS</c:v>
                      </c:pt>
                      <c:pt idx="12">
                        <c:v>2019 RVS</c:v>
                      </c:pt>
                      <c:pt idx="13">
                        <c:v>2020 RVS</c:v>
                      </c:pt>
                      <c:pt idx="14">
                        <c:v>2021 RVS</c:v>
                      </c:pt>
                    </c:strCache>
                  </c:strRef>
                </c:cat>
                <c:val>
                  <c:numRef>
                    <c:extLst xmlns:c15="http://schemas.microsoft.com/office/drawing/2012/chart">
                      <c:ext xmlns:c15="http://schemas.microsoft.com/office/drawing/2012/chart" uri="{02D57815-91ED-43cb-92C2-25804820EDAC}">
                        <c15:formulaRef>
                          <c15:sqref>'Dlh VS (maastricht) ESA 2010'!$C$17:$S$17</c15:sqref>
                        </c15:formulaRef>
                      </c:ext>
                    </c:extLst>
                    <c:numCache>
                      <c:formatCode>#,##0.0</c:formatCode>
                      <c:ptCount val="15"/>
                      <c:pt idx="0">
                        <c:v>24.328401704974407</c:v>
                      </c:pt>
                      <c:pt idx="1">
                        <c:v>23.120879727058917</c:v>
                      </c:pt>
                      <c:pt idx="2">
                        <c:v>32.538458775035885</c:v>
                      </c:pt>
                      <c:pt idx="3">
                        <c:v>37.439509813206499</c:v>
                      </c:pt>
                      <c:pt idx="4">
                        <c:v>41.358952824124415</c:v>
                      </c:pt>
                      <c:pt idx="5">
                        <c:v>45.589801041215352</c:v>
                      </c:pt>
                      <c:pt idx="6">
                        <c:v>48.016814098441557</c:v>
                      </c:pt>
                      <c:pt idx="7">
                        <c:v>49.823039933426735</c:v>
                      </c:pt>
                      <c:pt idx="8">
                        <c:v>48.045467651817972</c:v>
                      </c:pt>
                      <c:pt idx="9">
                        <c:v>46.895851029634215</c:v>
                      </c:pt>
                      <c:pt idx="10">
                        <c:v>45.507185534157529</c:v>
                      </c:pt>
                      <c:pt idx="11">
                        <c:v>43.93145552362536</c:v>
                      </c:pt>
                      <c:pt idx="12">
                        <c:v>42.031399329379951</c:v>
                      </c:pt>
                      <c:pt idx="13">
                        <c:v>40.088206545299599</c:v>
                      </c:pt>
                      <c:pt idx="14">
                        <c:v>38.493411658087027</c:v>
                      </c:pt>
                    </c:numCache>
                  </c:numRef>
                </c:val>
                <c:extLst xmlns:c15="http://schemas.microsoft.com/office/drawing/2012/chart">
                  <c:ext xmlns:c16="http://schemas.microsoft.com/office/drawing/2014/chart" uri="{C3380CC4-5D6E-409C-BE32-E72D297353CC}">
                    <c16:uniqueId val="{0000001B-B198-43CD-8E16-AFE8ECA2C630}"/>
                  </c:ext>
                </c:extLst>
              </c15:ser>
            </c15:filteredBarSeries>
            <c15:filteredBarSeries>
              <c15:ser>
                <c:idx val="17"/>
                <c:order val="17"/>
                <c:tx>
                  <c:strRef>
                    <c:extLst xmlns:c15="http://schemas.microsoft.com/office/drawing/2012/chart">
                      <c:ext xmlns:c15="http://schemas.microsoft.com/office/drawing/2012/chart" uri="{02D57815-91ED-43cb-92C2-25804820EDAC}">
                        <c15:formulaRef>
                          <c15:sqref>'Dlh VS (maastricht) ESA 2010'!$A$19:$B$19</c15:sqref>
                        </c15:formulaRef>
                      </c:ext>
                    </c:extLst>
                    <c:strCache>
                      <c:ptCount val="2"/>
                      <c:pt idx="0">
                        <c:v>Zmena hrubého dlhu verejnej správy</c:v>
                      </c:pt>
                      <c:pt idx="1">
                        <c:v>p.b.</c:v>
                      </c:pt>
                    </c:strCache>
                  </c:strRef>
                </c:tx>
                <c:spPr>
                  <a:solidFill>
                    <a:schemeClr val="accent5">
                      <a:lumMod val="50000"/>
                    </a:schemeClr>
                  </a:solidFill>
                  <a:ln>
                    <a:noFill/>
                  </a:ln>
                  <a:effectLst/>
                </c:spPr>
                <c:invertIfNegative val="0"/>
                <c:cat>
                  <c:strRef>
                    <c:extLst xmlns:c15="http://schemas.microsoft.com/office/drawing/2012/chart">
                      <c:ext xmlns:c15="http://schemas.microsoft.com/office/drawing/2012/chart" uri="{02D57815-91ED-43cb-92C2-25804820EDAC}">
                        <c15:formulaRef>
                          <c15:sqref>'Dlh VS (maastricht) ESA 2010'!$C$1:$S$1</c15:sqref>
                        </c15:formulaRef>
                      </c:ext>
                    </c:extLst>
                    <c:strCache>
                      <c:ptCount val="15"/>
                      <c:pt idx="0">
                        <c:v>2007</c:v>
                      </c:pt>
                      <c:pt idx="1">
                        <c:v>2008</c:v>
                      </c:pt>
                      <c:pt idx="2">
                        <c:v>2009</c:v>
                      </c:pt>
                      <c:pt idx="3">
                        <c:v>2010</c:v>
                      </c:pt>
                      <c:pt idx="4">
                        <c:v>2011</c:v>
                      </c:pt>
                      <c:pt idx="5">
                        <c:v>2012</c:v>
                      </c:pt>
                      <c:pt idx="6">
                        <c:v>2013</c:v>
                      </c:pt>
                      <c:pt idx="7">
                        <c:v>2014</c:v>
                      </c:pt>
                      <c:pt idx="8">
                        <c:v>2015</c:v>
                      </c:pt>
                      <c:pt idx="9">
                        <c:v>2016</c:v>
                      </c:pt>
                      <c:pt idx="10">
                        <c:v>2017</c:v>
                      </c:pt>
                      <c:pt idx="11">
                        <c:v>2018 OS</c:v>
                      </c:pt>
                      <c:pt idx="12">
                        <c:v>2019 RVS</c:v>
                      </c:pt>
                      <c:pt idx="13">
                        <c:v>2020 RVS</c:v>
                      </c:pt>
                      <c:pt idx="14">
                        <c:v>2021 RVS</c:v>
                      </c:pt>
                    </c:strCache>
                  </c:strRef>
                </c:cat>
                <c:val>
                  <c:numRef>
                    <c:extLst xmlns:c15="http://schemas.microsoft.com/office/drawing/2012/chart">
                      <c:ext xmlns:c15="http://schemas.microsoft.com/office/drawing/2012/chart" uri="{02D57815-91ED-43cb-92C2-25804820EDAC}">
                        <c15:formulaRef>
                          <c15:sqref>'Dlh VS (maastricht) ESA 2010'!$C$19:$S$19</c15:sqref>
                        </c15:formulaRef>
                      </c:ext>
                    </c:extLst>
                    <c:numCache>
                      <c:formatCode>#,##0.0</c:formatCode>
                      <c:ptCount val="15"/>
                      <c:pt idx="0">
                        <c:v>-0.87414173711010079</c:v>
                      </c:pt>
                      <c:pt idx="1">
                        <c:v>-1.6394672956094496</c:v>
                      </c:pt>
                      <c:pt idx="2">
                        <c:v>7.8329536228578576</c:v>
                      </c:pt>
                      <c:pt idx="3">
                        <c:v>4.906269465568009</c:v>
                      </c:pt>
                      <c:pt idx="4">
                        <c:v>2.4749965767785298</c:v>
                      </c:pt>
                      <c:pt idx="5">
                        <c:v>8.4892338693052025</c:v>
                      </c:pt>
                      <c:pt idx="6">
                        <c:v>2.5742988838358016</c:v>
                      </c:pt>
                      <c:pt idx="7">
                        <c:v>-1.2158301992250458</c:v>
                      </c:pt>
                      <c:pt idx="8">
                        <c:v>0.98886080326840409</c:v>
                      </c:pt>
                      <c:pt idx="9">
                        <c:v>0.55983215903459094</c:v>
                      </c:pt>
                      <c:pt idx="10">
                        <c:v>-0.35494418839461472</c:v>
                      </c:pt>
                      <c:pt idx="11">
                        <c:v>-1.5949095237322908</c:v>
                      </c:pt>
                      <c:pt idx="12">
                        <c:v>-2.7441305469879467</c:v>
                      </c:pt>
                      <c:pt idx="13">
                        <c:v>-1.6665116199530701</c:v>
                      </c:pt>
                      <c:pt idx="14">
                        <c:v>-1.5624009073444753</c:v>
                      </c:pt>
                    </c:numCache>
                  </c:numRef>
                </c:val>
                <c:extLst xmlns:c15="http://schemas.microsoft.com/office/drawing/2012/chart">
                  <c:ext xmlns:c16="http://schemas.microsoft.com/office/drawing/2014/chart" uri="{C3380CC4-5D6E-409C-BE32-E72D297353CC}">
                    <c16:uniqueId val="{0000001C-B198-43CD-8E16-AFE8ECA2C630}"/>
                  </c:ext>
                </c:extLst>
              </c15:ser>
            </c15:filteredBarSeries>
            <c15:filteredBarSeries>
              <c15:ser>
                <c:idx val="19"/>
                <c:order val="19"/>
                <c:tx>
                  <c:strRef>
                    <c:extLst xmlns:c15="http://schemas.microsoft.com/office/drawing/2012/chart">
                      <c:ext xmlns:c15="http://schemas.microsoft.com/office/drawing/2012/chart" uri="{02D57815-91ED-43cb-92C2-25804820EDAC}">
                        <c15:formulaRef>
                          <c15:sqref>'Dlh VS (maastricht) ESA 2010'!$A$21:$B$21</c15:sqref>
                        </c15:formulaRef>
                      </c:ext>
                    </c:extLst>
                    <c:strCache>
                      <c:ptCount val="2"/>
                      <c:pt idx="0">
                        <c:v>Primárne saldo</c:v>
                      </c:pt>
                      <c:pt idx="1">
                        <c:v>% HDP</c:v>
                      </c:pt>
                    </c:strCache>
                  </c:strRef>
                </c:tx>
                <c:spPr>
                  <a:solidFill>
                    <a:schemeClr val="accent3">
                      <a:lumMod val="70000"/>
                      <a:lumOff val="30000"/>
                    </a:schemeClr>
                  </a:solidFill>
                  <a:ln>
                    <a:noFill/>
                  </a:ln>
                  <a:effectLst/>
                </c:spPr>
                <c:invertIfNegative val="0"/>
                <c:cat>
                  <c:strRef>
                    <c:extLst xmlns:c15="http://schemas.microsoft.com/office/drawing/2012/chart">
                      <c:ext xmlns:c15="http://schemas.microsoft.com/office/drawing/2012/chart" uri="{02D57815-91ED-43cb-92C2-25804820EDAC}">
                        <c15:formulaRef>
                          <c15:sqref>'Dlh VS (maastricht) ESA 2010'!$C$1:$S$1</c15:sqref>
                        </c15:formulaRef>
                      </c:ext>
                    </c:extLst>
                    <c:strCache>
                      <c:ptCount val="15"/>
                      <c:pt idx="0">
                        <c:v>2007</c:v>
                      </c:pt>
                      <c:pt idx="1">
                        <c:v>2008</c:v>
                      </c:pt>
                      <c:pt idx="2">
                        <c:v>2009</c:v>
                      </c:pt>
                      <c:pt idx="3">
                        <c:v>2010</c:v>
                      </c:pt>
                      <c:pt idx="4">
                        <c:v>2011</c:v>
                      </c:pt>
                      <c:pt idx="5">
                        <c:v>2012</c:v>
                      </c:pt>
                      <c:pt idx="6">
                        <c:v>2013</c:v>
                      </c:pt>
                      <c:pt idx="7">
                        <c:v>2014</c:v>
                      </c:pt>
                      <c:pt idx="8">
                        <c:v>2015</c:v>
                      </c:pt>
                      <c:pt idx="9">
                        <c:v>2016</c:v>
                      </c:pt>
                      <c:pt idx="10">
                        <c:v>2017</c:v>
                      </c:pt>
                      <c:pt idx="11">
                        <c:v>2018 OS</c:v>
                      </c:pt>
                      <c:pt idx="12">
                        <c:v>2019 RVS</c:v>
                      </c:pt>
                      <c:pt idx="13">
                        <c:v>2020 RVS</c:v>
                      </c:pt>
                      <c:pt idx="14">
                        <c:v>2021 RVS</c:v>
                      </c:pt>
                    </c:strCache>
                  </c:strRef>
                </c:cat>
                <c:val>
                  <c:numRef>
                    <c:extLst xmlns:c15="http://schemas.microsoft.com/office/drawing/2012/chart">
                      <c:ext xmlns:c15="http://schemas.microsoft.com/office/drawing/2012/chart" uri="{02D57815-91ED-43cb-92C2-25804820EDAC}">
                        <c15:formulaRef>
                          <c15:sqref>'Dlh VS (maastricht) ESA 2010'!$C$21:$S$21</c15:sqref>
                        </c15:formulaRef>
                      </c:ext>
                    </c:extLst>
                    <c:numCache>
                      <c:formatCode>#,##0.0</c:formatCode>
                      <c:ptCount val="15"/>
                      <c:pt idx="0">
                        <c:v>6.1293496756967745</c:v>
                      </c:pt>
                      <c:pt idx="1">
                        <c:v>3.3414948846376573</c:v>
                      </c:pt>
                      <c:pt idx="2">
                        <c:v>9.7209757875316036</c:v>
                      </c:pt>
                      <c:pt idx="3">
                        <c:v>6.1624535133275451</c:v>
                      </c:pt>
                      <c:pt idx="4">
                        <c:v>5.2055010294740871</c:v>
                      </c:pt>
                      <c:pt idx="5">
                        <c:v>7.2762684078521485</c:v>
                      </c:pt>
                      <c:pt idx="6">
                        <c:v>12.023555992949657</c:v>
                      </c:pt>
                      <c:pt idx="7">
                        <c:v>6.4012287747809715</c:v>
                      </c:pt>
                      <c:pt idx="8">
                        <c:v>8.088026223316648</c:v>
                      </c:pt>
                      <c:pt idx="9">
                        <c:v>2.8182512997721787E-2</c:v>
                      </c:pt>
                      <c:pt idx="10">
                        <c:v>0.31436330233970033</c:v>
                      </c:pt>
                      <c:pt idx="11">
                        <c:v>-0.46838490665224219</c:v>
                      </c:pt>
                      <c:pt idx="12">
                        <c:v>-0.87834141343833538</c:v>
                      </c:pt>
                      <c:pt idx="13">
                        <c:v>-1.087798872201877</c:v>
                      </c:pt>
                      <c:pt idx="14">
                        <c:v>-1.0594995220079289</c:v>
                      </c:pt>
                    </c:numCache>
                  </c:numRef>
                </c:val>
                <c:extLst xmlns:c15="http://schemas.microsoft.com/office/drawing/2012/chart">
                  <c:ext xmlns:c16="http://schemas.microsoft.com/office/drawing/2014/chart" uri="{C3380CC4-5D6E-409C-BE32-E72D297353CC}">
                    <c16:uniqueId val="{0000001D-B198-43CD-8E16-AFE8ECA2C630}"/>
                  </c:ext>
                </c:extLst>
              </c15:ser>
            </c15:filteredBarSeries>
            <c15:filteredBarSeries>
              <c15:ser>
                <c:idx val="22"/>
                <c:order val="22"/>
                <c:tx>
                  <c:strRef>
                    <c:extLst xmlns:c15="http://schemas.microsoft.com/office/drawing/2012/chart">
                      <c:ext xmlns:c15="http://schemas.microsoft.com/office/drawing/2012/chart" uri="{02D57815-91ED-43cb-92C2-25804820EDAC}">
                        <c15:formulaRef>
                          <c15:sqref>'Dlh VS (maastricht) ESA 2010'!$A$24:$B$24</c15:sqref>
                        </c15:formulaRef>
                      </c:ext>
                    </c:extLst>
                    <c:strCache>
                      <c:ptCount val="2"/>
                      <c:pt idx="0">
                        <c:v>Rast nominálneho HDP</c:v>
                      </c:pt>
                      <c:pt idx="1">
                        <c:v>% HDP</c:v>
                      </c:pt>
                    </c:strCache>
                  </c:strRef>
                </c:tx>
                <c:spPr>
                  <a:solidFill>
                    <a:schemeClr val="accent3">
                      <a:lumMod val="70000"/>
                    </a:schemeClr>
                  </a:solidFill>
                  <a:ln>
                    <a:noFill/>
                  </a:ln>
                  <a:effectLst/>
                </c:spPr>
                <c:invertIfNegative val="0"/>
                <c:cat>
                  <c:strRef>
                    <c:extLst xmlns:c15="http://schemas.microsoft.com/office/drawing/2012/chart">
                      <c:ext xmlns:c15="http://schemas.microsoft.com/office/drawing/2012/chart" uri="{02D57815-91ED-43cb-92C2-25804820EDAC}">
                        <c15:formulaRef>
                          <c15:sqref>'Dlh VS (maastricht) ESA 2010'!$C$1:$S$1</c15:sqref>
                        </c15:formulaRef>
                      </c:ext>
                    </c:extLst>
                    <c:strCache>
                      <c:ptCount val="15"/>
                      <c:pt idx="0">
                        <c:v>2007</c:v>
                      </c:pt>
                      <c:pt idx="1">
                        <c:v>2008</c:v>
                      </c:pt>
                      <c:pt idx="2">
                        <c:v>2009</c:v>
                      </c:pt>
                      <c:pt idx="3">
                        <c:v>2010</c:v>
                      </c:pt>
                      <c:pt idx="4">
                        <c:v>2011</c:v>
                      </c:pt>
                      <c:pt idx="5">
                        <c:v>2012</c:v>
                      </c:pt>
                      <c:pt idx="6">
                        <c:v>2013</c:v>
                      </c:pt>
                      <c:pt idx="7">
                        <c:v>2014</c:v>
                      </c:pt>
                      <c:pt idx="8">
                        <c:v>2015</c:v>
                      </c:pt>
                      <c:pt idx="9">
                        <c:v>2016</c:v>
                      </c:pt>
                      <c:pt idx="10">
                        <c:v>2017</c:v>
                      </c:pt>
                      <c:pt idx="11">
                        <c:v>2018 OS</c:v>
                      </c:pt>
                      <c:pt idx="12">
                        <c:v>2019 RVS</c:v>
                      </c:pt>
                      <c:pt idx="13">
                        <c:v>2020 RVS</c:v>
                      </c:pt>
                      <c:pt idx="14">
                        <c:v>2021 RVS</c:v>
                      </c:pt>
                    </c:strCache>
                  </c:strRef>
                </c:cat>
                <c:val>
                  <c:numRef>
                    <c:extLst xmlns:c15="http://schemas.microsoft.com/office/drawing/2012/chart">
                      <c:ext xmlns:c15="http://schemas.microsoft.com/office/drawing/2012/chart" uri="{02D57815-91ED-43cb-92C2-25804820EDAC}">
                        <c15:formulaRef>
                          <c15:sqref>'Dlh VS (maastricht) ESA 2010'!$C$24:$S$24</c15:sqref>
                        </c15:formulaRef>
                      </c:ext>
                    </c:extLst>
                    <c:numCache>
                      <c:formatCode>#,##0.0</c:formatCode>
                      <c:ptCount val="15"/>
                      <c:pt idx="0">
                        <c:v>-3.3312458972017058</c:v>
                      </c:pt>
                      <c:pt idx="1">
                        <c:v>-2.3897782826501923</c:v>
                      </c:pt>
                      <c:pt idx="2">
                        <c:v>1.9864700880087185</c:v>
                      </c:pt>
                      <c:pt idx="3">
                        <c:v>-1.9088888790240328</c:v>
                      </c:pt>
                      <c:pt idx="4">
                        <c:v>-1.7791717889502576</c:v>
                      </c:pt>
                      <c:pt idx="5">
                        <c:v>-1.2473097633947292</c:v>
                      </c:pt>
                      <c:pt idx="6">
                        <c:v>-1.031324413397481</c:v>
                      </c:pt>
                      <c:pt idx="7">
                        <c:v>-1.2804228796944284</c:v>
                      </c:pt>
                      <c:pt idx="8">
                        <c:v>-1.9054042884473579</c:v>
                      </c:pt>
                      <c:pt idx="9">
                        <c:v>-1.4560158457517103</c:v>
                      </c:pt>
                      <c:pt idx="10">
                        <c:v>-2.3360614109194775</c:v>
                      </c:pt>
                      <c:pt idx="11">
                        <c:v>-2.920056761516272</c:v>
                      </c:pt>
                      <c:pt idx="12">
                        <c:v>-3.0408663812112962</c:v>
                      </c:pt>
                      <c:pt idx="13">
                        <c:v>-2.6992214535353223</c:v>
                      </c:pt>
                      <c:pt idx="14">
                        <c:v>-2.4504889047530174</c:v>
                      </c:pt>
                    </c:numCache>
                  </c:numRef>
                </c:val>
                <c:extLst xmlns:c15="http://schemas.microsoft.com/office/drawing/2012/chart">
                  <c:ext xmlns:c16="http://schemas.microsoft.com/office/drawing/2014/chart" uri="{C3380CC4-5D6E-409C-BE32-E72D297353CC}">
                    <c16:uniqueId val="{0000001E-B198-43CD-8E16-AFE8ECA2C630}"/>
                  </c:ext>
                </c:extLst>
              </c15:ser>
            </c15:filteredBarSeries>
          </c:ext>
        </c:extLst>
      </c:barChart>
      <c:lineChart>
        <c:grouping val="standard"/>
        <c:varyColors val="0"/>
        <c:ser>
          <c:idx val="7"/>
          <c:order val="7"/>
          <c:tx>
            <c:strRef>
              <c:f>'Dlh VS (maastricht) ESA 2010'!$A$9:$B$9</c:f>
              <c:strCache>
                <c:ptCount val="2"/>
                <c:pt idx="0">
                  <c:v>Hrubý dlh verejnej správy </c:v>
                </c:pt>
                <c:pt idx="1">
                  <c:v>% HDP</c:v>
                </c:pt>
              </c:strCache>
            </c:strRef>
          </c:tx>
          <c:spPr>
            <a:ln w="19050" cap="rnd" cmpd="sng" algn="ctr">
              <a:solidFill>
                <a:srgbClr val="FF0000"/>
              </a:solidFill>
              <a:prstDash val="solid"/>
              <a:round/>
            </a:ln>
            <a:effectLst/>
          </c:spPr>
          <c:marker>
            <c:symbol val="none"/>
          </c:marker>
          <c:cat>
            <c:strRef>
              <c:f>'Dlh VS (maastricht) ESA 2010'!$C$1:$S$1</c:f>
              <c:strCache>
                <c:ptCount val="15"/>
                <c:pt idx="0">
                  <c:v>2007</c:v>
                </c:pt>
                <c:pt idx="1">
                  <c:v>2008</c:v>
                </c:pt>
                <c:pt idx="2">
                  <c:v>2009</c:v>
                </c:pt>
                <c:pt idx="3">
                  <c:v>2010</c:v>
                </c:pt>
                <c:pt idx="4">
                  <c:v>2011</c:v>
                </c:pt>
                <c:pt idx="5">
                  <c:v>2012</c:v>
                </c:pt>
                <c:pt idx="6">
                  <c:v>2013</c:v>
                </c:pt>
                <c:pt idx="7">
                  <c:v>2014</c:v>
                </c:pt>
                <c:pt idx="8">
                  <c:v>2015</c:v>
                </c:pt>
                <c:pt idx="9">
                  <c:v>2016</c:v>
                </c:pt>
                <c:pt idx="10">
                  <c:v>2017</c:v>
                </c:pt>
                <c:pt idx="11">
                  <c:v>2018 OS</c:v>
                </c:pt>
                <c:pt idx="12">
                  <c:v>2019 RVS</c:v>
                </c:pt>
                <c:pt idx="13">
                  <c:v>2020 RVS</c:v>
                </c:pt>
                <c:pt idx="14">
                  <c:v>2021 RVS</c:v>
                </c:pt>
              </c:strCache>
              <c:extLst/>
            </c:strRef>
          </c:cat>
          <c:val>
            <c:numRef>
              <c:f>'Dlh VS (maastricht) ESA 2010'!$C$9:$S$9</c:f>
              <c:numCache>
                <c:formatCode>#,##0.0</c:formatCode>
                <c:ptCount val="15"/>
                <c:pt idx="0">
                  <c:v>30.100913662755197</c:v>
                </c:pt>
                <c:pt idx="1">
                  <c:v>28.461446367145733</c:v>
                </c:pt>
                <c:pt idx="2">
                  <c:v>36.294399990003612</c:v>
                </c:pt>
                <c:pt idx="3">
                  <c:v>41.2006694555716</c:v>
                </c:pt>
                <c:pt idx="4">
                  <c:v>43.675666032350151</c:v>
                </c:pt>
                <c:pt idx="5">
                  <c:v>52.164899901655346</c:v>
                </c:pt>
                <c:pt idx="6">
                  <c:v>54.739198785491162</c:v>
                </c:pt>
                <c:pt idx="7">
                  <c:v>53.523368586266095</c:v>
                </c:pt>
                <c:pt idx="8">
                  <c:v>52.34</c:v>
                </c:pt>
                <c:pt idx="9">
                  <c:v>51.82</c:v>
                </c:pt>
                <c:pt idx="10">
                  <c:v>50.86</c:v>
                </c:pt>
                <c:pt idx="11">
                  <c:v>48.7</c:v>
                </c:pt>
                <c:pt idx="12">
                  <c:v>47.3</c:v>
                </c:pt>
                <c:pt idx="13">
                  <c:v>46</c:v>
                </c:pt>
                <c:pt idx="14">
                  <c:v>44.8</c:v>
                </c:pt>
              </c:numCache>
              <c:extLst/>
            </c:numRef>
          </c:val>
          <c:smooth val="0"/>
          <c:extLst>
            <c:ext xmlns:c16="http://schemas.microsoft.com/office/drawing/2014/chart" uri="{C3380CC4-5D6E-409C-BE32-E72D297353CC}">
              <c16:uniqueId val="{00000019-B198-43CD-8E16-AFE8ECA2C630}"/>
            </c:ext>
          </c:extLst>
        </c:ser>
        <c:dLbls>
          <c:showLegendKey val="0"/>
          <c:showVal val="0"/>
          <c:showCatName val="0"/>
          <c:showSerName val="0"/>
          <c:showPercent val="0"/>
          <c:showBubbleSize val="0"/>
        </c:dLbls>
        <c:marker val="1"/>
        <c:smooth val="0"/>
        <c:axId val="67442944"/>
        <c:axId val="67441024"/>
      </c:lineChart>
      <c:catAx>
        <c:axId val="67437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vert="horz"/>
          <a:lstStyle/>
          <a:p>
            <a:pPr>
              <a:defRPr lang="cs-CZ" sz="900"/>
            </a:pPr>
            <a:endParaRPr lang="sk-SK"/>
          </a:p>
        </c:txPr>
        <c:crossAx val="67438848"/>
        <c:crosses val="autoZero"/>
        <c:auto val="1"/>
        <c:lblAlgn val="ctr"/>
        <c:lblOffset val="100"/>
        <c:noMultiLvlLbl val="0"/>
      </c:catAx>
      <c:valAx>
        <c:axId val="67438848"/>
        <c:scaling>
          <c:orientation val="minMax"/>
          <c:min val="10000"/>
        </c:scaling>
        <c:delete val="0"/>
        <c:axPos val="l"/>
        <c:majorGridlines>
          <c:spPr>
            <a:ln w="9525" cap="flat" cmpd="sng" algn="ctr">
              <a:solidFill>
                <a:schemeClr val="tx1">
                  <a:lumMod val="15000"/>
                  <a:lumOff val="85000"/>
                </a:schemeClr>
              </a:solidFill>
              <a:prstDash val="solid"/>
              <a:round/>
            </a:ln>
            <a:effectLst/>
          </c:spPr>
        </c:majorGridlines>
        <c:title>
          <c:tx>
            <c:rich>
              <a:bodyPr rot="0"/>
              <a:lstStyle/>
              <a:p>
                <a:pPr>
                  <a:defRPr lang="cs-CZ" sz="900" b="0"/>
                </a:pPr>
                <a:r>
                  <a:rPr lang="en-US" sz="900" b="0"/>
                  <a:t>mil</a:t>
                </a:r>
                <a:r>
                  <a:rPr lang="sk-SK" sz="900" b="0"/>
                  <a:t>. eur</a:t>
                </a:r>
                <a:endParaRPr lang="en-US" sz="900" b="0"/>
              </a:p>
            </c:rich>
          </c:tx>
          <c:layout>
            <c:manualLayout>
              <c:xMode val="edge"/>
              <c:yMode val="edge"/>
              <c:x val="1.8608785012984872E-4"/>
              <c:y val="0.87005017438940679"/>
            </c:manualLayout>
          </c:layout>
          <c:overlay val="0"/>
          <c:spPr>
            <a:noFill/>
            <a:ln>
              <a:noFill/>
            </a:ln>
            <a:effectLst/>
          </c:spPr>
        </c:title>
        <c:numFmt formatCode="#,##0" sourceLinked="1"/>
        <c:majorTickMark val="none"/>
        <c:minorTickMark val="none"/>
        <c:tickLblPos val="nextTo"/>
        <c:spPr>
          <a:noFill/>
          <a:ln w="6350" cap="flat" cmpd="sng" algn="ctr">
            <a:noFill/>
            <a:prstDash val="solid"/>
            <a:round/>
          </a:ln>
          <a:effectLst/>
        </c:spPr>
        <c:txPr>
          <a:bodyPr rot="-60000000" vert="horz"/>
          <a:lstStyle/>
          <a:p>
            <a:pPr>
              <a:defRPr lang="cs-CZ" sz="900"/>
            </a:pPr>
            <a:endParaRPr lang="sk-SK"/>
          </a:p>
        </c:txPr>
        <c:crossAx val="67437312"/>
        <c:crosses val="autoZero"/>
        <c:crossBetween val="between"/>
      </c:valAx>
      <c:valAx>
        <c:axId val="67441024"/>
        <c:scaling>
          <c:orientation val="minMax"/>
          <c:min val="25"/>
        </c:scaling>
        <c:delete val="0"/>
        <c:axPos val="r"/>
        <c:title>
          <c:tx>
            <c:rich>
              <a:bodyPr rot="0"/>
              <a:lstStyle/>
              <a:p>
                <a:pPr>
                  <a:defRPr lang="cs-CZ" sz="900" b="0"/>
                </a:pPr>
                <a:r>
                  <a:rPr lang="sk-SK" sz="900" b="0"/>
                  <a:t>% HDP</a:t>
                </a:r>
              </a:p>
            </c:rich>
          </c:tx>
          <c:layout>
            <c:manualLayout>
              <c:xMode val="edge"/>
              <c:yMode val="edge"/>
              <c:x val="0.9168107903724384"/>
              <c:y val="0.91221782478591207"/>
            </c:manualLayout>
          </c:layout>
          <c:overlay val="0"/>
          <c:spPr>
            <a:noFill/>
            <a:ln>
              <a:noFill/>
            </a:ln>
            <a:effectLst/>
          </c:spPr>
        </c:title>
        <c:numFmt formatCode="#,##0.0" sourceLinked="1"/>
        <c:majorTickMark val="out"/>
        <c:minorTickMark val="none"/>
        <c:tickLblPos val="nextTo"/>
        <c:spPr>
          <a:noFill/>
          <a:ln w="6350" cap="flat" cmpd="sng" algn="ctr">
            <a:solidFill>
              <a:schemeClr val="tx1">
                <a:tint val="75000"/>
              </a:schemeClr>
            </a:solidFill>
            <a:prstDash val="solid"/>
            <a:round/>
          </a:ln>
          <a:effectLst/>
        </c:spPr>
        <c:txPr>
          <a:bodyPr rot="-60000000" vert="horz"/>
          <a:lstStyle/>
          <a:p>
            <a:pPr>
              <a:defRPr lang="cs-CZ" sz="900"/>
            </a:pPr>
            <a:endParaRPr lang="sk-SK"/>
          </a:p>
        </c:txPr>
        <c:crossAx val="67442944"/>
        <c:crosses val="max"/>
        <c:crossBetween val="between"/>
      </c:valAx>
      <c:catAx>
        <c:axId val="67442944"/>
        <c:scaling>
          <c:orientation val="minMax"/>
        </c:scaling>
        <c:delete val="1"/>
        <c:axPos val="b"/>
        <c:numFmt formatCode="General" sourceLinked="1"/>
        <c:majorTickMark val="out"/>
        <c:minorTickMark val="none"/>
        <c:tickLblPos val="none"/>
        <c:crossAx val="67441024"/>
        <c:crosses val="autoZero"/>
        <c:auto val="1"/>
        <c:lblAlgn val="ctr"/>
        <c:lblOffset val="100"/>
        <c:noMultiLvlLbl val="0"/>
      </c:catAx>
      <c:spPr>
        <a:noFill/>
        <a:ln>
          <a:noFill/>
        </a:ln>
        <a:effectLst/>
      </c:spPr>
    </c:plotArea>
    <c:legend>
      <c:legendPos val="b"/>
      <c:layout>
        <c:manualLayout>
          <c:xMode val="edge"/>
          <c:yMode val="edge"/>
          <c:x val="4.3340242191948222E-2"/>
          <c:y val="0.90857387706583503"/>
          <c:w val="0.67890437306447859"/>
          <c:h val="4.9256036515575696E-2"/>
        </c:manualLayout>
      </c:layout>
      <c:overlay val="0"/>
      <c:spPr>
        <a:noFill/>
        <a:ln>
          <a:noFill/>
        </a:ln>
        <a:effectLst/>
      </c:spPr>
      <c:txPr>
        <a:bodyPr rot="0" vert="horz"/>
        <a:lstStyle/>
        <a:p>
          <a:pPr>
            <a:defRPr lang="cs-CZ" sz="900"/>
          </a:pPr>
          <a:endParaRPr lang="sk-SK"/>
        </a:p>
      </c:txPr>
    </c:legend>
    <c:plotVisOnly val="1"/>
    <c:dispBlanksAs val="gap"/>
    <c:showDLblsOverMax val="0"/>
  </c:chart>
  <c:spPr>
    <a:solidFill>
      <a:schemeClr val="bg1"/>
    </a:solidFill>
    <a:ln w="9525" cap="flat" cmpd="sng" algn="ctr">
      <a:noFill/>
      <a:prstDash val="solid"/>
      <a:round/>
    </a:ln>
    <a:effectLst/>
  </c:spPr>
  <c:txPr>
    <a:bodyPr/>
    <a:lstStyle/>
    <a:p>
      <a:pPr>
        <a:defRPr>
          <a:latin typeface="Arial Narrow" panose="020B0606020202030204" pitchFamily="34" charset="0"/>
        </a:defRPr>
      </a:pPr>
      <a:endParaRPr lang="sk-SK"/>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2013958482462418E-2"/>
          <c:y val="5.7835739282589692E-2"/>
          <c:w val="0.87544178505464598"/>
          <c:h val="0.72229892617414082"/>
        </c:manualLayout>
      </c:layout>
      <c:barChart>
        <c:barDir val="col"/>
        <c:grouping val="clustered"/>
        <c:varyColors val="0"/>
        <c:ser>
          <c:idx val="2"/>
          <c:order val="2"/>
          <c:tx>
            <c:strRef>
              <c:f>'DLH VS výdavky na obsluhu'!$A$4</c:f>
              <c:strCache>
                <c:ptCount val="1"/>
                <c:pt idx="0">
                  <c:v>Výdavky spojené so správou štátneho dlhu</c:v>
                </c:pt>
              </c:strCache>
            </c:strRef>
          </c:tx>
          <c:spPr>
            <a:solidFill>
              <a:srgbClr val="0070C0"/>
            </a:solidFill>
            <a:ln>
              <a:solidFill>
                <a:srgbClr val="0070C0"/>
              </a:solidFill>
            </a:ln>
            <a:effectLst/>
          </c:spPr>
          <c:invertIfNegative val="0"/>
          <c:dPt>
            <c:idx val="12"/>
            <c:invertIfNegative val="0"/>
            <c:bubble3D val="0"/>
            <c:spPr>
              <a:solidFill>
                <a:srgbClr val="FFC000"/>
              </a:solidFill>
              <a:ln>
                <a:solidFill>
                  <a:srgbClr val="002060"/>
                </a:solidFill>
              </a:ln>
              <a:effectLst/>
            </c:spPr>
            <c:extLst>
              <c:ext xmlns:c16="http://schemas.microsoft.com/office/drawing/2014/chart" uri="{C3380CC4-5D6E-409C-BE32-E72D297353CC}">
                <c16:uniqueId val="{00000001-C8A0-4648-8AC9-00534FD14A98}"/>
              </c:ext>
            </c:extLst>
          </c:dPt>
          <c:dPt>
            <c:idx val="13"/>
            <c:invertIfNegative val="0"/>
            <c:bubble3D val="0"/>
            <c:spPr>
              <a:solidFill>
                <a:srgbClr val="FFC000"/>
              </a:solidFill>
              <a:ln>
                <a:solidFill>
                  <a:srgbClr val="002060"/>
                </a:solidFill>
              </a:ln>
              <a:effectLst/>
            </c:spPr>
            <c:extLst>
              <c:ext xmlns:c16="http://schemas.microsoft.com/office/drawing/2014/chart" uri="{C3380CC4-5D6E-409C-BE32-E72D297353CC}">
                <c16:uniqueId val="{00000003-C8A0-4648-8AC9-00534FD14A98}"/>
              </c:ext>
            </c:extLst>
          </c:dPt>
          <c:dPt>
            <c:idx val="14"/>
            <c:invertIfNegative val="0"/>
            <c:bubble3D val="0"/>
            <c:spPr>
              <a:solidFill>
                <a:srgbClr val="FFC000"/>
              </a:solidFill>
              <a:ln>
                <a:solidFill>
                  <a:srgbClr val="002060"/>
                </a:solidFill>
              </a:ln>
              <a:effectLst/>
            </c:spPr>
            <c:extLst>
              <c:ext xmlns:c16="http://schemas.microsoft.com/office/drawing/2014/chart" uri="{C3380CC4-5D6E-409C-BE32-E72D297353CC}">
                <c16:uniqueId val="{00000005-C8A0-4648-8AC9-00534FD14A98}"/>
              </c:ext>
            </c:extLst>
          </c:dPt>
          <c:dLbls>
            <c:dLbl>
              <c:idx val="0"/>
              <c:layout>
                <c:manualLayout>
                  <c:x val="-1.5151515151515162E-3"/>
                  <c:y val="2.7777777777777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8A0-4648-8AC9-00534FD14A98}"/>
                </c:ext>
              </c:extLst>
            </c:dLbl>
            <c:dLbl>
              <c:idx val="1"/>
              <c:layout>
                <c:manualLayout>
                  <c:x val="-1.5151515151515162E-3"/>
                  <c:y val="2.7777777777777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8A0-4648-8AC9-00534FD14A98}"/>
                </c:ext>
              </c:extLst>
            </c:dLbl>
            <c:spPr>
              <a:noFill/>
              <a:ln>
                <a:noFill/>
              </a:ln>
              <a:effectLst/>
            </c:spPr>
            <c:txPr>
              <a:bodyPr rot="0" vert="horz"/>
              <a:lstStyle/>
              <a:p>
                <a:pPr>
                  <a:defRPr lang="cs-CZ" sz="800"/>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name>Trend</c:name>
            <c:spPr>
              <a:ln>
                <a:tailEnd type="stealth"/>
              </a:ln>
            </c:spPr>
            <c:trendlineType val="log"/>
            <c:dispRSqr val="0"/>
            <c:dispEq val="0"/>
          </c:trendline>
          <c:cat>
            <c:strRef>
              <c:f>'DLH VS výdavky na obsluhu'!$C$1:$S$1</c:f>
              <c:strCache>
                <c:ptCount val="15"/>
                <c:pt idx="0">
                  <c:v>2007</c:v>
                </c:pt>
                <c:pt idx="1">
                  <c:v>2008</c:v>
                </c:pt>
                <c:pt idx="2">
                  <c:v>2009</c:v>
                </c:pt>
                <c:pt idx="3">
                  <c:v>2010</c:v>
                </c:pt>
                <c:pt idx="4">
                  <c:v>2011</c:v>
                </c:pt>
                <c:pt idx="5">
                  <c:v>2012</c:v>
                </c:pt>
                <c:pt idx="6">
                  <c:v>2013</c:v>
                </c:pt>
                <c:pt idx="7">
                  <c:v>2014</c:v>
                </c:pt>
                <c:pt idx="8">
                  <c:v>2015</c:v>
                </c:pt>
                <c:pt idx="9">
                  <c:v>2016</c:v>
                </c:pt>
                <c:pt idx="10">
                  <c:v>2017</c:v>
                </c:pt>
                <c:pt idx="11">
                  <c:v>2018 OS</c:v>
                </c:pt>
                <c:pt idx="12">
                  <c:v>2019 RVS</c:v>
                </c:pt>
                <c:pt idx="13">
                  <c:v>2020 RVS</c:v>
                </c:pt>
                <c:pt idx="14">
                  <c:v>2021 RVS</c:v>
                </c:pt>
              </c:strCache>
            </c:strRef>
          </c:cat>
          <c:val>
            <c:numRef>
              <c:f>'DLH VS výdavky na obsluhu'!$C$4:$S$4</c:f>
              <c:numCache>
                <c:formatCode>#,##0</c:formatCode>
                <c:ptCount val="15"/>
                <c:pt idx="0">
                  <c:v>995.77000000000021</c:v>
                </c:pt>
                <c:pt idx="1">
                  <c:v>884.9</c:v>
                </c:pt>
                <c:pt idx="2">
                  <c:v>762.7</c:v>
                </c:pt>
                <c:pt idx="3">
                  <c:v>864.1</c:v>
                </c:pt>
                <c:pt idx="4">
                  <c:v>1006.6</c:v>
                </c:pt>
                <c:pt idx="5">
                  <c:v>1248.5</c:v>
                </c:pt>
                <c:pt idx="6">
                  <c:v>1165.5999999999999</c:v>
                </c:pt>
                <c:pt idx="7">
                  <c:v>1280.9345580000004</c:v>
                </c:pt>
                <c:pt idx="8">
                  <c:v>1159.9339910000001</c:v>
                </c:pt>
                <c:pt idx="9">
                  <c:v>1174.9970750000005</c:v>
                </c:pt>
                <c:pt idx="10">
                  <c:v>1166.5693260299995</c:v>
                </c:pt>
                <c:pt idx="11">
                  <c:v>1140.6223219999995</c:v>
                </c:pt>
                <c:pt idx="12">
                  <c:v>1178.5973899999999</c:v>
                </c:pt>
                <c:pt idx="13">
                  <c:v>1257.3652219999999</c:v>
                </c:pt>
                <c:pt idx="14">
                  <c:v>1179.6614029999996</c:v>
                </c:pt>
              </c:numCache>
            </c:numRef>
          </c:val>
          <c:extLst>
            <c:ext xmlns:c16="http://schemas.microsoft.com/office/drawing/2014/chart" uri="{C3380CC4-5D6E-409C-BE32-E72D297353CC}">
              <c16:uniqueId val="{00000008-C8A0-4648-8AC9-00534FD14A98}"/>
            </c:ext>
          </c:extLst>
        </c:ser>
        <c:dLbls>
          <c:showLegendKey val="0"/>
          <c:showVal val="0"/>
          <c:showCatName val="0"/>
          <c:showSerName val="0"/>
          <c:showPercent val="0"/>
          <c:showBubbleSize val="0"/>
        </c:dLbls>
        <c:gapWidth val="219"/>
        <c:axId val="67488000"/>
        <c:axId val="67493888"/>
        <c:extLst>
          <c:ext xmlns:c15="http://schemas.microsoft.com/office/drawing/2012/chart" uri="{02D57815-91ED-43cb-92C2-25804820EDAC}">
            <c15:filteredBarSeries>
              <c15:ser>
                <c:idx val="0"/>
                <c:order val="0"/>
                <c:tx>
                  <c:strRef>
                    <c:extLst>
                      <c:ext uri="{02D57815-91ED-43cb-92C2-25804820EDAC}">
                        <c15:formulaRef>
                          <c15:sqref>'DLH VS výdavky na obsluhu'!$A$2</c15:sqref>
                        </c15:formulaRef>
                      </c:ext>
                    </c:extLst>
                    <c:strCache>
                      <c:ptCount val="1"/>
                      <c:pt idx="0">
                        <c:v>Hrubý dlh verejnej správy </c:v>
                      </c:pt>
                    </c:strCache>
                  </c:strRef>
                </c:tx>
                <c:spPr>
                  <a:solidFill>
                    <a:schemeClr val="accent1"/>
                  </a:solidFill>
                  <a:ln>
                    <a:noFill/>
                  </a:ln>
                  <a:effectLst/>
                </c:spPr>
                <c:invertIfNegative val="0"/>
                <c:cat>
                  <c:strRef>
                    <c:extLst>
                      <c:ext uri="{02D57815-91ED-43cb-92C2-25804820EDAC}">
                        <c15:formulaRef>
                          <c15:sqref>'DLH VS výdavky na obsluhu'!$C$1:$S$1</c15:sqref>
                        </c15:formulaRef>
                      </c:ext>
                    </c:extLst>
                    <c:strCache>
                      <c:ptCount val="15"/>
                      <c:pt idx="0">
                        <c:v>2007</c:v>
                      </c:pt>
                      <c:pt idx="1">
                        <c:v>2008</c:v>
                      </c:pt>
                      <c:pt idx="2">
                        <c:v>2009</c:v>
                      </c:pt>
                      <c:pt idx="3">
                        <c:v>2010</c:v>
                      </c:pt>
                      <c:pt idx="4">
                        <c:v>2011</c:v>
                      </c:pt>
                      <c:pt idx="5">
                        <c:v>2012</c:v>
                      </c:pt>
                      <c:pt idx="6">
                        <c:v>2013</c:v>
                      </c:pt>
                      <c:pt idx="7">
                        <c:v>2014</c:v>
                      </c:pt>
                      <c:pt idx="8">
                        <c:v>2015</c:v>
                      </c:pt>
                      <c:pt idx="9">
                        <c:v>2016</c:v>
                      </c:pt>
                      <c:pt idx="10">
                        <c:v>2017</c:v>
                      </c:pt>
                      <c:pt idx="11">
                        <c:v>2018 OS</c:v>
                      </c:pt>
                      <c:pt idx="12">
                        <c:v>2019 RVS</c:v>
                      </c:pt>
                      <c:pt idx="13">
                        <c:v>2020 RVS</c:v>
                      </c:pt>
                      <c:pt idx="14">
                        <c:v>2021 RVS</c:v>
                      </c:pt>
                    </c:strCache>
                  </c:strRef>
                </c:cat>
                <c:val>
                  <c:numRef>
                    <c:extLst>
                      <c:ext uri="{02D57815-91ED-43cb-92C2-25804820EDAC}">
                        <c15:formulaRef>
                          <c15:sqref>'DLH VS výdavky na obsluhu'!$C$2:$S$2</c15:sqref>
                        </c15:formulaRef>
                      </c:ext>
                    </c:extLst>
                    <c:numCache>
                      <c:formatCode>0</c:formatCode>
                      <c:ptCount val="15"/>
                      <c:pt idx="0">
                        <c:v>18979.8</c:v>
                      </c:pt>
                      <c:pt idx="1">
                        <c:v>19493.7</c:v>
                      </c:pt>
                      <c:pt idx="2">
                        <c:v>23236.799999999999</c:v>
                      </c:pt>
                      <c:pt idx="3">
                        <c:v>27842.3</c:v>
                      </c:pt>
                      <c:pt idx="4">
                        <c:v>30846.9</c:v>
                      </c:pt>
                      <c:pt idx="5">
                        <c:v>37925.707999999999</c:v>
                      </c:pt>
                      <c:pt idx="6">
                        <c:v>40600.008999999998</c:v>
                      </c:pt>
                      <c:pt idx="7">
                        <c:v>40725.017999999996</c:v>
                      </c:pt>
                      <c:pt idx="8">
                        <c:v>41295</c:v>
                      </c:pt>
                      <c:pt idx="9">
                        <c:v>42053</c:v>
                      </c:pt>
                      <c:pt idx="10">
                        <c:v>43230</c:v>
                      </c:pt>
                      <c:pt idx="11">
                        <c:v>43968</c:v>
                      </c:pt>
                      <c:pt idx="12">
                        <c:v>45719</c:v>
                      </c:pt>
                      <c:pt idx="13">
                        <c:v>47381</c:v>
                      </c:pt>
                      <c:pt idx="14">
                        <c:v>48894</c:v>
                      </c:pt>
                    </c:numCache>
                  </c:numRef>
                </c:val>
                <c:extLst>
                  <c:ext xmlns:c16="http://schemas.microsoft.com/office/drawing/2014/chart" uri="{C3380CC4-5D6E-409C-BE32-E72D297353CC}">
                    <c16:uniqueId val="{0000000A-C8A0-4648-8AC9-00534FD14A98}"/>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'DLH VS výdavky na obsluhu'!$A$3</c15:sqref>
                        </c15:formulaRef>
                      </c:ext>
                    </c:extLst>
                    <c:strCache>
                      <c:ptCount val="1"/>
                      <c:pt idx="0">
                        <c:v>Hrubý dlh verejnej správy </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'DLH VS výdavky na obsluhu'!$C$1:$S$1</c15:sqref>
                        </c15:formulaRef>
                      </c:ext>
                    </c:extLst>
                    <c:strCache>
                      <c:ptCount val="15"/>
                      <c:pt idx="0">
                        <c:v>2007</c:v>
                      </c:pt>
                      <c:pt idx="1">
                        <c:v>2008</c:v>
                      </c:pt>
                      <c:pt idx="2">
                        <c:v>2009</c:v>
                      </c:pt>
                      <c:pt idx="3">
                        <c:v>2010</c:v>
                      </c:pt>
                      <c:pt idx="4">
                        <c:v>2011</c:v>
                      </c:pt>
                      <c:pt idx="5">
                        <c:v>2012</c:v>
                      </c:pt>
                      <c:pt idx="6">
                        <c:v>2013</c:v>
                      </c:pt>
                      <c:pt idx="7">
                        <c:v>2014</c:v>
                      </c:pt>
                      <c:pt idx="8">
                        <c:v>2015</c:v>
                      </c:pt>
                      <c:pt idx="9">
                        <c:v>2016</c:v>
                      </c:pt>
                      <c:pt idx="10">
                        <c:v>2017</c:v>
                      </c:pt>
                      <c:pt idx="11">
                        <c:v>2018 OS</c:v>
                      </c:pt>
                      <c:pt idx="12">
                        <c:v>2019 RVS</c:v>
                      </c:pt>
                      <c:pt idx="13">
                        <c:v>2020 RVS</c:v>
                      </c:pt>
                      <c:pt idx="14">
                        <c:v>2021 RVS</c:v>
                      </c:pt>
                    </c:strCache>
                  </c:strRef>
                </c:cat>
                <c:val>
                  <c:numRef>
                    <c:extLst xmlns:c15="http://schemas.microsoft.com/office/drawing/2012/chart">
                      <c:ext xmlns:c15="http://schemas.microsoft.com/office/drawing/2012/chart" uri="{02D57815-91ED-43cb-92C2-25804820EDAC}">
                        <c15:formulaRef>
                          <c15:sqref>'DLH VS výdavky na obsluhu'!$C$3:$S$3</c15:sqref>
                        </c15:formulaRef>
                      </c:ext>
                    </c:extLst>
                    <c:numCache>
                      <c:formatCode>#,##0.00</c:formatCode>
                      <c:ptCount val="15"/>
                      <c:pt idx="0">
                        <c:v>30.100913662755197</c:v>
                      </c:pt>
                      <c:pt idx="1">
                        <c:v>28.461446367145747</c:v>
                      </c:pt>
                      <c:pt idx="2">
                        <c:v>36.294399990003605</c:v>
                      </c:pt>
                      <c:pt idx="3">
                        <c:v>41.200669455571614</c:v>
                      </c:pt>
                      <c:pt idx="4">
                        <c:v>43.675666032350144</c:v>
                      </c:pt>
                      <c:pt idx="5">
                        <c:v>52.164899901655346</c:v>
                      </c:pt>
                      <c:pt idx="6">
                        <c:v>54.739198785491148</c:v>
                      </c:pt>
                      <c:pt idx="7">
                        <c:v>53.62336858626611</c:v>
                      </c:pt>
                      <c:pt idx="8">
                        <c:v>52.478852547353007</c:v>
                      </c:pt>
                      <c:pt idx="9">
                        <c:v>51.9</c:v>
                      </c:pt>
                      <c:pt idx="10">
                        <c:v>51.116031731585295</c:v>
                      </c:pt>
                      <c:pt idx="11">
                        <c:v>48.7</c:v>
                      </c:pt>
                      <c:pt idx="12">
                        <c:v>47.8</c:v>
                      </c:pt>
                      <c:pt idx="13">
                        <c:v>45.5</c:v>
                      </c:pt>
                      <c:pt idx="14">
                        <c:v>44.8</c:v>
                      </c:pt>
                    </c:numCache>
                  </c:numRef>
                </c:val>
                <c:extLst xmlns:c15="http://schemas.microsoft.com/office/drawing/2012/chart">
                  <c:ext xmlns:c16="http://schemas.microsoft.com/office/drawing/2014/chart" uri="{C3380CC4-5D6E-409C-BE32-E72D297353CC}">
                    <c16:uniqueId val="{0000000B-C8A0-4648-8AC9-00534FD14A98}"/>
                  </c:ext>
                </c:extLst>
              </c15:ser>
            </c15:filteredBarSeries>
          </c:ext>
        </c:extLst>
      </c:barChart>
      <c:lineChart>
        <c:grouping val="standard"/>
        <c:varyColors val="0"/>
        <c:ser>
          <c:idx val="3"/>
          <c:order val="3"/>
          <c:tx>
            <c:strRef>
              <c:f>'DLH VS výdavky na obsluhu'!$A$5:$B$5</c:f>
              <c:strCache>
                <c:ptCount val="2"/>
                <c:pt idx="0">
                  <c:v>Náklady na 1 euro dlhu</c:v>
                </c:pt>
                <c:pt idx="1">
                  <c:v> eur</c:v>
                </c:pt>
              </c:strCache>
            </c:strRef>
          </c:tx>
          <c:spPr>
            <a:ln w="28575" cap="rnd">
              <a:solidFill>
                <a:srgbClr val="FF0000"/>
              </a:solidFill>
              <a:round/>
            </a:ln>
            <a:effectLst/>
          </c:spPr>
          <c:marker>
            <c:symbol val="none"/>
          </c:marker>
          <c:cat>
            <c:strRef>
              <c:f>'DLH VS výdavky na obsluhu'!$C$1:$S$1</c:f>
              <c:strCache>
                <c:ptCount val="15"/>
                <c:pt idx="0">
                  <c:v>2007</c:v>
                </c:pt>
                <c:pt idx="1">
                  <c:v>2008</c:v>
                </c:pt>
                <c:pt idx="2">
                  <c:v>2009</c:v>
                </c:pt>
                <c:pt idx="3">
                  <c:v>2010</c:v>
                </c:pt>
                <c:pt idx="4">
                  <c:v>2011</c:v>
                </c:pt>
                <c:pt idx="5">
                  <c:v>2012</c:v>
                </c:pt>
                <c:pt idx="6">
                  <c:v>2013</c:v>
                </c:pt>
                <c:pt idx="7">
                  <c:v>2014</c:v>
                </c:pt>
                <c:pt idx="8">
                  <c:v>2015</c:v>
                </c:pt>
                <c:pt idx="9">
                  <c:v>2016</c:v>
                </c:pt>
                <c:pt idx="10">
                  <c:v>2017</c:v>
                </c:pt>
                <c:pt idx="11">
                  <c:v>2018 OS</c:v>
                </c:pt>
                <c:pt idx="12">
                  <c:v>2019 RVS</c:v>
                </c:pt>
                <c:pt idx="13">
                  <c:v>2020 RVS</c:v>
                </c:pt>
                <c:pt idx="14">
                  <c:v>2021 RVS</c:v>
                </c:pt>
              </c:strCache>
            </c:strRef>
          </c:cat>
          <c:val>
            <c:numRef>
              <c:f>'DLH VS výdavky na obsluhu'!$C$5:$S$5</c:f>
              <c:numCache>
                <c:formatCode>#,##0.000</c:formatCode>
                <c:ptCount val="15"/>
                <c:pt idx="0">
                  <c:v>5.2464725655697111E-2</c:v>
                </c:pt>
                <c:pt idx="1">
                  <c:v>4.5394152982758527E-2</c:v>
                </c:pt>
                <c:pt idx="2">
                  <c:v>3.2822936032500187E-2</c:v>
                </c:pt>
                <c:pt idx="3">
                  <c:v>3.1035510715709584E-2</c:v>
                </c:pt>
                <c:pt idx="4">
                  <c:v>3.2632128350012481E-2</c:v>
                </c:pt>
                <c:pt idx="5">
                  <c:v>3.2919622752988556E-2</c:v>
                </c:pt>
                <c:pt idx="6">
                  <c:v>2.8709353241768983E-2</c:v>
                </c:pt>
                <c:pt idx="7">
                  <c:v>3.1453259468172623E-2</c:v>
                </c:pt>
                <c:pt idx="8">
                  <c:v>2.8088969390967427E-2</c:v>
                </c:pt>
                <c:pt idx="9">
                  <c:v>2.7940862126364374E-2</c:v>
                </c:pt>
                <c:pt idx="10">
                  <c:v>2.6985179875780713E-2</c:v>
                </c:pt>
                <c:pt idx="11">
                  <c:v>2.5942101573871921E-2</c:v>
                </c:pt>
                <c:pt idx="12">
                  <c:v>2.5779159430433744E-2</c:v>
                </c:pt>
                <c:pt idx="13">
                  <c:v>2.6537329773537916E-2</c:v>
                </c:pt>
                <c:pt idx="14">
                  <c:v>2.4126915429296038E-2</c:v>
                </c:pt>
              </c:numCache>
            </c:numRef>
          </c:val>
          <c:smooth val="0"/>
          <c:extLst xmlns:c15="http://schemas.microsoft.com/office/drawing/2012/chart">
            <c:ext xmlns:c16="http://schemas.microsoft.com/office/drawing/2014/chart" uri="{C3380CC4-5D6E-409C-BE32-E72D297353CC}">
              <c16:uniqueId val="{00000009-C8A0-4648-8AC9-00534FD14A98}"/>
            </c:ext>
          </c:extLst>
        </c:ser>
        <c:dLbls>
          <c:showLegendKey val="0"/>
          <c:showVal val="0"/>
          <c:showCatName val="0"/>
          <c:showSerName val="0"/>
          <c:showPercent val="0"/>
          <c:showBubbleSize val="0"/>
        </c:dLbls>
        <c:marker val="1"/>
        <c:smooth val="0"/>
        <c:axId val="67502080"/>
        <c:axId val="67495808"/>
        <c:extLst/>
      </c:lineChart>
      <c:catAx>
        <c:axId val="67488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lang="cs-CZ" sz="800"/>
            </a:pPr>
            <a:endParaRPr lang="sk-SK"/>
          </a:p>
        </c:txPr>
        <c:crossAx val="67493888"/>
        <c:crosses val="autoZero"/>
        <c:auto val="1"/>
        <c:lblAlgn val="ctr"/>
        <c:lblOffset val="100"/>
        <c:noMultiLvlLbl val="0"/>
      </c:catAx>
      <c:valAx>
        <c:axId val="67493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vert="horz"/>
              <a:lstStyle/>
              <a:p>
                <a:pPr>
                  <a:defRPr lang="cs-CZ"/>
                </a:pPr>
                <a:r>
                  <a:rPr lang="sk-SK" sz="800" b="0"/>
                  <a:t>mil. eur</a:t>
                </a:r>
              </a:p>
            </c:rich>
          </c:tx>
          <c:layout>
            <c:manualLayout>
              <c:xMode val="edge"/>
              <c:yMode val="edge"/>
              <c:x val="0"/>
              <c:y val="0.78853719404980049"/>
            </c:manualLayout>
          </c:layout>
          <c:overlay val="0"/>
        </c:title>
        <c:numFmt formatCode="#,##0" sourceLinked="1"/>
        <c:majorTickMark val="none"/>
        <c:minorTickMark val="none"/>
        <c:tickLblPos val="nextTo"/>
        <c:spPr>
          <a:noFill/>
          <a:ln>
            <a:noFill/>
          </a:ln>
          <a:effectLst/>
        </c:spPr>
        <c:txPr>
          <a:bodyPr rot="-60000000" vert="horz"/>
          <a:lstStyle/>
          <a:p>
            <a:pPr>
              <a:defRPr lang="cs-CZ" sz="800"/>
            </a:pPr>
            <a:endParaRPr lang="sk-SK"/>
          </a:p>
        </c:txPr>
        <c:crossAx val="67488000"/>
        <c:crosses val="autoZero"/>
        <c:crossBetween val="between"/>
      </c:valAx>
      <c:valAx>
        <c:axId val="67495808"/>
        <c:scaling>
          <c:orientation val="minMax"/>
        </c:scaling>
        <c:delete val="0"/>
        <c:axPos val="r"/>
        <c:title>
          <c:tx>
            <c:rich>
              <a:bodyPr rot="0" vert="horz"/>
              <a:lstStyle/>
              <a:p>
                <a:pPr>
                  <a:defRPr lang="cs-CZ" sz="800" b="0"/>
                </a:pPr>
                <a:r>
                  <a:rPr lang="sk-SK" sz="800" b="0"/>
                  <a:t>eur</a:t>
                </a:r>
              </a:p>
            </c:rich>
          </c:tx>
          <c:layout>
            <c:manualLayout>
              <c:xMode val="edge"/>
              <c:yMode val="edge"/>
              <c:x val="0.9398589065255738"/>
              <c:y val="0.86871583793689688"/>
            </c:manualLayout>
          </c:layout>
          <c:overlay val="0"/>
        </c:title>
        <c:numFmt formatCode="#,##0.000" sourceLinked="1"/>
        <c:majorTickMark val="out"/>
        <c:minorTickMark val="none"/>
        <c:tickLblPos val="nextTo"/>
        <c:spPr>
          <a:noFill/>
          <a:ln>
            <a:noFill/>
          </a:ln>
          <a:effectLst/>
        </c:spPr>
        <c:txPr>
          <a:bodyPr rot="-60000000" vert="horz"/>
          <a:lstStyle/>
          <a:p>
            <a:pPr>
              <a:defRPr lang="cs-CZ" sz="800"/>
            </a:pPr>
            <a:endParaRPr lang="sk-SK"/>
          </a:p>
        </c:txPr>
        <c:crossAx val="67502080"/>
        <c:crosses val="max"/>
        <c:crossBetween val="between"/>
      </c:valAx>
      <c:catAx>
        <c:axId val="67502080"/>
        <c:scaling>
          <c:orientation val="minMax"/>
        </c:scaling>
        <c:delete val="1"/>
        <c:axPos val="b"/>
        <c:numFmt formatCode="General" sourceLinked="1"/>
        <c:majorTickMark val="out"/>
        <c:minorTickMark val="none"/>
        <c:tickLblPos val="none"/>
        <c:crossAx val="67495808"/>
        <c:crosses val="autoZero"/>
        <c:auto val="1"/>
        <c:lblAlgn val="ctr"/>
        <c:lblOffset val="100"/>
        <c:noMultiLvlLbl val="0"/>
      </c:catAx>
      <c:spPr>
        <a:noFill/>
        <a:ln>
          <a:noFill/>
        </a:ln>
        <a:effectLst/>
      </c:spPr>
    </c:plotArea>
    <c:legend>
      <c:legendPos val="b"/>
      <c:layout>
        <c:manualLayout>
          <c:xMode val="edge"/>
          <c:yMode val="edge"/>
          <c:x val="1.3400408282298054E-2"/>
          <c:y val="0.89916220896773158"/>
          <c:w val="0.7791954825091314"/>
          <c:h val="0.10083779103226781"/>
        </c:manualLayout>
      </c:layout>
      <c:overlay val="0"/>
      <c:spPr>
        <a:noFill/>
        <a:ln>
          <a:noFill/>
        </a:ln>
        <a:effectLst/>
      </c:spPr>
      <c:txPr>
        <a:bodyPr rot="0" vert="horz"/>
        <a:lstStyle/>
        <a:p>
          <a:pPr>
            <a:defRPr lang="cs-CZ" sz="800"/>
          </a:pPr>
          <a:endParaRPr lang="sk-SK"/>
        </a:p>
      </c:txPr>
    </c:legend>
    <c:plotVisOnly val="1"/>
    <c:dispBlanksAs val="gap"/>
    <c:showDLblsOverMax val="0"/>
  </c:chart>
  <c:spPr>
    <a:solidFill>
      <a:schemeClr val="bg1"/>
    </a:solidFill>
    <a:ln w="9525" cap="flat" cmpd="sng" algn="ctr">
      <a:noFill/>
      <a:round/>
    </a:ln>
    <a:effectLst/>
  </c:spPr>
  <c:txPr>
    <a:bodyPr/>
    <a:lstStyle/>
    <a:p>
      <a:pPr>
        <a:defRPr>
          <a:latin typeface="Arial Narrow" panose="020B0606020202030204" pitchFamily="34" charset="0"/>
        </a:defRPr>
      </a:pPr>
      <a:endParaRPr lang="sk-SK"/>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218444285373416E-2"/>
          <c:y val="6.0616505505619117E-2"/>
          <c:w val="0.93617549510856635"/>
          <c:h val="0.85988035899182313"/>
        </c:manualLayout>
      </c:layout>
      <c:barChart>
        <c:barDir val="col"/>
        <c:grouping val="clustered"/>
        <c:varyColors val="0"/>
        <c:ser>
          <c:idx val="2"/>
          <c:order val="2"/>
          <c:tx>
            <c:strRef>
              <c:f>DLH_prepočet_na_Obyvateľa!$B$4</c:f>
              <c:strCache>
                <c:ptCount val="1"/>
                <c:pt idx="0">
                  <c:v>eur</c:v>
                </c:pt>
              </c:strCache>
            </c:strRef>
          </c:tx>
          <c:spPr>
            <a:solidFill>
              <a:srgbClr val="0070C0"/>
            </a:solidFill>
            <a:ln>
              <a:noFill/>
            </a:ln>
            <a:effectLst/>
          </c:spPr>
          <c:invertIfNegative val="0"/>
          <c:dPt>
            <c:idx val="12"/>
            <c:invertIfNegative val="0"/>
            <c:bubble3D val="0"/>
            <c:spPr>
              <a:solidFill>
                <a:srgbClr val="FFC000"/>
              </a:solidFill>
              <a:ln>
                <a:solidFill>
                  <a:srgbClr val="002060"/>
                </a:solidFill>
              </a:ln>
              <a:effectLst/>
            </c:spPr>
            <c:extLst>
              <c:ext xmlns:c16="http://schemas.microsoft.com/office/drawing/2014/chart" uri="{C3380CC4-5D6E-409C-BE32-E72D297353CC}">
                <c16:uniqueId val="{00000001-CED6-41BC-889C-1F47E13E3B25}"/>
              </c:ext>
            </c:extLst>
          </c:dPt>
          <c:dPt>
            <c:idx val="13"/>
            <c:invertIfNegative val="0"/>
            <c:bubble3D val="0"/>
            <c:spPr>
              <a:solidFill>
                <a:srgbClr val="FFC000"/>
              </a:solidFill>
              <a:ln>
                <a:solidFill>
                  <a:srgbClr val="002060"/>
                </a:solidFill>
              </a:ln>
              <a:effectLst/>
            </c:spPr>
            <c:extLst>
              <c:ext xmlns:c16="http://schemas.microsoft.com/office/drawing/2014/chart" uri="{C3380CC4-5D6E-409C-BE32-E72D297353CC}">
                <c16:uniqueId val="{00000003-CED6-41BC-889C-1F47E13E3B25}"/>
              </c:ext>
            </c:extLst>
          </c:dPt>
          <c:dPt>
            <c:idx val="14"/>
            <c:invertIfNegative val="0"/>
            <c:bubble3D val="0"/>
            <c:spPr>
              <a:solidFill>
                <a:srgbClr val="FFC000"/>
              </a:solidFill>
              <a:ln>
                <a:solidFill>
                  <a:srgbClr val="002060"/>
                </a:solidFill>
              </a:ln>
              <a:effectLst/>
            </c:spPr>
            <c:extLst>
              <c:ext xmlns:c16="http://schemas.microsoft.com/office/drawing/2014/chart" uri="{C3380CC4-5D6E-409C-BE32-E72D297353CC}">
                <c16:uniqueId val="{00000005-CED6-41BC-889C-1F47E13E3B25}"/>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ED6-41BC-889C-1F47E13E3B25}"/>
                </c:ext>
              </c:extLst>
            </c:dLbl>
            <c:dLbl>
              <c:idx val="1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ED6-41BC-889C-1F47E13E3B25}"/>
                </c:ext>
              </c:extLst>
            </c:dLbl>
            <c:dLbl>
              <c:idx val="1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ED6-41BC-889C-1F47E13E3B25}"/>
                </c:ext>
              </c:extLst>
            </c:dLbl>
            <c:dLbl>
              <c:idx val="1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ED6-41BC-889C-1F47E13E3B25}"/>
                </c:ext>
              </c:extLst>
            </c:dLbl>
            <c:dLbl>
              <c:idx val="1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ED6-41BC-889C-1F47E13E3B2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DLH_prepočet_na_Obyvateľa!$C$1:$T$1</c:f>
              <c:strCache>
                <c:ptCount val="15"/>
                <c:pt idx="0">
                  <c:v>2007</c:v>
                </c:pt>
                <c:pt idx="1">
                  <c:v>2008</c:v>
                </c:pt>
                <c:pt idx="2">
                  <c:v>2009</c:v>
                </c:pt>
                <c:pt idx="3">
                  <c:v>2010</c:v>
                </c:pt>
                <c:pt idx="4">
                  <c:v>2011</c:v>
                </c:pt>
                <c:pt idx="5">
                  <c:v>2012</c:v>
                </c:pt>
                <c:pt idx="6">
                  <c:v>2013</c:v>
                </c:pt>
                <c:pt idx="7">
                  <c:v>2014</c:v>
                </c:pt>
                <c:pt idx="8">
                  <c:v>2015</c:v>
                </c:pt>
                <c:pt idx="9">
                  <c:v>2016</c:v>
                </c:pt>
                <c:pt idx="10">
                  <c:v>2 017</c:v>
                </c:pt>
                <c:pt idx="11">
                  <c:v>2018 OS</c:v>
                </c:pt>
                <c:pt idx="12">
                  <c:v>2019 RVS</c:v>
                </c:pt>
                <c:pt idx="13">
                  <c:v>2020 RVS</c:v>
                </c:pt>
                <c:pt idx="14">
                  <c:v>2021 RVS</c:v>
                </c:pt>
              </c:strCache>
              <c:extLst/>
            </c:strRef>
          </c:cat>
          <c:val>
            <c:numRef>
              <c:f>DLH_prepočet_na_Obyvateľa!$C$4:$T$4</c:f>
              <c:numCache>
                <c:formatCode>#,##0</c:formatCode>
                <c:ptCount val="15"/>
                <c:pt idx="0">
                  <c:v>3514.128314804042</c:v>
                </c:pt>
                <c:pt idx="1">
                  <c:v>3601.7710920440923</c:v>
                </c:pt>
                <c:pt idx="2">
                  <c:v>4283.3403226772734</c:v>
                </c:pt>
                <c:pt idx="3">
                  <c:v>5122.5209846865118</c:v>
                </c:pt>
                <c:pt idx="4">
                  <c:v>5707.8205184665203</c:v>
                </c:pt>
                <c:pt idx="5">
                  <c:v>7009.2141029593204</c:v>
                </c:pt>
                <c:pt idx="6">
                  <c:v>7496.3794895409837</c:v>
                </c:pt>
                <c:pt idx="7">
                  <c:v>7511.9712824243561</c:v>
                </c:pt>
                <c:pt idx="8">
                  <c:v>7609.8423945342556</c:v>
                </c:pt>
                <c:pt idx="9">
                  <c:v>7736.9910233815981</c:v>
                </c:pt>
                <c:pt idx="10">
                  <c:v>7874.9294344022783</c:v>
                </c:pt>
                <c:pt idx="11">
                  <c:v>7998.2667511461768</c:v>
                </c:pt>
                <c:pt idx="12">
                  <c:v>8306.3142086500193</c:v>
                </c:pt>
                <c:pt idx="13">
                  <c:v>8598.7414307038289</c:v>
                </c:pt>
                <c:pt idx="14">
                  <c:v>8863.511280338138</c:v>
                </c:pt>
              </c:numCache>
              <c:extLst/>
            </c:numRef>
          </c:val>
          <c:extLst>
            <c:ext xmlns:c16="http://schemas.microsoft.com/office/drawing/2014/chart" uri="{C3380CC4-5D6E-409C-BE32-E72D297353CC}">
              <c16:uniqueId val="{00000008-CED6-41BC-889C-1F47E13E3B25}"/>
            </c:ext>
          </c:extLst>
        </c:ser>
        <c:dLbls>
          <c:showLegendKey val="0"/>
          <c:showVal val="0"/>
          <c:showCatName val="0"/>
          <c:showSerName val="0"/>
          <c:showPercent val="0"/>
          <c:showBubbleSize val="0"/>
        </c:dLbls>
        <c:gapWidth val="219"/>
        <c:overlap val="-27"/>
        <c:axId val="67531520"/>
        <c:axId val="67533056"/>
        <c:extLst>
          <c:ext xmlns:c15="http://schemas.microsoft.com/office/drawing/2012/chart" uri="{02D57815-91ED-43cb-92C2-25804820EDAC}">
            <c15:filteredBarSeries>
              <c15:ser>
                <c:idx val="0"/>
                <c:order val="0"/>
                <c:tx>
                  <c:strRef>
                    <c:extLst>
                      <c:ext uri="{02D57815-91ED-43cb-92C2-25804820EDAC}">
                        <c15:formulaRef>
                          <c15:sqref>DLH_prepočet_na_Obyvateľa!$B$2</c15:sqref>
                        </c15:formulaRef>
                      </c:ext>
                    </c:extLst>
                    <c:strCache>
                      <c:ptCount val="1"/>
                      <c:pt idx="0">
                        <c:v>mil. eur</c:v>
                      </c:pt>
                    </c:strCache>
                  </c:strRef>
                </c:tx>
                <c:spPr>
                  <a:solidFill>
                    <a:schemeClr val="accent1"/>
                  </a:solidFill>
                  <a:ln>
                    <a:noFill/>
                  </a:ln>
                  <a:effectLst/>
                </c:spPr>
                <c:invertIfNegative val="0"/>
                <c:cat>
                  <c:strRef>
                    <c:extLst>
                      <c:ext uri="{02D57815-91ED-43cb-92C2-25804820EDAC}">
                        <c15:formulaRef>
                          <c15:sqref>DLH_prepočet_na_Obyvateľa!$C$1:$T$1</c15:sqref>
                        </c15:formulaRef>
                      </c:ext>
                    </c:extLst>
                    <c:strCache>
                      <c:ptCount val="15"/>
                      <c:pt idx="0">
                        <c:v>2007</c:v>
                      </c:pt>
                      <c:pt idx="1">
                        <c:v>2008</c:v>
                      </c:pt>
                      <c:pt idx="2">
                        <c:v>2009</c:v>
                      </c:pt>
                      <c:pt idx="3">
                        <c:v>2010</c:v>
                      </c:pt>
                      <c:pt idx="4">
                        <c:v>2011</c:v>
                      </c:pt>
                      <c:pt idx="5">
                        <c:v>2012</c:v>
                      </c:pt>
                      <c:pt idx="6">
                        <c:v>2013</c:v>
                      </c:pt>
                      <c:pt idx="7">
                        <c:v>2014</c:v>
                      </c:pt>
                      <c:pt idx="8">
                        <c:v>2015</c:v>
                      </c:pt>
                      <c:pt idx="9">
                        <c:v>2016</c:v>
                      </c:pt>
                      <c:pt idx="10">
                        <c:v>2 017</c:v>
                      </c:pt>
                      <c:pt idx="11">
                        <c:v>2018 OS</c:v>
                      </c:pt>
                      <c:pt idx="12">
                        <c:v>2019 RVS</c:v>
                      </c:pt>
                      <c:pt idx="13">
                        <c:v>2020 RVS</c:v>
                      </c:pt>
                      <c:pt idx="14">
                        <c:v>2021 RVS</c:v>
                      </c:pt>
                    </c:strCache>
                  </c:strRef>
                </c:cat>
                <c:val>
                  <c:numRef>
                    <c:extLst>
                      <c:ext uri="{02D57815-91ED-43cb-92C2-25804820EDAC}">
                        <c15:formulaRef>
                          <c15:sqref>DLH_prepočet_na_Obyvateľa!$C$2:$T$2</c15:sqref>
                        </c15:formulaRef>
                      </c:ext>
                    </c:extLst>
                    <c:numCache>
                      <c:formatCode>#,##0</c:formatCode>
                      <c:ptCount val="15"/>
                      <c:pt idx="0">
                        <c:v>18979.8</c:v>
                      </c:pt>
                      <c:pt idx="1">
                        <c:v>19493.7</c:v>
                      </c:pt>
                      <c:pt idx="2">
                        <c:v>23236.799999999999</c:v>
                      </c:pt>
                      <c:pt idx="3">
                        <c:v>27842.3</c:v>
                      </c:pt>
                      <c:pt idx="4">
                        <c:v>30846.9</c:v>
                      </c:pt>
                      <c:pt idx="5">
                        <c:v>37925.707999999999</c:v>
                      </c:pt>
                      <c:pt idx="6">
                        <c:v>40600.008999999998</c:v>
                      </c:pt>
                      <c:pt idx="7">
                        <c:v>40725.017999999996</c:v>
                      </c:pt>
                      <c:pt idx="8">
                        <c:v>41295</c:v>
                      </c:pt>
                      <c:pt idx="9">
                        <c:v>42053.2</c:v>
                      </c:pt>
                      <c:pt idx="10">
                        <c:v>43230</c:v>
                      </c:pt>
                      <c:pt idx="11">
                        <c:v>43968</c:v>
                      </c:pt>
                      <c:pt idx="12">
                        <c:v>45719</c:v>
                      </c:pt>
                      <c:pt idx="13">
                        <c:v>47381</c:v>
                      </c:pt>
                      <c:pt idx="14">
                        <c:v>48894</c:v>
                      </c:pt>
                    </c:numCache>
                  </c:numRef>
                </c:val>
                <c:extLst>
                  <c:ext xmlns:c16="http://schemas.microsoft.com/office/drawing/2014/chart" uri="{C3380CC4-5D6E-409C-BE32-E72D297353CC}">
                    <c16:uniqueId val="{00000009-CED6-41BC-889C-1F47E13E3B25}"/>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DLH_prepočet_na_Obyvateľa!$B$3</c15:sqref>
                        </c15:formulaRef>
                      </c:ext>
                    </c:extLst>
                    <c:strCache>
                      <c:ptCount val="1"/>
                      <c:pt idx="0">
                        <c:v>počet osôb</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DLH_prepočet_na_Obyvateľa!$C$1:$T$1</c15:sqref>
                        </c15:formulaRef>
                      </c:ext>
                    </c:extLst>
                    <c:strCache>
                      <c:ptCount val="15"/>
                      <c:pt idx="0">
                        <c:v>2007</c:v>
                      </c:pt>
                      <c:pt idx="1">
                        <c:v>2008</c:v>
                      </c:pt>
                      <c:pt idx="2">
                        <c:v>2009</c:v>
                      </c:pt>
                      <c:pt idx="3">
                        <c:v>2010</c:v>
                      </c:pt>
                      <c:pt idx="4">
                        <c:v>2011</c:v>
                      </c:pt>
                      <c:pt idx="5">
                        <c:v>2012</c:v>
                      </c:pt>
                      <c:pt idx="6">
                        <c:v>2013</c:v>
                      </c:pt>
                      <c:pt idx="7">
                        <c:v>2014</c:v>
                      </c:pt>
                      <c:pt idx="8">
                        <c:v>2015</c:v>
                      </c:pt>
                      <c:pt idx="9">
                        <c:v>2016</c:v>
                      </c:pt>
                      <c:pt idx="10">
                        <c:v>2 017</c:v>
                      </c:pt>
                      <c:pt idx="11">
                        <c:v>2018 OS</c:v>
                      </c:pt>
                      <c:pt idx="12">
                        <c:v>2019 RVS</c:v>
                      </c:pt>
                      <c:pt idx="13">
                        <c:v>2020 RVS</c:v>
                      </c:pt>
                      <c:pt idx="14">
                        <c:v>2021 RVS</c:v>
                      </c:pt>
                    </c:strCache>
                  </c:strRef>
                </c:cat>
                <c:val>
                  <c:numRef>
                    <c:extLst xmlns:c15="http://schemas.microsoft.com/office/drawing/2012/chart">
                      <c:ext xmlns:c15="http://schemas.microsoft.com/office/drawing/2012/chart" uri="{02D57815-91ED-43cb-92C2-25804820EDAC}">
                        <c15:formulaRef>
                          <c15:sqref>DLH_prepočet_na_Obyvateľa!$C$3:$T$3</c15:sqref>
                        </c15:formulaRef>
                      </c:ext>
                    </c:extLst>
                    <c:numCache>
                      <c:formatCode>#,##0</c:formatCode>
                      <c:ptCount val="15"/>
                      <c:pt idx="0">
                        <c:v>5400998</c:v>
                      </c:pt>
                      <c:pt idx="1">
                        <c:v>5412254</c:v>
                      </c:pt>
                      <c:pt idx="2">
                        <c:v>5424925</c:v>
                      </c:pt>
                      <c:pt idx="3">
                        <c:v>5435273</c:v>
                      </c:pt>
                      <c:pt idx="4">
                        <c:v>5404322</c:v>
                      </c:pt>
                      <c:pt idx="5">
                        <c:v>5410836</c:v>
                      </c:pt>
                      <c:pt idx="6">
                        <c:v>5415949</c:v>
                      </c:pt>
                      <c:pt idx="7">
                        <c:v>5421349</c:v>
                      </c:pt>
                      <c:pt idx="8">
                        <c:v>5426525</c:v>
                      </c:pt>
                      <c:pt idx="9">
                        <c:v>5435343</c:v>
                      </c:pt>
                      <c:pt idx="10">
                        <c:v>5489573</c:v>
                      </c:pt>
                      <c:pt idx="11">
                        <c:v>5497191</c:v>
                      </c:pt>
                      <c:pt idx="12">
                        <c:v>5504126</c:v>
                      </c:pt>
                      <c:pt idx="13">
                        <c:v>5510225</c:v>
                      </c:pt>
                      <c:pt idx="14">
                        <c:v>5516324</c:v>
                      </c:pt>
                    </c:numCache>
                  </c:numRef>
                </c:val>
                <c:extLst xmlns:c15="http://schemas.microsoft.com/office/drawing/2012/chart">
                  <c:ext xmlns:c16="http://schemas.microsoft.com/office/drawing/2014/chart" uri="{C3380CC4-5D6E-409C-BE32-E72D297353CC}">
                    <c16:uniqueId val="{0000000A-CED6-41BC-889C-1F47E13E3B25}"/>
                  </c:ext>
                </c:extLst>
              </c15:ser>
            </c15:filteredBarSeries>
          </c:ext>
        </c:extLst>
      </c:barChart>
      <c:catAx>
        <c:axId val="67531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lang="cs-CZ" sz="900"/>
            </a:pPr>
            <a:endParaRPr lang="sk-SK"/>
          </a:p>
        </c:txPr>
        <c:crossAx val="67533056"/>
        <c:crosses val="autoZero"/>
        <c:auto val="1"/>
        <c:lblAlgn val="ctr"/>
        <c:lblOffset val="100"/>
        <c:noMultiLvlLbl val="0"/>
      </c:catAx>
      <c:valAx>
        <c:axId val="675330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lang="cs-CZ" sz="900"/>
            </a:pPr>
            <a:endParaRPr lang="sk-SK"/>
          </a:p>
        </c:txPr>
        <c:crossAx val="675315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Narrow" panose="020B0606020202030204" pitchFamily="34" charset="0"/>
        </a:defRPr>
      </a:pPr>
      <a:endParaRPr lang="sk-SK"/>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354-4154-9DE9-E8AB6039EBC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354-4154-9DE9-E8AB6039EBC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354-4154-9DE9-E8AB6039EBCB}"/>
              </c:ext>
            </c:extLst>
          </c:dPt>
          <c:dLbls>
            <c:dLbl>
              <c:idx val="0"/>
              <c:layout>
                <c:manualLayout>
                  <c:x val="1.9914027564148278E-2"/>
                  <c:y val="3.39495606527444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354-4154-9DE9-E8AB6039EBCB}"/>
                </c:ext>
              </c:extLst>
            </c:dLbl>
            <c:spPr>
              <a:noFill/>
              <a:ln>
                <a:noFill/>
              </a:ln>
              <a:effectLst/>
            </c:spPr>
            <c:txPr>
              <a:bodyPr rot="0" spcFirstLastPara="1" vertOverflow="ellipsis" vert="horz" wrap="square" lIns="38100" tIns="19050" rIns="38100" bIns="19050" anchor="ctr" anchorCtr="1">
                <a:spAutoFit/>
              </a:bodyPr>
              <a:lstStyle/>
              <a:p>
                <a:pPr>
                  <a:defRPr lang="cs-CZ" sz="900" b="1" i="0" u="none" strike="noStrike" kern="1200" baseline="0">
                    <a:solidFill>
                      <a:schemeClr val="tx1">
                        <a:lumMod val="75000"/>
                        <a:lumOff val="25000"/>
                      </a:schemeClr>
                    </a:solidFill>
                    <a:latin typeface="Arial Narrow" panose="020B0606020202030204" pitchFamily="34" charset="0"/>
                    <a:ea typeface="+mn-ea"/>
                    <a:cs typeface="+mn-cs"/>
                  </a:defRPr>
                </a:pPr>
                <a:endParaRPr lang="sk-SK"/>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Hárok1!$C$17:$C$19</c:f>
              <c:strCache>
                <c:ptCount val="3"/>
                <c:pt idx="0">
                  <c:v>Rozvoj obrany</c:v>
                </c:pt>
                <c:pt idx="1">
                  <c:v>Obrana</c:v>
                </c:pt>
                <c:pt idx="2">
                  <c:v>Ostatné</c:v>
                </c:pt>
              </c:strCache>
            </c:strRef>
          </c:cat>
          <c:val>
            <c:numRef>
              <c:f>Hárok1!$D$17:$D$19</c:f>
              <c:numCache>
                <c:formatCode>#,##0</c:formatCode>
                <c:ptCount val="3"/>
                <c:pt idx="0">
                  <c:v>870895.1799999997</c:v>
                </c:pt>
                <c:pt idx="1">
                  <c:v>784419.17899999977</c:v>
                </c:pt>
                <c:pt idx="2">
                  <c:v>7369.8760000000002</c:v>
                </c:pt>
              </c:numCache>
            </c:numRef>
          </c:val>
          <c:extLst>
            <c:ext xmlns:c16="http://schemas.microsoft.com/office/drawing/2014/chart" uri="{C3380CC4-5D6E-409C-BE32-E72D297353CC}">
              <c16:uniqueId val="{00000006-3354-4154-9DE9-E8AB6039EBCB}"/>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058593855091382"/>
          <c:y val="0.2922633029508982"/>
          <c:w val="0.38091455916186401"/>
          <c:h val="0.41547274789256206"/>
        </c:manualLayout>
      </c:layout>
      <c:overlay val="0"/>
      <c:spPr>
        <a:noFill/>
        <a:ln>
          <a:noFill/>
        </a:ln>
        <a:effectLst/>
      </c:spPr>
      <c:txPr>
        <a:bodyPr rot="0" spcFirstLastPara="1" vertOverflow="ellipsis" vert="horz" wrap="square" anchor="ctr" anchorCtr="1"/>
        <a:lstStyle/>
        <a:p>
          <a:pPr>
            <a:defRPr lang="cs-CZ" sz="900" b="0" i="0" u="none" strike="noStrike" kern="1200" baseline="0">
              <a:solidFill>
                <a:schemeClr val="tx1">
                  <a:lumMod val="65000"/>
                  <a:lumOff val="35000"/>
                </a:schemeClr>
              </a:solidFill>
              <a:latin typeface="+mn-lt"/>
              <a:ea typeface="+mn-ea"/>
              <a:cs typeface="+mn-cs"/>
            </a:defRPr>
          </a:pPr>
          <a:endParaRPr lang="sk-SK"/>
        </a:p>
      </c:txPr>
    </c:legend>
    <c:plotVisOnly val="1"/>
    <c:dispBlanksAs val="zero"/>
    <c:showDLblsOverMax val="0"/>
  </c:chart>
  <c:spPr>
    <a:solidFill>
      <a:schemeClr val="bg1"/>
    </a:solidFill>
    <a:ln w="9525" cap="flat" cmpd="sng" algn="ctr">
      <a:noFill/>
      <a:round/>
    </a:ln>
    <a:effectLst/>
  </c:spPr>
  <c:txPr>
    <a:bodyPr/>
    <a:lstStyle/>
    <a:p>
      <a:pPr>
        <a:defRPr/>
      </a:pPr>
      <a:endParaRPr lang="sk-SK"/>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ofPieChart>
        <c:ofPieType val="pie"/>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5A1-47A7-8C4A-E458AC8673B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5A1-47A7-8C4A-E458AC8673B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5A1-47A7-8C4A-E458AC8673B3}"/>
              </c:ext>
            </c:extLst>
          </c:dPt>
          <c:dPt>
            <c:idx val="3"/>
            <c:bubble3D val="0"/>
            <c:spPr>
              <a:solidFill>
                <a:srgbClr val="FF0000"/>
              </a:solidFill>
              <a:ln w="19050">
                <a:solidFill>
                  <a:schemeClr val="lt1"/>
                </a:solidFill>
              </a:ln>
              <a:effectLst/>
            </c:spPr>
            <c:extLst>
              <c:ext xmlns:c16="http://schemas.microsoft.com/office/drawing/2014/chart" uri="{C3380CC4-5D6E-409C-BE32-E72D297353CC}">
                <c16:uniqueId val="{00000007-25A1-47A7-8C4A-E458AC8673B3}"/>
              </c:ext>
            </c:extLst>
          </c:dPt>
          <c:dPt>
            <c:idx val="4"/>
            <c:bubble3D val="0"/>
            <c:spPr>
              <a:solidFill>
                <a:srgbClr val="FFFF00"/>
              </a:solidFill>
              <a:ln w="19050">
                <a:solidFill>
                  <a:schemeClr val="lt1"/>
                </a:solidFill>
              </a:ln>
              <a:effectLst/>
            </c:spPr>
            <c:extLst>
              <c:ext xmlns:c16="http://schemas.microsoft.com/office/drawing/2014/chart" uri="{C3380CC4-5D6E-409C-BE32-E72D297353CC}">
                <c16:uniqueId val="{00000009-25A1-47A7-8C4A-E458AC8673B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5A1-47A7-8C4A-E458AC8673B3}"/>
              </c:ext>
            </c:extLst>
          </c:dPt>
          <c:dLbls>
            <c:dLbl>
              <c:idx val="0"/>
              <c:layout>
                <c:manualLayout>
                  <c:x val="2.2931466641289682E-3"/>
                  <c:y val="-0.282835470173558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A1-47A7-8C4A-E458AC8673B3}"/>
                </c:ext>
              </c:extLst>
            </c:dLbl>
            <c:dLbl>
              <c:idx val="1"/>
              <c:layout>
                <c:manualLayout>
                  <c:x val="2.7602799650043755E-3"/>
                  <c:y val="2.61176727909011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5A1-47A7-8C4A-E458AC8673B3}"/>
                </c:ext>
              </c:extLst>
            </c:dLbl>
            <c:dLbl>
              <c:idx val="2"/>
              <c:layout>
                <c:manualLayout>
                  <c:x val="-3.0333163671095076E-3"/>
                  <c:y val="0.277267592859793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5A1-47A7-8C4A-E458AC8673B3}"/>
                </c:ext>
              </c:extLst>
            </c:dLbl>
            <c:dLbl>
              <c:idx val="3"/>
              <c:layout>
                <c:manualLayout>
                  <c:x val="1.032920003527104E-2"/>
                  <c:y val="7.89071921801035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5A1-47A7-8C4A-E458AC8673B3}"/>
                </c:ext>
              </c:extLst>
            </c:dLbl>
            <c:dLbl>
              <c:idx val="4"/>
              <c:layout>
                <c:manualLayout>
                  <c:x val="0.10662424819693862"/>
                  <c:y val="-6.07732370322611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5A1-47A7-8C4A-E458AC8673B3}"/>
                </c:ext>
              </c:extLst>
            </c:dLbl>
            <c:dLbl>
              <c:idx val="5"/>
              <c:delete val="1"/>
              <c:extLst>
                <c:ext xmlns:c15="http://schemas.microsoft.com/office/drawing/2012/chart" uri="{CE6537A1-D6FC-4f65-9D91-7224C49458BB}"/>
                <c:ext xmlns:c16="http://schemas.microsoft.com/office/drawing/2014/chart" uri="{C3380CC4-5D6E-409C-BE32-E72D297353CC}">
                  <c16:uniqueId val="{0000000B-25A1-47A7-8C4A-E458AC8673B3}"/>
                </c:ext>
              </c:extLst>
            </c:dLbl>
            <c:spPr>
              <a:noFill/>
              <a:ln>
                <a:noFill/>
              </a:ln>
              <a:effectLst/>
            </c:spPr>
            <c:txPr>
              <a:bodyPr rot="0" spcFirstLastPara="1" vertOverflow="ellipsis" vert="horz" wrap="square" lIns="38100" tIns="19050" rIns="38100" bIns="19050" anchor="ctr" anchorCtr="1">
                <a:spAutoFit/>
              </a:bodyPr>
              <a:lstStyle/>
              <a:p>
                <a:pPr>
                  <a:defRPr lang="cs-CZ"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'MV SR'!$B$34:$B$38</c:f>
              <c:strCache>
                <c:ptCount val="5"/>
                <c:pt idx="0">
                  <c:v>Efektívna a spoľahlivá štátna správa</c:v>
                </c:pt>
                <c:pt idx="1">
                  <c:v>Informačné technológie</c:v>
                </c:pt>
                <c:pt idx="2">
                  <c:v>Výchova a vzdelávanie</c:v>
                </c:pt>
                <c:pt idx="3">
                  <c:v>Medzirezortné programy</c:v>
                </c:pt>
                <c:pt idx="4">
                  <c:v> 3. programové obdobie</c:v>
                </c:pt>
              </c:strCache>
            </c:strRef>
          </c:cat>
          <c:val>
            <c:numRef>
              <c:f>'MV SR'!$C$34:$C$38</c:f>
              <c:numCache>
                <c:formatCode>#,##0</c:formatCode>
                <c:ptCount val="5"/>
                <c:pt idx="0">
                  <c:v>1213815.8690000004</c:v>
                </c:pt>
                <c:pt idx="1">
                  <c:v>43983.506000000001</c:v>
                </c:pt>
                <c:pt idx="2">
                  <c:v>1179180.5960000001</c:v>
                </c:pt>
                <c:pt idx="3">
                  <c:v>346.065</c:v>
                </c:pt>
                <c:pt idx="4">
                  <c:v>25063.366000000005</c:v>
                </c:pt>
              </c:numCache>
            </c:numRef>
          </c:val>
          <c:extLst>
            <c:ext xmlns:c16="http://schemas.microsoft.com/office/drawing/2014/chart" uri="{C3380CC4-5D6E-409C-BE32-E72D297353CC}">
              <c16:uniqueId val="{0000000C-25A1-47A7-8C4A-E458AC8673B3}"/>
            </c:ext>
          </c:extLst>
        </c:ser>
        <c:dLbls>
          <c:showLegendKey val="0"/>
          <c:showVal val="0"/>
          <c:showCatName val="0"/>
          <c:showSerName val="0"/>
          <c:showPercent val="0"/>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legend>
      <c:legendPos val="r"/>
      <c:overlay val="0"/>
      <c:spPr>
        <a:noFill/>
        <a:ln>
          <a:noFill/>
        </a:ln>
        <a:effectLst/>
      </c:spPr>
      <c:txPr>
        <a:bodyPr rot="0" spcFirstLastPara="1" vertOverflow="ellipsis" vert="horz" wrap="square" anchor="ctr" anchorCtr="1"/>
        <a:lstStyle/>
        <a:p>
          <a:pPr>
            <a:defRPr lang="cs-CZ" sz="900" b="0" i="0" u="none" strike="noStrike" kern="1200" baseline="0">
              <a:solidFill>
                <a:schemeClr val="tx1">
                  <a:lumMod val="65000"/>
                  <a:lumOff val="35000"/>
                </a:schemeClr>
              </a:solidFill>
              <a:latin typeface="+mn-lt"/>
              <a:ea typeface="+mn-ea"/>
              <a:cs typeface="+mn-cs"/>
            </a:defRPr>
          </a:pPr>
          <a:endParaRPr lang="sk-SK"/>
        </a:p>
      </c:txPr>
    </c:legend>
    <c:plotVisOnly val="1"/>
    <c:dispBlanksAs val="zero"/>
    <c:showDLblsOverMax val="0"/>
  </c:chart>
  <c:spPr>
    <a:solidFill>
      <a:schemeClr val="bg1"/>
    </a:solidFill>
    <a:ln w="9525" cap="flat" cmpd="sng" algn="ctr">
      <a:noFill/>
      <a:round/>
    </a:ln>
    <a:effectLst/>
  </c:spPr>
  <c:txPr>
    <a:bodyPr/>
    <a:lstStyle/>
    <a:p>
      <a:pPr>
        <a:defRPr/>
      </a:pPr>
      <a:endParaRPr lang="sk-S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YES">
    <a:dk1>
      <a:sysClr val="windowText" lastClr="000000"/>
    </a:dk1>
    <a:lt1>
      <a:sysClr val="window" lastClr="FFFFFF"/>
    </a:lt1>
    <a:dk2>
      <a:srgbClr val="44546A"/>
    </a:dk2>
    <a:lt2>
      <a:srgbClr val="E7E6E6"/>
    </a:lt2>
    <a:accent1>
      <a:srgbClr val="5BFB35"/>
    </a:accent1>
    <a:accent2>
      <a:srgbClr val="FCF917"/>
    </a:accent2>
    <a:accent3>
      <a:srgbClr val="A5A5A5"/>
    </a:accent3>
    <a:accent4>
      <a:srgbClr val="FFC000"/>
    </a:accent4>
    <a:accent5>
      <a:srgbClr val="4472C4"/>
    </a:accent5>
    <a:accent6>
      <a:srgbClr val="70AD47"/>
    </a:accent6>
    <a:hlink>
      <a:srgbClr val="0563C1"/>
    </a:hlink>
    <a:folHlink>
      <a:srgbClr val="954F72"/>
    </a:folHlink>
  </a:clrScheme>
  <a:fontScheme name="Arial Narrow">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033FA-EE03-4FC4-A745-03774C9C6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28793</Words>
  <Characters>164124</Characters>
  <Application>Microsoft Office Word</Application>
  <DocSecurity>0</DocSecurity>
  <Lines>1367</Lines>
  <Paragraphs>385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192532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Gaspar Igor</dc:creator>
  <cp:lastModifiedBy>Gaspar Igor</cp:lastModifiedBy>
  <cp:revision>11</cp:revision>
  <cp:lastPrinted>2018-11-07T06:10:00Z</cp:lastPrinted>
  <dcterms:created xsi:type="dcterms:W3CDTF">2018-11-09T05:15:00Z</dcterms:created>
  <dcterms:modified xsi:type="dcterms:W3CDTF">2018-11-09T07:33:00Z</dcterms:modified>
</cp:coreProperties>
</file>