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B4B" w:rsidRPr="009B3BA6" w:rsidRDefault="00EF4B4B" w:rsidP="0075484E">
      <w:pPr>
        <w:pStyle w:val="Nadpis1"/>
        <w:spacing w:line="276" w:lineRule="auto"/>
        <w:contextualSpacing/>
        <w:rPr>
          <w:szCs w:val="24"/>
          <w:lang w:eastAsia="x-none"/>
        </w:rPr>
      </w:pPr>
      <w:bookmarkStart w:id="0" w:name="_GoBack"/>
      <w:bookmarkEnd w:id="0"/>
      <w:r w:rsidRPr="00F76323">
        <w:rPr>
          <w:szCs w:val="24"/>
        </w:rPr>
        <w:t>D</w:t>
      </w:r>
      <w:r w:rsidR="009B3BA6">
        <w:rPr>
          <w:szCs w:val="24"/>
          <w:lang w:eastAsia="x-none"/>
        </w:rPr>
        <w:t>ôvodová správa</w:t>
      </w:r>
    </w:p>
    <w:p w:rsidR="00D73C47" w:rsidRPr="00F76323" w:rsidRDefault="00D73C47" w:rsidP="00C56EEC">
      <w:pPr>
        <w:pStyle w:val="Nadpis3"/>
        <w:spacing w:line="276" w:lineRule="auto"/>
        <w:contextualSpacing/>
        <w:rPr>
          <w:szCs w:val="24"/>
        </w:rPr>
      </w:pPr>
      <w:r w:rsidRPr="00F76323">
        <w:rPr>
          <w:szCs w:val="24"/>
        </w:rPr>
        <w:t>Všeobecná časť</w:t>
      </w:r>
    </w:p>
    <w:p w:rsidR="00BF4A24" w:rsidRPr="00232360" w:rsidRDefault="00527E17" w:rsidP="003E2019">
      <w:pPr>
        <w:pStyle w:val="Normlnywebov"/>
        <w:ind w:firstLine="720"/>
        <w:contextualSpacing/>
      </w:pPr>
      <w:r w:rsidRPr="00F76323">
        <w:t xml:space="preserve">Návrh zákona </w:t>
      </w:r>
      <w:r w:rsidR="00F0226A" w:rsidRPr="00F0226A">
        <w:rPr>
          <w:bCs/>
        </w:rPr>
        <w:t>o</w:t>
      </w:r>
      <w:r w:rsidR="00E50ADF">
        <w:rPr>
          <w:bCs/>
        </w:rPr>
        <w:t> neprimeraných podmienkach</w:t>
      </w:r>
      <w:r w:rsidR="00F0226A" w:rsidRPr="00F0226A">
        <w:rPr>
          <w:bCs/>
        </w:rPr>
        <w:t xml:space="preserve"> v obchode s potravinami </w:t>
      </w:r>
      <w:r w:rsidR="00E50ADF">
        <w:rPr>
          <w:bCs/>
        </w:rPr>
        <w:br/>
      </w:r>
      <w:r w:rsidR="00F76323" w:rsidRPr="00F76323">
        <w:t xml:space="preserve">(ďalej len </w:t>
      </w:r>
      <w:r w:rsidR="00F76323" w:rsidRPr="00232360">
        <w:t>„návrh zákona“)</w:t>
      </w:r>
      <w:r w:rsidR="00975C90" w:rsidRPr="00F76323">
        <w:rPr>
          <w:rStyle w:val="Zstupntext"/>
          <w:color w:val="auto"/>
        </w:rPr>
        <w:t xml:space="preserve"> </w:t>
      </w:r>
      <w:r w:rsidR="007342EE" w:rsidRPr="00F76323">
        <w:rPr>
          <w:rStyle w:val="Zstupntext"/>
          <w:color w:val="auto"/>
        </w:rPr>
        <w:t>vyp</w:t>
      </w:r>
      <w:r w:rsidR="00985FC4" w:rsidRPr="00F76323">
        <w:rPr>
          <w:rStyle w:val="Zstupntext"/>
          <w:color w:val="auto"/>
        </w:rPr>
        <w:t>racovalo Ministerstvo pôdo</w:t>
      </w:r>
      <w:r w:rsidR="00EB06D6" w:rsidRPr="00F76323">
        <w:rPr>
          <w:rStyle w:val="Zstupntext"/>
          <w:color w:val="auto"/>
        </w:rPr>
        <w:t>h</w:t>
      </w:r>
      <w:r w:rsidR="00985FC4" w:rsidRPr="00F76323">
        <w:rPr>
          <w:rStyle w:val="Zstupntext"/>
          <w:color w:val="auto"/>
        </w:rPr>
        <w:t>o</w:t>
      </w:r>
      <w:r w:rsidR="00EB06D6" w:rsidRPr="00F76323">
        <w:rPr>
          <w:rStyle w:val="Zstupntext"/>
          <w:color w:val="auto"/>
        </w:rPr>
        <w:t>spo</w:t>
      </w:r>
      <w:r w:rsidR="00985FC4" w:rsidRPr="00F76323">
        <w:rPr>
          <w:rStyle w:val="Zstupntext"/>
          <w:color w:val="auto"/>
        </w:rPr>
        <w:t>dárstva a rozvoja vidieka Slovenskej republiky</w:t>
      </w:r>
      <w:r w:rsidR="00F379DD" w:rsidRPr="00F76323">
        <w:rPr>
          <w:rStyle w:val="Zstupntext"/>
          <w:color w:val="auto"/>
        </w:rPr>
        <w:t xml:space="preserve"> (ďalej len </w:t>
      </w:r>
      <w:r w:rsidR="00F379DD" w:rsidRPr="00232360">
        <w:rPr>
          <w:rStyle w:val="Zstupntext"/>
          <w:color w:val="auto"/>
        </w:rPr>
        <w:t>„ministerstvo</w:t>
      </w:r>
      <w:r w:rsidR="00F76323" w:rsidRPr="00232360">
        <w:rPr>
          <w:rStyle w:val="Zstupntext"/>
          <w:color w:val="auto"/>
        </w:rPr>
        <w:t xml:space="preserve"> pôdohospodárstva</w:t>
      </w:r>
      <w:r w:rsidR="00F379DD" w:rsidRPr="00232360">
        <w:rPr>
          <w:rStyle w:val="Zstupntext"/>
          <w:color w:val="auto"/>
        </w:rPr>
        <w:t>“)</w:t>
      </w:r>
      <w:r w:rsidR="006B6AD8" w:rsidRPr="00F76323">
        <w:rPr>
          <w:rStyle w:val="Zstupntext"/>
          <w:color w:val="auto"/>
        </w:rPr>
        <w:t xml:space="preserve"> na základe úlohy </w:t>
      </w:r>
      <w:r w:rsidR="00E50ADF">
        <w:rPr>
          <w:rStyle w:val="Zstupntext"/>
          <w:color w:val="auto"/>
        </w:rPr>
        <w:br/>
      </w:r>
      <w:r w:rsidR="006B6AD8" w:rsidRPr="00F76323">
        <w:rPr>
          <w:rStyle w:val="Zstupntext"/>
          <w:color w:val="auto"/>
        </w:rPr>
        <w:t>p. č. 9 Plánu legislatívnych úloh vlády S</w:t>
      </w:r>
      <w:r w:rsidR="00C56EEC">
        <w:rPr>
          <w:rStyle w:val="Zstupntext"/>
          <w:color w:val="auto"/>
        </w:rPr>
        <w:t>lovenskej republiky</w:t>
      </w:r>
      <w:r w:rsidR="006B6AD8" w:rsidRPr="00F76323">
        <w:rPr>
          <w:rStyle w:val="Zstupntext"/>
          <w:color w:val="auto"/>
        </w:rPr>
        <w:t xml:space="preserve"> na rok 2017</w:t>
      </w:r>
      <w:r w:rsidR="00E86804" w:rsidRPr="00F76323">
        <w:rPr>
          <w:rStyle w:val="Zstupntext"/>
          <w:color w:val="auto"/>
        </w:rPr>
        <w:t>.</w:t>
      </w:r>
      <w:r w:rsidR="00975C90" w:rsidRPr="00F76323">
        <w:rPr>
          <w:rStyle w:val="Zstupntext"/>
          <w:color w:val="auto"/>
        </w:rPr>
        <w:t xml:space="preserve"> </w:t>
      </w:r>
      <w:r w:rsidR="00DC2D9D" w:rsidRPr="00F76323">
        <w:rPr>
          <w:rStyle w:val="Zstupntext"/>
          <w:color w:val="auto"/>
        </w:rPr>
        <w:t xml:space="preserve">Vzhľadom </w:t>
      </w:r>
      <w:r w:rsidR="00E50ADF">
        <w:rPr>
          <w:rStyle w:val="Zstupntext"/>
          <w:color w:val="auto"/>
        </w:rPr>
        <w:br/>
      </w:r>
      <w:r w:rsidR="00DC2D9D" w:rsidRPr="00F76323">
        <w:rPr>
          <w:rStyle w:val="Zstupntext"/>
          <w:color w:val="auto"/>
        </w:rPr>
        <w:t xml:space="preserve">na potrebu rozsiahleho </w:t>
      </w:r>
      <w:r w:rsidR="00C56EEC">
        <w:rPr>
          <w:rStyle w:val="Zstupntext"/>
          <w:color w:val="auto"/>
        </w:rPr>
        <w:t>prepracovania v súčasnosti platn</w:t>
      </w:r>
      <w:r w:rsidR="00DC2D9D" w:rsidRPr="00F76323">
        <w:rPr>
          <w:rStyle w:val="Zstupntext"/>
          <w:color w:val="auto"/>
        </w:rPr>
        <w:t>ého a účinného zákona ministerstvo</w:t>
      </w:r>
      <w:r w:rsidR="00F76323" w:rsidRPr="00F76323">
        <w:rPr>
          <w:rStyle w:val="Zstupntext"/>
          <w:color w:val="auto"/>
        </w:rPr>
        <w:t xml:space="preserve"> pôdohospodárstva</w:t>
      </w:r>
      <w:r w:rsidR="00DC2D9D" w:rsidRPr="00F76323">
        <w:rPr>
          <w:rStyle w:val="Zstupntext"/>
          <w:color w:val="auto"/>
        </w:rPr>
        <w:t xml:space="preserve"> vypracovalo návrh zákona, ktorý v celom rozsahu zruší a nahradí zákon </w:t>
      </w:r>
      <w:r w:rsidR="00004288">
        <w:rPr>
          <w:rStyle w:val="Zstupntext"/>
          <w:color w:val="auto"/>
        </w:rPr>
        <w:br/>
      </w:r>
      <w:r w:rsidR="00DC2D9D" w:rsidRPr="00F76323">
        <w:rPr>
          <w:rStyle w:val="Zstupntext"/>
          <w:color w:val="auto"/>
        </w:rPr>
        <w:t>č. 362/2012 Z. z. o neprimeraných podmienkach v obchodných vzťahoch</w:t>
      </w:r>
      <w:r w:rsidRPr="00F76323">
        <w:t>, ktorých predmetom sú potraviny</w:t>
      </w:r>
      <w:r w:rsidR="00C37928">
        <w:t xml:space="preserve"> (ďalej len </w:t>
      </w:r>
      <w:r w:rsidR="00C37928" w:rsidRPr="00232360">
        <w:t>„zákon č. 362/201</w:t>
      </w:r>
      <w:r w:rsidR="00343596" w:rsidRPr="00232360">
        <w:t>2</w:t>
      </w:r>
      <w:r w:rsidR="00C37928" w:rsidRPr="00232360">
        <w:t xml:space="preserve"> Z. z.“)</w:t>
      </w:r>
      <w:r w:rsidRPr="00232360">
        <w:t>.</w:t>
      </w:r>
      <w:r w:rsidR="008C2BED" w:rsidRPr="00232360">
        <w:t xml:space="preserve"> Úloha predložiť návrh zákona </w:t>
      </w:r>
      <w:r w:rsidR="00004288">
        <w:br/>
      </w:r>
      <w:r w:rsidR="008C2BED" w:rsidRPr="00232360">
        <w:t>má predĺžený termín splnenia.</w:t>
      </w:r>
    </w:p>
    <w:p w:rsidR="00BF4A24" w:rsidRDefault="00222BB2" w:rsidP="00BF4A24">
      <w:pPr>
        <w:pStyle w:val="Normlnywebov"/>
        <w:ind w:firstLine="720"/>
        <w:contextualSpacing/>
      </w:pPr>
      <w:r w:rsidRPr="00232360">
        <w:rPr>
          <w:rStyle w:val="Zstupntext"/>
          <w:color w:val="auto"/>
        </w:rPr>
        <w:t>Zákon č. 362/2012 Z.</w:t>
      </w:r>
      <w:r w:rsidR="00A1383F" w:rsidRPr="00232360">
        <w:rPr>
          <w:rStyle w:val="Zstupntext"/>
          <w:color w:val="auto"/>
        </w:rPr>
        <w:t xml:space="preserve"> </w:t>
      </w:r>
      <w:r w:rsidRPr="00232360">
        <w:rPr>
          <w:rStyle w:val="Zstupntext"/>
          <w:color w:val="auto"/>
        </w:rPr>
        <w:t xml:space="preserve">z. </w:t>
      </w:r>
      <w:r w:rsidR="00343596" w:rsidRPr="00232360">
        <w:rPr>
          <w:rStyle w:val="Zstupntext"/>
          <w:color w:val="auto"/>
        </w:rPr>
        <w:t>n</w:t>
      </w:r>
      <w:r w:rsidRPr="00232360">
        <w:rPr>
          <w:rStyle w:val="Zstupntext"/>
          <w:color w:val="auto"/>
        </w:rPr>
        <w:t>adobudol účinnosť dňa 1.</w:t>
      </w:r>
      <w:r w:rsidR="00C56EEC" w:rsidRPr="00232360">
        <w:rPr>
          <w:rStyle w:val="Zstupntext"/>
          <w:color w:val="auto"/>
        </w:rPr>
        <w:t xml:space="preserve"> januára </w:t>
      </w:r>
      <w:r w:rsidRPr="00232360">
        <w:rPr>
          <w:rStyle w:val="Zstupntext"/>
          <w:color w:val="auto"/>
        </w:rPr>
        <w:t xml:space="preserve">2013. </w:t>
      </w:r>
      <w:r w:rsidR="005F471D" w:rsidRPr="00232360">
        <w:t>Skúsenosti z aplikačnej praxe</w:t>
      </w:r>
      <w:r w:rsidR="004E464C" w:rsidRPr="00232360">
        <w:t xml:space="preserve"> </w:t>
      </w:r>
      <w:r w:rsidR="005F471D" w:rsidRPr="00232360">
        <w:t>a</w:t>
      </w:r>
      <w:r w:rsidR="00E259BA" w:rsidRPr="00232360">
        <w:t> </w:t>
      </w:r>
      <w:r w:rsidR="005F471D" w:rsidRPr="00232360">
        <w:t xml:space="preserve">poznatky z výkonu kontrol </w:t>
      </w:r>
      <w:r w:rsidR="005F471D" w:rsidRPr="00232360">
        <w:rPr>
          <w:rStyle w:val="Zstupntext"/>
          <w:color w:val="auto"/>
        </w:rPr>
        <w:t xml:space="preserve">od nadobudnutia účinnosti </w:t>
      </w:r>
      <w:r w:rsidR="005F471D" w:rsidRPr="00232360">
        <w:t xml:space="preserve">zákona </w:t>
      </w:r>
      <w:r w:rsidR="00004288">
        <w:br/>
      </w:r>
      <w:r w:rsidR="005F471D" w:rsidRPr="00232360">
        <w:t>č. 362/2012 Z. z.</w:t>
      </w:r>
      <w:r w:rsidR="00F76323" w:rsidRPr="00232360">
        <w:t xml:space="preserve"> </w:t>
      </w:r>
      <w:r w:rsidR="005F471D" w:rsidRPr="00232360">
        <w:t>preukázali</w:t>
      </w:r>
      <w:r w:rsidR="004E464C" w:rsidRPr="00232360">
        <w:t xml:space="preserve"> potr</w:t>
      </w:r>
      <w:r w:rsidR="00C56EEC" w:rsidRPr="00232360">
        <w:t>ebu úpravy v oblasti vymedzenia neprimeraných podmienok v obchodných vzťahoch, ktorých predmetom sú potraviny (ďalej len „neprimeraná podmienka“), a v</w:t>
      </w:r>
      <w:r w:rsidR="0075484E" w:rsidRPr="00232360">
        <w:t> </w:t>
      </w:r>
      <w:r w:rsidR="00C56EEC" w:rsidRPr="00232360">
        <w:t>oblasti</w:t>
      </w:r>
      <w:r w:rsidR="0075484E" w:rsidRPr="00232360">
        <w:t xml:space="preserve"> procesu</w:t>
      </w:r>
      <w:r w:rsidR="00C56EEC" w:rsidRPr="00232360">
        <w:t xml:space="preserve"> kontrol</w:t>
      </w:r>
      <w:r w:rsidR="0075484E" w:rsidRPr="00232360">
        <w:t>y</w:t>
      </w:r>
      <w:r w:rsidR="00AB5647" w:rsidRPr="00232360">
        <w:t xml:space="preserve"> dodržiavania</w:t>
      </w:r>
      <w:r w:rsidR="00785040" w:rsidRPr="00232360">
        <w:t xml:space="preserve"> zákazu neprimeraných podmienok</w:t>
      </w:r>
      <w:r w:rsidR="00C56EEC" w:rsidRPr="00232360">
        <w:t>.</w:t>
      </w:r>
    </w:p>
    <w:p w:rsidR="00BF4A24" w:rsidRDefault="004E464C" w:rsidP="009B3BA6">
      <w:pPr>
        <w:pStyle w:val="Normlnywebov"/>
        <w:ind w:firstLine="720"/>
        <w:contextualSpacing/>
      </w:pPr>
      <w:r w:rsidRPr="00F76323">
        <w:t>V</w:t>
      </w:r>
      <w:r w:rsidR="008E7560" w:rsidRPr="00F76323">
        <w:t xml:space="preserve"> obchodných vzťahoch, ktorých predmetom sú potraviny sa</w:t>
      </w:r>
      <w:r w:rsidRPr="00F76323">
        <w:t xml:space="preserve"> od účinnosti zákona</w:t>
      </w:r>
      <w:r w:rsidR="00C56EEC">
        <w:t xml:space="preserve"> </w:t>
      </w:r>
      <w:r w:rsidR="00004288">
        <w:br/>
      </w:r>
      <w:r w:rsidR="00C56EEC">
        <w:t>č. 362/2012 Z. z.</w:t>
      </w:r>
      <w:r w:rsidR="005F471D" w:rsidRPr="00F76323">
        <w:t> začali používať nov</w:t>
      </w:r>
      <w:r w:rsidR="00F76323" w:rsidRPr="00F76323">
        <w:t>é formy neprimeraných podmienok,</w:t>
      </w:r>
      <w:r w:rsidR="005F471D" w:rsidRPr="00F76323">
        <w:t xml:space="preserve"> resp. neprimerané podmienky</w:t>
      </w:r>
      <w:r w:rsidR="008E7560" w:rsidRPr="00F76323">
        <w:t xml:space="preserve"> taxatívne uvedené </w:t>
      </w:r>
      <w:r w:rsidR="005F471D" w:rsidRPr="00F76323">
        <w:t>v zákon</w:t>
      </w:r>
      <w:r w:rsidR="008E7560" w:rsidRPr="00F76323">
        <w:t>e</w:t>
      </w:r>
      <w:r w:rsidR="006E08AF" w:rsidRPr="00F76323">
        <w:t xml:space="preserve"> </w:t>
      </w:r>
      <w:r w:rsidR="005F471D" w:rsidRPr="00F76323">
        <w:t>č. 362/2012 Z. z.</w:t>
      </w:r>
      <w:r w:rsidR="00F76323" w:rsidRPr="00F76323">
        <w:t xml:space="preserve"> </w:t>
      </w:r>
      <w:r w:rsidR="008E7560" w:rsidRPr="00F76323">
        <w:t>s</w:t>
      </w:r>
      <w:r w:rsidR="00C56EEC">
        <w:t>ú</w:t>
      </w:r>
      <w:r w:rsidR="008E7560" w:rsidRPr="00F76323">
        <w:t xml:space="preserve"> </w:t>
      </w:r>
      <w:r w:rsidR="005F471D" w:rsidRPr="00F76323">
        <w:t>obchádza</w:t>
      </w:r>
      <w:r w:rsidR="00C56EEC">
        <w:t>né</w:t>
      </w:r>
      <w:r w:rsidR="005F471D" w:rsidRPr="00F76323">
        <w:t xml:space="preserve"> na základe odlišných právnych interpretácií ich znenia.</w:t>
      </w:r>
      <w:r w:rsidR="00E62177" w:rsidRPr="00F76323">
        <w:t xml:space="preserve"> </w:t>
      </w:r>
      <w:r w:rsidRPr="00F76323">
        <w:t>Vzhľadom na uvedené možno konštatovať, že</w:t>
      </w:r>
      <w:r w:rsidR="00BC0D33">
        <w:t xml:space="preserve"> doterajší</w:t>
      </w:r>
      <w:r w:rsidR="00E62177" w:rsidRPr="00F76323">
        <w:t xml:space="preserve"> výpočet neprimeraných podmienok je pre naplnenie účelu zákona nedostatočný</w:t>
      </w:r>
      <w:r w:rsidRPr="00F76323">
        <w:t>.</w:t>
      </w:r>
      <w:r w:rsidR="00FD6FD7" w:rsidRPr="00F76323">
        <w:t xml:space="preserve"> </w:t>
      </w:r>
      <w:r w:rsidR="00026A00" w:rsidRPr="00F76323">
        <w:t>Návrh zákona</w:t>
      </w:r>
      <w:r w:rsidR="00026A00">
        <w:t xml:space="preserve"> preto</w:t>
      </w:r>
      <w:r w:rsidR="00026A00" w:rsidRPr="00F76323">
        <w:t xml:space="preserve"> precizuje znenie doterajších neprimeraných podmienok, zavádza nové špecifické neprimerané podmienky a zároveň </w:t>
      </w:r>
      <w:r w:rsidR="00026A00">
        <w:t>ustanovuje</w:t>
      </w:r>
      <w:r w:rsidR="00026A00" w:rsidRPr="00F76323">
        <w:t xml:space="preserve"> generálnu klauzulu neprimeranej podmienky, porušenie ktorej bude sankcionovateľné.</w:t>
      </w:r>
    </w:p>
    <w:p w:rsidR="00BF4A24" w:rsidRDefault="00DA4A0B" w:rsidP="00BF4A24">
      <w:pPr>
        <w:pStyle w:val="Normlnywebov"/>
        <w:ind w:firstLine="720"/>
        <w:contextualSpacing/>
      </w:pPr>
      <w:r w:rsidRPr="00F76323">
        <w:t xml:space="preserve">Z aplikačnej praxe taktiež vyplynula potreba </w:t>
      </w:r>
      <w:r w:rsidR="00DC2D9D" w:rsidRPr="00F76323">
        <w:t>úpravy</w:t>
      </w:r>
      <w:r w:rsidR="00CB7757" w:rsidRPr="00F76323">
        <w:t xml:space="preserve"> </w:t>
      </w:r>
      <w:r w:rsidRPr="00F76323">
        <w:t>kontrolného procesu</w:t>
      </w:r>
      <w:r w:rsidR="00513C83" w:rsidRPr="00F76323">
        <w:t>,</w:t>
      </w:r>
      <w:r w:rsidR="00F76323" w:rsidRPr="00F76323">
        <w:t xml:space="preserve"> </w:t>
      </w:r>
      <w:r w:rsidR="00004288">
        <w:br/>
      </w:r>
      <w:r w:rsidR="00F76323" w:rsidRPr="00F76323">
        <w:t>a to</w:t>
      </w:r>
      <w:r w:rsidR="00513C83" w:rsidRPr="00F76323">
        <w:t xml:space="preserve"> </w:t>
      </w:r>
      <w:r w:rsidR="00FD6FD7" w:rsidRPr="00F76323">
        <w:t>s poukazom</w:t>
      </w:r>
      <w:r w:rsidR="00513C83" w:rsidRPr="00F76323">
        <w:t xml:space="preserve"> na špecifickosť vzťahov, ktoré sú podľa </w:t>
      </w:r>
      <w:r w:rsidR="00513C83" w:rsidRPr="00F76323">
        <w:rPr>
          <w:rStyle w:val="Zstupntext"/>
          <w:color w:val="auto"/>
        </w:rPr>
        <w:t>zákona č. 362/2012 Z. z</w:t>
      </w:r>
      <w:r w:rsidR="00F76323" w:rsidRPr="00F76323">
        <w:rPr>
          <w:rStyle w:val="Zstupntext"/>
          <w:color w:val="auto"/>
        </w:rPr>
        <w:t xml:space="preserve">. </w:t>
      </w:r>
      <w:r w:rsidR="00FD6FD7" w:rsidRPr="00F76323">
        <w:t>kontrolované</w:t>
      </w:r>
      <w:r w:rsidRPr="00F76323">
        <w:t xml:space="preserve">. </w:t>
      </w:r>
      <w:r w:rsidR="00F76323" w:rsidRPr="00F76323">
        <w:t>Ná</w:t>
      </w:r>
      <w:r w:rsidR="00E3549A" w:rsidRPr="00F76323">
        <w:t>vrh</w:t>
      </w:r>
      <w:r w:rsidR="00DC2D9D" w:rsidRPr="00F76323">
        <w:t xml:space="preserve"> zákon</w:t>
      </w:r>
      <w:r w:rsidR="00F76323" w:rsidRPr="00F76323">
        <w:t>a</w:t>
      </w:r>
      <w:r w:rsidRPr="00F76323">
        <w:t xml:space="preserve"> </w:t>
      </w:r>
      <w:r w:rsidR="00513C83" w:rsidRPr="00F76323">
        <w:t xml:space="preserve">už </w:t>
      </w:r>
      <w:r w:rsidR="00C92711">
        <w:t>nerecipuje</w:t>
      </w:r>
      <w:r w:rsidR="00513C83" w:rsidRPr="00F76323">
        <w:t xml:space="preserve"> kontrolný proces upravený v</w:t>
      </w:r>
      <w:r w:rsidR="00DC0625">
        <w:t> </w:t>
      </w:r>
      <w:r w:rsidR="00513C83" w:rsidRPr="00F76323">
        <w:t>zákone</w:t>
      </w:r>
      <w:r w:rsidR="00DC0625">
        <w:t xml:space="preserve"> Národnej rady Slovenskej republiky</w:t>
      </w:r>
      <w:r w:rsidR="00513C83" w:rsidRPr="00F76323">
        <w:t xml:space="preserve"> č. 10/1996 Z. z. o kontrole v štátnej správe</w:t>
      </w:r>
      <w:r w:rsidR="00F76323" w:rsidRPr="00F76323">
        <w:t xml:space="preserve"> v znení neskorších predpisov</w:t>
      </w:r>
      <w:r w:rsidR="00513C83" w:rsidRPr="00F76323">
        <w:t>, ktorý je primárne aplikovateľný pre výkon kontroly v štátnej správe, ale upravuje samostatný kontrolný proces. V rámci nového kontrolného procesu sa posilňuje postavenie kontrolórov ministerstva</w:t>
      </w:r>
      <w:r w:rsidR="00F76323" w:rsidRPr="00F76323">
        <w:t xml:space="preserve"> </w:t>
      </w:r>
      <w:r w:rsidR="00F76323" w:rsidRPr="00F76323">
        <w:rPr>
          <w:rStyle w:val="Zstupntext"/>
          <w:color w:val="auto"/>
        </w:rPr>
        <w:t>pôdohospodárstva</w:t>
      </w:r>
      <w:r w:rsidR="00647A68">
        <w:rPr>
          <w:rStyle w:val="Zstupntext"/>
          <w:color w:val="auto"/>
        </w:rPr>
        <w:t xml:space="preserve"> (ďalej len „kontrolór“)</w:t>
      </w:r>
      <w:r w:rsidR="00CB7757" w:rsidRPr="00F76323">
        <w:t>, zjednodušuje sa postup kontroly</w:t>
      </w:r>
      <w:r w:rsidR="00513C83" w:rsidRPr="00F76323">
        <w:t xml:space="preserve"> a zavádzajú sa </w:t>
      </w:r>
      <w:r w:rsidR="00E62177" w:rsidRPr="00F76323">
        <w:t xml:space="preserve">nové </w:t>
      </w:r>
      <w:r w:rsidR="00CB7757" w:rsidRPr="00F76323">
        <w:t>oprávnenia</w:t>
      </w:r>
      <w:r w:rsidR="00E62177" w:rsidRPr="00F76323">
        <w:t>, ktoré prispejú k zefektívneniu kontrol</w:t>
      </w:r>
      <w:r w:rsidR="00F76323" w:rsidRPr="00F76323">
        <w:t>,</w:t>
      </w:r>
      <w:r w:rsidR="00FD6FD7" w:rsidRPr="00F76323">
        <w:t xml:space="preserve"> </w:t>
      </w:r>
      <w:r w:rsidR="00BB4303">
        <w:br/>
      </w:r>
      <w:r w:rsidR="00E62177" w:rsidRPr="00F76323">
        <w:t>a tým k</w:t>
      </w:r>
      <w:r w:rsidR="00FD6FD7" w:rsidRPr="00F76323">
        <w:t> </w:t>
      </w:r>
      <w:r w:rsidR="00E3549A" w:rsidRPr="00F76323">
        <w:t xml:space="preserve">efektívnejšiemu </w:t>
      </w:r>
      <w:r w:rsidR="00E62177" w:rsidRPr="00F76323">
        <w:t>odhaľovaniu ne</w:t>
      </w:r>
      <w:r w:rsidR="00F76323" w:rsidRPr="00F76323">
        <w:t>primeraných podmienok</w:t>
      </w:r>
      <w:r w:rsidR="00E62177" w:rsidRPr="00F76323">
        <w:t>.</w:t>
      </w:r>
    </w:p>
    <w:p w:rsidR="00BF4A24" w:rsidRDefault="00CB7757" w:rsidP="00BF4A24">
      <w:pPr>
        <w:pStyle w:val="Normlnywebov"/>
        <w:ind w:firstLine="720"/>
        <w:contextualSpacing/>
      </w:pPr>
      <w:r w:rsidRPr="00F76323">
        <w:t xml:space="preserve">Doterajšia právna úprava </w:t>
      </w:r>
      <w:r w:rsidR="00A1383F" w:rsidRPr="00F76323">
        <w:t>vyžadovala od predkladateľov podnetov uvádzať v rámci podnetov svoje identifikačné údaje, čo v</w:t>
      </w:r>
      <w:r w:rsidR="003A61D5" w:rsidRPr="00F76323">
        <w:t> </w:t>
      </w:r>
      <w:r w:rsidR="00A1383F" w:rsidRPr="00F76323">
        <w:t>praxi</w:t>
      </w:r>
      <w:r w:rsidR="003A61D5" w:rsidRPr="00F76323">
        <w:t xml:space="preserve"> </w:t>
      </w:r>
      <w:r w:rsidR="00A1383F" w:rsidRPr="00F76323">
        <w:t xml:space="preserve">subjekty odrádzalo od ich predkladania. </w:t>
      </w:r>
      <w:r w:rsidR="00E3549A" w:rsidRPr="00F76323">
        <w:t>N</w:t>
      </w:r>
      <w:r w:rsidR="00F76323" w:rsidRPr="00F76323">
        <w:t>ávrh</w:t>
      </w:r>
      <w:r w:rsidR="00DC2D9D" w:rsidRPr="00F76323">
        <w:t xml:space="preserve"> zákon</w:t>
      </w:r>
      <w:r w:rsidR="00F76323" w:rsidRPr="00F76323">
        <w:t>a</w:t>
      </w:r>
      <w:r w:rsidR="00E3549A" w:rsidRPr="00F76323">
        <w:t xml:space="preserve"> preto</w:t>
      </w:r>
      <w:r w:rsidR="00A1383F" w:rsidRPr="00F76323">
        <w:t xml:space="preserve"> zavádza možnosť predkladať ministerstvu</w:t>
      </w:r>
      <w:r w:rsidR="00F76323" w:rsidRPr="00F76323">
        <w:t xml:space="preserve"> </w:t>
      </w:r>
      <w:r w:rsidR="00F76323" w:rsidRPr="00F76323">
        <w:rPr>
          <w:rStyle w:val="Zstupntext"/>
          <w:color w:val="auto"/>
        </w:rPr>
        <w:t>pôdohospodárstva</w:t>
      </w:r>
      <w:r w:rsidR="00A1383F" w:rsidRPr="00F76323">
        <w:t xml:space="preserve"> aj anonymné podnety upozorňujúce </w:t>
      </w:r>
      <w:r w:rsidR="003C50D2">
        <w:t>na výskyt neprimeraných podmienok</w:t>
      </w:r>
      <w:r w:rsidR="00FD24A4" w:rsidRPr="00F76323">
        <w:t>.</w:t>
      </w:r>
      <w:r w:rsidR="003A61D5" w:rsidRPr="00F76323">
        <w:t xml:space="preserve"> </w:t>
      </w:r>
    </w:p>
    <w:p w:rsidR="00211FA4" w:rsidRDefault="00E3549A" w:rsidP="00211FA4">
      <w:pPr>
        <w:pStyle w:val="Normlnywebov"/>
        <w:ind w:firstLine="720"/>
        <w:contextualSpacing/>
      </w:pPr>
      <w:r w:rsidRPr="00F76323">
        <w:t>Z dôvodu jednoznačnos</w:t>
      </w:r>
      <w:r w:rsidR="0063360D">
        <w:t>ti</w:t>
      </w:r>
      <w:r w:rsidRPr="00F76323">
        <w:t xml:space="preserve"> </w:t>
      </w:r>
      <w:r w:rsidR="00F76323" w:rsidRPr="00F76323">
        <w:t>návrh</w:t>
      </w:r>
      <w:r w:rsidRPr="00F76323">
        <w:t xml:space="preserve"> zákon</w:t>
      </w:r>
      <w:r w:rsidR="00F76323" w:rsidRPr="00F76323">
        <w:t>a</w:t>
      </w:r>
      <w:r w:rsidR="003A61D5" w:rsidRPr="00F76323">
        <w:t xml:space="preserve"> zároveň </w:t>
      </w:r>
      <w:r w:rsidRPr="00F76323">
        <w:t>špecifikuje, že</w:t>
      </w:r>
      <w:r w:rsidR="003A61D5" w:rsidRPr="00F76323">
        <w:t xml:space="preserve"> účastní</w:t>
      </w:r>
      <w:r w:rsidRPr="00F76323">
        <w:t>ci</w:t>
      </w:r>
      <w:r w:rsidR="003A61D5" w:rsidRPr="00F76323">
        <w:t xml:space="preserve"> obchodného vzťahu </w:t>
      </w:r>
      <w:r w:rsidRPr="00F76323">
        <w:t>sú povinní dodržiavať</w:t>
      </w:r>
      <w:r w:rsidR="003A61D5" w:rsidRPr="00F76323">
        <w:t xml:space="preserve"> ustanovenia zákona aj v</w:t>
      </w:r>
      <w:r w:rsidR="003C50D2">
        <w:t> </w:t>
      </w:r>
      <w:r w:rsidR="003A61D5" w:rsidRPr="00F76323">
        <w:t>prípade</w:t>
      </w:r>
      <w:r w:rsidR="003C50D2">
        <w:t>,</w:t>
      </w:r>
      <w:r w:rsidR="003A61D5" w:rsidRPr="00F76323">
        <w:t xml:space="preserve"> ak sa ich zmluvné vzťahy riadia iným právnym poriadkom ako právnym poriadkom Slovenskej republiky</w:t>
      </w:r>
      <w:r w:rsidRPr="00F76323">
        <w:t xml:space="preserve">, </w:t>
      </w:r>
      <w:r w:rsidR="00004288">
        <w:br/>
      </w:r>
      <w:r w:rsidRPr="00F76323">
        <w:t>ako aj v</w:t>
      </w:r>
      <w:r w:rsidR="00F76323" w:rsidRPr="00F76323">
        <w:t> </w:t>
      </w:r>
      <w:r w:rsidRPr="00F76323">
        <w:t>prípade</w:t>
      </w:r>
      <w:r w:rsidR="00F76323" w:rsidRPr="00F76323">
        <w:t>,</w:t>
      </w:r>
      <w:r w:rsidRPr="00F76323">
        <w:t xml:space="preserve"> ak konanie vyúsťujúce do neprimeranej podmienky bolo uskutočnené </w:t>
      </w:r>
      <w:r w:rsidR="00004288">
        <w:br/>
      </w:r>
      <w:r w:rsidRPr="00F76323">
        <w:t>v cudzine</w:t>
      </w:r>
      <w:r w:rsidR="003A61D5" w:rsidRPr="00F76323">
        <w:t>.</w:t>
      </w:r>
      <w:r w:rsidR="00757A88" w:rsidRPr="00F76323">
        <w:t xml:space="preserve"> Podmienkou uplatnenia zákona v citovaných prípadoch je účinok takéhoto konania na území Slovenskej republiky.</w:t>
      </w:r>
      <w:r w:rsidR="00211FA4">
        <w:t xml:space="preserve"> </w:t>
      </w:r>
    </w:p>
    <w:p w:rsidR="00A1383F" w:rsidRPr="00F76323" w:rsidRDefault="00A1383F" w:rsidP="00211FA4">
      <w:pPr>
        <w:pStyle w:val="Normlnywebov"/>
        <w:spacing w:before="0" w:beforeAutospacing="0" w:after="0" w:afterAutospacing="0"/>
        <w:ind w:firstLine="720"/>
      </w:pPr>
      <w:r w:rsidRPr="00F76323">
        <w:t>Vzhľadom na uvedené možno konštatovať, že cieľo</w:t>
      </w:r>
      <w:r w:rsidR="00F76323" w:rsidRPr="00F76323">
        <w:t>m predloženého návrhu zákona je</w:t>
      </w:r>
      <w:r w:rsidRPr="00F76323">
        <w:t>:</w:t>
      </w:r>
    </w:p>
    <w:p w:rsidR="00A1383F" w:rsidRPr="00F76323" w:rsidRDefault="00A1383F" w:rsidP="00211FA4">
      <w:pPr>
        <w:pStyle w:val="odsek"/>
        <w:numPr>
          <w:ilvl w:val="0"/>
          <w:numId w:val="11"/>
        </w:numPr>
        <w:ind w:left="284" w:hanging="284"/>
      </w:pPr>
      <w:r w:rsidRPr="00F76323">
        <w:t>precizovanie aktuálnych ustanovení upravujúcich neprimerané podmienky,</w:t>
      </w:r>
    </w:p>
    <w:p w:rsidR="00FD24A4" w:rsidRDefault="00A1383F" w:rsidP="00C56EEC">
      <w:pPr>
        <w:pStyle w:val="odsek"/>
        <w:numPr>
          <w:ilvl w:val="0"/>
          <w:numId w:val="11"/>
        </w:numPr>
        <w:ind w:left="284" w:hanging="284"/>
        <w:contextualSpacing/>
        <w:rPr>
          <w:rStyle w:val="Zstupntext"/>
          <w:color w:val="auto"/>
        </w:rPr>
      </w:pPr>
      <w:r w:rsidRPr="00F76323">
        <w:t>zapracovanie nových ustanovení upravujúcich neprimerané podmienky na základe poznatkov z vývoja obchodných vzťahov medzi dodávateľmi</w:t>
      </w:r>
      <w:r w:rsidR="008B63D4">
        <w:t xml:space="preserve"> potravín</w:t>
      </w:r>
      <w:r w:rsidRPr="00F76323">
        <w:t xml:space="preserve"> a odberateľmi potravín a na základe skúseností </w:t>
      </w:r>
      <w:r w:rsidRPr="00F76323">
        <w:rPr>
          <w:rStyle w:val="Zstupntext"/>
          <w:color w:val="auto"/>
        </w:rPr>
        <w:t>z aplikačnej praxe,</w:t>
      </w:r>
    </w:p>
    <w:p w:rsidR="00026A00" w:rsidRPr="00026A00" w:rsidRDefault="00026A00" w:rsidP="00C56EEC">
      <w:pPr>
        <w:pStyle w:val="odsek"/>
        <w:numPr>
          <w:ilvl w:val="0"/>
          <w:numId w:val="11"/>
        </w:numPr>
        <w:ind w:left="284" w:hanging="284"/>
        <w:contextualSpacing/>
        <w:rPr>
          <w:rStyle w:val="Zstupntext"/>
          <w:color w:val="auto"/>
        </w:rPr>
      </w:pPr>
      <w:r w:rsidRPr="00026A00">
        <w:rPr>
          <w:rStyle w:val="Zstupntext"/>
          <w:color w:val="auto"/>
        </w:rPr>
        <w:lastRenderedPageBreak/>
        <w:t>zavedenie generálnej klauzuly neprimeranej podmienky, ktorej porušenie bude sankcionovateľné</w:t>
      </w:r>
      <w:r w:rsidR="00211FA4">
        <w:rPr>
          <w:rStyle w:val="Zstupntext"/>
          <w:color w:val="auto"/>
        </w:rPr>
        <w:t>,</w:t>
      </w:r>
    </w:p>
    <w:p w:rsidR="00A1383F" w:rsidRPr="00F76323" w:rsidRDefault="00FD24A4" w:rsidP="00C56EEC">
      <w:pPr>
        <w:pStyle w:val="odsek"/>
        <w:numPr>
          <w:ilvl w:val="0"/>
          <w:numId w:val="11"/>
        </w:numPr>
        <w:ind w:left="284" w:hanging="284"/>
        <w:contextualSpacing/>
        <w:rPr>
          <w:rStyle w:val="Zstupntext"/>
          <w:color w:val="auto"/>
        </w:rPr>
      </w:pPr>
      <w:r w:rsidRPr="00F76323">
        <w:t>posilnenie postavenia kontrolórov</w:t>
      </w:r>
      <w:r w:rsidR="00511A99">
        <w:t xml:space="preserve"> </w:t>
      </w:r>
      <w:r w:rsidRPr="00F76323">
        <w:t xml:space="preserve">a zefektívnenie kontroly </w:t>
      </w:r>
      <w:r w:rsidR="00A1383F" w:rsidRPr="00F76323">
        <w:t>zaveden</w:t>
      </w:r>
      <w:r w:rsidRPr="00F76323">
        <w:t>ím</w:t>
      </w:r>
      <w:r w:rsidR="00A1383F" w:rsidRPr="00F76323">
        <w:t xml:space="preserve"> samostatného kontrolného procesu</w:t>
      </w:r>
      <w:r w:rsidRPr="00F76323">
        <w:rPr>
          <w:rStyle w:val="Zstupntext"/>
          <w:color w:val="auto"/>
        </w:rPr>
        <w:t>,</w:t>
      </w:r>
    </w:p>
    <w:p w:rsidR="00FD24A4" w:rsidRPr="00F76323" w:rsidRDefault="00FD24A4" w:rsidP="00C56EEC">
      <w:pPr>
        <w:pStyle w:val="odsek"/>
        <w:numPr>
          <w:ilvl w:val="0"/>
          <w:numId w:val="11"/>
        </w:numPr>
        <w:ind w:left="284" w:hanging="284"/>
        <w:contextualSpacing/>
        <w:rPr>
          <w:rStyle w:val="Zstupntext"/>
          <w:color w:val="auto"/>
        </w:rPr>
      </w:pPr>
      <w:r w:rsidRPr="00F76323">
        <w:rPr>
          <w:rStyle w:val="Zstupntext"/>
          <w:color w:val="auto"/>
        </w:rPr>
        <w:t>umožnenie predklada</w:t>
      </w:r>
      <w:r w:rsidR="00BB4303">
        <w:rPr>
          <w:rStyle w:val="Zstupntext"/>
          <w:color w:val="auto"/>
        </w:rPr>
        <w:t>ť</w:t>
      </w:r>
      <w:r w:rsidRPr="00F76323">
        <w:rPr>
          <w:rStyle w:val="Zstupntext"/>
          <w:color w:val="auto"/>
        </w:rPr>
        <w:t xml:space="preserve"> anonymn</w:t>
      </w:r>
      <w:r w:rsidR="00BB4303">
        <w:rPr>
          <w:rStyle w:val="Zstupntext"/>
          <w:color w:val="auto"/>
        </w:rPr>
        <w:t>é</w:t>
      </w:r>
      <w:r w:rsidRPr="00F76323">
        <w:rPr>
          <w:rStyle w:val="Zstupntext"/>
          <w:color w:val="auto"/>
        </w:rPr>
        <w:t xml:space="preserve"> podnet</w:t>
      </w:r>
      <w:r w:rsidR="00BB4303">
        <w:rPr>
          <w:rStyle w:val="Zstupntext"/>
          <w:color w:val="auto"/>
        </w:rPr>
        <w:t>y</w:t>
      </w:r>
      <w:r w:rsidRPr="00F76323">
        <w:rPr>
          <w:rStyle w:val="Zstupntext"/>
          <w:color w:val="auto"/>
        </w:rPr>
        <w:t xml:space="preserve"> upozorňujúc</w:t>
      </w:r>
      <w:r w:rsidR="00BB4303">
        <w:rPr>
          <w:rStyle w:val="Zstupntext"/>
          <w:color w:val="auto"/>
        </w:rPr>
        <w:t>e</w:t>
      </w:r>
      <w:r w:rsidRPr="00F76323">
        <w:rPr>
          <w:rStyle w:val="Zstupntext"/>
          <w:color w:val="auto"/>
        </w:rPr>
        <w:t xml:space="preserve"> na možné porušenie zákona,</w:t>
      </w:r>
    </w:p>
    <w:p w:rsidR="00FD24A4" w:rsidRPr="00F76323" w:rsidRDefault="00FD24A4" w:rsidP="00C56EEC">
      <w:pPr>
        <w:pStyle w:val="odsek"/>
        <w:numPr>
          <w:ilvl w:val="0"/>
          <w:numId w:val="11"/>
        </w:numPr>
        <w:ind w:left="284" w:hanging="284"/>
        <w:contextualSpacing/>
        <w:rPr>
          <w:rStyle w:val="Zstupntext"/>
          <w:color w:val="auto"/>
        </w:rPr>
      </w:pPr>
      <w:r w:rsidRPr="00F76323">
        <w:rPr>
          <w:rStyle w:val="Zstupntext"/>
          <w:color w:val="auto"/>
        </w:rPr>
        <w:t>aplikácia ustanovení zákona aj v</w:t>
      </w:r>
      <w:r w:rsidR="00F76323">
        <w:rPr>
          <w:rStyle w:val="Zstupntext"/>
          <w:color w:val="auto"/>
        </w:rPr>
        <w:t> </w:t>
      </w:r>
      <w:r w:rsidRPr="00F76323">
        <w:rPr>
          <w:rStyle w:val="Zstupntext"/>
          <w:color w:val="auto"/>
        </w:rPr>
        <w:t>prípade</w:t>
      </w:r>
      <w:r w:rsidR="00F76323">
        <w:rPr>
          <w:rStyle w:val="Zstupntext"/>
          <w:color w:val="auto"/>
        </w:rPr>
        <w:t>,</w:t>
      </w:r>
      <w:r w:rsidRPr="00F76323">
        <w:rPr>
          <w:rStyle w:val="Zstupntext"/>
          <w:color w:val="auto"/>
        </w:rPr>
        <w:t xml:space="preserve"> ak sa zmluvné vzťahy účastníkov obchodného vzťahu spravujú iným právnym poriadkom ako právnym</w:t>
      </w:r>
      <w:r w:rsidR="00211FA4">
        <w:rPr>
          <w:rStyle w:val="Zstupntext"/>
          <w:color w:val="auto"/>
        </w:rPr>
        <w:t xml:space="preserve"> poriadkom Slovenskej republiky.</w:t>
      </w:r>
    </w:p>
    <w:p w:rsidR="00BF4A24" w:rsidRDefault="00610C53" w:rsidP="00211FA4">
      <w:pPr>
        <w:pStyle w:val="odsek"/>
        <w:spacing w:before="240"/>
      </w:pPr>
      <w:r>
        <w:rPr>
          <w:rStyle w:val="ppp-input-value1"/>
          <w:rFonts w:ascii="Times New Roman" w:hAnsi="Times New Roman"/>
          <w:color w:val="auto"/>
          <w:sz w:val="24"/>
        </w:rPr>
        <w:t>D</w:t>
      </w:r>
      <w:r w:rsidR="00953674">
        <w:rPr>
          <w:rStyle w:val="ppp-input-value1"/>
          <w:rFonts w:ascii="Times New Roman" w:hAnsi="Times New Roman"/>
          <w:color w:val="auto"/>
          <w:sz w:val="24"/>
        </w:rPr>
        <w:t>etailné</w:t>
      </w:r>
      <w:r w:rsidR="00F678F7" w:rsidRPr="00F76323">
        <w:rPr>
          <w:rStyle w:val="ppp-input-value1"/>
          <w:rFonts w:ascii="Times New Roman" w:hAnsi="Times New Roman"/>
          <w:color w:val="auto"/>
          <w:sz w:val="24"/>
        </w:rPr>
        <w:t> vymedzenie neprimeraných podmienok je potrebn</w:t>
      </w:r>
      <w:r>
        <w:rPr>
          <w:rStyle w:val="ppp-input-value1"/>
          <w:rFonts w:ascii="Times New Roman" w:hAnsi="Times New Roman"/>
          <w:color w:val="auto"/>
          <w:sz w:val="24"/>
        </w:rPr>
        <w:t>é</w:t>
      </w:r>
      <w:r w:rsidR="00F678F7" w:rsidRPr="00F76323">
        <w:rPr>
          <w:rStyle w:val="ppp-input-value1"/>
          <w:rFonts w:ascii="Times New Roman" w:hAnsi="Times New Roman"/>
          <w:color w:val="auto"/>
          <w:sz w:val="24"/>
        </w:rPr>
        <w:t xml:space="preserve"> z dôvodu ochrany </w:t>
      </w:r>
      <w:r w:rsidR="00816AF5">
        <w:rPr>
          <w:rStyle w:val="ppp-input-value1"/>
          <w:rFonts w:ascii="Times New Roman" w:hAnsi="Times New Roman"/>
          <w:color w:val="auto"/>
          <w:sz w:val="24"/>
        </w:rPr>
        <w:br/>
      </w:r>
      <w:r w:rsidR="00F678F7" w:rsidRPr="00F76323">
        <w:rPr>
          <w:rStyle w:val="ppp-input-value1"/>
          <w:rFonts w:ascii="Times New Roman" w:hAnsi="Times New Roman"/>
          <w:color w:val="auto"/>
          <w:sz w:val="24"/>
        </w:rPr>
        <w:t>tých účastníkov obchodných vzťahov, v neprospech ktorých sú neprimerané podmienky požadované, dohodnuté alebo uplatňované. Neprimerané podmienky sú dôsledkom z</w:t>
      </w:r>
      <w:r w:rsidR="00B46FF0" w:rsidRPr="00F76323">
        <w:rPr>
          <w:rStyle w:val="ppp-input-value1"/>
          <w:rFonts w:ascii="Times New Roman" w:hAnsi="Times New Roman"/>
          <w:color w:val="auto"/>
          <w:sz w:val="24"/>
        </w:rPr>
        <w:t>neužívani</w:t>
      </w:r>
      <w:r w:rsidR="00F678F7" w:rsidRPr="00F76323">
        <w:rPr>
          <w:rStyle w:val="ppp-input-value1"/>
          <w:rFonts w:ascii="Times New Roman" w:hAnsi="Times New Roman"/>
          <w:color w:val="auto"/>
          <w:sz w:val="24"/>
        </w:rPr>
        <w:t>a</w:t>
      </w:r>
      <w:r w:rsidR="00B46FF0" w:rsidRPr="00F76323">
        <w:rPr>
          <w:rStyle w:val="ppp-input-value1"/>
          <w:rFonts w:ascii="Times New Roman" w:hAnsi="Times New Roman"/>
          <w:color w:val="auto"/>
          <w:sz w:val="24"/>
        </w:rPr>
        <w:t xml:space="preserve"> ekonomickej sily</w:t>
      </w:r>
      <w:r w:rsidR="00F678F7" w:rsidRPr="00F76323">
        <w:rPr>
          <w:rStyle w:val="ppp-input-value1"/>
          <w:rFonts w:ascii="Times New Roman" w:hAnsi="Times New Roman"/>
          <w:color w:val="auto"/>
          <w:sz w:val="24"/>
        </w:rPr>
        <w:t xml:space="preserve"> jedného z účastníkov obchodného vzťahu. P</w:t>
      </w:r>
      <w:r w:rsidR="00B46FF0" w:rsidRPr="00F76323">
        <w:rPr>
          <w:rStyle w:val="ppp-input-value1"/>
          <w:rFonts w:ascii="Times New Roman" w:hAnsi="Times New Roman"/>
          <w:color w:val="auto"/>
          <w:sz w:val="24"/>
        </w:rPr>
        <w:t>rejavuj</w:t>
      </w:r>
      <w:r w:rsidR="00F678F7" w:rsidRPr="00F76323">
        <w:rPr>
          <w:rStyle w:val="ppp-input-value1"/>
          <w:rFonts w:ascii="Times New Roman" w:hAnsi="Times New Roman"/>
          <w:color w:val="auto"/>
          <w:sz w:val="24"/>
        </w:rPr>
        <w:t xml:space="preserve">ú </w:t>
      </w:r>
      <w:r w:rsidR="00816AF5">
        <w:rPr>
          <w:rStyle w:val="ppp-input-value1"/>
          <w:rFonts w:ascii="Times New Roman" w:hAnsi="Times New Roman"/>
          <w:color w:val="auto"/>
          <w:sz w:val="24"/>
        </w:rPr>
        <w:br/>
      </w:r>
      <w:r w:rsidR="00F678F7" w:rsidRPr="00F76323">
        <w:rPr>
          <w:rStyle w:val="ppp-input-value1"/>
          <w:rFonts w:ascii="Times New Roman" w:hAnsi="Times New Roman"/>
          <w:color w:val="auto"/>
          <w:sz w:val="24"/>
        </w:rPr>
        <w:t xml:space="preserve">sa </w:t>
      </w:r>
      <w:r w:rsidR="000E74B0" w:rsidRPr="00F76323">
        <w:rPr>
          <w:rStyle w:val="ppp-input-value1"/>
          <w:rFonts w:ascii="Times New Roman" w:hAnsi="Times New Roman"/>
          <w:color w:val="auto"/>
          <w:sz w:val="24"/>
        </w:rPr>
        <w:t>vyžadovaním</w:t>
      </w:r>
      <w:r w:rsidR="00140201" w:rsidRPr="00F76323">
        <w:rPr>
          <w:rStyle w:val="ppp-input-value1"/>
          <w:rFonts w:ascii="Times New Roman" w:hAnsi="Times New Roman"/>
          <w:color w:val="auto"/>
          <w:sz w:val="24"/>
        </w:rPr>
        <w:t>,</w:t>
      </w:r>
      <w:r w:rsidR="00757A88" w:rsidRPr="00F76323">
        <w:rPr>
          <w:rStyle w:val="ppp-input-value1"/>
          <w:rFonts w:ascii="Times New Roman" w:hAnsi="Times New Roman"/>
          <w:color w:val="auto"/>
          <w:sz w:val="24"/>
        </w:rPr>
        <w:t xml:space="preserve"> dohodnutím</w:t>
      </w:r>
      <w:r w:rsidR="00B46FF0" w:rsidRPr="00F76323">
        <w:rPr>
          <w:rStyle w:val="ppp-input-value1"/>
          <w:rFonts w:ascii="Times New Roman" w:hAnsi="Times New Roman"/>
          <w:color w:val="auto"/>
          <w:sz w:val="24"/>
        </w:rPr>
        <w:t xml:space="preserve"> </w:t>
      </w:r>
      <w:r w:rsidR="00527C08" w:rsidRPr="00F76323">
        <w:rPr>
          <w:rStyle w:val="ppp-input-value1"/>
          <w:rFonts w:ascii="Times New Roman" w:hAnsi="Times New Roman"/>
          <w:color w:val="auto"/>
          <w:sz w:val="24"/>
        </w:rPr>
        <w:t>alebo</w:t>
      </w:r>
      <w:r w:rsidR="00B46FF0" w:rsidRPr="00F76323">
        <w:rPr>
          <w:rStyle w:val="ppp-input-value1"/>
          <w:rFonts w:ascii="Times New Roman" w:hAnsi="Times New Roman"/>
          <w:color w:val="auto"/>
          <w:sz w:val="24"/>
        </w:rPr>
        <w:t xml:space="preserve"> uplatňovaním jednostranne</w:t>
      </w:r>
      <w:r w:rsidR="000E74B0" w:rsidRPr="00F76323">
        <w:rPr>
          <w:rStyle w:val="ppp-input-value1"/>
          <w:rFonts w:ascii="Times New Roman" w:hAnsi="Times New Roman"/>
          <w:color w:val="auto"/>
          <w:sz w:val="24"/>
        </w:rPr>
        <w:t xml:space="preserve"> výhodn</w:t>
      </w:r>
      <w:r w:rsidR="00B46FF0" w:rsidRPr="00F76323">
        <w:rPr>
          <w:rStyle w:val="ppp-input-value1"/>
          <w:rFonts w:ascii="Times New Roman" w:hAnsi="Times New Roman"/>
          <w:color w:val="auto"/>
          <w:sz w:val="24"/>
        </w:rPr>
        <w:t>ých</w:t>
      </w:r>
      <w:r w:rsidR="000E74B0" w:rsidRPr="00F76323">
        <w:rPr>
          <w:rStyle w:val="ppp-input-value1"/>
          <w:rFonts w:ascii="Times New Roman" w:hAnsi="Times New Roman"/>
          <w:color w:val="auto"/>
          <w:sz w:val="24"/>
        </w:rPr>
        <w:t xml:space="preserve"> obchodných podmienok</w:t>
      </w:r>
      <w:r w:rsidR="00216091" w:rsidRPr="00F76323">
        <w:t xml:space="preserve">, a to </w:t>
      </w:r>
      <w:r w:rsidR="00A56040" w:rsidRPr="00F76323">
        <w:t>najčastejšie</w:t>
      </w:r>
      <w:r w:rsidR="00216091" w:rsidRPr="00F76323">
        <w:t xml:space="preserve"> formou </w:t>
      </w:r>
      <w:r w:rsidR="00A56040" w:rsidRPr="00F76323">
        <w:t xml:space="preserve">rôznych </w:t>
      </w:r>
      <w:r w:rsidR="00216091" w:rsidRPr="00F76323">
        <w:t>peňažných</w:t>
      </w:r>
      <w:r w:rsidR="00F76323">
        <w:t xml:space="preserve"> plnení</w:t>
      </w:r>
      <w:r w:rsidR="00216091" w:rsidRPr="00F76323">
        <w:t xml:space="preserve"> alebo nepeňažn</w:t>
      </w:r>
      <w:r w:rsidR="00030DE6" w:rsidRPr="00F76323">
        <w:t>ých plnení dodávateľa</w:t>
      </w:r>
      <w:r w:rsidR="00A25EF3" w:rsidRPr="00F76323">
        <w:t xml:space="preserve"> </w:t>
      </w:r>
      <w:r w:rsidR="0096620E" w:rsidRPr="00F76323">
        <w:t xml:space="preserve">nad rámec dohodnutej kúpnej ceny alebo vo forme zliav </w:t>
      </w:r>
      <w:r w:rsidR="008E7560" w:rsidRPr="00F76323">
        <w:t xml:space="preserve">z </w:t>
      </w:r>
      <w:r w:rsidR="0096620E" w:rsidRPr="00F76323">
        <w:t>kúpnej ceny</w:t>
      </w:r>
      <w:r w:rsidR="00527C08" w:rsidRPr="00F76323">
        <w:t xml:space="preserve">, </w:t>
      </w:r>
      <w:r w:rsidR="00816AF5">
        <w:br/>
      </w:r>
      <w:r w:rsidR="00527C08" w:rsidRPr="00F76323">
        <w:t>ktoré jednoznačne zvýhodňujú odberateľa a</w:t>
      </w:r>
      <w:r w:rsidR="005D157F">
        <w:t> </w:t>
      </w:r>
      <w:r w:rsidR="00A25EF3" w:rsidRPr="00F76323">
        <w:t>naopak</w:t>
      </w:r>
      <w:r w:rsidR="005D157F">
        <w:t>,</w:t>
      </w:r>
      <w:r w:rsidR="00A25EF3" w:rsidRPr="00F76323">
        <w:t xml:space="preserve"> </w:t>
      </w:r>
      <w:r w:rsidR="00527C08" w:rsidRPr="00F76323">
        <w:t>výrazne oslabujú pozíciu dodávateľa.</w:t>
      </w:r>
      <w:r w:rsidR="00FA1837" w:rsidRPr="00F76323">
        <w:t xml:space="preserve"> Zneužívanie </w:t>
      </w:r>
      <w:r w:rsidR="001D4BBC" w:rsidRPr="00F76323">
        <w:t>silnejšej pozície v obcho</w:t>
      </w:r>
      <w:r w:rsidR="005D157F">
        <w:t>dnom vzťahu a praktiky v podobe</w:t>
      </w:r>
      <w:r w:rsidR="00D42289" w:rsidRPr="00F76323">
        <w:t xml:space="preserve"> uplatňovan</w:t>
      </w:r>
      <w:r w:rsidR="001D4BBC" w:rsidRPr="00F76323">
        <w:t>ia</w:t>
      </w:r>
      <w:r w:rsidR="00D42289" w:rsidRPr="00F76323">
        <w:t xml:space="preserve"> neprimeraných </w:t>
      </w:r>
      <w:r w:rsidR="001D4BBC" w:rsidRPr="00F76323">
        <w:t>podmienok</w:t>
      </w:r>
      <w:r w:rsidR="006D2F6D" w:rsidRPr="00F76323">
        <w:t xml:space="preserve"> </w:t>
      </w:r>
      <w:r w:rsidR="001D4BBC" w:rsidRPr="00F76323">
        <w:t>môžu vážne poškodiť potravinový dodávateľský reťazec ako taký, čo môže mať následný negatívny vplyv na celé hospodárstvo,</w:t>
      </w:r>
      <w:r w:rsidR="005D157F">
        <w:t xml:space="preserve"> ako</w:t>
      </w:r>
      <w:r w:rsidR="001D4BBC" w:rsidRPr="00F76323">
        <w:t xml:space="preserve"> aj konečných spotrebiteľov</w:t>
      </w:r>
      <w:r w:rsidR="005D157F">
        <w:t>,</w:t>
      </w:r>
      <w:r w:rsidR="001D4BBC" w:rsidRPr="00F76323">
        <w:t xml:space="preserve"> a môže predstavovať </w:t>
      </w:r>
      <w:r w:rsidR="00FA1837" w:rsidRPr="00F76323">
        <w:t>vážne riziko z pohľadu potravinovej suverenity Slovenskej republiky.</w:t>
      </w:r>
      <w:r w:rsidR="001D4BBC" w:rsidRPr="00F76323">
        <w:t xml:space="preserve"> Obchodné vzťahy sú výrazne deformované aj tzv. faktorom strachu, ktorý spôsobuje, </w:t>
      </w:r>
      <w:r w:rsidR="00816AF5">
        <w:br/>
      </w:r>
      <w:r w:rsidR="001D4BBC" w:rsidRPr="00F76323">
        <w:t xml:space="preserve">že strana so slabšou vyjednávacou pozíciou neuplatní </w:t>
      </w:r>
      <w:r w:rsidR="008E7560" w:rsidRPr="00F76323">
        <w:t xml:space="preserve">v plnej miere </w:t>
      </w:r>
      <w:r w:rsidR="001D4BBC" w:rsidRPr="00F76323">
        <w:t xml:space="preserve">svoje práva a z </w:t>
      </w:r>
      <w:r w:rsidR="008E7560" w:rsidRPr="00F76323">
        <w:t xml:space="preserve">obavy </w:t>
      </w:r>
      <w:r w:rsidR="001D4BBC" w:rsidRPr="00F76323">
        <w:t xml:space="preserve">pred ohrozením obchodných vzťahov radšej pristúpi na často </w:t>
      </w:r>
      <w:r w:rsidR="008E7560" w:rsidRPr="00F76323">
        <w:t xml:space="preserve">jednostranne výhodné </w:t>
      </w:r>
      <w:r w:rsidR="001D4BBC" w:rsidRPr="00F76323">
        <w:t>podmienky protistrany s väčšou vyjednávacou silou.</w:t>
      </w:r>
    </w:p>
    <w:p w:rsidR="00BF4A24" w:rsidRDefault="006D2F6D" w:rsidP="00BF4A24">
      <w:pPr>
        <w:pStyle w:val="odsek"/>
        <w:spacing w:before="120"/>
        <w:contextualSpacing/>
      </w:pPr>
      <w:r w:rsidRPr="00F76323">
        <w:t>V uplynulých rokoch sa problematike nekalých obchodných praktík (preklad z pojmu „unfair trading practices“, používaný na európskej úrovni) začala venovať čoraz väčšia pozornosť</w:t>
      </w:r>
      <w:r w:rsidR="008E7560" w:rsidRPr="00F76323">
        <w:t>.</w:t>
      </w:r>
      <w:r w:rsidR="00172BF6" w:rsidRPr="00F76323">
        <w:t xml:space="preserve"> </w:t>
      </w:r>
      <w:r w:rsidR="008E7560" w:rsidRPr="00F76323">
        <w:t>Z</w:t>
      </w:r>
      <w:r w:rsidR="00172BF6" w:rsidRPr="00F76323">
        <w:t> </w:t>
      </w:r>
      <w:r w:rsidR="00AD173A" w:rsidRPr="00F76323">
        <w:t>uskutočnených</w:t>
      </w:r>
      <w:r w:rsidR="00172BF6" w:rsidRPr="00F76323">
        <w:t xml:space="preserve"> </w:t>
      </w:r>
      <w:r w:rsidRPr="00F76323">
        <w:t xml:space="preserve">analýz a prieskumov vyplynulo, že nekalé obchodné praktiky </w:t>
      </w:r>
      <w:r w:rsidR="00816AF5">
        <w:br/>
      </w:r>
      <w:r w:rsidRPr="00F76323">
        <w:t>sa v potravinovom dodávateľskom reťazci vyskytujú často. Väčšina členských štátov E</w:t>
      </w:r>
      <w:r w:rsidR="00F76323">
        <w:t>urópskej únie</w:t>
      </w:r>
      <w:r w:rsidRPr="00F76323">
        <w:t xml:space="preserve"> ich existenciu a uplatňovanie v obchodných vzťahoch vyhodnotila ako riziko pre riadne fungovanie potravinového dodávateľského reťazca a s cieľom ich eliminácie zaviedli alebo plánujú zaviesť legislatívnu reguláciu. </w:t>
      </w:r>
    </w:p>
    <w:p w:rsidR="00BF4A24" w:rsidRDefault="008E7560" w:rsidP="00BF4A24">
      <w:pPr>
        <w:pStyle w:val="odsek"/>
        <w:spacing w:before="120"/>
        <w:contextualSpacing/>
      </w:pPr>
      <w:r w:rsidRPr="00F76323">
        <w:t>P</w:t>
      </w:r>
      <w:r w:rsidR="00DC0ACC" w:rsidRPr="00F76323">
        <w:t>roblematika nekalých obchodných praktík (ako súčasť komplexnej problematiky posilnenia postavenia poľnohospodárov v potr</w:t>
      </w:r>
      <w:r w:rsidR="00375519">
        <w:t>avinovom dodávateľskom reťazci)</w:t>
      </w:r>
      <w:r w:rsidR="00DC0ACC" w:rsidRPr="00F76323">
        <w:t xml:space="preserve"> </w:t>
      </w:r>
      <w:r w:rsidRPr="00F76323">
        <w:t>bola</w:t>
      </w:r>
      <w:r w:rsidR="00DC0ACC" w:rsidRPr="00F76323">
        <w:t xml:space="preserve"> jednou z priorít slovenského predsedníctva v Rade E</w:t>
      </w:r>
      <w:r w:rsidR="006F5DC2">
        <w:t>urópskej únie</w:t>
      </w:r>
      <w:r w:rsidR="00DC0ACC" w:rsidRPr="00F76323">
        <w:t xml:space="preserve"> v druhej polovici roku 2016</w:t>
      </w:r>
      <w:r w:rsidR="00375519">
        <w:t>.</w:t>
      </w:r>
      <w:r w:rsidR="006D2F6D" w:rsidRPr="00F76323">
        <w:t xml:space="preserve"> </w:t>
      </w:r>
      <w:r w:rsidR="00DA4A0B" w:rsidRPr="00F76323">
        <w:t>V</w:t>
      </w:r>
      <w:r w:rsidR="006D2F6D" w:rsidRPr="00F76323">
        <w:t xml:space="preserve">šetky členské štáty </w:t>
      </w:r>
      <w:r w:rsidR="00DA4A0B" w:rsidRPr="00F76323">
        <w:t>E</w:t>
      </w:r>
      <w:r w:rsidR="00A14D3C">
        <w:t>urópskej únie</w:t>
      </w:r>
      <w:r w:rsidR="00DA4A0B" w:rsidRPr="00F76323">
        <w:t xml:space="preserve"> sa </w:t>
      </w:r>
      <w:r w:rsidR="006D2F6D" w:rsidRPr="00F76323">
        <w:t xml:space="preserve">prihlásili k potrebe riešiť problematiku nekalých obchodných praktík prijatím opatrení na celoeurópskej úrovni. </w:t>
      </w:r>
    </w:p>
    <w:p w:rsidR="003D624F" w:rsidRPr="00F76323" w:rsidRDefault="003D624F" w:rsidP="00BF4A24">
      <w:pPr>
        <w:pStyle w:val="odsek"/>
        <w:spacing w:before="120"/>
        <w:contextualSpacing/>
        <w:rPr>
          <w:rStyle w:val="Zstupntext"/>
          <w:color w:val="auto"/>
        </w:rPr>
      </w:pPr>
      <w:r w:rsidRPr="00F76323">
        <w:rPr>
          <w:rStyle w:val="Zstupntext"/>
          <w:color w:val="auto"/>
        </w:rPr>
        <w:t xml:space="preserve">Predložený návrh </w:t>
      </w:r>
      <w:r w:rsidR="00FA65C8" w:rsidRPr="00F76323">
        <w:rPr>
          <w:rStyle w:val="Zstupntext"/>
          <w:color w:val="auto"/>
        </w:rPr>
        <w:t xml:space="preserve">zákona </w:t>
      </w:r>
      <w:r w:rsidRPr="00F76323">
        <w:rPr>
          <w:rStyle w:val="Zstupntext"/>
          <w:color w:val="auto"/>
        </w:rPr>
        <w:t xml:space="preserve">bude mať pozitívny vplyv na </w:t>
      </w:r>
      <w:r w:rsidR="00A14D3C">
        <w:rPr>
          <w:rStyle w:val="Zstupntext"/>
          <w:color w:val="auto"/>
        </w:rPr>
        <w:t>rozpočet verejnej správy</w:t>
      </w:r>
      <w:r w:rsidR="00CD34B7" w:rsidRPr="00F76323">
        <w:rPr>
          <w:rStyle w:val="Zstupntext"/>
          <w:color w:val="auto"/>
        </w:rPr>
        <w:t>, pozitívny a negatívny vplyv na podnikateľské prostredie</w:t>
      </w:r>
      <w:r w:rsidR="00A14D3C">
        <w:rPr>
          <w:rStyle w:val="Zstupntext"/>
          <w:color w:val="auto"/>
        </w:rPr>
        <w:t xml:space="preserve"> tak, ako je uvedené v doložke vybraných vplyvov,</w:t>
      </w:r>
      <w:r w:rsidRPr="00F76323">
        <w:rPr>
          <w:rStyle w:val="Zstupntext"/>
          <w:color w:val="auto"/>
        </w:rPr>
        <w:t xml:space="preserve"> nebude mať vplyv </w:t>
      </w:r>
      <w:r w:rsidR="00975F0E" w:rsidRPr="00F76323">
        <w:rPr>
          <w:rStyle w:val="Zstupntext"/>
          <w:color w:val="auto"/>
        </w:rPr>
        <w:t>na životné prostredie,</w:t>
      </w:r>
      <w:r w:rsidR="00A14D3C">
        <w:rPr>
          <w:rStyle w:val="Zstupntext"/>
          <w:color w:val="auto"/>
        </w:rPr>
        <w:t xml:space="preserve"> sociálne vplyvy, vplyv </w:t>
      </w:r>
      <w:r w:rsidR="00816AF5">
        <w:rPr>
          <w:rStyle w:val="Zstupntext"/>
          <w:color w:val="auto"/>
        </w:rPr>
        <w:br/>
      </w:r>
      <w:r w:rsidR="00A14D3C">
        <w:rPr>
          <w:rStyle w:val="Zstupntext"/>
          <w:color w:val="auto"/>
        </w:rPr>
        <w:t>na</w:t>
      </w:r>
      <w:r w:rsidR="00975F0E" w:rsidRPr="00F76323">
        <w:rPr>
          <w:rStyle w:val="Zstupntext"/>
          <w:color w:val="auto"/>
        </w:rPr>
        <w:t xml:space="preserve"> informatizáciu spoločnosti</w:t>
      </w:r>
      <w:r w:rsidR="00A14D3C">
        <w:rPr>
          <w:rStyle w:val="Zstupntext"/>
          <w:color w:val="auto"/>
        </w:rPr>
        <w:t>, ani</w:t>
      </w:r>
      <w:r w:rsidR="00975F0E" w:rsidRPr="00F76323">
        <w:rPr>
          <w:rStyle w:val="Zstupntext"/>
          <w:color w:val="auto"/>
        </w:rPr>
        <w:t xml:space="preserve"> vplyv</w:t>
      </w:r>
      <w:r w:rsidR="00A14D3C">
        <w:rPr>
          <w:rStyle w:val="Zstupntext"/>
          <w:color w:val="auto"/>
        </w:rPr>
        <w:t xml:space="preserve"> na služby verejnej správy pre občana</w:t>
      </w:r>
      <w:r w:rsidR="00975F0E" w:rsidRPr="00F76323">
        <w:rPr>
          <w:rStyle w:val="Zstupntext"/>
          <w:color w:val="auto"/>
        </w:rPr>
        <w:t>.</w:t>
      </w:r>
    </w:p>
    <w:p w:rsidR="00071AD1" w:rsidRDefault="00975F0E" w:rsidP="00C56EEC">
      <w:pPr>
        <w:spacing w:after="120"/>
        <w:ind w:firstLine="709"/>
        <w:contextualSpacing/>
        <w:rPr>
          <w:rStyle w:val="Zstupntext"/>
          <w:color w:val="auto"/>
        </w:rPr>
      </w:pPr>
      <w:r w:rsidRPr="00F76323">
        <w:rPr>
          <w:rStyle w:val="Zstupntext"/>
          <w:color w:val="auto"/>
        </w:rPr>
        <w:t>Návrh zákona je v súlade s Ústavou Slovensk</w:t>
      </w:r>
      <w:r w:rsidR="00830421" w:rsidRPr="00F76323">
        <w:rPr>
          <w:rStyle w:val="Zstupntext"/>
          <w:color w:val="auto"/>
        </w:rPr>
        <w:t>ej republiky, ústavnými zákonmi</w:t>
      </w:r>
      <w:r w:rsidR="00A14D3C">
        <w:rPr>
          <w:rStyle w:val="Zstupntext"/>
          <w:color w:val="auto"/>
        </w:rPr>
        <w:t xml:space="preserve"> a nálezmi Ústavného súdu Slovenskej republiky</w:t>
      </w:r>
      <w:r w:rsidRPr="00F76323">
        <w:rPr>
          <w:rStyle w:val="Zstupntext"/>
          <w:color w:val="auto"/>
        </w:rPr>
        <w:t xml:space="preserve">, zákonmi a ostatnými všeobecne záväznými právnymi predpismi, medzinárodnými zmluvami, ktorými je Slovenská republika viazaná, ako aj s právom Európskej únie. </w:t>
      </w:r>
    </w:p>
    <w:p w:rsidR="00D97D0F" w:rsidRDefault="00375519" w:rsidP="00C56EEC">
      <w:pPr>
        <w:spacing w:after="120"/>
        <w:ind w:firstLine="709"/>
        <w:contextualSpacing/>
      </w:pPr>
      <w:r>
        <w:rPr>
          <w:rStyle w:val="Zstupntext"/>
          <w:color w:val="auto"/>
        </w:rPr>
        <w:t xml:space="preserve">Ministerstvo financií Slovenskej republiky vzalo na </w:t>
      </w:r>
      <w:r w:rsidRPr="00375519">
        <w:rPr>
          <w:rStyle w:val="Zstupntext"/>
          <w:color w:val="auto"/>
        </w:rPr>
        <w:t>vedomie</w:t>
      </w:r>
      <w:r>
        <w:rPr>
          <w:rStyle w:val="Zstupntext"/>
          <w:color w:val="auto"/>
        </w:rPr>
        <w:t>, že návrh zákona</w:t>
      </w:r>
      <w:r w:rsidRPr="00375519">
        <w:rPr>
          <w:rStyle w:val="Zstupntext"/>
          <w:color w:val="auto"/>
        </w:rPr>
        <w:t xml:space="preserve"> </w:t>
      </w:r>
      <w:r w:rsidRPr="00375519">
        <w:t>bude mať v rokoch 2019 až 2021 pozitívny vplyv na rozpočet verejnej správy v sume 1 200 581 eur ročne, ktorý bude spočívať vo väčšej efektivite kontrol a predpokladanom náraste právoplatne uložených pokút za správne delikty.</w:t>
      </w:r>
    </w:p>
    <w:p w:rsidR="00D97D0F" w:rsidRPr="00117A7E" w:rsidRDefault="00D97D0F" w:rsidP="00CA601C">
      <w:pPr>
        <w:pageBreakBefore/>
        <w:jc w:val="center"/>
        <w:rPr>
          <w:b/>
          <w:caps/>
          <w:spacing w:val="30"/>
          <w:sz w:val="25"/>
          <w:szCs w:val="25"/>
        </w:rPr>
      </w:pPr>
      <w:r w:rsidRPr="00117A7E">
        <w:rPr>
          <w:b/>
          <w:caps/>
          <w:spacing w:val="30"/>
          <w:sz w:val="25"/>
          <w:szCs w:val="25"/>
        </w:rPr>
        <w:lastRenderedPageBreak/>
        <w:t>Doložka zlučiteľnosti</w:t>
      </w:r>
    </w:p>
    <w:p w:rsidR="00D97D0F" w:rsidRPr="00117A7E" w:rsidRDefault="00D97D0F" w:rsidP="00D97D0F">
      <w:pPr>
        <w:jc w:val="center"/>
        <w:rPr>
          <w:b/>
          <w:sz w:val="25"/>
          <w:szCs w:val="25"/>
        </w:rPr>
      </w:pPr>
      <w:r>
        <w:rPr>
          <w:b/>
          <w:sz w:val="25"/>
          <w:szCs w:val="25"/>
        </w:rPr>
        <w:t>návrhu zákona</w:t>
      </w:r>
      <w:r w:rsidRPr="00117A7E">
        <w:rPr>
          <w:b/>
          <w:sz w:val="25"/>
          <w:szCs w:val="25"/>
        </w:rPr>
        <w:t xml:space="preserve"> s právom Európskej únie</w:t>
      </w:r>
    </w:p>
    <w:p w:rsidR="00D97D0F" w:rsidRPr="00117A7E" w:rsidRDefault="00D97D0F" w:rsidP="00D97D0F">
      <w:pPr>
        <w:jc w:val="center"/>
        <w:rPr>
          <w:b/>
          <w:sz w:val="25"/>
          <w:szCs w:val="25"/>
        </w:rPr>
      </w:pPr>
    </w:p>
    <w:tbl>
      <w:tblPr>
        <w:tblW w:w="9747" w:type="dxa"/>
        <w:tblLook w:val="04A0" w:firstRow="1" w:lastRow="0" w:firstColumn="1" w:lastColumn="0" w:noHBand="0" w:noVBand="1"/>
      </w:tblPr>
      <w:tblGrid>
        <w:gridCol w:w="404"/>
        <w:gridCol w:w="9343"/>
      </w:tblGrid>
      <w:tr w:rsidR="00D97D0F" w:rsidRPr="00117A7E" w:rsidTr="007333C2">
        <w:tc>
          <w:tcPr>
            <w:tcW w:w="404" w:type="dxa"/>
          </w:tcPr>
          <w:p w:rsidR="00D97D0F" w:rsidRPr="00DF357D" w:rsidRDefault="00D97D0F" w:rsidP="00DF357D">
            <w:pPr>
              <w:tabs>
                <w:tab w:val="left" w:pos="360"/>
              </w:tabs>
              <w:rPr>
                <w:b/>
                <w:sz w:val="25"/>
                <w:szCs w:val="25"/>
              </w:rPr>
            </w:pPr>
            <w:r w:rsidRPr="00DF357D">
              <w:rPr>
                <w:b/>
                <w:sz w:val="25"/>
                <w:szCs w:val="25"/>
              </w:rPr>
              <w:t>1.</w:t>
            </w:r>
          </w:p>
        </w:tc>
        <w:tc>
          <w:tcPr>
            <w:tcW w:w="9343" w:type="dxa"/>
          </w:tcPr>
          <w:p w:rsidR="00D97D0F" w:rsidRPr="00DF357D" w:rsidRDefault="00D97D0F" w:rsidP="00DF357D">
            <w:pPr>
              <w:tabs>
                <w:tab w:val="left" w:pos="360"/>
              </w:tabs>
              <w:rPr>
                <w:sz w:val="25"/>
                <w:szCs w:val="25"/>
              </w:rPr>
            </w:pPr>
            <w:r w:rsidRPr="00DF357D">
              <w:rPr>
                <w:b/>
                <w:sz w:val="25"/>
                <w:szCs w:val="25"/>
              </w:rPr>
              <w:t>Navrhovateľ zákona:</w:t>
            </w:r>
            <w:r w:rsidRPr="00DF357D">
              <w:rPr>
                <w:sz w:val="25"/>
                <w:szCs w:val="25"/>
              </w:rPr>
              <w:t xml:space="preserve"> </w:t>
            </w:r>
            <w:r w:rsidRPr="00DF357D">
              <w:rPr>
                <w:sz w:val="25"/>
                <w:szCs w:val="25"/>
              </w:rPr>
              <w:fldChar w:fldCharType="begin"/>
            </w:r>
            <w:r w:rsidRPr="00DF357D">
              <w:rPr>
                <w:sz w:val="25"/>
                <w:szCs w:val="25"/>
              </w:rPr>
              <w:instrText xml:space="preserve"> DOCPROPERTY  FSC#SKEDITIONSLOVLEX@103.510:zodpinstitucia  \* MERGEFORMAT </w:instrText>
            </w:r>
            <w:r w:rsidRPr="00DF357D">
              <w:rPr>
                <w:sz w:val="25"/>
                <w:szCs w:val="25"/>
              </w:rPr>
              <w:fldChar w:fldCharType="separate"/>
            </w:r>
            <w:r w:rsidRPr="00DF357D">
              <w:rPr>
                <w:sz w:val="25"/>
                <w:szCs w:val="25"/>
              </w:rPr>
              <w:t>Ministerstvo pôdohospodárstva a rozvoja vidieka Slovenskej republiky</w:t>
            </w:r>
            <w:r w:rsidRPr="00DF357D">
              <w:rPr>
                <w:sz w:val="25"/>
                <w:szCs w:val="25"/>
              </w:rPr>
              <w:fldChar w:fldCharType="end"/>
            </w:r>
          </w:p>
        </w:tc>
      </w:tr>
      <w:tr w:rsidR="00D97D0F" w:rsidRPr="00117A7E" w:rsidTr="007333C2">
        <w:tc>
          <w:tcPr>
            <w:tcW w:w="404" w:type="dxa"/>
          </w:tcPr>
          <w:p w:rsidR="00D97D0F" w:rsidRPr="00DF357D" w:rsidRDefault="00D97D0F" w:rsidP="00DF357D">
            <w:pPr>
              <w:tabs>
                <w:tab w:val="left" w:pos="360"/>
              </w:tabs>
              <w:rPr>
                <w:sz w:val="25"/>
                <w:szCs w:val="25"/>
              </w:rPr>
            </w:pPr>
          </w:p>
        </w:tc>
        <w:tc>
          <w:tcPr>
            <w:tcW w:w="9343" w:type="dxa"/>
          </w:tcPr>
          <w:p w:rsidR="00D97D0F" w:rsidRPr="00DF357D" w:rsidRDefault="00D97D0F" w:rsidP="00DF357D">
            <w:pPr>
              <w:tabs>
                <w:tab w:val="left" w:pos="360"/>
              </w:tabs>
              <w:rPr>
                <w:sz w:val="25"/>
                <w:szCs w:val="25"/>
              </w:rPr>
            </w:pPr>
          </w:p>
        </w:tc>
      </w:tr>
      <w:tr w:rsidR="00D97D0F" w:rsidRPr="00117A7E" w:rsidTr="007333C2">
        <w:tc>
          <w:tcPr>
            <w:tcW w:w="404" w:type="dxa"/>
          </w:tcPr>
          <w:p w:rsidR="00D97D0F" w:rsidRPr="00DF357D" w:rsidRDefault="00D97D0F" w:rsidP="00DF357D">
            <w:pPr>
              <w:tabs>
                <w:tab w:val="left" w:pos="360"/>
              </w:tabs>
              <w:rPr>
                <w:b/>
                <w:sz w:val="25"/>
                <w:szCs w:val="25"/>
              </w:rPr>
            </w:pPr>
            <w:r w:rsidRPr="00DF357D">
              <w:rPr>
                <w:b/>
                <w:sz w:val="25"/>
                <w:szCs w:val="25"/>
              </w:rPr>
              <w:t>2.</w:t>
            </w:r>
          </w:p>
        </w:tc>
        <w:tc>
          <w:tcPr>
            <w:tcW w:w="9343" w:type="dxa"/>
          </w:tcPr>
          <w:p w:rsidR="00D97D0F" w:rsidRPr="00DF357D" w:rsidRDefault="00D97D0F" w:rsidP="00DF357D">
            <w:pPr>
              <w:tabs>
                <w:tab w:val="left" w:pos="360"/>
              </w:tabs>
              <w:rPr>
                <w:sz w:val="25"/>
                <w:szCs w:val="25"/>
              </w:rPr>
            </w:pPr>
            <w:r w:rsidRPr="00DF357D">
              <w:rPr>
                <w:b/>
                <w:sz w:val="25"/>
                <w:szCs w:val="25"/>
              </w:rPr>
              <w:t>Názov návrhu zákona:</w:t>
            </w:r>
            <w:r w:rsidRPr="00DF357D">
              <w:rPr>
                <w:sz w:val="25"/>
                <w:szCs w:val="25"/>
              </w:rPr>
              <w:t xml:space="preserve"> </w:t>
            </w:r>
            <w:r w:rsidRPr="00DF357D">
              <w:rPr>
                <w:sz w:val="25"/>
                <w:szCs w:val="25"/>
              </w:rPr>
              <w:fldChar w:fldCharType="begin"/>
            </w:r>
            <w:r w:rsidRPr="00DF357D">
              <w:rPr>
                <w:sz w:val="25"/>
                <w:szCs w:val="25"/>
              </w:rPr>
              <w:instrText xml:space="preserve"> DOCPROPERTY  FSC#SKEDITIONSLOVLEX@103.510:plnynazovpredpis  \* MERGEFORMAT </w:instrText>
            </w:r>
            <w:r w:rsidRPr="00DF357D">
              <w:rPr>
                <w:sz w:val="25"/>
                <w:szCs w:val="25"/>
              </w:rPr>
              <w:fldChar w:fldCharType="separate"/>
            </w:r>
            <w:r w:rsidRPr="00DF357D">
              <w:rPr>
                <w:sz w:val="25"/>
                <w:szCs w:val="25"/>
              </w:rPr>
              <w:t xml:space="preserve"> Zákon </w:t>
            </w:r>
            <w:r w:rsidRPr="00DF357D">
              <w:rPr>
                <w:bCs/>
                <w:sz w:val="25"/>
                <w:szCs w:val="25"/>
              </w:rPr>
              <w:t>o neprimeraných podmienkach v obchode s potravinami</w:t>
            </w:r>
            <w:r w:rsidRPr="00DF357D">
              <w:rPr>
                <w:sz w:val="25"/>
                <w:szCs w:val="25"/>
              </w:rPr>
              <w:t> </w:t>
            </w:r>
            <w:r w:rsidRPr="00DF357D">
              <w:rPr>
                <w:sz w:val="25"/>
                <w:szCs w:val="25"/>
              </w:rPr>
              <w:fldChar w:fldCharType="end"/>
            </w:r>
            <w:r w:rsidRPr="00DF357D">
              <w:rPr>
                <w:sz w:val="25"/>
                <w:szCs w:val="25"/>
              </w:rPr>
              <w:t xml:space="preserve"> </w:t>
            </w:r>
            <w:r w:rsidRPr="00DF357D">
              <w:rPr>
                <w:sz w:val="25"/>
                <w:szCs w:val="25"/>
              </w:rPr>
              <w:fldChar w:fldCharType="begin"/>
            </w:r>
            <w:r w:rsidRPr="00DF357D">
              <w:rPr>
                <w:sz w:val="25"/>
                <w:szCs w:val="25"/>
              </w:rPr>
              <w:instrText xml:space="preserve"> DOCPROPERTY  FSC#SKEDITIONSLOVLEX@103.510:plnynazovpredpis1  \* MERGEFORMAT </w:instrText>
            </w:r>
            <w:r w:rsidRPr="00DF357D">
              <w:rPr>
                <w:sz w:val="25"/>
                <w:szCs w:val="25"/>
              </w:rPr>
              <w:fldChar w:fldCharType="end"/>
            </w:r>
            <w:r w:rsidRPr="00DF357D">
              <w:rPr>
                <w:sz w:val="25"/>
                <w:szCs w:val="25"/>
              </w:rPr>
              <w:fldChar w:fldCharType="begin"/>
            </w:r>
            <w:r w:rsidRPr="00DF357D">
              <w:rPr>
                <w:sz w:val="25"/>
                <w:szCs w:val="25"/>
              </w:rPr>
              <w:instrText xml:space="preserve"> DOCPROPERTY  FSC#SKEDITIONSLOVLEX@103.510:plnynazovpredpis2  \* MERGEFORMAT </w:instrText>
            </w:r>
            <w:r w:rsidRPr="00DF357D">
              <w:rPr>
                <w:sz w:val="25"/>
                <w:szCs w:val="25"/>
              </w:rPr>
              <w:fldChar w:fldCharType="end"/>
            </w:r>
            <w:r w:rsidRPr="00DF357D">
              <w:rPr>
                <w:sz w:val="25"/>
                <w:szCs w:val="25"/>
              </w:rPr>
              <w:fldChar w:fldCharType="begin"/>
            </w:r>
            <w:r w:rsidRPr="00DF357D">
              <w:rPr>
                <w:sz w:val="25"/>
                <w:szCs w:val="25"/>
              </w:rPr>
              <w:instrText xml:space="preserve"> DOCPROPERTY  FSC#SKEDITIONSLOVLEX@103.510:plnynazovpredpis3  \* MERGEFORMAT </w:instrText>
            </w:r>
            <w:r w:rsidRPr="00DF357D">
              <w:rPr>
                <w:sz w:val="25"/>
                <w:szCs w:val="25"/>
              </w:rPr>
              <w:fldChar w:fldCharType="end"/>
            </w:r>
          </w:p>
        </w:tc>
      </w:tr>
      <w:tr w:rsidR="00D97D0F" w:rsidRPr="00117A7E" w:rsidTr="007333C2">
        <w:tc>
          <w:tcPr>
            <w:tcW w:w="404" w:type="dxa"/>
          </w:tcPr>
          <w:p w:rsidR="00D97D0F" w:rsidRPr="00DF357D" w:rsidRDefault="00D97D0F" w:rsidP="00DF357D">
            <w:pPr>
              <w:tabs>
                <w:tab w:val="left" w:pos="360"/>
              </w:tabs>
              <w:rPr>
                <w:sz w:val="25"/>
                <w:szCs w:val="25"/>
              </w:rPr>
            </w:pPr>
          </w:p>
        </w:tc>
        <w:tc>
          <w:tcPr>
            <w:tcW w:w="9343" w:type="dxa"/>
          </w:tcPr>
          <w:p w:rsidR="00D97D0F" w:rsidRPr="00DF357D" w:rsidRDefault="00D97D0F" w:rsidP="00DF357D">
            <w:pPr>
              <w:tabs>
                <w:tab w:val="left" w:pos="360"/>
              </w:tabs>
              <w:rPr>
                <w:sz w:val="25"/>
                <w:szCs w:val="25"/>
              </w:rPr>
            </w:pPr>
          </w:p>
        </w:tc>
      </w:tr>
      <w:tr w:rsidR="00D97D0F" w:rsidRPr="00117A7E" w:rsidTr="007333C2">
        <w:tc>
          <w:tcPr>
            <w:tcW w:w="404" w:type="dxa"/>
          </w:tcPr>
          <w:p w:rsidR="00D97D0F" w:rsidRPr="00DF357D" w:rsidRDefault="00D97D0F" w:rsidP="00DF357D">
            <w:pPr>
              <w:tabs>
                <w:tab w:val="left" w:pos="360"/>
              </w:tabs>
              <w:rPr>
                <w:b/>
                <w:sz w:val="25"/>
                <w:szCs w:val="25"/>
              </w:rPr>
            </w:pPr>
            <w:r w:rsidRPr="00DF357D">
              <w:rPr>
                <w:b/>
                <w:sz w:val="25"/>
                <w:szCs w:val="25"/>
              </w:rPr>
              <w:t>3.</w:t>
            </w:r>
          </w:p>
        </w:tc>
        <w:tc>
          <w:tcPr>
            <w:tcW w:w="9343" w:type="dxa"/>
          </w:tcPr>
          <w:p w:rsidR="00D97D0F" w:rsidRPr="00DF357D" w:rsidRDefault="00D97D0F" w:rsidP="00DF357D">
            <w:pPr>
              <w:tabs>
                <w:tab w:val="left" w:pos="360"/>
              </w:tabs>
              <w:rPr>
                <w:b/>
                <w:sz w:val="25"/>
                <w:szCs w:val="25"/>
              </w:rPr>
            </w:pPr>
            <w:r w:rsidRPr="00DF357D">
              <w:rPr>
                <w:b/>
                <w:sz w:val="25"/>
                <w:szCs w:val="25"/>
              </w:rPr>
              <w:t>Predmet návrhu zákona je upravený v práve Európskej únie:</w:t>
            </w:r>
          </w:p>
          <w:p w:rsidR="00D97D0F" w:rsidRPr="00DF357D" w:rsidRDefault="00D97D0F" w:rsidP="00DF357D">
            <w:pPr>
              <w:tabs>
                <w:tab w:val="left" w:pos="360"/>
              </w:tabs>
              <w:rPr>
                <w:b/>
                <w:sz w:val="25"/>
                <w:szCs w:val="25"/>
              </w:rPr>
            </w:pPr>
          </w:p>
        </w:tc>
      </w:tr>
      <w:tr w:rsidR="00D97D0F" w:rsidRPr="00117A7E" w:rsidTr="007333C2">
        <w:trPr>
          <w:trHeight w:val="2506"/>
        </w:trPr>
        <w:tc>
          <w:tcPr>
            <w:tcW w:w="404" w:type="dxa"/>
          </w:tcPr>
          <w:p w:rsidR="00D97D0F" w:rsidRPr="00DF357D" w:rsidRDefault="00D97D0F" w:rsidP="00DF357D">
            <w:pPr>
              <w:tabs>
                <w:tab w:val="left" w:pos="360"/>
              </w:tabs>
              <w:rPr>
                <w:sz w:val="22"/>
                <w:szCs w:val="22"/>
              </w:rPr>
            </w:pPr>
          </w:p>
        </w:tc>
        <w:tc>
          <w:tcPr>
            <w:tcW w:w="9343" w:type="dxa"/>
          </w:tcPr>
          <w:p w:rsidR="00D97D0F" w:rsidRPr="00DF357D" w:rsidRDefault="00D97D0F" w:rsidP="00DF357D">
            <w:pPr>
              <w:pStyle w:val="Odsekzoznamu"/>
              <w:keepNext w:val="0"/>
              <w:widowControl w:val="0"/>
              <w:numPr>
                <w:ilvl w:val="0"/>
                <w:numId w:val="13"/>
              </w:numPr>
              <w:tabs>
                <w:tab w:val="left" w:pos="360"/>
              </w:tabs>
              <w:autoSpaceDE w:val="0"/>
              <w:autoSpaceDN w:val="0"/>
              <w:adjustRightInd w:val="0"/>
              <w:rPr>
                <w:i/>
                <w:sz w:val="22"/>
                <w:szCs w:val="22"/>
              </w:rPr>
            </w:pPr>
            <w:r w:rsidRPr="00DF357D">
              <w:rPr>
                <w:rFonts w:ascii="Times" w:hAnsi="Times" w:cs="Times"/>
                <w:i/>
                <w:sz w:val="25"/>
                <w:szCs w:val="25"/>
              </w:rPr>
              <w:t xml:space="preserve">v primárnom práve </w:t>
            </w:r>
          </w:p>
          <w:p w:rsidR="00D97D0F" w:rsidRPr="00DF357D" w:rsidRDefault="00D97D0F" w:rsidP="00DF357D">
            <w:pPr>
              <w:tabs>
                <w:tab w:val="left" w:pos="360"/>
              </w:tabs>
              <w:rPr>
                <w:sz w:val="22"/>
                <w:szCs w:val="22"/>
              </w:rPr>
            </w:pPr>
            <w:r w:rsidRPr="00DF357D">
              <w:rPr>
                <w:rFonts w:ascii="Times" w:hAnsi="Times" w:cs="Times"/>
                <w:sz w:val="25"/>
                <w:szCs w:val="25"/>
              </w:rPr>
              <w:t>- Zmluva o fungovaní Európskej únie, čl. 101 až 109.</w:t>
            </w:r>
          </w:p>
          <w:p w:rsidR="00D97D0F" w:rsidRPr="00DF357D" w:rsidRDefault="00D97D0F" w:rsidP="00DF357D">
            <w:pPr>
              <w:tabs>
                <w:tab w:val="left" w:pos="360"/>
              </w:tabs>
              <w:rPr>
                <w:sz w:val="22"/>
                <w:szCs w:val="22"/>
              </w:rPr>
            </w:pPr>
          </w:p>
          <w:p w:rsidR="00D97D0F" w:rsidRPr="00DF357D" w:rsidRDefault="00D97D0F" w:rsidP="00DF357D">
            <w:pPr>
              <w:tabs>
                <w:tab w:val="left" w:pos="360"/>
              </w:tabs>
              <w:rPr>
                <w:sz w:val="22"/>
                <w:szCs w:val="22"/>
              </w:rPr>
            </w:pPr>
            <w:r w:rsidRPr="00DF357D">
              <w:rPr>
                <w:sz w:val="22"/>
                <w:szCs w:val="22"/>
              </w:rPr>
              <w:t xml:space="preserve">b) </w:t>
            </w:r>
            <w:r w:rsidRPr="00DF357D">
              <w:rPr>
                <w:i/>
                <w:sz w:val="25"/>
                <w:szCs w:val="25"/>
              </w:rPr>
              <w:t>v sekundárnom práve</w:t>
            </w:r>
          </w:p>
          <w:p w:rsidR="00D97D0F" w:rsidRPr="00DF357D" w:rsidRDefault="00D97D0F" w:rsidP="00DF357D">
            <w:pPr>
              <w:tabs>
                <w:tab w:val="left" w:pos="360"/>
              </w:tabs>
              <w:rPr>
                <w:sz w:val="22"/>
                <w:szCs w:val="22"/>
              </w:rPr>
            </w:pPr>
            <w:r w:rsidRPr="00DF357D">
              <w:rPr>
                <w:sz w:val="22"/>
                <w:szCs w:val="22"/>
              </w:rPr>
              <w:t xml:space="preserve">- </w:t>
            </w:r>
            <w:r w:rsidRPr="00DF357D">
              <w:rPr>
                <w:rFonts w:ascii="Times" w:hAnsi="Times" w:cs="Times"/>
                <w:iCs/>
                <w:sz w:val="25"/>
                <w:szCs w:val="25"/>
              </w:rPr>
              <w:t>nariadenie Rady (ES) č. 1/2003 zo 16. decembra 2002 o vykonávaní pravidiel hospodárskej súťaže stanovených v článkoch 81 a 82 Zmluvy (Ú. v. ES L 1, 4.1.2003) v platnom znení, gestor: Protimonopolný úrad Slovenskej republiky,</w:t>
            </w:r>
          </w:p>
          <w:p w:rsidR="00D97D0F" w:rsidRPr="00DF357D" w:rsidRDefault="00D97D0F" w:rsidP="00D97D0F">
            <w:pPr>
              <w:rPr>
                <w:sz w:val="25"/>
                <w:szCs w:val="25"/>
              </w:rPr>
            </w:pPr>
            <w:r w:rsidRPr="00DF357D">
              <w:rPr>
                <w:iCs/>
                <w:sz w:val="25"/>
                <w:szCs w:val="25"/>
              </w:rPr>
              <w:t xml:space="preserve">- </w:t>
            </w:r>
            <w:r w:rsidRPr="00DF357D">
              <w:rPr>
                <w:sz w:val="25"/>
                <w:szCs w:val="25"/>
              </w:rPr>
              <w:t>nariadenie Európskeho parlamentu a Rady (ES) č. 593/2008 zo 17. júna 2008 o rozhodnom práve pre zmluvné záväzky (Rím I) (Ú. v. EÚ L 177, 4.7.2008), gestor: Ministerstvo spravodlivosti Slovenskej republiky.</w:t>
            </w:r>
          </w:p>
          <w:p w:rsidR="00D97D0F" w:rsidRPr="00DF357D" w:rsidRDefault="00D97D0F" w:rsidP="00D97D0F">
            <w:pPr>
              <w:rPr>
                <w:iCs/>
                <w:sz w:val="25"/>
                <w:szCs w:val="25"/>
              </w:rPr>
            </w:pPr>
          </w:p>
          <w:p w:rsidR="00D97D0F" w:rsidRPr="00DF357D" w:rsidRDefault="00D97D0F" w:rsidP="00DF357D">
            <w:pPr>
              <w:tabs>
                <w:tab w:val="left" w:pos="360"/>
              </w:tabs>
              <w:rPr>
                <w:sz w:val="22"/>
                <w:szCs w:val="22"/>
              </w:rPr>
            </w:pPr>
            <w:r w:rsidRPr="00DF357D">
              <w:rPr>
                <w:rFonts w:ascii="Times" w:hAnsi="Times" w:cs="Times"/>
                <w:sz w:val="25"/>
                <w:szCs w:val="25"/>
              </w:rPr>
              <w:t xml:space="preserve">c) </w:t>
            </w:r>
            <w:r w:rsidRPr="00DF357D">
              <w:rPr>
                <w:rFonts w:ascii="Times" w:hAnsi="Times" w:cs="Times"/>
                <w:i/>
                <w:sz w:val="25"/>
                <w:szCs w:val="25"/>
              </w:rPr>
              <w:t>nie je obsiahnutá v judikatúre Súdneho dvora Európskej únie</w:t>
            </w:r>
          </w:p>
          <w:p w:rsidR="00D97D0F" w:rsidRPr="00DF357D" w:rsidRDefault="00D97D0F" w:rsidP="00D97D0F">
            <w:pPr>
              <w:rPr>
                <w:sz w:val="22"/>
                <w:szCs w:val="22"/>
              </w:rPr>
            </w:pPr>
          </w:p>
        </w:tc>
      </w:tr>
    </w:tbl>
    <w:p w:rsidR="00DF357D" w:rsidRPr="00DF357D" w:rsidRDefault="00DF357D" w:rsidP="00DF357D">
      <w:pPr>
        <w:rPr>
          <w:vanish/>
        </w:rPr>
      </w:pPr>
    </w:p>
    <w:tbl>
      <w:tblPr>
        <w:tblW w:w="5000" w:type="pct"/>
        <w:jc w:val="center"/>
        <w:tblCellMar>
          <w:left w:w="0" w:type="dxa"/>
          <w:right w:w="0" w:type="dxa"/>
        </w:tblCellMar>
        <w:tblLook w:val="04A0" w:firstRow="1" w:lastRow="0" w:firstColumn="1" w:lastColumn="0" w:noHBand="0" w:noVBand="1"/>
      </w:tblPr>
      <w:tblGrid>
        <w:gridCol w:w="454"/>
        <w:gridCol w:w="272"/>
        <w:gridCol w:w="8346"/>
      </w:tblGrid>
      <w:tr w:rsidR="00D97D0F" w:rsidTr="00D97D0F">
        <w:trPr>
          <w:jc w:val="center"/>
        </w:trPr>
        <w:tc>
          <w:tcPr>
            <w:tcW w:w="250" w:type="pct"/>
            <w:tcBorders>
              <w:top w:val="nil"/>
              <w:left w:val="nil"/>
              <w:bottom w:val="nil"/>
              <w:right w:val="nil"/>
            </w:tcBorders>
            <w:hideMark/>
          </w:tcPr>
          <w:p w:rsidR="00D97D0F" w:rsidRDefault="00D97D0F" w:rsidP="00D97D0F">
            <w:pPr>
              <w:rPr>
                <w:rFonts w:ascii="Times" w:hAnsi="Times" w:cs="Times"/>
                <w:b/>
                <w:bCs/>
                <w:sz w:val="25"/>
                <w:szCs w:val="25"/>
              </w:rPr>
            </w:pPr>
            <w:r>
              <w:rPr>
                <w:rFonts w:ascii="Times" w:hAnsi="Times" w:cs="Times"/>
                <w:b/>
                <w:bCs/>
                <w:sz w:val="25"/>
                <w:szCs w:val="25"/>
              </w:rPr>
              <w:t>4.</w:t>
            </w:r>
          </w:p>
        </w:tc>
        <w:tc>
          <w:tcPr>
            <w:tcW w:w="4750" w:type="pct"/>
            <w:gridSpan w:val="2"/>
            <w:tcBorders>
              <w:top w:val="nil"/>
              <w:left w:val="nil"/>
              <w:bottom w:val="nil"/>
              <w:right w:val="nil"/>
            </w:tcBorders>
            <w:vAlign w:val="center"/>
            <w:hideMark/>
          </w:tcPr>
          <w:p w:rsidR="00D97D0F" w:rsidRDefault="00D97D0F" w:rsidP="00D97D0F">
            <w:pPr>
              <w:spacing w:after="250"/>
              <w:rPr>
                <w:rFonts w:ascii="Times" w:hAnsi="Times" w:cs="Times"/>
                <w:b/>
                <w:bCs/>
                <w:sz w:val="25"/>
                <w:szCs w:val="25"/>
              </w:rPr>
            </w:pPr>
            <w:r>
              <w:rPr>
                <w:rFonts w:ascii="Times" w:hAnsi="Times" w:cs="Times"/>
                <w:b/>
                <w:bCs/>
                <w:sz w:val="25"/>
                <w:szCs w:val="25"/>
              </w:rPr>
              <w:t>Záväzky Slovenskej republiky vo vzťahu k Európskej únii:</w:t>
            </w:r>
          </w:p>
        </w:tc>
      </w:tr>
      <w:tr w:rsidR="00D97D0F" w:rsidTr="00D97D0F">
        <w:trPr>
          <w:jc w:val="center"/>
        </w:trPr>
        <w:tc>
          <w:tcPr>
            <w:tcW w:w="0" w:type="auto"/>
            <w:tcBorders>
              <w:top w:val="nil"/>
              <w:left w:val="nil"/>
              <w:bottom w:val="nil"/>
              <w:right w:val="nil"/>
            </w:tcBorders>
            <w:hideMark/>
          </w:tcPr>
          <w:p w:rsidR="00D97D0F" w:rsidRDefault="00D97D0F" w:rsidP="00D97D0F">
            <w:pPr>
              <w:spacing w:after="250"/>
              <w:rPr>
                <w:rFonts w:ascii="Times" w:hAnsi="Times" w:cs="Times"/>
                <w:b/>
                <w:bCs/>
                <w:sz w:val="25"/>
                <w:szCs w:val="25"/>
              </w:rPr>
            </w:pPr>
          </w:p>
        </w:tc>
        <w:tc>
          <w:tcPr>
            <w:tcW w:w="150" w:type="pct"/>
            <w:tcBorders>
              <w:top w:val="nil"/>
              <w:left w:val="nil"/>
              <w:bottom w:val="nil"/>
              <w:right w:val="nil"/>
            </w:tcBorders>
            <w:hideMark/>
          </w:tcPr>
          <w:p w:rsidR="00D97D0F" w:rsidRDefault="00D97D0F" w:rsidP="00D97D0F">
            <w:pPr>
              <w:rPr>
                <w:rFonts w:ascii="Times" w:hAnsi="Times" w:cs="Times"/>
                <w:sz w:val="25"/>
                <w:szCs w:val="25"/>
              </w:rPr>
            </w:pPr>
            <w:r>
              <w:rPr>
                <w:rFonts w:ascii="Times" w:hAnsi="Times" w:cs="Times"/>
                <w:sz w:val="25"/>
                <w:szCs w:val="25"/>
              </w:rPr>
              <w:t>a)</w:t>
            </w:r>
          </w:p>
        </w:tc>
        <w:tc>
          <w:tcPr>
            <w:tcW w:w="0" w:type="auto"/>
            <w:tcBorders>
              <w:top w:val="nil"/>
              <w:left w:val="nil"/>
              <w:bottom w:val="nil"/>
              <w:right w:val="nil"/>
            </w:tcBorders>
            <w:vAlign w:val="center"/>
            <w:hideMark/>
          </w:tcPr>
          <w:p w:rsidR="00D97D0F" w:rsidRDefault="00D97D0F" w:rsidP="00D97D0F">
            <w:pPr>
              <w:spacing w:after="250"/>
              <w:rPr>
                <w:rFonts w:ascii="Times" w:hAnsi="Times" w:cs="Times"/>
                <w:sz w:val="25"/>
                <w:szCs w:val="25"/>
              </w:rPr>
            </w:pPr>
            <w:r>
              <w:rPr>
                <w:rFonts w:ascii="Times" w:hAnsi="Times" w:cs="Times"/>
                <w:sz w:val="25"/>
                <w:szCs w:val="25"/>
              </w:rPr>
              <w:t>lehota na prebratie právneho aktu Európskej únie rozhodnutia</w:t>
            </w:r>
          </w:p>
        </w:tc>
      </w:tr>
      <w:tr w:rsidR="00D97D0F" w:rsidTr="00D97D0F">
        <w:trPr>
          <w:jc w:val="center"/>
        </w:trPr>
        <w:tc>
          <w:tcPr>
            <w:tcW w:w="0" w:type="auto"/>
            <w:tcBorders>
              <w:top w:val="nil"/>
              <w:left w:val="nil"/>
              <w:bottom w:val="nil"/>
              <w:right w:val="nil"/>
            </w:tcBorders>
            <w:hideMark/>
          </w:tcPr>
          <w:p w:rsidR="00D97D0F" w:rsidRDefault="00D97D0F" w:rsidP="00D97D0F">
            <w:pPr>
              <w:spacing w:after="250"/>
              <w:rPr>
                <w:rFonts w:ascii="Times" w:hAnsi="Times" w:cs="Times"/>
                <w:sz w:val="25"/>
                <w:szCs w:val="25"/>
              </w:rPr>
            </w:pPr>
          </w:p>
        </w:tc>
        <w:tc>
          <w:tcPr>
            <w:tcW w:w="0" w:type="auto"/>
            <w:tcBorders>
              <w:top w:val="nil"/>
              <w:left w:val="nil"/>
              <w:bottom w:val="nil"/>
              <w:right w:val="nil"/>
            </w:tcBorders>
            <w:hideMark/>
          </w:tcPr>
          <w:p w:rsidR="00D97D0F" w:rsidRDefault="00D97D0F" w:rsidP="00D97D0F">
            <w:pPr>
              <w:rPr>
                <w:sz w:val="20"/>
                <w:szCs w:val="20"/>
              </w:rPr>
            </w:pPr>
          </w:p>
        </w:tc>
        <w:tc>
          <w:tcPr>
            <w:tcW w:w="0" w:type="auto"/>
            <w:tcBorders>
              <w:top w:val="nil"/>
              <w:left w:val="nil"/>
              <w:bottom w:val="nil"/>
              <w:right w:val="nil"/>
            </w:tcBorders>
            <w:vAlign w:val="center"/>
            <w:hideMark/>
          </w:tcPr>
          <w:p w:rsidR="00D97D0F" w:rsidRDefault="00D97D0F" w:rsidP="00D97D0F">
            <w:pPr>
              <w:spacing w:after="250"/>
              <w:rPr>
                <w:rFonts w:ascii="Times" w:hAnsi="Times" w:cs="Times"/>
                <w:sz w:val="25"/>
                <w:szCs w:val="25"/>
              </w:rPr>
            </w:pPr>
            <w:r>
              <w:rPr>
                <w:rFonts w:ascii="Times" w:hAnsi="Times" w:cs="Times"/>
                <w:sz w:val="25"/>
                <w:szCs w:val="25"/>
              </w:rPr>
              <w:t>bezpredmetné</w:t>
            </w:r>
          </w:p>
        </w:tc>
      </w:tr>
      <w:tr w:rsidR="00D97D0F" w:rsidTr="00D97D0F">
        <w:trPr>
          <w:jc w:val="center"/>
        </w:trPr>
        <w:tc>
          <w:tcPr>
            <w:tcW w:w="0" w:type="auto"/>
            <w:tcBorders>
              <w:top w:val="nil"/>
              <w:left w:val="nil"/>
              <w:bottom w:val="nil"/>
              <w:right w:val="nil"/>
            </w:tcBorders>
            <w:hideMark/>
          </w:tcPr>
          <w:p w:rsidR="00D97D0F" w:rsidRDefault="00D97D0F" w:rsidP="00D97D0F">
            <w:pPr>
              <w:spacing w:after="250"/>
              <w:rPr>
                <w:rFonts w:ascii="Times" w:hAnsi="Times" w:cs="Times"/>
                <w:sz w:val="25"/>
                <w:szCs w:val="25"/>
              </w:rPr>
            </w:pPr>
          </w:p>
        </w:tc>
        <w:tc>
          <w:tcPr>
            <w:tcW w:w="0" w:type="auto"/>
            <w:tcBorders>
              <w:top w:val="nil"/>
              <w:left w:val="nil"/>
              <w:bottom w:val="nil"/>
              <w:right w:val="nil"/>
            </w:tcBorders>
            <w:hideMark/>
          </w:tcPr>
          <w:p w:rsidR="00D97D0F" w:rsidRDefault="00D97D0F" w:rsidP="00D97D0F">
            <w:pPr>
              <w:rPr>
                <w:rFonts w:ascii="Times" w:hAnsi="Times" w:cs="Times"/>
                <w:sz w:val="25"/>
                <w:szCs w:val="25"/>
              </w:rPr>
            </w:pPr>
            <w:r>
              <w:rPr>
                <w:rFonts w:ascii="Times" w:hAnsi="Times" w:cs="Times"/>
                <w:sz w:val="25"/>
                <w:szCs w:val="25"/>
              </w:rPr>
              <w:t>b)</w:t>
            </w:r>
          </w:p>
        </w:tc>
        <w:tc>
          <w:tcPr>
            <w:tcW w:w="0" w:type="auto"/>
            <w:tcBorders>
              <w:top w:val="nil"/>
              <w:left w:val="nil"/>
              <w:bottom w:val="nil"/>
              <w:right w:val="nil"/>
            </w:tcBorders>
            <w:vAlign w:val="center"/>
            <w:hideMark/>
          </w:tcPr>
          <w:p w:rsidR="00D97D0F" w:rsidRDefault="00D97D0F" w:rsidP="00D97D0F">
            <w:pPr>
              <w:spacing w:after="250"/>
              <w:rPr>
                <w:rFonts w:ascii="Times" w:hAnsi="Times" w:cs="Times"/>
                <w:sz w:val="25"/>
                <w:szCs w:val="25"/>
              </w:rPr>
            </w:pPr>
            <w:r>
              <w:rPr>
                <w:rFonts w:ascii="Times" w:hAnsi="Times" w:cs="Times"/>
                <w:sz w:val="25"/>
                <w:szCs w:val="25"/>
              </w:rPr>
              <w:t>Informácia o začatí konania v rámci „EÚ Pilot“ alebo o začatí postupu Európskej komisie, alebo o konaní Súdneho dvora Európskej únie proti Slovenskej republike podľa čl. 258 a 260 Zmluvy o fungovaní Európskej únie v jej platnom znení</w:t>
            </w:r>
          </w:p>
        </w:tc>
      </w:tr>
      <w:tr w:rsidR="00D97D0F" w:rsidTr="00D97D0F">
        <w:trPr>
          <w:jc w:val="center"/>
        </w:trPr>
        <w:tc>
          <w:tcPr>
            <w:tcW w:w="0" w:type="auto"/>
            <w:tcBorders>
              <w:top w:val="nil"/>
              <w:left w:val="nil"/>
              <w:bottom w:val="nil"/>
              <w:right w:val="nil"/>
            </w:tcBorders>
            <w:hideMark/>
          </w:tcPr>
          <w:p w:rsidR="00D97D0F" w:rsidRDefault="00D97D0F" w:rsidP="00D97D0F">
            <w:pPr>
              <w:spacing w:after="250"/>
              <w:rPr>
                <w:rFonts w:ascii="Times" w:hAnsi="Times" w:cs="Times"/>
                <w:sz w:val="25"/>
                <w:szCs w:val="25"/>
              </w:rPr>
            </w:pPr>
          </w:p>
        </w:tc>
        <w:tc>
          <w:tcPr>
            <w:tcW w:w="0" w:type="auto"/>
            <w:tcBorders>
              <w:top w:val="nil"/>
              <w:left w:val="nil"/>
              <w:bottom w:val="nil"/>
              <w:right w:val="nil"/>
            </w:tcBorders>
            <w:hideMark/>
          </w:tcPr>
          <w:p w:rsidR="00D97D0F" w:rsidRDefault="00D97D0F" w:rsidP="00D97D0F">
            <w:pPr>
              <w:rPr>
                <w:sz w:val="20"/>
                <w:szCs w:val="20"/>
              </w:rPr>
            </w:pPr>
          </w:p>
        </w:tc>
        <w:tc>
          <w:tcPr>
            <w:tcW w:w="0" w:type="auto"/>
            <w:tcBorders>
              <w:top w:val="nil"/>
              <w:left w:val="nil"/>
              <w:bottom w:val="nil"/>
              <w:right w:val="nil"/>
            </w:tcBorders>
            <w:vAlign w:val="center"/>
            <w:hideMark/>
          </w:tcPr>
          <w:p w:rsidR="00D97D0F" w:rsidRDefault="00D97D0F" w:rsidP="00D97D0F">
            <w:pPr>
              <w:spacing w:after="250"/>
              <w:rPr>
                <w:rFonts w:ascii="Times" w:hAnsi="Times" w:cs="Times"/>
                <w:sz w:val="25"/>
                <w:szCs w:val="25"/>
              </w:rPr>
            </w:pPr>
            <w:r>
              <w:rPr>
                <w:rFonts w:ascii="Times" w:hAnsi="Times" w:cs="Times"/>
                <w:sz w:val="25"/>
                <w:szCs w:val="25"/>
              </w:rPr>
              <w:t>bezpredmetné</w:t>
            </w:r>
          </w:p>
        </w:tc>
      </w:tr>
      <w:tr w:rsidR="00D97D0F" w:rsidTr="00D97D0F">
        <w:trPr>
          <w:jc w:val="center"/>
        </w:trPr>
        <w:tc>
          <w:tcPr>
            <w:tcW w:w="0" w:type="auto"/>
            <w:tcBorders>
              <w:top w:val="nil"/>
              <w:left w:val="nil"/>
              <w:bottom w:val="nil"/>
              <w:right w:val="nil"/>
            </w:tcBorders>
            <w:hideMark/>
          </w:tcPr>
          <w:p w:rsidR="00D97D0F" w:rsidRDefault="00D97D0F" w:rsidP="00D97D0F">
            <w:pPr>
              <w:spacing w:after="250"/>
              <w:rPr>
                <w:rFonts w:ascii="Times" w:hAnsi="Times" w:cs="Times"/>
                <w:sz w:val="25"/>
                <w:szCs w:val="25"/>
              </w:rPr>
            </w:pPr>
          </w:p>
        </w:tc>
        <w:tc>
          <w:tcPr>
            <w:tcW w:w="0" w:type="auto"/>
            <w:tcBorders>
              <w:top w:val="nil"/>
              <w:left w:val="nil"/>
              <w:bottom w:val="nil"/>
              <w:right w:val="nil"/>
            </w:tcBorders>
            <w:hideMark/>
          </w:tcPr>
          <w:p w:rsidR="00D97D0F" w:rsidRDefault="00D97D0F" w:rsidP="00D97D0F">
            <w:pPr>
              <w:rPr>
                <w:rFonts w:ascii="Times" w:hAnsi="Times" w:cs="Times"/>
                <w:sz w:val="25"/>
                <w:szCs w:val="25"/>
              </w:rPr>
            </w:pPr>
            <w:r>
              <w:rPr>
                <w:rFonts w:ascii="Times" w:hAnsi="Times" w:cs="Times"/>
                <w:sz w:val="25"/>
                <w:szCs w:val="25"/>
              </w:rPr>
              <w:t>c)</w:t>
            </w:r>
          </w:p>
        </w:tc>
        <w:tc>
          <w:tcPr>
            <w:tcW w:w="0" w:type="auto"/>
            <w:tcBorders>
              <w:top w:val="nil"/>
              <w:left w:val="nil"/>
              <w:bottom w:val="nil"/>
              <w:right w:val="nil"/>
            </w:tcBorders>
            <w:vAlign w:val="center"/>
            <w:hideMark/>
          </w:tcPr>
          <w:p w:rsidR="00D97D0F" w:rsidRDefault="00D97D0F" w:rsidP="00D97D0F">
            <w:pPr>
              <w:spacing w:after="250"/>
              <w:rPr>
                <w:rFonts w:ascii="Times" w:hAnsi="Times" w:cs="Times"/>
                <w:sz w:val="25"/>
                <w:szCs w:val="25"/>
              </w:rPr>
            </w:pPr>
            <w:r>
              <w:rPr>
                <w:rFonts w:ascii="Times" w:hAnsi="Times" w:cs="Times"/>
                <w:sz w:val="25"/>
                <w:szCs w:val="25"/>
              </w:rPr>
              <w:t>informácia o právnych predpisoch, v ktorých sú uvádzané právne akty Európskej únie už prebrané, spolu s uvedením rozsahu tohto prebratia, príp. potreby prijatia ďalších úprav</w:t>
            </w:r>
          </w:p>
        </w:tc>
      </w:tr>
      <w:tr w:rsidR="00D97D0F" w:rsidTr="00D97D0F">
        <w:trPr>
          <w:jc w:val="center"/>
        </w:trPr>
        <w:tc>
          <w:tcPr>
            <w:tcW w:w="0" w:type="auto"/>
            <w:tcBorders>
              <w:top w:val="nil"/>
              <w:left w:val="nil"/>
              <w:bottom w:val="nil"/>
              <w:right w:val="nil"/>
            </w:tcBorders>
            <w:hideMark/>
          </w:tcPr>
          <w:p w:rsidR="00D97D0F" w:rsidRDefault="00D97D0F" w:rsidP="00D97D0F">
            <w:pPr>
              <w:spacing w:after="250"/>
              <w:rPr>
                <w:rFonts w:ascii="Times" w:hAnsi="Times" w:cs="Times"/>
                <w:sz w:val="25"/>
                <w:szCs w:val="25"/>
              </w:rPr>
            </w:pPr>
          </w:p>
        </w:tc>
        <w:tc>
          <w:tcPr>
            <w:tcW w:w="0" w:type="auto"/>
            <w:tcBorders>
              <w:top w:val="nil"/>
              <w:left w:val="nil"/>
              <w:bottom w:val="nil"/>
              <w:right w:val="nil"/>
            </w:tcBorders>
            <w:hideMark/>
          </w:tcPr>
          <w:p w:rsidR="00D97D0F" w:rsidRDefault="00D97D0F" w:rsidP="00D97D0F">
            <w:pPr>
              <w:rPr>
                <w:sz w:val="20"/>
                <w:szCs w:val="20"/>
              </w:rPr>
            </w:pPr>
          </w:p>
        </w:tc>
        <w:tc>
          <w:tcPr>
            <w:tcW w:w="0" w:type="auto"/>
            <w:tcBorders>
              <w:top w:val="nil"/>
              <w:left w:val="nil"/>
              <w:bottom w:val="nil"/>
              <w:right w:val="nil"/>
            </w:tcBorders>
            <w:vAlign w:val="center"/>
            <w:hideMark/>
          </w:tcPr>
          <w:p w:rsidR="00D97D0F" w:rsidRDefault="00D97D0F" w:rsidP="00D97D0F">
            <w:pPr>
              <w:spacing w:after="250"/>
              <w:rPr>
                <w:rFonts w:ascii="Times" w:hAnsi="Times" w:cs="Times"/>
                <w:sz w:val="25"/>
                <w:szCs w:val="25"/>
              </w:rPr>
            </w:pPr>
            <w:r>
              <w:rPr>
                <w:rFonts w:ascii="Times" w:hAnsi="Times" w:cs="Times"/>
                <w:sz w:val="25"/>
                <w:szCs w:val="25"/>
              </w:rPr>
              <w:t>bezpredmetné</w:t>
            </w:r>
          </w:p>
        </w:tc>
      </w:tr>
      <w:tr w:rsidR="00D97D0F" w:rsidTr="00D97D0F">
        <w:trPr>
          <w:jc w:val="center"/>
        </w:trPr>
        <w:tc>
          <w:tcPr>
            <w:tcW w:w="0" w:type="auto"/>
            <w:tcBorders>
              <w:top w:val="nil"/>
              <w:left w:val="nil"/>
              <w:bottom w:val="nil"/>
              <w:right w:val="nil"/>
            </w:tcBorders>
            <w:hideMark/>
          </w:tcPr>
          <w:p w:rsidR="00D97D0F" w:rsidRDefault="00D97D0F" w:rsidP="00D97D0F">
            <w:pPr>
              <w:rPr>
                <w:rFonts w:ascii="Times" w:hAnsi="Times" w:cs="Times"/>
                <w:b/>
                <w:bCs/>
                <w:sz w:val="25"/>
                <w:szCs w:val="25"/>
              </w:rPr>
            </w:pPr>
            <w:r>
              <w:rPr>
                <w:rFonts w:ascii="Times" w:hAnsi="Times" w:cs="Times"/>
                <w:b/>
                <w:bCs/>
                <w:sz w:val="25"/>
                <w:szCs w:val="25"/>
              </w:rPr>
              <w:t>5.</w:t>
            </w:r>
          </w:p>
        </w:tc>
        <w:tc>
          <w:tcPr>
            <w:tcW w:w="0" w:type="auto"/>
            <w:gridSpan w:val="2"/>
            <w:tcBorders>
              <w:top w:val="nil"/>
              <w:left w:val="nil"/>
              <w:bottom w:val="nil"/>
              <w:right w:val="nil"/>
            </w:tcBorders>
            <w:hideMark/>
          </w:tcPr>
          <w:p w:rsidR="00D97D0F" w:rsidRDefault="00D97D0F" w:rsidP="00D97D0F">
            <w:pPr>
              <w:spacing w:after="250"/>
              <w:rPr>
                <w:rFonts w:ascii="Times" w:hAnsi="Times" w:cs="Times"/>
                <w:b/>
                <w:bCs/>
                <w:sz w:val="25"/>
                <w:szCs w:val="25"/>
              </w:rPr>
            </w:pPr>
            <w:r>
              <w:rPr>
                <w:rFonts w:ascii="Times" w:hAnsi="Times" w:cs="Times"/>
                <w:b/>
                <w:bCs/>
                <w:sz w:val="25"/>
                <w:szCs w:val="25"/>
              </w:rPr>
              <w:t>Návrh zákona je zlučiteľný s právom Európskej únie:</w:t>
            </w:r>
          </w:p>
          <w:p w:rsidR="00D97D0F" w:rsidRPr="00C1673D" w:rsidRDefault="00D97D0F" w:rsidP="00D97D0F">
            <w:pPr>
              <w:spacing w:after="250"/>
              <w:rPr>
                <w:rFonts w:ascii="Times" w:hAnsi="Times" w:cs="Times"/>
                <w:bCs/>
                <w:sz w:val="25"/>
                <w:szCs w:val="25"/>
              </w:rPr>
            </w:pPr>
            <w:r w:rsidRPr="00C1673D">
              <w:rPr>
                <w:rFonts w:ascii="Times" w:hAnsi="Times" w:cs="Times"/>
                <w:bCs/>
                <w:sz w:val="25"/>
                <w:szCs w:val="25"/>
              </w:rPr>
              <w:t>a) úplne</w:t>
            </w:r>
          </w:p>
        </w:tc>
      </w:tr>
    </w:tbl>
    <w:p w:rsidR="00D97D0F" w:rsidRDefault="00D97D0F" w:rsidP="00CA601C">
      <w:pPr>
        <w:pStyle w:val="Normlnywebov"/>
        <w:pageBreakBefore/>
        <w:spacing w:before="0" w:beforeAutospacing="0" w:after="0" w:afterAutospacing="0"/>
        <w:jc w:val="center"/>
        <w:rPr>
          <w:b/>
          <w:bCs/>
          <w:sz w:val="28"/>
          <w:szCs w:val="28"/>
        </w:rPr>
      </w:pPr>
      <w:r w:rsidRPr="00C579E9">
        <w:rPr>
          <w:b/>
          <w:bCs/>
          <w:sz w:val="28"/>
          <w:szCs w:val="28"/>
        </w:rPr>
        <w:lastRenderedPageBreak/>
        <w:t>Doložka vybraných vplyvov</w:t>
      </w:r>
    </w:p>
    <w:p w:rsidR="00D97D0F" w:rsidRDefault="00D97D0F" w:rsidP="00D97D0F">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53"/>
        <w:gridCol w:w="3635"/>
      </w:tblGrid>
      <w:tr w:rsidR="00D97D0F" w:rsidTr="00CA601C">
        <w:trPr>
          <w:jc w:val="center"/>
        </w:trPr>
        <w:tc>
          <w:tcPr>
            <w:tcW w:w="5000" w:type="pct"/>
            <w:gridSpan w:val="2"/>
            <w:tcBorders>
              <w:top w:val="outset" w:sz="6" w:space="0" w:color="000000"/>
              <w:bottom w:val="outset" w:sz="6" w:space="0" w:color="000000"/>
            </w:tcBorders>
            <w:shd w:val="clear" w:color="auto" w:fill="E6E6E6"/>
            <w:hideMark/>
          </w:tcPr>
          <w:p w:rsidR="00D97D0F" w:rsidRDefault="00211FA4" w:rsidP="00D97D0F">
            <w:pPr>
              <w:rPr>
                <w:rFonts w:ascii="Times" w:hAnsi="Times" w:cs="Times"/>
                <w:b/>
                <w:bCs/>
                <w:sz w:val="22"/>
                <w:szCs w:val="22"/>
              </w:rPr>
            </w:pPr>
            <w:r>
              <w:rPr>
                <w:rFonts w:ascii="Times" w:hAnsi="Times" w:cs="Times"/>
                <w:b/>
                <w:bCs/>
                <w:sz w:val="22"/>
                <w:szCs w:val="22"/>
              </w:rPr>
              <w:t xml:space="preserve"> </w:t>
            </w:r>
            <w:r w:rsidR="00D97D0F">
              <w:rPr>
                <w:rFonts w:ascii="Times" w:hAnsi="Times" w:cs="Times"/>
                <w:b/>
                <w:bCs/>
                <w:sz w:val="22"/>
                <w:szCs w:val="22"/>
              </w:rPr>
              <w:t>1.</w:t>
            </w:r>
            <w:r>
              <w:rPr>
                <w:rFonts w:ascii="Times" w:hAnsi="Times" w:cs="Times"/>
                <w:b/>
                <w:bCs/>
                <w:sz w:val="22"/>
                <w:szCs w:val="22"/>
              </w:rPr>
              <w:t xml:space="preserve"> </w:t>
            </w:r>
            <w:r w:rsidR="00D97D0F">
              <w:rPr>
                <w:rFonts w:ascii="Times" w:hAnsi="Times" w:cs="Times"/>
                <w:b/>
                <w:bCs/>
                <w:sz w:val="22"/>
                <w:szCs w:val="22"/>
              </w:rPr>
              <w:t>Základné údaje</w:t>
            </w:r>
          </w:p>
        </w:tc>
      </w:tr>
      <w:tr w:rsidR="00D97D0F" w:rsidTr="00CA601C">
        <w:trPr>
          <w:trHeight w:val="450"/>
          <w:jc w:val="center"/>
        </w:trPr>
        <w:tc>
          <w:tcPr>
            <w:tcW w:w="5000" w:type="pct"/>
            <w:gridSpan w:val="2"/>
            <w:tcBorders>
              <w:top w:val="outset" w:sz="6" w:space="0" w:color="000000"/>
              <w:bottom w:val="outset" w:sz="6" w:space="0" w:color="000000"/>
            </w:tcBorders>
            <w:shd w:val="clear" w:color="auto" w:fill="E6E6E6"/>
            <w:hideMark/>
          </w:tcPr>
          <w:p w:rsidR="00D97D0F" w:rsidRDefault="00211FA4" w:rsidP="00D97D0F">
            <w:pPr>
              <w:rPr>
                <w:rFonts w:ascii="Times" w:hAnsi="Times" w:cs="Times"/>
                <w:b/>
                <w:bCs/>
                <w:sz w:val="22"/>
                <w:szCs w:val="22"/>
              </w:rPr>
            </w:pPr>
            <w:r>
              <w:rPr>
                <w:rFonts w:ascii="Times" w:hAnsi="Times" w:cs="Times"/>
                <w:b/>
                <w:bCs/>
                <w:sz w:val="22"/>
                <w:szCs w:val="22"/>
              </w:rPr>
              <w:t xml:space="preserve"> </w:t>
            </w:r>
            <w:r w:rsidR="00D97D0F">
              <w:rPr>
                <w:rFonts w:ascii="Times" w:hAnsi="Times" w:cs="Times"/>
                <w:b/>
                <w:bCs/>
                <w:sz w:val="22"/>
                <w:szCs w:val="22"/>
              </w:rPr>
              <w:t>Názov materiálu</w:t>
            </w:r>
          </w:p>
        </w:tc>
      </w:tr>
      <w:tr w:rsidR="00D97D0F" w:rsidTr="00CA601C">
        <w:trPr>
          <w:trHeight w:val="240"/>
          <w:jc w:val="center"/>
        </w:trPr>
        <w:tc>
          <w:tcPr>
            <w:tcW w:w="5000" w:type="pct"/>
            <w:gridSpan w:val="2"/>
            <w:tcBorders>
              <w:top w:val="outset" w:sz="6" w:space="0" w:color="000000"/>
              <w:bottom w:val="outset" w:sz="6" w:space="0" w:color="000000"/>
            </w:tcBorders>
            <w:hideMark/>
          </w:tcPr>
          <w:p w:rsidR="00D97D0F" w:rsidRDefault="00D97D0F" w:rsidP="00D97D0F">
            <w:pPr>
              <w:rPr>
                <w:rFonts w:ascii="Times" w:hAnsi="Times" w:cs="Times"/>
                <w:sz w:val="20"/>
                <w:szCs w:val="20"/>
              </w:rPr>
            </w:pPr>
            <w:r>
              <w:rPr>
                <w:rFonts w:ascii="Times" w:hAnsi="Times" w:cs="Times"/>
                <w:sz w:val="20"/>
                <w:szCs w:val="20"/>
              </w:rPr>
              <w:t xml:space="preserve">Zákon </w:t>
            </w:r>
            <w:r>
              <w:rPr>
                <w:bCs/>
                <w:sz w:val="20"/>
                <w:szCs w:val="20"/>
              </w:rPr>
              <w:t>o neprimeraných podmienkach v obchode s potravinami</w:t>
            </w:r>
          </w:p>
        </w:tc>
      </w:tr>
      <w:tr w:rsidR="00D97D0F" w:rsidTr="00CA601C">
        <w:trPr>
          <w:trHeight w:val="450"/>
          <w:jc w:val="center"/>
        </w:trPr>
        <w:tc>
          <w:tcPr>
            <w:tcW w:w="5000" w:type="pct"/>
            <w:gridSpan w:val="2"/>
            <w:tcBorders>
              <w:top w:val="outset" w:sz="6" w:space="0" w:color="000000"/>
              <w:bottom w:val="outset" w:sz="6" w:space="0" w:color="000000"/>
            </w:tcBorders>
            <w:shd w:val="clear" w:color="auto" w:fill="E6E6E6"/>
            <w:hideMark/>
          </w:tcPr>
          <w:p w:rsidR="00D97D0F" w:rsidRDefault="00211FA4" w:rsidP="00D97D0F">
            <w:pPr>
              <w:rPr>
                <w:rFonts w:ascii="Times" w:hAnsi="Times" w:cs="Times"/>
                <w:b/>
                <w:bCs/>
                <w:sz w:val="22"/>
                <w:szCs w:val="22"/>
              </w:rPr>
            </w:pPr>
            <w:r>
              <w:rPr>
                <w:rFonts w:ascii="Times" w:hAnsi="Times" w:cs="Times"/>
                <w:b/>
                <w:bCs/>
                <w:sz w:val="22"/>
                <w:szCs w:val="22"/>
              </w:rPr>
              <w:t xml:space="preserve"> </w:t>
            </w:r>
            <w:r w:rsidR="00D97D0F">
              <w:rPr>
                <w:rFonts w:ascii="Times" w:hAnsi="Times" w:cs="Times"/>
                <w:b/>
                <w:bCs/>
                <w:sz w:val="22"/>
                <w:szCs w:val="22"/>
              </w:rPr>
              <w:t>Predkladateľ (a spolupredkladateľ)</w:t>
            </w:r>
          </w:p>
        </w:tc>
      </w:tr>
      <w:tr w:rsidR="00D97D0F" w:rsidTr="00CA601C">
        <w:trPr>
          <w:trHeight w:val="221"/>
          <w:jc w:val="center"/>
        </w:trPr>
        <w:tc>
          <w:tcPr>
            <w:tcW w:w="5000" w:type="pct"/>
            <w:gridSpan w:val="2"/>
            <w:tcBorders>
              <w:top w:val="outset" w:sz="6" w:space="0" w:color="000000"/>
              <w:bottom w:val="outset" w:sz="6" w:space="0" w:color="000000"/>
            </w:tcBorders>
            <w:hideMark/>
          </w:tcPr>
          <w:p w:rsidR="00D97D0F" w:rsidRDefault="00D97D0F" w:rsidP="00D97D0F">
            <w:pPr>
              <w:rPr>
                <w:rFonts w:ascii="Times" w:hAnsi="Times" w:cs="Times"/>
                <w:sz w:val="20"/>
                <w:szCs w:val="20"/>
              </w:rPr>
            </w:pPr>
            <w:r>
              <w:rPr>
                <w:rFonts w:ascii="Times" w:hAnsi="Times" w:cs="Times"/>
                <w:sz w:val="20"/>
                <w:szCs w:val="20"/>
              </w:rPr>
              <w:t>Ministerstvo pôdohospodárstva a rozvoja vidieka Slovenskej republiky</w:t>
            </w:r>
          </w:p>
        </w:tc>
      </w:tr>
      <w:tr w:rsidR="00D97D0F" w:rsidTr="00CA601C">
        <w:trPr>
          <w:trHeight w:val="255"/>
          <w:jc w:val="center"/>
        </w:trPr>
        <w:tc>
          <w:tcPr>
            <w:tcW w:w="3000" w:type="pct"/>
            <w:vMerge w:val="restart"/>
            <w:tcBorders>
              <w:top w:val="outset" w:sz="6" w:space="0" w:color="000000"/>
              <w:bottom w:val="outset" w:sz="6" w:space="0" w:color="000000"/>
              <w:right w:val="outset" w:sz="6" w:space="0" w:color="000000"/>
            </w:tcBorders>
            <w:shd w:val="clear" w:color="auto" w:fill="E6E6E6"/>
            <w:vAlign w:val="center"/>
            <w:hideMark/>
          </w:tcPr>
          <w:p w:rsidR="00D97D0F" w:rsidRDefault="00D97D0F" w:rsidP="00D97D0F">
            <w:pPr>
              <w:jc w:val="center"/>
              <w:rPr>
                <w:rFonts w:ascii="Times" w:hAnsi="Times" w:cs="Times"/>
                <w:b/>
                <w:bCs/>
                <w:sz w:val="22"/>
                <w:szCs w:val="22"/>
              </w:rPr>
            </w:pPr>
            <w:r>
              <w:rPr>
                <w:rFonts w:ascii="Times" w:hAnsi="Times" w:cs="Times"/>
                <w:b/>
                <w:bCs/>
                <w:sz w:val="22"/>
                <w:szCs w:val="22"/>
              </w:rPr>
              <w:t>Charakter predkladaného materiálu</w:t>
            </w:r>
          </w:p>
        </w:tc>
        <w:tc>
          <w:tcPr>
            <w:tcW w:w="2000" w:type="pct"/>
            <w:tcBorders>
              <w:top w:val="outset" w:sz="6" w:space="0" w:color="000000"/>
              <w:left w:val="outset" w:sz="6" w:space="0" w:color="000000"/>
              <w:bottom w:val="outset" w:sz="6" w:space="0" w:color="000000"/>
            </w:tcBorders>
            <w:vAlign w:val="center"/>
            <w:hideMark/>
          </w:tcPr>
          <w:p w:rsidR="00D97D0F" w:rsidRDefault="00D97D0F" w:rsidP="00D97D0F">
            <w:pPr>
              <w:rPr>
                <w:rFonts w:ascii="Times" w:hAnsi="Times" w:cs="Times"/>
                <w:sz w:val="20"/>
                <w:szCs w:val="20"/>
              </w:rPr>
            </w:pPr>
            <w:r>
              <w:rPr>
                <w:rFonts w:ascii="Times" w:hAnsi="Times" w:cs="Times"/>
                <w:sz w:val="20"/>
                <w:szCs w:val="20"/>
              </w:rPr>
              <w:t> </w:t>
            </w:r>
            <w:r>
              <w:rPr>
                <w:rFonts w:ascii="Wingdings 2" w:hAnsi="Wingdings 2" w:cs="Times"/>
                <w:sz w:val="28"/>
                <w:szCs w:val="28"/>
              </w:rPr>
              <w:t></w:t>
            </w:r>
            <w:r w:rsidR="00211FA4">
              <w:rPr>
                <w:rFonts w:ascii="Times" w:hAnsi="Times" w:cs="Times"/>
                <w:sz w:val="20"/>
                <w:szCs w:val="20"/>
              </w:rPr>
              <w:t xml:space="preserve"> </w:t>
            </w:r>
            <w:r>
              <w:rPr>
                <w:rFonts w:ascii="Times" w:hAnsi="Times" w:cs="Times"/>
                <w:sz w:val="20"/>
                <w:szCs w:val="20"/>
              </w:rPr>
              <w:t>Materiál nelegislatívnej povahy</w:t>
            </w:r>
          </w:p>
        </w:tc>
      </w:tr>
      <w:tr w:rsidR="00D97D0F" w:rsidTr="00CA601C">
        <w:trPr>
          <w:trHeight w:val="255"/>
          <w:jc w:val="center"/>
        </w:trPr>
        <w:tc>
          <w:tcPr>
            <w:tcW w:w="0" w:type="auto"/>
            <w:vMerge/>
            <w:tcBorders>
              <w:top w:val="outset" w:sz="6" w:space="0" w:color="000000"/>
              <w:bottom w:val="outset" w:sz="6" w:space="0" w:color="000000"/>
              <w:right w:val="outset" w:sz="6" w:space="0" w:color="000000"/>
            </w:tcBorders>
            <w:vAlign w:val="center"/>
            <w:hideMark/>
          </w:tcPr>
          <w:p w:rsidR="00D97D0F" w:rsidRDefault="00D97D0F" w:rsidP="00D97D0F">
            <w:pPr>
              <w:rPr>
                <w:rFonts w:ascii="Times" w:hAnsi="Times" w:cs="Times"/>
                <w:b/>
                <w:bCs/>
                <w:sz w:val="22"/>
                <w:szCs w:val="22"/>
              </w:rPr>
            </w:pPr>
          </w:p>
        </w:tc>
        <w:tc>
          <w:tcPr>
            <w:tcW w:w="2000" w:type="pct"/>
            <w:tcBorders>
              <w:top w:val="outset" w:sz="6" w:space="0" w:color="000000"/>
              <w:left w:val="outset" w:sz="6" w:space="0" w:color="000000"/>
              <w:bottom w:val="outset" w:sz="6" w:space="0" w:color="000000"/>
            </w:tcBorders>
            <w:vAlign w:val="center"/>
            <w:hideMark/>
          </w:tcPr>
          <w:p w:rsidR="00D97D0F" w:rsidRDefault="00D97D0F" w:rsidP="00D97D0F">
            <w:pPr>
              <w:rPr>
                <w:rFonts w:ascii="Times" w:hAnsi="Times" w:cs="Times"/>
                <w:sz w:val="20"/>
                <w:szCs w:val="20"/>
              </w:rPr>
            </w:pPr>
            <w:r>
              <w:rPr>
                <w:rFonts w:ascii="Times" w:hAnsi="Times" w:cs="Times"/>
                <w:sz w:val="20"/>
                <w:szCs w:val="20"/>
              </w:rPr>
              <w:t> </w:t>
            </w:r>
            <w:r>
              <w:rPr>
                <w:rFonts w:ascii="Wingdings 2" w:hAnsi="Wingdings 2" w:cs="Times"/>
                <w:sz w:val="20"/>
                <w:szCs w:val="20"/>
              </w:rPr>
              <w:t></w:t>
            </w:r>
            <w:r w:rsidR="00211FA4">
              <w:rPr>
                <w:rFonts w:ascii="Times" w:hAnsi="Times" w:cs="Times"/>
                <w:sz w:val="20"/>
                <w:szCs w:val="20"/>
              </w:rPr>
              <w:t xml:space="preserve"> </w:t>
            </w:r>
            <w:r>
              <w:rPr>
                <w:rFonts w:ascii="Times" w:hAnsi="Times" w:cs="Times"/>
                <w:sz w:val="20"/>
                <w:szCs w:val="20"/>
              </w:rPr>
              <w:t xml:space="preserve">Materiál legislatívnej povahy </w:t>
            </w:r>
          </w:p>
        </w:tc>
      </w:tr>
      <w:tr w:rsidR="00D97D0F" w:rsidTr="00CA601C">
        <w:trPr>
          <w:trHeight w:val="255"/>
          <w:jc w:val="center"/>
        </w:trPr>
        <w:tc>
          <w:tcPr>
            <w:tcW w:w="0" w:type="auto"/>
            <w:vMerge/>
            <w:tcBorders>
              <w:top w:val="outset" w:sz="6" w:space="0" w:color="000000"/>
              <w:bottom w:val="outset" w:sz="6" w:space="0" w:color="000000"/>
              <w:right w:val="outset" w:sz="6" w:space="0" w:color="000000"/>
            </w:tcBorders>
            <w:vAlign w:val="center"/>
            <w:hideMark/>
          </w:tcPr>
          <w:p w:rsidR="00D97D0F" w:rsidRDefault="00D97D0F" w:rsidP="00D97D0F">
            <w:pPr>
              <w:rPr>
                <w:rFonts w:ascii="Times" w:hAnsi="Times" w:cs="Times"/>
                <w:b/>
                <w:bCs/>
                <w:sz w:val="22"/>
                <w:szCs w:val="22"/>
              </w:rPr>
            </w:pPr>
          </w:p>
        </w:tc>
        <w:tc>
          <w:tcPr>
            <w:tcW w:w="2000" w:type="pct"/>
            <w:tcBorders>
              <w:top w:val="outset" w:sz="6" w:space="0" w:color="000000"/>
              <w:left w:val="outset" w:sz="6" w:space="0" w:color="000000"/>
              <w:bottom w:val="outset" w:sz="6" w:space="0" w:color="000000"/>
            </w:tcBorders>
            <w:vAlign w:val="center"/>
            <w:hideMark/>
          </w:tcPr>
          <w:p w:rsidR="00D97D0F" w:rsidRDefault="00D97D0F" w:rsidP="00D97D0F">
            <w:pPr>
              <w:rPr>
                <w:rFonts w:ascii="Times" w:hAnsi="Times" w:cs="Times"/>
                <w:sz w:val="20"/>
                <w:szCs w:val="20"/>
              </w:rPr>
            </w:pPr>
            <w:r>
              <w:rPr>
                <w:rFonts w:ascii="Times" w:hAnsi="Times" w:cs="Times"/>
                <w:sz w:val="20"/>
                <w:szCs w:val="20"/>
              </w:rPr>
              <w:t> </w:t>
            </w:r>
            <w:r>
              <w:rPr>
                <w:rFonts w:ascii="Wingdings 2" w:hAnsi="Wingdings 2" w:cs="Times"/>
                <w:sz w:val="28"/>
                <w:szCs w:val="28"/>
              </w:rPr>
              <w:t></w:t>
            </w:r>
            <w:r w:rsidR="00211FA4">
              <w:rPr>
                <w:rFonts w:ascii="Times" w:hAnsi="Times" w:cs="Times"/>
                <w:sz w:val="20"/>
                <w:szCs w:val="20"/>
              </w:rPr>
              <w:t xml:space="preserve"> </w:t>
            </w:r>
            <w:r>
              <w:rPr>
                <w:rFonts w:ascii="Times" w:hAnsi="Times" w:cs="Times"/>
                <w:sz w:val="20"/>
                <w:szCs w:val="20"/>
              </w:rPr>
              <w:t xml:space="preserve">Transpozícia práva EÚ </w:t>
            </w:r>
          </w:p>
        </w:tc>
      </w:tr>
      <w:tr w:rsidR="00D97D0F" w:rsidTr="00CA601C">
        <w:trPr>
          <w:trHeight w:val="224"/>
          <w:jc w:val="center"/>
        </w:trPr>
        <w:tc>
          <w:tcPr>
            <w:tcW w:w="0" w:type="auto"/>
            <w:gridSpan w:val="2"/>
            <w:tcBorders>
              <w:top w:val="outset" w:sz="6" w:space="0" w:color="000000"/>
              <w:bottom w:val="outset" w:sz="6" w:space="0" w:color="000000"/>
            </w:tcBorders>
            <w:hideMark/>
          </w:tcPr>
          <w:p w:rsidR="00D97D0F" w:rsidRDefault="00D97D0F" w:rsidP="00D97D0F">
            <w:pPr>
              <w:rPr>
                <w:rFonts w:ascii="Times" w:hAnsi="Times" w:cs="Times"/>
                <w:sz w:val="20"/>
                <w:szCs w:val="20"/>
              </w:rPr>
            </w:pPr>
          </w:p>
        </w:tc>
      </w:tr>
      <w:tr w:rsidR="00D97D0F" w:rsidTr="00CA601C">
        <w:trPr>
          <w:trHeight w:val="450"/>
          <w:jc w:val="center"/>
        </w:trPr>
        <w:tc>
          <w:tcPr>
            <w:tcW w:w="3000" w:type="pct"/>
            <w:tcBorders>
              <w:top w:val="outset" w:sz="6" w:space="0" w:color="000000"/>
              <w:bottom w:val="outset" w:sz="6" w:space="0" w:color="000000"/>
              <w:right w:val="outset" w:sz="6" w:space="0" w:color="000000"/>
            </w:tcBorders>
            <w:shd w:val="clear" w:color="auto" w:fill="E6E6E6"/>
            <w:hideMark/>
          </w:tcPr>
          <w:p w:rsidR="00D97D0F" w:rsidRDefault="00211FA4" w:rsidP="00D97D0F">
            <w:pPr>
              <w:rPr>
                <w:rFonts w:ascii="Times" w:hAnsi="Times" w:cs="Times"/>
                <w:b/>
                <w:bCs/>
                <w:sz w:val="22"/>
                <w:szCs w:val="22"/>
              </w:rPr>
            </w:pPr>
            <w:r>
              <w:rPr>
                <w:rFonts w:ascii="Times" w:hAnsi="Times" w:cs="Times"/>
                <w:b/>
                <w:bCs/>
                <w:sz w:val="22"/>
                <w:szCs w:val="22"/>
              </w:rPr>
              <w:t xml:space="preserve"> </w:t>
            </w:r>
            <w:r w:rsidR="00D97D0F">
              <w:rPr>
                <w:rFonts w:ascii="Times" w:hAnsi="Times" w:cs="Times"/>
                <w:b/>
                <w:bCs/>
                <w:sz w:val="22"/>
                <w:szCs w:val="22"/>
              </w:rPr>
              <w:t>Termín začiatku a ukončenia PPK</w:t>
            </w:r>
          </w:p>
        </w:tc>
        <w:tc>
          <w:tcPr>
            <w:tcW w:w="2000" w:type="pct"/>
            <w:tcBorders>
              <w:top w:val="outset" w:sz="6" w:space="0" w:color="000000"/>
              <w:left w:val="outset" w:sz="6" w:space="0" w:color="000000"/>
              <w:bottom w:val="outset" w:sz="6" w:space="0" w:color="000000"/>
            </w:tcBorders>
            <w:hideMark/>
          </w:tcPr>
          <w:p w:rsidR="00D97D0F" w:rsidRDefault="00D97D0F" w:rsidP="0033339D">
            <w:pPr>
              <w:jc w:val="left"/>
              <w:rPr>
                <w:rFonts w:ascii="Times" w:hAnsi="Times" w:cs="Times"/>
                <w:sz w:val="20"/>
                <w:szCs w:val="20"/>
              </w:rPr>
            </w:pPr>
            <w:r>
              <w:rPr>
                <w:rFonts w:ascii="Times" w:hAnsi="Times" w:cs="Times"/>
                <w:sz w:val="20"/>
                <w:szCs w:val="20"/>
              </w:rPr>
              <w:t>Začiatok: 17.8.2017</w:t>
            </w:r>
            <w:r>
              <w:rPr>
                <w:rFonts w:ascii="Times" w:hAnsi="Times" w:cs="Times"/>
                <w:sz w:val="20"/>
                <w:szCs w:val="20"/>
              </w:rPr>
              <w:br/>
              <w:t>Ukončenie: 4.9.2017</w:t>
            </w:r>
          </w:p>
        </w:tc>
      </w:tr>
      <w:tr w:rsidR="00D97D0F" w:rsidTr="00CA601C">
        <w:trPr>
          <w:trHeight w:val="450"/>
          <w:jc w:val="center"/>
        </w:trPr>
        <w:tc>
          <w:tcPr>
            <w:tcW w:w="3000" w:type="pct"/>
            <w:tcBorders>
              <w:top w:val="outset" w:sz="6" w:space="0" w:color="000000"/>
              <w:bottom w:val="outset" w:sz="6" w:space="0" w:color="000000"/>
              <w:right w:val="outset" w:sz="6" w:space="0" w:color="000000"/>
            </w:tcBorders>
            <w:shd w:val="clear" w:color="auto" w:fill="E6E6E6"/>
            <w:hideMark/>
          </w:tcPr>
          <w:p w:rsidR="00D97D0F" w:rsidRDefault="00211FA4" w:rsidP="00D97D0F">
            <w:pPr>
              <w:rPr>
                <w:rFonts w:ascii="Times" w:hAnsi="Times" w:cs="Times"/>
                <w:b/>
                <w:bCs/>
                <w:sz w:val="22"/>
                <w:szCs w:val="22"/>
              </w:rPr>
            </w:pPr>
            <w:r>
              <w:rPr>
                <w:rFonts w:ascii="Times" w:hAnsi="Times" w:cs="Times"/>
                <w:b/>
                <w:bCs/>
                <w:sz w:val="22"/>
                <w:szCs w:val="22"/>
              </w:rPr>
              <w:t xml:space="preserve"> </w:t>
            </w:r>
            <w:r w:rsidR="00D97D0F">
              <w:rPr>
                <w:rFonts w:ascii="Times" w:hAnsi="Times" w:cs="Times"/>
                <w:b/>
                <w:bCs/>
                <w:sz w:val="22"/>
                <w:szCs w:val="22"/>
              </w:rPr>
              <w:t>Predpokladaný termín predloženia na MPK*</w:t>
            </w:r>
          </w:p>
        </w:tc>
        <w:tc>
          <w:tcPr>
            <w:tcW w:w="2000" w:type="pct"/>
            <w:tcBorders>
              <w:top w:val="outset" w:sz="6" w:space="0" w:color="000000"/>
              <w:left w:val="outset" w:sz="6" w:space="0" w:color="000000"/>
              <w:bottom w:val="outset" w:sz="6" w:space="0" w:color="000000"/>
            </w:tcBorders>
            <w:hideMark/>
          </w:tcPr>
          <w:p w:rsidR="00D97D0F" w:rsidRDefault="00D97D0F" w:rsidP="00D97D0F">
            <w:pPr>
              <w:rPr>
                <w:rFonts w:ascii="Times" w:hAnsi="Times" w:cs="Times"/>
                <w:sz w:val="20"/>
                <w:szCs w:val="20"/>
              </w:rPr>
            </w:pPr>
            <w:r>
              <w:rPr>
                <w:rFonts w:ascii="Times" w:hAnsi="Times" w:cs="Times"/>
                <w:sz w:val="20"/>
                <w:szCs w:val="20"/>
              </w:rPr>
              <w:t>február 2018</w:t>
            </w:r>
          </w:p>
        </w:tc>
      </w:tr>
      <w:tr w:rsidR="00D97D0F" w:rsidTr="00CA601C">
        <w:trPr>
          <w:trHeight w:val="600"/>
          <w:jc w:val="center"/>
        </w:trPr>
        <w:tc>
          <w:tcPr>
            <w:tcW w:w="3000" w:type="pct"/>
            <w:tcBorders>
              <w:top w:val="outset" w:sz="6" w:space="0" w:color="000000"/>
              <w:bottom w:val="outset" w:sz="6" w:space="0" w:color="000000"/>
              <w:right w:val="outset" w:sz="6" w:space="0" w:color="000000"/>
            </w:tcBorders>
            <w:shd w:val="clear" w:color="auto" w:fill="E6E6E6"/>
            <w:hideMark/>
          </w:tcPr>
          <w:p w:rsidR="00D97D0F" w:rsidRDefault="00211FA4" w:rsidP="00D97D0F">
            <w:pPr>
              <w:rPr>
                <w:rFonts w:ascii="Times" w:hAnsi="Times" w:cs="Times"/>
                <w:b/>
                <w:bCs/>
                <w:sz w:val="22"/>
                <w:szCs w:val="22"/>
              </w:rPr>
            </w:pPr>
            <w:r>
              <w:rPr>
                <w:rFonts w:ascii="Times" w:hAnsi="Times" w:cs="Times"/>
                <w:b/>
                <w:bCs/>
                <w:sz w:val="22"/>
                <w:szCs w:val="22"/>
              </w:rPr>
              <w:t xml:space="preserve"> </w:t>
            </w:r>
            <w:r w:rsidR="00D97D0F">
              <w:rPr>
                <w:rFonts w:ascii="Times" w:hAnsi="Times" w:cs="Times"/>
                <w:b/>
                <w:bCs/>
                <w:sz w:val="22"/>
                <w:szCs w:val="22"/>
              </w:rPr>
              <w:t>Predpokladaný termín predloženia na Rokovanie vlády</w:t>
            </w:r>
            <w:r w:rsidR="00D97D0F">
              <w:rPr>
                <w:rFonts w:ascii="Times" w:hAnsi="Times" w:cs="Times"/>
                <w:b/>
                <w:bCs/>
                <w:sz w:val="22"/>
                <w:szCs w:val="22"/>
              </w:rPr>
              <w:br/>
            </w:r>
            <w:r>
              <w:rPr>
                <w:rFonts w:ascii="Times" w:hAnsi="Times" w:cs="Times"/>
                <w:b/>
                <w:bCs/>
                <w:sz w:val="22"/>
                <w:szCs w:val="22"/>
              </w:rPr>
              <w:t xml:space="preserve"> </w:t>
            </w:r>
            <w:r w:rsidR="00D97D0F">
              <w:rPr>
                <w:rFonts w:ascii="Times" w:hAnsi="Times" w:cs="Times"/>
                <w:b/>
                <w:bCs/>
                <w:sz w:val="22"/>
                <w:szCs w:val="22"/>
              </w:rPr>
              <w:t>SR*</w:t>
            </w:r>
          </w:p>
        </w:tc>
        <w:tc>
          <w:tcPr>
            <w:tcW w:w="2000" w:type="pct"/>
            <w:tcBorders>
              <w:top w:val="outset" w:sz="6" w:space="0" w:color="000000"/>
              <w:left w:val="outset" w:sz="6" w:space="0" w:color="000000"/>
              <w:bottom w:val="outset" w:sz="6" w:space="0" w:color="000000"/>
            </w:tcBorders>
            <w:hideMark/>
          </w:tcPr>
          <w:p w:rsidR="00D97D0F" w:rsidRDefault="00D97D0F" w:rsidP="00D97D0F">
            <w:pPr>
              <w:rPr>
                <w:rFonts w:ascii="Times" w:hAnsi="Times" w:cs="Times"/>
                <w:sz w:val="20"/>
                <w:szCs w:val="20"/>
              </w:rPr>
            </w:pPr>
            <w:r>
              <w:rPr>
                <w:rFonts w:ascii="Times" w:hAnsi="Times" w:cs="Times"/>
                <w:sz w:val="20"/>
                <w:szCs w:val="20"/>
              </w:rPr>
              <w:t>október 2018</w:t>
            </w:r>
          </w:p>
        </w:tc>
      </w:tr>
      <w:tr w:rsidR="00D97D0F" w:rsidTr="00CA601C">
        <w:trPr>
          <w:jc w:val="center"/>
        </w:trPr>
        <w:tc>
          <w:tcPr>
            <w:tcW w:w="0" w:type="auto"/>
            <w:gridSpan w:val="2"/>
            <w:tcBorders>
              <w:top w:val="outset" w:sz="6" w:space="0" w:color="000000"/>
              <w:bottom w:val="outset" w:sz="6" w:space="0" w:color="000000"/>
            </w:tcBorders>
            <w:shd w:val="clear" w:color="auto" w:fill="E6E6E6"/>
            <w:hideMark/>
          </w:tcPr>
          <w:p w:rsidR="00D97D0F" w:rsidRDefault="00211FA4" w:rsidP="00D97D0F">
            <w:pPr>
              <w:rPr>
                <w:rFonts w:ascii="Times" w:hAnsi="Times" w:cs="Times"/>
                <w:b/>
                <w:bCs/>
                <w:sz w:val="22"/>
                <w:szCs w:val="22"/>
              </w:rPr>
            </w:pPr>
            <w:r>
              <w:rPr>
                <w:rFonts w:ascii="Times" w:hAnsi="Times" w:cs="Times"/>
                <w:b/>
                <w:bCs/>
                <w:sz w:val="22"/>
                <w:szCs w:val="22"/>
              </w:rPr>
              <w:t xml:space="preserve"> </w:t>
            </w:r>
            <w:r w:rsidR="00D97D0F">
              <w:rPr>
                <w:rFonts w:ascii="Times" w:hAnsi="Times" w:cs="Times"/>
                <w:b/>
                <w:bCs/>
                <w:sz w:val="22"/>
                <w:szCs w:val="22"/>
              </w:rPr>
              <w:t>2.</w:t>
            </w:r>
            <w:r>
              <w:rPr>
                <w:rFonts w:ascii="Times" w:hAnsi="Times" w:cs="Times"/>
                <w:b/>
                <w:bCs/>
                <w:sz w:val="22"/>
                <w:szCs w:val="22"/>
              </w:rPr>
              <w:t xml:space="preserve"> </w:t>
            </w:r>
            <w:r w:rsidR="00D97D0F">
              <w:rPr>
                <w:rFonts w:ascii="Times" w:hAnsi="Times" w:cs="Times"/>
                <w:b/>
                <w:bCs/>
                <w:sz w:val="22"/>
                <w:szCs w:val="22"/>
              </w:rPr>
              <w:t>Definícia problému</w:t>
            </w:r>
          </w:p>
        </w:tc>
      </w:tr>
      <w:tr w:rsidR="00D97D0F" w:rsidTr="00CA601C">
        <w:trPr>
          <w:trHeight w:val="600"/>
          <w:jc w:val="center"/>
        </w:trPr>
        <w:tc>
          <w:tcPr>
            <w:tcW w:w="0" w:type="auto"/>
            <w:gridSpan w:val="2"/>
            <w:tcBorders>
              <w:top w:val="outset" w:sz="6" w:space="0" w:color="000000"/>
              <w:bottom w:val="outset" w:sz="6" w:space="0" w:color="000000"/>
            </w:tcBorders>
            <w:hideMark/>
          </w:tcPr>
          <w:p w:rsidR="00D97D0F" w:rsidRDefault="00D97D0F" w:rsidP="00CA601C">
            <w:pPr>
              <w:rPr>
                <w:rFonts w:ascii="Times" w:hAnsi="Times" w:cs="Times"/>
                <w:sz w:val="20"/>
                <w:szCs w:val="20"/>
              </w:rPr>
            </w:pPr>
            <w:r>
              <w:rPr>
                <w:rFonts w:ascii="Times" w:hAnsi="Times" w:cs="Times"/>
                <w:sz w:val="20"/>
                <w:szCs w:val="20"/>
              </w:rPr>
              <w:t xml:space="preserve">- v obchodných vzťahoch, ktorých predmetom sú potraviny sa od účinnosti zákona č. 362/2012 Z. z. o neprimeraných podmienkach v obchodných vzťahoch, ktorých predmetom sú potraviny začali používať nové formy neprimeraných podmienok, resp. neprimerané podmienky taxatívne uvedené v zákone č. 362/2012 Z. z. </w:t>
            </w:r>
            <w:r>
              <w:rPr>
                <w:rFonts w:ascii="Times" w:hAnsi="Times" w:cs="Times"/>
                <w:sz w:val="20"/>
                <w:szCs w:val="20"/>
              </w:rPr>
              <w:br/>
              <w:t>sa obchádzajú na základe odlišných právnych interpretácií ich znenia; vzhľadom na uvedené možno konštatovať, že taxatívny výpočet neprimeraných podmienok je pre naplnenie účelu zákona nedostatočný,</w:t>
            </w:r>
            <w:r>
              <w:rPr>
                <w:rFonts w:ascii="Times" w:hAnsi="Times" w:cs="Times"/>
                <w:sz w:val="20"/>
                <w:szCs w:val="20"/>
              </w:rPr>
              <w:br/>
              <w:t xml:space="preserve">- z aplikačnej praxe taktiež vyplynula potreba úpravy kontrolného procesu s ohľadom na špecifickosť vzťahov, ktoré vznikajú v obchodných vzťahoch, ktorých predmetom sú potraviny, a ktoré sú predmetom kontroly, </w:t>
            </w:r>
            <w:r>
              <w:rPr>
                <w:rFonts w:ascii="Times" w:hAnsi="Times" w:cs="Times"/>
                <w:sz w:val="20"/>
                <w:szCs w:val="20"/>
              </w:rPr>
              <w:br/>
              <w:t xml:space="preserve">- legislatívna úprava a vymedzenie neprimeraných podmienok v obchodným vzťahoch, ktorých predmetom </w:t>
            </w:r>
            <w:r>
              <w:rPr>
                <w:rFonts w:ascii="Times" w:hAnsi="Times" w:cs="Times"/>
                <w:sz w:val="20"/>
                <w:szCs w:val="20"/>
              </w:rPr>
              <w:br/>
              <w:t xml:space="preserve">sú potraviny, je potrebná z dôvodu ochrany tých účastníkov obchodných vzťahov, v neprospech ktorých </w:t>
            </w:r>
            <w:r>
              <w:rPr>
                <w:rFonts w:ascii="Times" w:hAnsi="Times" w:cs="Times"/>
                <w:sz w:val="20"/>
                <w:szCs w:val="20"/>
              </w:rPr>
              <w:br/>
              <w:t xml:space="preserve">sú neprimerané podmienky požadované, dohodnuté alebo uplatňované. Neprimerané podmienky v obchodných vzťahoch sú dôsledkom zneužívania ekonomickej sily jedného z účastníkov obchodného vzťahu. Prejavujú </w:t>
            </w:r>
            <w:r>
              <w:rPr>
                <w:rFonts w:ascii="Times" w:hAnsi="Times" w:cs="Times"/>
                <w:sz w:val="20"/>
                <w:szCs w:val="20"/>
              </w:rPr>
              <w:br/>
              <w:t xml:space="preserve">sa najmä vyžadovaním alebo uplatňovaním jednostranne výhodných obchodných podmienok, a to najčastejšie formou rôznych peňažných plnení alebo nepeňažných plnení dodávateľa nad rámec dohodnutej kúpnej ceny alebo vo forme zliav z kúpnej ceny, ktoré jednoznačne zvýhodňujú odberateľa a naopak výrazne oslabujú pozíciu dodávateľa. Zneužívanie silnejšej pozície v obchodnom vzťahu a praktiky v podobe uplatňovania neprimeraných obchodných podmienok môžu vážne poškodiť potravinový dodávateľský reťazec ako taký, </w:t>
            </w:r>
            <w:r>
              <w:rPr>
                <w:rFonts w:ascii="Times" w:hAnsi="Times" w:cs="Times"/>
                <w:sz w:val="20"/>
                <w:szCs w:val="20"/>
              </w:rPr>
              <w:br/>
              <w:t xml:space="preserve">čo môže mať následný negatívny vplyv na celé hospodárstvo, aj konečných spotrebiteľov a môže predstavovať vážne riziko z pohľadu potravinovej suverenity Slovenskej republiky. Obchodné vzťahy sú výrazne deformované aj tzv. faktorom strachu, ktorý spôsobuje, že strana so slabšou vyjednávacou pozíciou neuplatní </w:t>
            </w:r>
            <w:r>
              <w:rPr>
                <w:rFonts w:ascii="Times" w:hAnsi="Times" w:cs="Times"/>
                <w:sz w:val="20"/>
                <w:szCs w:val="20"/>
              </w:rPr>
              <w:br/>
              <w:t>v plnej miere svoje práva a z obavy pred ohrozením obchodných vzťahov radšej pristúpi na často jednostranne výhodné podmienky protistrany s väčšou vyjednávacou silou.</w:t>
            </w:r>
          </w:p>
        </w:tc>
      </w:tr>
      <w:tr w:rsidR="00D97D0F" w:rsidTr="00CA601C">
        <w:trPr>
          <w:jc w:val="center"/>
        </w:trPr>
        <w:tc>
          <w:tcPr>
            <w:tcW w:w="0" w:type="auto"/>
            <w:gridSpan w:val="2"/>
            <w:tcBorders>
              <w:top w:val="outset" w:sz="6" w:space="0" w:color="000000"/>
              <w:bottom w:val="outset" w:sz="6" w:space="0" w:color="000000"/>
            </w:tcBorders>
            <w:shd w:val="clear" w:color="auto" w:fill="E6E6E6"/>
            <w:hideMark/>
          </w:tcPr>
          <w:p w:rsidR="00D97D0F" w:rsidRDefault="00211FA4" w:rsidP="00D97D0F">
            <w:pPr>
              <w:rPr>
                <w:rFonts w:ascii="Times" w:hAnsi="Times" w:cs="Times"/>
                <w:b/>
                <w:bCs/>
                <w:sz w:val="22"/>
                <w:szCs w:val="22"/>
              </w:rPr>
            </w:pPr>
            <w:r>
              <w:rPr>
                <w:rFonts w:ascii="Times" w:hAnsi="Times" w:cs="Times"/>
                <w:b/>
                <w:bCs/>
                <w:sz w:val="22"/>
                <w:szCs w:val="22"/>
              </w:rPr>
              <w:t xml:space="preserve"> </w:t>
            </w:r>
            <w:r w:rsidR="00D97D0F">
              <w:rPr>
                <w:rFonts w:ascii="Times" w:hAnsi="Times" w:cs="Times"/>
                <w:b/>
                <w:bCs/>
                <w:sz w:val="22"/>
                <w:szCs w:val="22"/>
              </w:rPr>
              <w:t>3.</w:t>
            </w:r>
            <w:r>
              <w:rPr>
                <w:rFonts w:ascii="Times" w:hAnsi="Times" w:cs="Times"/>
                <w:b/>
                <w:bCs/>
                <w:sz w:val="22"/>
                <w:szCs w:val="22"/>
              </w:rPr>
              <w:t xml:space="preserve"> </w:t>
            </w:r>
            <w:r w:rsidR="00D97D0F">
              <w:rPr>
                <w:rFonts w:ascii="Times" w:hAnsi="Times" w:cs="Times"/>
                <w:b/>
                <w:bCs/>
                <w:sz w:val="22"/>
                <w:szCs w:val="22"/>
              </w:rPr>
              <w:t>Ciele a výsledný stav</w:t>
            </w:r>
          </w:p>
        </w:tc>
      </w:tr>
      <w:tr w:rsidR="00D97D0F" w:rsidTr="00CA601C">
        <w:trPr>
          <w:trHeight w:val="600"/>
          <w:jc w:val="center"/>
        </w:trPr>
        <w:tc>
          <w:tcPr>
            <w:tcW w:w="0" w:type="auto"/>
            <w:gridSpan w:val="2"/>
            <w:tcBorders>
              <w:top w:val="outset" w:sz="6" w:space="0" w:color="000000"/>
              <w:bottom w:val="outset" w:sz="6" w:space="0" w:color="000000"/>
            </w:tcBorders>
            <w:hideMark/>
          </w:tcPr>
          <w:p w:rsidR="00D97D0F" w:rsidRDefault="00D97D0F" w:rsidP="0060336C">
            <w:pPr>
              <w:jc w:val="left"/>
              <w:rPr>
                <w:rFonts w:ascii="Times" w:hAnsi="Times" w:cs="Times"/>
                <w:sz w:val="20"/>
                <w:szCs w:val="20"/>
              </w:rPr>
            </w:pPr>
            <w:r>
              <w:rPr>
                <w:rFonts w:ascii="Times" w:hAnsi="Times" w:cs="Times"/>
                <w:sz w:val="20"/>
                <w:szCs w:val="20"/>
              </w:rPr>
              <w:t>- precizovanie doterajšej právnej úpravy ustanovení o neprimeraných podmienkach s ohľadom na skúsenosti získané kontrolnými orgánmi v aplikačnej praxi,</w:t>
            </w:r>
            <w:r>
              <w:rPr>
                <w:rFonts w:ascii="Times" w:hAnsi="Times" w:cs="Times"/>
                <w:sz w:val="20"/>
                <w:szCs w:val="20"/>
              </w:rPr>
              <w:br/>
              <w:t>- ustanovenie nových špecifických neprimeraných podmienok vrátane generálnej klauzuly neprimeranej podmienky na základe poznatkov z vývoja obchodných vzťahov medzi dod</w:t>
            </w:r>
            <w:r w:rsidR="0060336C">
              <w:rPr>
                <w:rFonts w:ascii="Times" w:hAnsi="Times" w:cs="Times"/>
                <w:sz w:val="20"/>
                <w:szCs w:val="20"/>
              </w:rPr>
              <w:t xml:space="preserve">ávateľmi potravín a odberateľmi </w:t>
            </w:r>
            <w:r>
              <w:rPr>
                <w:rFonts w:ascii="Times" w:hAnsi="Times" w:cs="Times"/>
                <w:sz w:val="20"/>
                <w:szCs w:val="20"/>
              </w:rPr>
              <w:t>potravín a na základe skúseností z aplikačnej praxe,</w:t>
            </w:r>
            <w:r>
              <w:rPr>
                <w:rFonts w:ascii="Times" w:hAnsi="Times" w:cs="Times"/>
                <w:sz w:val="20"/>
                <w:szCs w:val="20"/>
              </w:rPr>
              <w:br/>
              <w:t>- samostatná úprava kontrolného procesu,</w:t>
            </w:r>
            <w:r>
              <w:rPr>
                <w:rFonts w:ascii="Times" w:hAnsi="Times" w:cs="Times"/>
                <w:sz w:val="20"/>
                <w:szCs w:val="20"/>
              </w:rPr>
              <w:br/>
              <w:t>- zavedenie úlohy Ministerstva pôdohospodárstva a rozvoja vidieka Slovenskej republiky ako koordinačného, poradenského a mediačného orgánu v procese uzatvárania zmlúv o dodávke potravín.</w:t>
            </w:r>
          </w:p>
        </w:tc>
      </w:tr>
      <w:tr w:rsidR="00D97D0F" w:rsidTr="00CA601C">
        <w:trPr>
          <w:jc w:val="center"/>
        </w:trPr>
        <w:tc>
          <w:tcPr>
            <w:tcW w:w="0" w:type="auto"/>
            <w:gridSpan w:val="2"/>
            <w:tcBorders>
              <w:top w:val="outset" w:sz="6" w:space="0" w:color="000000"/>
              <w:bottom w:val="outset" w:sz="6" w:space="0" w:color="000000"/>
            </w:tcBorders>
            <w:shd w:val="clear" w:color="auto" w:fill="E6E6E6"/>
            <w:hideMark/>
          </w:tcPr>
          <w:p w:rsidR="00D97D0F" w:rsidRDefault="00211FA4" w:rsidP="00D97D0F">
            <w:pPr>
              <w:rPr>
                <w:rFonts w:ascii="Times" w:hAnsi="Times" w:cs="Times"/>
                <w:b/>
                <w:bCs/>
                <w:sz w:val="22"/>
                <w:szCs w:val="22"/>
              </w:rPr>
            </w:pPr>
            <w:r>
              <w:rPr>
                <w:rFonts w:ascii="Times" w:hAnsi="Times" w:cs="Times"/>
                <w:b/>
                <w:bCs/>
                <w:sz w:val="22"/>
                <w:szCs w:val="22"/>
              </w:rPr>
              <w:t xml:space="preserve"> </w:t>
            </w:r>
            <w:r w:rsidR="00D97D0F">
              <w:rPr>
                <w:rFonts w:ascii="Times" w:hAnsi="Times" w:cs="Times"/>
                <w:b/>
                <w:bCs/>
                <w:sz w:val="22"/>
                <w:szCs w:val="22"/>
              </w:rPr>
              <w:t>4.</w:t>
            </w:r>
            <w:r>
              <w:rPr>
                <w:rFonts w:ascii="Times" w:hAnsi="Times" w:cs="Times"/>
                <w:b/>
                <w:bCs/>
                <w:sz w:val="22"/>
                <w:szCs w:val="22"/>
              </w:rPr>
              <w:t xml:space="preserve"> </w:t>
            </w:r>
            <w:r w:rsidR="00D97D0F">
              <w:rPr>
                <w:rFonts w:ascii="Times" w:hAnsi="Times" w:cs="Times"/>
                <w:b/>
                <w:bCs/>
                <w:sz w:val="22"/>
                <w:szCs w:val="22"/>
              </w:rPr>
              <w:t>Dotknuté subjekty</w:t>
            </w:r>
          </w:p>
        </w:tc>
      </w:tr>
      <w:tr w:rsidR="00D97D0F" w:rsidTr="00CA601C">
        <w:trPr>
          <w:trHeight w:val="413"/>
          <w:jc w:val="center"/>
        </w:trPr>
        <w:tc>
          <w:tcPr>
            <w:tcW w:w="0" w:type="auto"/>
            <w:gridSpan w:val="2"/>
            <w:tcBorders>
              <w:top w:val="outset" w:sz="6" w:space="0" w:color="000000"/>
              <w:bottom w:val="outset" w:sz="6" w:space="0" w:color="000000"/>
            </w:tcBorders>
            <w:hideMark/>
          </w:tcPr>
          <w:p w:rsidR="00D97D0F" w:rsidRDefault="00D97D0F" w:rsidP="00D97D0F">
            <w:pPr>
              <w:rPr>
                <w:rFonts w:ascii="Times" w:hAnsi="Times" w:cs="Times"/>
                <w:sz w:val="20"/>
                <w:szCs w:val="20"/>
              </w:rPr>
            </w:pPr>
            <w:r>
              <w:rPr>
                <w:rFonts w:ascii="Times" w:hAnsi="Times" w:cs="Times"/>
                <w:sz w:val="20"/>
                <w:szCs w:val="20"/>
              </w:rPr>
              <w:t>Podnikateľské subjekty v Slovenskej republike, ktorých predmetom činnosti je výroba, dodávanie a následný predaj potravín.</w:t>
            </w:r>
          </w:p>
        </w:tc>
      </w:tr>
      <w:tr w:rsidR="00D97D0F" w:rsidTr="00CA601C">
        <w:trPr>
          <w:jc w:val="center"/>
        </w:trPr>
        <w:tc>
          <w:tcPr>
            <w:tcW w:w="0" w:type="auto"/>
            <w:gridSpan w:val="2"/>
            <w:tcBorders>
              <w:top w:val="outset" w:sz="6" w:space="0" w:color="000000"/>
              <w:bottom w:val="outset" w:sz="6" w:space="0" w:color="000000"/>
            </w:tcBorders>
            <w:shd w:val="clear" w:color="auto" w:fill="E6E6E6"/>
            <w:hideMark/>
          </w:tcPr>
          <w:p w:rsidR="00D97D0F" w:rsidRDefault="00211FA4" w:rsidP="00D97D0F">
            <w:pPr>
              <w:rPr>
                <w:rFonts w:ascii="Times" w:hAnsi="Times" w:cs="Times"/>
                <w:b/>
                <w:bCs/>
                <w:sz w:val="22"/>
                <w:szCs w:val="22"/>
              </w:rPr>
            </w:pPr>
            <w:r>
              <w:rPr>
                <w:rFonts w:ascii="Times" w:hAnsi="Times" w:cs="Times"/>
                <w:b/>
                <w:bCs/>
                <w:sz w:val="22"/>
                <w:szCs w:val="22"/>
              </w:rPr>
              <w:t xml:space="preserve"> </w:t>
            </w:r>
            <w:r w:rsidR="00D97D0F">
              <w:rPr>
                <w:rFonts w:ascii="Times" w:hAnsi="Times" w:cs="Times"/>
                <w:b/>
                <w:bCs/>
                <w:sz w:val="22"/>
                <w:szCs w:val="22"/>
              </w:rPr>
              <w:t>5.</w:t>
            </w:r>
            <w:r>
              <w:rPr>
                <w:rFonts w:ascii="Times" w:hAnsi="Times" w:cs="Times"/>
                <w:b/>
                <w:bCs/>
                <w:sz w:val="22"/>
                <w:szCs w:val="22"/>
              </w:rPr>
              <w:t xml:space="preserve"> </w:t>
            </w:r>
            <w:r w:rsidR="00D97D0F">
              <w:rPr>
                <w:rFonts w:ascii="Times" w:hAnsi="Times" w:cs="Times"/>
                <w:b/>
                <w:bCs/>
                <w:sz w:val="22"/>
                <w:szCs w:val="22"/>
              </w:rPr>
              <w:t>Alternatívne riešenia</w:t>
            </w:r>
          </w:p>
        </w:tc>
      </w:tr>
      <w:tr w:rsidR="00D97D0F" w:rsidTr="00CA601C">
        <w:trPr>
          <w:trHeight w:val="600"/>
          <w:jc w:val="center"/>
        </w:trPr>
        <w:tc>
          <w:tcPr>
            <w:tcW w:w="0" w:type="auto"/>
            <w:gridSpan w:val="2"/>
            <w:tcBorders>
              <w:top w:val="outset" w:sz="6" w:space="0" w:color="000000"/>
              <w:bottom w:val="outset" w:sz="6" w:space="0" w:color="000000"/>
            </w:tcBorders>
            <w:hideMark/>
          </w:tcPr>
          <w:p w:rsidR="00D97D0F" w:rsidRDefault="00D97D0F" w:rsidP="00D97D0F">
            <w:pPr>
              <w:rPr>
                <w:rFonts w:ascii="Times" w:hAnsi="Times" w:cs="Times"/>
                <w:sz w:val="20"/>
                <w:szCs w:val="20"/>
              </w:rPr>
            </w:pPr>
            <w:r>
              <w:rPr>
                <w:rFonts w:ascii="Times" w:hAnsi="Times" w:cs="Times"/>
                <w:sz w:val="20"/>
                <w:szCs w:val="20"/>
              </w:rPr>
              <w:t>Alternatíva 0: pretrvávanie problémov v aplikačnej praxi, ktoré sú popísané v druhom bode.</w:t>
            </w:r>
            <w:r>
              <w:rPr>
                <w:rFonts w:ascii="Times" w:hAnsi="Times" w:cs="Times"/>
                <w:sz w:val="20"/>
                <w:szCs w:val="20"/>
              </w:rPr>
              <w:br/>
              <w:t xml:space="preserve">Alternatíva 1: nová právna úprava neprimeraných podmienok v obchodných vzťahoch, ktorých predmetom sú potraviny. </w:t>
            </w:r>
          </w:p>
        </w:tc>
      </w:tr>
      <w:tr w:rsidR="00D97D0F" w:rsidTr="00CA601C">
        <w:trPr>
          <w:jc w:val="center"/>
        </w:trPr>
        <w:tc>
          <w:tcPr>
            <w:tcW w:w="0" w:type="auto"/>
            <w:gridSpan w:val="2"/>
            <w:tcBorders>
              <w:top w:val="outset" w:sz="6" w:space="0" w:color="000000"/>
              <w:bottom w:val="outset" w:sz="6" w:space="0" w:color="000000"/>
            </w:tcBorders>
            <w:shd w:val="clear" w:color="auto" w:fill="E6E6E6"/>
            <w:hideMark/>
          </w:tcPr>
          <w:p w:rsidR="00D97D0F" w:rsidRDefault="00211FA4" w:rsidP="00D97D0F">
            <w:pPr>
              <w:rPr>
                <w:rFonts w:ascii="Times" w:hAnsi="Times" w:cs="Times"/>
                <w:b/>
                <w:bCs/>
                <w:sz w:val="22"/>
                <w:szCs w:val="22"/>
              </w:rPr>
            </w:pPr>
            <w:r>
              <w:rPr>
                <w:rFonts w:ascii="Times" w:hAnsi="Times" w:cs="Times"/>
                <w:b/>
                <w:bCs/>
                <w:sz w:val="22"/>
                <w:szCs w:val="22"/>
              </w:rPr>
              <w:lastRenderedPageBreak/>
              <w:t xml:space="preserve"> </w:t>
            </w:r>
            <w:r w:rsidR="00D97D0F">
              <w:rPr>
                <w:rFonts w:ascii="Times" w:hAnsi="Times" w:cs="Times"/>
                <w:b/>
                <w:bCs/>
                <w:sz w:val="22"/>
                <w:szCs w:val="22"/>
              </w:rPr>
              <w:t>6.</w:t>
            </w:r>
            <w:r>
              <w:rPr>
                <w:rFonts w:ascii="Times" w:hAnsi="Times" w:cs="Times"/>
                <w:b/>
                <w:bCs/>
                <w:sz w:val="22"/>
                <w:szCs w:val="22"/>
              </w:rPr>
              <w:t xml:space="preserve"> </w:t>
            </w:r>
            <w:r w:rsidR="00D97D0F">
              <w:rPr>
                <w:rFonts w:ascii="Times" w:hAnsi="Times" w:cs="Times"/>
                <w:b/>
                <w:bCs/>
                <w:sz w:val="22"/>
                <w:szCs w:val="22"/>
              </w:rPr>
              <w:t>Vykonávacie predpisy</w:t>
            </w:r>
          </w:p>
        </w:tc>
      </w:tr>
      <w:tr w:rsidR="00D97D0F" w:rsidTr="00CA601C">
        <w:trPr>
          <w:trHeight w:val="600"/>
          <w:jc w:val="center"/>
        </w:trPr>
        <w:tc>
          <w:tcPr>
            <w:tcW w:w="0" w:type="auto"/>
            <w:gridSpan w:val="2"/>
            <w:tcBorders>
              <w:top w:val="outset" w:sz="6" w:space="0" w:color="000000"/>
              <w:bottom w:val="outset" w:sz="6" w:space="0" w:color="000000"/>
            </w:tcBorders>
            <w:hideMark/>
          </w:tcPr>
          <w:p w:rsidR="00D97D0F" w:rsidRDefault="00D97D0F" w:rsidP="00D97D0F">
            <w:pPr>
              <w:rPr>
                <w:rFonts w:ascii="Times" w:hAnsi="Times" w:cs="Times"/>
                <w:sz w:val="20"/>
                <w:szCs w:val="20"/>
              </w:rPr>
            </w:pPr>
            <w:r>
              <w:rPr>
                <w:rFonts w:ascii="Times" w:hAnsi="Times" w:cs="Times"/>
                <w:sz w:val="20"/>
                <w:szCs w:val="20"/>
              </w:rPr>
              <w:t>Predpokladá sa prijatie/zmena vykonávacích predpisov?</w:t>
            </w:r>
            <w:r w:rsidR="00211FA4">
              <w:rPr>
                <w:rFonts w:ascii="Times" w:hAnsi="Times" w:cs="Times"/>
                <w:sz w:val="20"/>
                <w:szCs w:val="20"/>
              </w:rPr>
              <w:t xml:space="preserve"> </w:t>
            </w:r>
            <w:r>
              <w:rPr>
                <w:rFonts w:ascii="Wingdings 2" w:hAnsi="Wingdings 2" w:cs="Times"/>
                <w:sz w:val="20"/>
                <w:szCs w:val="20"/>
              </w:rPr>
              <w:t></w:t>
            </w:r>
            <w:r w:rsidR="00211FA4">
              <w:rPr>
                <w:rFonts w:ascii="Times" w:hAnsi="Times" w:cs="Times"/>
                <w:sz w:val="20"/>
                <w:szCs w:val="20"/>
              </w:rPr>
              <w:t xml:space="preserve"> </w:t>
            </w:r>
            <w:r>
              <w:rPr>
                <w:rFonts w:ascii="Times" w:hAnsi="Times" w:cs="Times"/>
                <w:sz w:val="20"/>
                <w:szCs w:val="20"/>
              </w:rPr>
              <w:t>Áno</w:t>
            </w:r>
            <w:r w:rsidR="00211FA4">
              <w:rPr>
                <w:rFonts w:ascii="Times" w:hAnsi="Times" w:cs="Times"/>
                <w:sz w:val="20"/>
                <w:szCs w:val="20"/>
              </w:rPr>
              <w:t xml:space="preserve"> </w:t>
            </w:r>
            <w:r>
              <w:rPr>
                <w:rFonts w:ascii="Wingdings 2" w:hAnsi="Wingdings 2" w:cs="Times"/>
                <w:sz w:val="28"/>
                <w:szCs w:val="28"/>
              </w:rPr>
              <w:t></w:t>
            </w:r>
            <w:r w:rsidR="00211FA4">
              <w:rPr>
                <w:rFonts w:ascii="Times" w:hAnsi="Times" w:cs="Times"/>
                <w:sz w:val="20"/>
                <w:szCs w:val="20"/>
              </w:rPr>
              <w:t xml:space="preserve"> </w:t>
            </w:r>
            <w:r>
              <w:rPr>
                <w:rFonts w:ascii="Times" w:hAnsi="Times" w:cs="Times"/>
                <w:sz w:val="20"/>
                <w:szCs w:val="20"/>
              </w:rPr>
              <w:t>Nie</w:t>
            </w:r>
            <w:r>
              <w:rPr>
                <w:rFonts w:ascii="Times" w:hAnsi="Times" w:cs="Times"/>
                <w:sz w:val="20"/>
                <w:szCs w:val="20"/>
              </w:rPr>
              <w:br/>
              <w:t xml:space="preserve">Predpokladá sa prijatie vyhlášky Ministerstva pôdohospodárstva a rozvoja vidieka Slovenskej republiky, ktorá ustanoví zoznam vybraných potravín, pre ktoré bude platiť 15 dňová splatnosť podľa § 3 predkladaného materiálu. </w:t>
            </w:r>
          </w:p>
        </w:tc>
      </w:tr>
      <w:tr w:rsidR="00D97D0F" w:rsidTr="00CA601C">
        <w:trPr>
          <w:jc w:val="center"/>
        </w:trPr>
        <w:tc>
          <w:tcPr>
            <w:tcW w:w="0" w:type="auto"/>
            <w:gridSpan w:val="2"/>
            <w:tcBorders>
              <w:top w:val="outset" w:sz="6" w:space="0" w:color="000000"/>
              <w:bottom w:val="outset" w:sz="6" w:space="0" w:color="000000"/>
            </w:tcBorders>
            <w:shd w:val="clear" w:color="auto" w:fill="E6E6E6"/>
            <w:hideMark/>
          </w:tcPr>
          <w:p w:rsidR="00D97D0F" w:rsidRDefault="00211FA4" w:rsidP="00D97D0F">
            <w:pPr>
              <w:rPr>
                <w:rFonts w:ascii="Times" w:hAnsi="Times" w:cs="Times"/>
                <w:b/>
                <w:bCs/>
                <w:sz w:val="22"/>
                <w:szCs w:val="22"/>
              </w:rPr>
            </w:pPr>
            <w:r>
              <w:rPr>
                <w:rFonts w:ascii="Times" w:hAnsi="Times" w:cs="Times"/>
                <w:b/>
                <w:bCs/>
                <w:sz w:val="22"/>
                <w:szCs w:val="22"/>
              </w:rPr>
              <w:t xml:space="preserve"> </w:t>
            </w:r>
            <w:r w:rsidR="00D97D0F">
              <w:rPr>
                <w:rFonts w:ascii="Times" w:hAnsi="Times" w:cs="Times"/>
                <w:b/>
                <w:bCs/>
                <w:sz w:val="22"/>
                <w:szCs w:val="22"/>
              </w:rPr>
              <w:t>7.</w:t>
            </w:r>
            <w:r>
              <w:rPr>
                <w:rFonts w:ascii="Times" w:hAnsi="Times" w:cs="Times"/>
                <w:b/>
                <w:bCs/>
                <w:sz w:val="22"/>
                <w:szCs w:val="22"/>
              </w:rPr>
              <w:t xml:space="preserve"> </w:t>
            </w:r>
            <w:r w:rsidR="00D97D0F">
              <w:rPr>
                <w:rFonts w:ascii="Times" w:hAnsi="Times" w:cs="Times"/>
                <w:b/>
                <w:bCs/>
                <w:sz w:val="22"/>
                <w:szCs w:val="22"/>
              </w:rPr>
              <w:t xml:space="preserve">Transpozícia práva EÚ </w:t>
            </w:r>
          </w:p>
        </w:tc>
      </w:tr>
      <w:tr w:rsidR="00D97D0F" w:rsidTr="00CA601C">
        <w:trPr>
          <w:trHeight w:val="299"/>
          <w:jc w:val="center"/>
        </w:trPr>
        <w:tc>
          <w:tcPr>
            <w:tcW w:w="0" w:type="auto"/>
            <w:gridSpan w:val="2"/>
            <w:tcBorders>
              <w:top w:val="outset" w:sz="6" w:space="0" w:color="000000"/>
              <w:bottom w:val="outset" w:sz="6" w:space="0" w:color="000000"/>
            </w:tcBorders>
            <w:hideMark/>
          </w:tcPr>
          <w:p w:rsidR="00D97D0F" w:rsidRDefault="00D97D0F" w:rsidP="00D97D0F">
            <w:pPr>
              <w:rPr>
                <w:rFonts w:ascii="Times" w:hAnsi="Times" w:cs="Times"/>
                <w:sz w:val="20"/>
                <w:szCs w:val="20"/>
              </w:rPr>
            </w:pPr>
            <w:r>
              <w:rPr>
                <w:rFonts w:ascii="Times" w:hAnsi="Times" w:cs="Times"/>
                <w:sz w:val="20"/>
                <w:szCs w:val="20"/>
              </w:rPr>
              <w:t>Nie.</w:t>
            </w:r>
          </w:p>
        </w:tc>
      </w:tr>
      <w:tr w:rsidR="00D97D0F" w:rsidTr="00CA601C">
        <w:trPr>
          <w:jc w:val="center"/>
        </w:trPr>
        <w:tc>
          <w:tcPr>
            <w:tcW w:w="0" w:type="auto"/>
            <w:gridSpan w:val="2"/>
            <w:tcBorders>
              <w:top w:val="outset" w:sz="6" w:space="0" w:color="000000"/>
              <w:bottom w:val="outset" w:sz="6" w:space="0" w:color="000000"/>
            </w:tcBorders>
            <w:shd w:val="clear" w:color="auto" w:fill="E6E6E6"/>
            <w:hideMark/>
          </w:tcPr>
          <w:p w:rsidR="00D97D0F" w:rsidRDefault="00211FA4" w:rsidP="00D97D0F">
            <w:pPr>
              <w:rPr>
                <w:rFonts w:ascii="Times" w:hAnsi="Times" w:cs="Times"/>
                <w:b/>
                <w:bCs/>
                <w:sz w:val="22"/>
                <w:szCs w:val="22"/>
              </w:rPr>
            </w:pPr>
            <w:r>
              <w:rPr>
                <w:rFonts w:ascii="Times" w:hAnsi="Times" w:cs="Times"/>
                <w:b/>
                <w:bCs/>
                <w:sz w:val="22"/>
                <w:szCs w:val="22"/>
              </w:rPr>
              <w:t xml:space="preserve"> </w:t>
            </w:r>
            <w:r w:rsidR="00D97D0F">
              <w:rPr>
                <w:rFonts w:ascii="Times" w:hAnsi="Times" w:cs="Times"/>
                <w:b/>
                <w:bCs/>
                <w:sz w:val="22"/>
                <w:szCs w:val="22"/>
              </w:rPr>
              <w:t>8.</w:t>
            </w:r>
            <w:r>
              <w:rPr>
                <w:rFonts w:ascii="Times" w:hAnsi="Times" w:cs="Times"/>
                <w:b/>
                <w:bCs/>
                <w:sz w:val="22"/>
                <w:szCs w:val="22"/>
              </w:rPr>
              <w:t xml:space="preserve"> </w:t>
            </w:r>
            <w:r w:rsidR="00D97D0F">
              <w:rPr>
                <w:rFonts w:ascii="Times" w:hAnsi="Times" w:cs="Times"/>
                <w:b/>
                <w:bCs/>
                <w:sz w:val="22"/>
                <w:szCs w:val="22"/>
              </w:rPr>
              <w:t>Preskúmanie účelnosti**</w:t>
            </w:r>
          </w:p>
        </w:tc>
      </w:tr>
      <w:tr w:rsidR="00D97D0F" w:rsidTr="00CA601C">
        <w:trPr>
          <w:trHeight w:val="265"/>
          <w:jc w:val="center"/>
        </w:trPr>
        <w:tc>
          <w:tcPr>
            <w:tcW w:w="0" w:type="auto"/>
            <w:gridSpan w:val="2"/>
            <w:tcBorders>
              <w:top w:val="outset" w:sz="6" w:space="0" w:color="000000"/>
              <w:bottom w:val="outset" w:sz="6" w:space="0" w:color="000000"/>
            </w:tcBorders>
            <w:hideMark/>
          </w:tcPr>
          <w:p w:rsidR="00D97D0F" w:rsidRDefault="00D97D0F" w:rsidP="00D97D0F">
            <w:pPr>
              <w:rPr>
                <w:rFonts w:ascii="Times" w:hAnsi="Times" w:cs="Times"/>
                <w:b/>
                <w:bCs/>
                <w:sz w:val="22"/>
                <w:szCs w:val="22"/>
              </w:rPr>
            </w:pPr>
          </w:p>
        </w:tc>
      </w:tr>
    </w:tbl>
    <w:p w:rsidR="00D97D0F" w:rsidRPr="00543B8E" w:rsidRDefault="00D97D0F" w:rsidP="00D97D0F">
      <w:pPr>
        <w:ind w:left="142" w:hanging="142"/>
        <w:rPr>
          <w:sz w:val="20"/>
          <w:szCs w:val="20"/>
        </w:rPr>
      </w:pPr>
      <w:r w:rsidRPr="00543B8E">
        <w:rPr>
          <w:sz w:val="20"/>
          <w:szCs w:val="20"/>
        </w:rPr>
        <w:t>* vyplniť iba v prípade, ak materiál nie je zahrnutý do Plánu práce vlády Slovenskej republiky alebo Plánu</w:t>
      </w:r>
      <w:r w:rsidR="00211FA4">
        <w:rPr>
          <w:sz w:val="20"/>
          <w:szCs w:val="20"/>
        </w:rPr>
        <w:t xml:space="preserve"> </w:t>
      </w:r>
      <w:r w:rsidRPr="00543B8E">
        <w:rPr>
          <w:sz w:val="20"/>
          <w:szCs w:val="20"/>
        </w:rPr>
        <w:t xml:space="preserve">legislatívnych úloh vlády Slovenskej republiky. </w:t>
      </w:r>
    </w:p>
    <w:p w:rsidR="00D97D0F" w:rsidRDefault="00D97D0F" w:rsidP="00D97D0F">
      <w:pPr>
        <w:pStyle w:val="Normlnywebov"/>
        <w:spacing w:before="0" w:beforeAutospacing="0" w:after="0" w:afterAutospacing="0"/>
        <w:rPr>
          <w:sz w:val="20"/>
          <w:szCs w:val="20"/>
        </w:rPr>
      </w:pPr>
      <w:r w:rsidRPr="00543B8E">
        <w:rPr>
          <w:sz w:val="20"/>
          <w:szCs w:val="20"/>
        </w:rPr>
        <w:t>** nepovinné</w:t>
      </w: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33"/>
        <w:gridCol w:w="1818"/>
        <w:gridCol w:w="1818"/>
        <w:gridCol w:w="1819"/>
      </w:tblGrid>
      <w:tr w:rsidR="00D97D0F" w:rsidTr="00CA601C">
        <w:trPr>
          <w:trHeight w:val="450"/>
          <w:jc w:val="center"/>
        </w:trPr>
        <w:tc>
          <w:tcPr>
            <w:tcW w:w="5000" w:type="pct"/>
            <w:gridSpan w:val="4"/>
            <w:tcBorders>
              <w:top w:val="outset" w:sz="6" w:space="0" w:color="000000"/>
              <w:bottom w:val="outset" w:sz="6" w:space="0" w:color="000000"/>
            </w:tcBorders>
            <w:shd w:val="clear" w:color="auto" w:fill="E6E6E6"/>
            <w:hideMark/>
          </w:tcPr>
          <w:p w:rsidR="00D97D0F" w:rsidRDefault="00211FA4" w:rsidP="00D97D0F">
            <w:pPr>
              <w:rPr>
                <w:rFonts w:ascii="Times" w:hAnsi="Times" w:cs="Times"/>
                <w:b/>
                <w:bCs/>
                <w:sz w:val="20"/>
                <w:szCs w:val="20"/>
              </w:rPr>
            </w:pPr>
            <w:r>
              <w:rPr>
                <w:rFonts w:ascii="Times" w:hAnsi="Times" w:cs="Times"/>
                <w:b/>
                <w:bCs/>
                <w:sz w:val="20"/>
                <w:szCs w:val="20"/>
              </w:rPr>
              <w:t xml:space="preserve"> </w:t>
            </w:r>
            <w:r w:rsidR="00D97D0F">
              <w:rPr>
                <w:rFonts w:ascii="Times" w:hAnsi="Times" w:cs="Times"/>
                <w:b/>
                <w:bCs/>
                <w:sz w:val="20"/>
                <w:szCs w:val="20"/>
              </w:rPr>
              <w:t>9.</w:t>
            </w:r>
            <w:r>
              <w:rPr>
                <w:rFonts w:ascii="Times" w:hAnsi="Times" w:cs="Times"/>
                <w:b/>
                <w:bCs/>
                <w:sz w:val="20"/>
                <w:szCs w:val="20"/>
              </w:rPr>
              <w:t xml:space="preserve"> </w:t>
            </w:r>
            <w:r w:rsidR="00D97D0F">
              <w:rPr>
                <w:rFonts w:ascii="Times" w:hAnsi="Times" w:cs="Times"/>
                <w:b/>
                <w:bCs/>
                <w:sz w:val="20"/>
                <w:szCs w:val="20"/>
              </w:rPr>
              <w:t>Vplyvy navrhovaného materiálu</w:t>
            </w:r>
          </w:p>
        </w:tc>
      </w:tr>
      <w:tr w:rsidR="00D97D0F" w:rsidTr="00CA601C">
        <w:trPr>
          <w:trHeight w:val="270"/>
          <w:jc w:val="center"/>
        </w:trPr>
        <w:tc>
          <w:tcPr>
            <w:tcW w:w="1999" w:type="pct"/>
            <w:vMerge w:val="restart"/>
            <w:tcBorders>
              <w:top w:val="outset" w:sz="6" w:space="0" w:color="000000"/>
              <w:bottom w:val="outset" w:sz="6" w:space="0" w:color="000000"/>
              <w:right w:val="outset" w:sz="6" w:space="0" w:color="000000"/>
            </w:tcBorders>
            <w:shd w:val="clear" w:color="auto" w:fill="E6E6E6"/>
            <w:vAlign w:val="center"/>
            <w:hideMark/>
          </w:tcPr>
          <w:p w:rsidR="00D97D0F" w:rsidRDefault="00211FA4" w:rsidP="00D97D0F">
            <w:pPr>
              <w:rPr>
                <w:rFonts w:ascii="Times" w:hAnsi="Times" w:cs="Times"/>
                <w:sz w:val="20"/>
                <w:szCs w:val="20"/>
              </w:rPr>
            </w:pPr>
            <w:r>
              <w:rPr>
                <w:rFonts w:ascii="Times" w:hAnsi="Times" w:cs="Times"/>
                <w:b/>
                <w:bCs/>
                <w:sz w:val="20"/>
                <w:szCs w:val="20"/>
              </w:rPr>
              <w:t xml:space="preserve"> </w:t>
            </w:r>
            <w:r w:rsidR="00D97D0F">
              <w:rPr>
                <w:rFonts w:ascii="Times" w:hAnsi="Times" w:cs="Times"/>
                <w:b/>
                <w:bCs/>
                <w:sz w:val="20"/>
                <w:szCs w:val="20"/>
              </w:rPr>
              <w:t>Vplyvy na rozpočet verejnej správy</w:t>
            </w:r>
            <w:r w:rsidR="00D97D0F">
              <w:rPr>
                <w:rFonts w:ascii="Times" w:hAnsi="Times" w:cs="Times"/>
                <w:sz w:val="20"/>
                <w:szCs w:val="20"/>
              </w:rPr>
              <w:br/>
            </w:r>
            <w:r>
              <w:rPr>
                <w:rFonts w:ascii="Times" w:hAnsi="Times" w:cs="Times"/>
                <w:sz w:val="20"/>
                <w:szCs w:val="20"/>
              </w:rPr>
              <w:t xml:space="preserve"> </w:t>
            </w:r>
            <w:r w:rsidR="00D97D0F">
              <w:rPr>
                <w:rFonts w:ascii="Times" w:hAnsi="Times" w:cs="Times"/>
                <w:sz w:val="20"/>
                <w:szCs w:val="20"/>
              </w:rPr>
              <w:t>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97D0F" w:rsidRDefault="00211FA4" w:rsidP="00D97D0F">
            <w:pPr>
              <w:rPr>
                <w:rFonts w:ascii="Times" w:hAnsi="Times" w:cs="Times"/>
                <w:sz w:val="20"/>
                <w:szCs w:val="20"/>
              </w:rPr>
            </w:pPr>
            <w:r>
              <w:rPr>
                <w:rFonts w:ascii="Times" w:hAnsi="Times" w:cs="Times"/>
                <w:sz w:val="20"/>
                <w:szCs w:val="20"/>
              </w:rPr>
              <w:t xml:space="preserve"> </w:t>
            </w:r>
            <w:r w:rsidR="00D97D0F">
              <w:rPr>
                <w:rFonts w:ascii="Wingdings 2" w:hAnsi="Wingdings 2" w:cs="Times"/>
                <w:sz w:val="20"/>
                <w:szCs w:val="20"/>
              </w:rPr>
              <w:t></w:t>
            </w:r>
            <w:r>
              <w:rPr>
                <w:rFonts w:ascii="Times" w:hAnsi="Times" w:cs="Times"/>
                <w:sz w:val="20"/>
                <w:szCs w:val="20"/>
              </w:rPr>
              <w:t xml:space="preserve"> </w:t>
            </w:r>
            <w:r w:rsidR="00D97D0F">
              <w:rPr>
                <w:rFonts w:ascii="Times" w:hAnsi="Times" w:cs="Times"/>
                <w:sz w:val="20"/>
                <w:szCs w:val="20"/>
              </w:rPr>
              <w:t>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97D0F" w:rsidRDefault="00211FA4" w:rsidP="00D97D0F">
            <w:pPr>
              <w:rPr>
                <w:rFonts w:ascii="Times" w:hAnsi="Times" w:cs="Times"/>
                <w:sz w:val="20"/>
                <w:szCs w:val="20"/>
              </w:rPr>
            </w:pPr>
            <w:r>
              <w:rPr>
                <w:rFonts w:ascii="Times" w:hAnsi="Times" w:cs="Times"/>
                <w:sz w:val="20"/>
                <w:szCs w:val="20"/>
              </w:rPr>
              <w:t xml:space="preserve"> </w:t>
            </w:r>
            <w:r w:rsidR="00D97D0F">
              <w:rPr>
                <w:rFonts w:ascii="Wingdings 2" w:hAnsi="Wingdings 2" w:cs="Times"/>
                <w:sz w:val="28"/>
                <w:szCs w:val="28"/>
              </w:rPr>
              <w:t></w:t>
            </w:r>
            <w:r>
              <w:rPr>
                <w:rFonts w:ascii="Times" w:hAnsi="Times" w:cs="Times"/>
                <w:sz w:val="20"/>
                <w:szCs w:val="20"/>
              </w:rPr>
              <w:t xml:space="preserve"> </w:t>
            </w:r>
            <w:r w:rsidR="00D97D0F">
              <w:rPr>
                <w:rFonts w:ascii="Times" w:hAnsi="Times" w:cs="Times"/>
                <w:sz w:val="20"/>
                <w:szCs w:val="20"/>
              </w:rPr>
              <w:t>Žiadne</w:t>
            </w:r>
          </w:p>
        </w:tc>
        <w:tc>
          <w:tcPr>
            <w:tcW w:w="1001" w:type="pct"/>
            <w:tcBorders>
              <w:top w:val="outset" w:sz="6" w:space="0" w:color="000000"/>
              <w:left w:val="outset" w:sz="6" w:space="0" w:color="000000"/>
              <w:bottom w:val="outset" w:sz="6" w:space="0" w:color="000000"/>
            </w:tcBorders>
            <w:vAlign w:val="center"/>
            <w:hideMark/>
          </w:tcPr>
          <w:p w:rsidR="00D97D0F" w:rsidRDefault="00211FA4" w:rsidP="00D97D0F">
            <w:pPr>
              <w:rPr>
                <w:rFonts w:ascii="Times" w:hAnsi="Times" w:cs="Times"/>
                <w:sz w:val="20"/>
                <w:szCs w:val="20"/>
              </w:rPr>
            </w:pPr>
            <w:r>
              <w:rPr>
                <w:rFonts w:ascii="Times" w:hAnsi="Times" w:cs="Times"/>
                <w:sz w:val="20"/>
                <w:szCs w:val="20"/>
              </w:rPr>
              <w:t xml:space="preserve"> </w:t>
            </w:r>
            <w:r w:rsidR="00D97D0F">
              <w:rPr>
                <w:rFonts w:ascii="Wingdings 2" w:hAnsi="Wingdings 2" w:cs="Times"/>
                <w:sz w:val="28"/>
                <w:szCs w:val="28"/>
              </w:rPr>
              <w:t></w:t>
            </w:r>
            <w:r>
              <w:rPr>
                <w:rFonts w:ascii="Times" w:hAnsi="Times" w:cs="Times"/>
                <w:sz w:val="20"/>
                <w:szCs w:val="20"/>
              </w:rPr>
              <w:t xml:space="preserve"> </w:t>
            </w:r>
            <w:r w:rsidR="00D97D0F">
              <w:rPr>
                <w:rFonts w:ascii="Times" w:hAnsi="Times" w:cs="Times"/>
                <w:sz w:val="20"/>
                <w:szCs w:val="20"/>
              </w:rPr>
              <w:t>Negatívne</w:t>
            </w:r>
          </w:p>
        </w:tc>
      </w:tr>
      <w:tr w:rsidR="00D97D0F" w:rsidTr="00CA601C">
        <w:trPr>
          <w:trHeight w:val="270"/>
          <w:jc w:val="center"/>
        </w:trPr>
        <w:tc>
          <w:tcPr>
            <w:tcW w:w="0" w:type="auto"/>
            <w:vMerge/>
            <w:tcBorders>
              <w:top w:val="outset" w:sz="6" w:space="0" w:color="000000"/>
              <w:bottom w:val="outset" w:sz="6" w:space="0" w:color="000000"/>
              <w:right w:val="outset" w:sz="6" w:space="0" w:color="000000"/>
            </w:tcBorders>
            <w:vAlign w:val="center"/>
            <w:hideMark/>
          </w:tcPr>
          <w:p w:rsidR="00D97D0F" w:rsidRDefault="00D97D0F" w:rsidP="00D97D0F">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97D0F" w:rsidRDefault="00211FA4" w:rsidP="00D97D0F">
            <w:pPr>
              <w:rPr>
                <w:rFonts w:ascii="Times" w:hAnsi="Times" w:cs="Times"/>
                <w:sz w:val="20"/>
                <w:szCs w:val="20"/>
              </w:rPr>
            </w:pPr>
            <w:r>
              <w:rPr>
                <w:rFonts w:ascii="Times" w:hAnsi="Times" w:cs="Times"/>
                <w:sz w:val="20"/>
                <w:szCs w:val="20"/>
              </w:rPr>
              <w:t xml:space="preserve"> </w:t>
            </w:r>
            <w:r w:rsidR="00D97D0F">
              <w:rPr>
                <w:rFonts w:ascii="Wingdings 2" w:hAnsi="Wingdings 2" w:cs="Times"/>
                <w:sz w:val="28"/>
                <w:szCs w:val="28"/>
              </w:rPr>
              <w:t></w:t>
            </w:r>
            <w:r>
              <w:rPr>
                <w:rFonts w:ascii="Times" w:hAnsi="Times" w:cs="Times"/>
                <w:sz w:val="20"/>
                <w:szCs w:val="20"/>
              </w:rPr>
              <w:t xml:space="preserve"> </w:t>
            </w:r>
            <w:r w:rsidR="00D97D0F">
              <w:rPr>
                <w:rFonts w:ascii="Times" w:hAnsi="Times" w:cs="Times"/>
                <w:sz w:val="20"/>
                <w:szCs w:val="20"/>
              </w:rPr>
              <w:t>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97D0F" w:rsidRDefault="00211FA4" w:rsidP="00D97D0F">
            <w:pPr>
              <w:rPr>
                <w:rFonts w:ascii="Times" w:hAnsi="Times" w:cs="Times"/>
                <w:sz w:val="20"/>
                <w:szCs w:val="20"/>
              </w:rPr>
            </w:pPr>
            <w:r>
              <w:rPr>
                <w:rFonts w:ascii="Times" w:hAnsi="Times" w:cs="Times"/>
                <w:sz w:val="20"/>
                <w:szCs w:val="20"/>
              </w:rPr>
              <w:t xml:space="preserve"> </w:t>
            </w:r>
            <w:r w:rsidR="00D97D0F">
              <w:rPr>
                <w:rFonts w:ascii="Wingdings 2" w:hAnsi="Wingdings 2" w:cs="Times"/>
                <w:sz w:val="28"/>
                <w:szCs w:val="28"/>
              </w:rPr>
              <w:t></w:t>
            </w:r>
            <w:r>
              <w:rPr>
                <w:rFonts w:ascii="Times" w:hAnsi="Times" w:cs="Times"/>
                <w:sz w:val="20"/>
                <w:szCs w:val="20"/>
              </w:rPr>
              <w:t xml:space="preserve"> </w:t>
            </w:r>
            <w:r w:rsidR="00D97D0F">
              <w:rPr>
                <w:rFonts w:ascii="Times" w:hAnsi="Times" w:cs="Times"/>
                <w:sz w:val="20"/>
                <w:szCs w:val="20"/>
              </w:rPr>
              <w:t>Nie</w:t>
            </w:r>
          </w:p>
        </w:tc>
        <w:tc>
          <w:tcPr>
            <w:tcW w:w="1001" w:type="pct"/>
            <w:tcBorders>
              <w:top w:val="outset" w:sz="6" w:space="0" w:color="000000"/>
              <w:left w:val="outset" w:sz="6" w:space="0" w:color="000000"/>
              <w:bottom w:val="outset" w:sz="6" w:space="0" w:color="000000"/>
            </w:tcBorders>
            <w:vAlign w:val="center"/>
            <w:hideMark/>
          </w:tcPr>
          <w:p w:rsidR="00D97D0F" w:rsidRDefault="00211FA4" w:rsidP="00D97D0F">
            <w:pPr>
              <w:rPr>
                <w:rFonts w:ascii="Times" w:hAnsi="Times" w:cs="Times"/>
                <w:sz w:val="20"/>
                <w:szCs w:val="20"/>
              </w:rPr>
            </w:pPr>
            <w:r>
              <w:rPr>
                <w:rFonts w:ascii="Times" w:hAnsi="Times" w:cs="Times"/>
                <w:sz w:val="20"/>
                <w:szCs w:val="20"/>
              </w:rPr>
              <w:t xml:space="preserve"> </w:t>
            </w:r>
            <w:r w:rsidR="00D97D0F">
              <w:rPr>
                <w:rFonts w:ascii="Wingdings 2" w:hAnsi="Wingdings 2" w:cs="Times"/>
                <w:sz w:val="28"/>
                <w:szCs w:val="28"/>
              </w:rPr>
              <w:t></w:t>
            </w:r>
            <w:r>
              <w:rPr>
                <w:rFonts w:ascii="Times" w:hAnsi="Times" w:cs="Times"/>
                <w:sz w:val="20"/>
                <w:szCs w:val="20"/>
              </w:rPr>
              <w:t xml:space="preserve"> </w:t>
            </w:r>
            <w:r w:rsidR="00D97D0F">
              <w:rPr>
                <w:rFonts w:ascii="Times" w:hAnsi="Times" w:cs="Times"/>
                <w:sz w:val="20"/>
                <w:szCs w:val="20"/>
              </w:rPr>
              <w:t>Čiastočne</w:t>
            </w:r>
          </w:p>
        </w:tc>
      </w:tr>
      <w:tr w:rsidR="00D97D0F" w:rsidTr="00CA601C">
        <w:trPr>
          <w:trHeight w:val="270"/>
          <w:jc w:val="center"/>
        </w:trPr>
        <w:tc>
          <w:tcPr>
            <w:tcW w:w="1999" w:type="pct"/>
            <w:vMerge w:val="restart"/>
            <w:tcBorders>
              <w:top w:val="outset" w:sz="6" w:space="0" w:color="000000"/>
              <w:bottom w:val="outset" w:sz="6" w:space="0" w:color="000000"/>
              <w:right w:val="outset" w:sz="6" w:space="0" w:color="000000"/>
            </w:tcBorders>
            <w:shd w:val="clear" w:color="auto" w:fill="E6E6E6"/>
            <w:vAlign w:val="center"/>
            <w:hideMark/>
          </w:tcPr>
          <w:p w:rsidR="00D97D0F" w:rsidRDefault="00211FA4" w:rsidP="00D97D0F">
            <w:pPr>
              <w:rPr>
                <w:rFonts w:ascii="Times" w:hAnsi="Times" w:cs="Times"/>
                <w:sz w:val="20"/>
                <w:szCs w:val="20"/>
              </w:rPr>
            </w:pPr>
            <w:r>
              <w:rPr>
                <w:rFonts w:ascii="Times" w:hAnsi="Times" w:cs="Times"/>
                <w:b/>
                <w:bCs/>
                <w:sz w:val="20"/>
                <w:szCs w:val="20"/>
              </w:rPr>
              <w:t xml:space="preserve"> </w:t>
            </w:r>
            <w:r w:rsidR="00D97D0F">
              <w:rPr>
                <w:rFonts w:ascii="Times" w:hAnsi="Times" w:cs="Times"/>
                <w:b/>
                <w:bCs/>
                <w:sz w:val="20"/>
                <w:szCs w:val="20"/>
              </w:rPr>
              <w:t>Vplyvy na podnikateľské prostredie</w:t>
            </w:r>
            <w:r w:rsidR="00D97D0F">
              <w:rPr>
                <w:rFonts w:ascii="Times" w:hAnsi="Times" w:cs="Times"/>
                <w:sz w:val="20"/>
                <w:szCs w:val="20"/>
              </w:rPr>
              <w:br/>
            </w:r>
            <w:r>
              <w:rPr>
                <w:rFonts w:ascii="Times" w:hAnsi="Times" w:cs="Times"/>
                <w:sz w:val="20"/>
                <w:szCs w:val="20"/>
              </w:rPr>
              <w:t xml:space="preserve"> </w:t>
            </w:r>
            <w:r w:rsidR="00D97D0F">
              <w:rPr>
                <w:rFonts w:ascii="Times" w:hAnsi="Times" w:cs="Times"/>
                <w:sz w:val="20"/>
                <w:szCs w:val="20"/>
              </w:rPr>
              <w:t>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97D0F" w:rsidRDefault="00211FA4" w:rsidP="00D97D0F">
            <w:pPr>
              <w:rPr>
                <w:rFonts w:ascii="Times" w:hAnsi="Times" w:cs="Times"/>
                <w:sz w:val="20"/>
                <w:szCs w:val="20"/>
              </w:rPr>
            </w:pPr>
            <w:r>
              <w:rPr>
                <w:rFonts w:ascii="Times" w:hAnsi="Times" w:cs="Times"/>
                <w:sz w:val="20"/>
                <w:szCs w:val="20"/>
              </w:rPr>
              <w:t xml:space="preserve"> </w:t>
            </w:r>
            <w:r w:rsidR="00D97D0F">
              <w:rPr>
                <w:rFonts w:ascii="Wingdings 2" w:hAnsi="Wingdings 2" w:cs="Times"/>
                <w:sz w:val="20"/>
                <w:szCs w:val="20"/>
              </w:rPr>
              <w:t></w:t>
            </w:r>
            <w:r>
              <w:rPr>
                <w:rFonts w:ascii="Times" w:hAnsi="Times" w:cs="Times"/>
                <w:sz w:val="20"/>
                <w:szCs w:val="20"/>
              </w:rPr>
              <w:t xml:space="preserve"> </w:t>
            </w:r>
            <w:r w:rsidR="00D97D0F">
              <w:rPr>
                <w:rFonts w:ascii="Times" w:hAnsi="Times" w:cs="Times"/>
                <w:sz w:val="20"/>
                <w:szCs w:val="20"/>
              </w:rPr>
              <w:t>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97D0F" w:rsidRDefault="00211FA4" w:rsidP="00D97D0F">
            <w:pPr>
              <w:rPr>
                <w:rFonts w:ascii="Times" w:hAnsi="Times" w:cs="Times"/>
                <w:sz w:val="20"/>
                <w:szCs w:val="20"/>
              </w:rPr>
            </w:pPr>
            <w:r>
              <w:rPr>
                <w:rFonts w:ascii="Times" w:hAnsi="Times" w:cs="Times"/>
                <w:sz w:val="20"/>
                <w:szCs w:val="20"/>
              </w:rPr>
              <w:t xml:space="preserve"> </w:t>
            </w:r>
            <w:r w:rsidR="00D97D0F">
              <w:rPr>
                <w:rFonts w:ascii="Wingdings 2" w:hAnsi="Wingdings 2" w:cs="Times"/>
                <w:sz w:val="28"/>
                <w:szCs w:val="28"/>
              </w:rPr>
              <w:t></w:t>
            </w:r>
            <w:r>
              <w:rPr>
                <w:rFonts w:ascii="Times" w:hAnsi="Times" w:cs="Times"/>
                <w:sz w:val="20"/>
                <w:szCs w:val="20"/>
              </w:rPr>
              <w:t xml:space="preserve"> </w:t>
            </w:r>
            <w:r w:rsidR="00D97D0F">
              <w:rPr>
                <w:rFonts w:ascii="Times" w:hAnsi="Times" w:cs="Times"/>
                <w:sz w:val="20"/>
                <w:szCs w:val="20"/>
              </w:rPr>
              <w:t>Žiadne</w:t>
            </w:r>
          </w:p>
        </w:tc>
        <w:tc>
          <w:tcPr>
            <w:tcW w:w="1001" w:type="pct"/>
            <w:tcBorders>
              <w:top w:val="outset" w:sz="6" w:space="0" w:color="000000"/>
              <w:left w:val="outset" w:sz="6" w:space="0" w:color="000000"/>
              <w:bottom w:val="outset" w:sz="6" w:space="0" w:color="000000"/>
            </w:tcBorders>
            <w:vAlign w:val="center"/>
            <w:hideMark/>
          </w:tcPr>
          <w:p w:rsidR="00D97D0F" w:rsidRDefault="00211FA4" w:rsidP="00D97D0F">
            <w:pPr>
              <w:rPr>
                <w:rFonts w:ascii="Times" w:hAnsi="Times" w:cs="Times"/>
                <w:sz w:val="20"/>
                <w:szCs w:val="20"/>
              </w:rPr>
            </w:pPr>
            <w:r>
              <w:rPr>
                <w:rFonts w:ascii="Times" w:hAnsi="Times" w:cs="Times"/>
                <w:sz w:val="20"/>
                <w:szCs w:val="20"/>
              </w:rPr>
              <w:t xml:space="preserve"> </w:t>
            </w:r>
            <w:r w:rsidR="00D97D0F">
              <w:rPr>
                <w:rFonts w:ascii="Wingdings 2" w:hAnsi="Wingdings 2" w:cs="Times"/>
                <w:sz w:val="20"/>
                <w:szCs w:val="20"/>
              </w:rPr>
              <w:t></w:t>
            </w:r>
            <w:r>
              <w:rPr>
                <w:rFonts w:ascii="Times" w:hAnsi="Times" w:cs="Times"/>
                <w:sz w:val="20"/>
                <w:szCs w:val="20"/>
              </w:rPr>
              <w:t xml:space="preserve"> </w:t>
            </w:r>
            <w:r w:rsidR="00D97D0F">
              <w:rPr>
                <w:rFonts w:ascii="Times" w:hAnsi="Times" w:cs="Times"/>
                <w:sz w:val="20"/>
                <w:szCs w:val="20"/>
              </w:rPr>
              <w:t>Negatívne</w:t>
            </w:r>
          </w:p>
        </w:tc>
      </w:tr>
      <w:tr w:rsidR="00D97D0F" w:rsidTr="00CA601C">
        <w:trPr>
          <w:trHeight w:val="270"/>
          <w:jc w:val="center"/>
        </w:trPr>
        <w:tc>
          <w:tcPr>
            <w:tcW w:w="0" w:type="auto"/>
            <w:vMerge/>
            <w:tcBorders>
              <w:top w:val="outset" w:sz="6" w:space="0" w:color="000000"/>
              <w:bottom w:val="outset" w:sz="6" w:space="0" w:color="000000"/>
              <w:right w:val="outset" w:sz="6" w:space="0" w:color="000000"/>
            </w:tcBorders>
            <w:vAlign w:val="center"/>
            <w:hideMark/>
          </w:tcPr>
          <w:p w:rsidR="00D97D0F" w:rsidRDefault="00D97D0F" w:rsidP="00D97D0F">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97D0F" w:rsidRDefault="00211FA4" w:rsidP="00D97D0F">
            <w:pPr>
              <w:rPr>
                <w:rFonts w:ascii="Times" w:hAnsi="Times" w:cs="Times"/>
                <w:sz w:val="20"/>
                <w:szCs w:val="20"/>
              </w:rPr>
            </w:pPr>
            <w:r>
              <w:rPr>
                <w:rFonts w:ascii="Times" w:hAnsi="Times" w:cs="Times"/>
                <w:sz w:val="20"/>
                <w:szCs w:val="20"/>
              </w:rPr>
              <w:t xml:space="preserve"> </w:t>
            </w:r>
            <w:r w:rsidR="00D97D0F">
              <w:rPr>
                <w:rFonts w:ascii="Wingdings 2" w:hAnsi="Wingdings 2" w:cs="Times"/>
                <w:sz w:val="20"/>
                <w:szCs w:val="20"/>
              </w:rPr>
              <w:t></w:t>
            </w:r>
            <w:r>
              <w:rPr>
                <w:rFonts w:ascii="Times" w:hAnsi="Times" w:cs="Times"/>
                <w:sz w:val="20"/>
                <w:szCs w:val="20"/>
              </w:rPr>
              <w:t xml:space="preserve"> </w:t>
            </w:r>
            <w:r w:rsidR="00D97D0F">
              <w:rPr>
                <w:rFonts w:ascii="Times" w:hAnsi="Times" w:cs="Times"/>
                <w:sz w:val="20"/>
                <w:szCs w:val="20"/>
              </w:rPr>
              <w:t>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97D0F" w:rsidRDefault="00211FA4" w:rsidP="00D97D0F">
            <w:pPr>
              <w:rPr>
                <w:rFonts w:ascii="Times" w:hAnsi="Times" w:cs="Times"/>
                <w:sz w:val="20"/>
                <w:szCs w:val="20"/>
              </w:rPr>
            </w:pPr>
            <w:r>
              <w:rPr>
                <w:rFonts w:ascii="Times" w:hAnsi="Times" w:cs="Times"/>
                <w:sz w:val="20"/>
                <w:szCs w:val="20"/>
              </w:rPr>
              <w:t xml:space="preserve"> </w:t>
            </w:r>
            <w:r w:rsidR="00D97D0F">
              <w:rPr>
                <w:rFonts w:ascii="Wingdings 2" w:hAnsi="Wingdings 2" w:cs="Times"/>
                <w:sz w:val="28"/>
                <w:szCs w:val="28"/>
              </w:rPr>
              <w:t></w:t>
            </w:r>
            <w:r>
              <w:rPr>
                <w:rFonts w:ascii="Times" w:hAnsi="Times" w:cs="Times"/>
                <w:sz w:val="20"/>
                <w:szCs w:val="20"/>
              </w:rPr>
              <w:t xml:space="preserve"> </w:t>
            </w:r>
            <w:r w:rsidR="00D97D0F">
              <w:rPr>
                <w:rFonts w:ascii="Times" w:hAnsi="Times" w:cs="Times"/>
                <w:sz w:val="20"/>
                <w:szCs w:val="20"/>
              </w:rPr>
              <w:t>Žiadne</w:t>
            </w:r>
          </w:p>
        </w:tc>
        <w:tc>
          <w:tcPr>
            <w:tcW w:w="1001" w:type="pct"/>
            <w:tcBorders>
              <w:top w:val="outset" w:sz="6" w:space="0" w:color="000000"/>
              <w:left w:val="outset" w:sz="6" w:space="0" w:color="000000"/>
              <w:bottom w:val="outset" w:sz="6" w:space="0" w:color="000000"/>
            </w:tcBorders>
            <w:vAlign w:val="center"/>
            <w:hideMark/>
          </w:tcPr>
          <w:p w:rsidR="00D97D0F" w:rsidRDefault="00211FA4" w:rsidP="00D97D0F">
            <w:pPr>
              <w:rPr>
                <w:rFonts w:ascii="Times" w:hAnsi="Times" w:cs="Times"/>
                <w:sz w:val="20"/>
                <w:szCs w:val="20"/>
              </w:rPr>
            </w:pPr>
            <w:r>
              <w:rPr>
                <w:rFonts w:ascii="Times" w:hAnsi="Times" w:cs="Times"/>
                <w:sz w:val="20"/>
                <w:szCs w:val="20"/>
              </w:rPr>
              <w:t xml:space="preserve"> </w:t>
            </w:r>
            <w:r w:rsidR="00D97D0F">
              <w:rPr>
                <w:rFonts w:ascii="Wingdings 2" w:hAnsi="Wingdings 2" w:cs="Times"/>
                <w:sz w:val="28"/>
                <w:szCs w:val="28"/>
              </w:rPr>
              <w:t></w:t>
            </w:r>
            <w:r>
              <w:rPr>
                <w:rFonts w:ascii="Times" w:hAnsi="Times" w:cs="Times"/>
                <w:sz w:val="20"/>
                <w:szCs w:val="20"/>
              </w:rPr>
              <w:t xml:space="preserve"> </w:t>
            </w:r>
            <w:r w:rsidR="00D97D0F">
              <w:rPr>
                <w:rFonts w:ascii="Times" w:hAnsi="Times" w:cs="Times"/>
                <w:sz w:val="20"/>
                <w:szCs w:val="20"/>
              </w:rPr>
              <w:t>Negatívne</w:t>
            </w:r>
          </w:p>
        </w:tc>
      </w:tr>
      <w:tr w:rsidR="00D97D0F" w:rsidTr="00CA601C">
        <w:trPr>
          <w:trHeight w:val="270"/>
          <w:jc w:val="center"/>
        </w:trPr>
        <w:tc>
          <w:tcPr>
            <w:tcW w:w="1999" w:type="pct"/>
            <w:tcBorders>
              <w:top w:val="outset" w:sz="6" w:space="0" w:color="000000"/>
              <w:bottom w:val="outset" w:sz="6" w:space="0" w:color="000000"/>
              <w:right w:val="outset" w:sz="6" w:space="0" w:color="000000"/>
            </w:tcBorders>
            <w:shd w:val="clear" w:color="auto" w:fill="E6E6E6"/>
            <w:vAlign w:val="center"/>
            <w:hideMark/>
          </w:tcPr>
          <w:p w:rsidR="00D97D0F" w:rsidRDefault="00211FA4" w:rsidP="00D97D0F">
            <w:pPr>
              <w:rPr>
                <w:rFonts w:ascii="Times" w:hAnsi="Times" w:cs="Times"/>
                <w:sz w:val="20"/>
                <w:szCs w:val="20"/>
              </w:rPr>
            </w:pPr>
            <w:r>
              <w:rPr>
                <w:rFonts w:ascii="Times" w:hAnsi="Times" w:cs="Times"/>
                <w:b/>
                <w:bCs/>
                <w:sz w:val="20"/>
                <w:szCs w:val="20"/>
              </w:rPr>
              <w:t xml:space="preserve"> </w:t>
            </w:r>
            <w:r w:rsidR="00D97D0F">
              <w:rPr>
                <w:rFonts w:ascii="Times" w:hAnsi="Times" w:cs="Times"/>
                <w:b/>
                <w:bCs/>
                <w:sz w:val="20"/>
                <w:szCs w:val="20"/>
              </w:rPr>
              <w:t>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97D0F" w:rsidRDefault="00211FA4" w:rsidP="00D97D0F">
            <w:pPr>
              <w:rPr>
                <w:rFonts w:ascii="Times" w:hAnsi="Times" w:cs="Times"/>
                <w:sz w:val="20"/>
                <w:szCs w:val="20"/>
              </w:rPr>
            </w:pPr>
            <w:r>
              <w:rPr>
                <w:rFonts w:ascii="Times" w:hAnsi="Times" w:cs="Times"/>
                <w:sz w:val="20"/>
                <w:szCs w:val="20"/>
              </w:rPr>
              <w:t xml:space="preserve"> </w:t>
            </w:r>
            <w:r w:rsidR="00D97D0F">
              <w:rPr>
                <w:rFonts w:ascii="Wingdings 2" w:hAnsi="Wingdings 2" w:cs="Times"/>
                <w:sz w:val="28"/>
                <w:szCs w:val="28"/>
              </w:rPr>
              <w:t></w:t>
            </w:r>
            <w:r>
              <w:rPr>
                <w:rFonts w:ascii="Times" w:hAnsi="Times" w:cs="Times"/>
                <w:sz w:val="20"/>
                <w:szCs w:val="20"/>
              </w:rPr>
              <w:t xml:space="preserve"> </w:t>
            </w:r>
            <w:r w:rsidR="00D97D0F">
              <w:rPr>
                <w:rFonts w:ascii="Times" w:hAnsi="Times" w:cs="Times"/>
                <w:sz w:val="20"/>
                <w:szCs w:val="20"/>
              </w:rPr>
              <w:t>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97D0F" w:rsidRDefault="00211FA4" w:rsidP="00D97D0F">
            <w:pPr>
              <w:rPr>
                <w:rFonts w:ascii="Times" w:hAnsi="Times" w:cs="Times"/>
                <w:sz w:val="20"/>
                <w:szCs w:val="20"/>
              </w:rPr>
            </w:pPr>
            <w:r>
              <w:rPr>
                <w:rFonts w:ascii="Times" w:hAnsi="Times" w:cs="Times"/>
                <w:sz w:val="20"/>
                <w:szCs w:val="20"/>
              </w:rPr>
              <w:t xml:space="preserve"> </w:t>
            </w:r>
            <w:r w:rsidR="00D97D0F">
              <w:rPr>
                <w:rFonts w:ascii="Wingdings 2" w:hAnsi="Wingdings 2" w:cs="Times"/>
                <w:sz w:val="20"/>
                <w:szCs w:val="20"/>
              </w:rPr>
              <w:t></w:t>
            </w:r>
            <w:r>
              <w:rPr>
                <w:rFonts w:ascii="Times" w:hAnsi="Times" w:cs="Times"/>
                <w:sz w:val="20"/>
                <w:szCs w:val="20"/>
              </w:rPr>
              <w:t xml:space="preserve"> </w:t>
            </w:r>
            <w:r w:rsidR="00D97D0F">
              <w:rPr>
                <w:rFonts w:ascii="Times" w:hAnsi="Times" w:cs="Times"/>
                <w:sz w:val="20"/>
                <w:szCs w:val="20"/>
              </w:rPr>
              <w:t>Žiadne</w:t>
            </w:r>
          </w:p>
        </w:tc>
        <w:tc>
          <w:tcPr>
            <w:tcW w:w="1001" w:type="pct"/>
            <w:tcBorders>
              <w:top w:val="outset" w:sz="6" w:space="0" w:color="000000"/>
              <w:left w:val="outset" w:sz="6" w:space="0" w:color="000000"/>
              <w:bottom w:val="outset" w:sz="6" w:space="0" w:color="000000"/>
            </w:tcBorders>
            <w:vAlign w:val="center"/>
            <w:hideMark/>
          </w:tcPr>
          <w:p w:rsidR="00D97D0F" w:rsidRDefault="00211FA4" w:rsidP="00D97D0F">
            <w:pPr>
              <w:rPr>
                <w:rFonts w:ascii="Times" w:hAnsi="Times" w:cs="Times"/>
                <w:sz w:val="20"/>
                <w:szCs w:val="20"/>
              </w:rPr>
            </w:pPr>
            <w:r>
              <w:rPr>
                <w:rFonts w:ascii="Times" w:hAnsi="Times" w:cs="Times"/>
                <w:sz w:val="20"/>
                <w:szCs w:val="20"/>
              </w:rPr>
              <w:t xml:space="preserve"> </w:t>
            </w:r>
            <w:r w:rsidR="00D97D0F">
              <w:rPr>
                <w:rFonts w:ascii="Wingdings 2" w:hAnsi="Wingdings 2" w:cs="Times"/>
                <w:sz w:val="28"/>
                <w:szCs w:val="28"/>
              </w:rPr>
              <w:t></w:t>
            </w:r>
            <w:r>
              <w:rPr>
                <w:rFonts w:ascii="Times" w:hAnsi="Times" w:cs="Times"/>
                <w:sz w:val="20"/>
                <w:szCs w:val="20"/>
              </w:rPr>
              <w:t xml:space="preserve"> </w:t>
            </w:r>
            <w:r w:rsidR="00D97D0F">
              <w:rPr>
                <w:rFonts w:ascii="Times" w:hAnsi="Times" w:cs="Times"/>
                <w:sz w:val="20"/>
                <w:szCs w:val="20"/>
              </w:rPr>
              <w:t>Negatívne</w:t>
            </w:r>
          </w:p>
        </w:tc>
      </w:tr>
      <w:tr w:rsidR="00D97D0F" w:rsidTr="00CA601C">
        <w:trPr>
          <w:trHeight w:val="270"/>
          <w:jc w:val="center"/>
        </w:trPr>
        <w:tc>
          <w:tcPr>
            <w:tcW w:w="1999" w:type="pct"/>
            <w:tcBorders>
              <w:top w:val="outset" w:sz="6" w:space="0" w:color="000000"/>
              <w:bottom w:val="outset" w:sz="6" w:space="0" w:color="000000"/>
              <w:right w:val="outset" w:sz="6" w:space="0" w:color="000000"/>
            </w:tcBorders>
            <w:shd w:val="clear" w:color="auto" w:fill="E6E6E6"/>
            <w:vAlign w:val="center"/>
            <w:hideMark/>
          </w:tcPr>
          <w:p w:rsidR="00D97D0F" w:rsidRDefault="00211FA4" w:rsidP="00D97D0F">
            <w:pPr>
              <w:rPr>
                <w:rFonts w:ascii="Times" w:hAnsi="Times" w:cs="Times"/>
                <w:sz w:val="20"/>
                <w:szCs w:val="20"/>
              </w:rPr>
            </w:pPr>
            <w:r>
              <w:rPr>
                <w:rFonts w:ascii="Times" w:hAnsi="Times" w:cs="Times"/>
                <w:b/>
                <w:bCs/>
                <w:sz w:val="20"/>
                <w:szCs w:val="20"/>
              </w:rPr>
              <w:t xml:space="preserve"> </w:t>
            </w:r>
            <w:r w:rsidR="00D97D0F">
              <w:rPr>
                <w:rFonts w:ascii="Times" w:hAnsi="Times" w:cs="Times"/>
                <w:b/>
                <w:bCs/>
                <w:sz w:val="20"/>
                <w:szCs w:val="20"/>
              </w:rPr>
              <w:t>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97D0F" w:rsidRDefault="00211FA4" w:rsidP="00D97D0F">
            <w:pPr>
              <w:rPr>
                <w:rFonts w:ascii="Times" w:hAnsi="Times" w:cs="Times"/>
                <w:sz w:val="20"/>
                <w:szCs w:val="20"/>
              </w:rPr>
            </w:pPr>
            <w:r>
              <w:rPr>
                <w:rFonts w:ascii="Times" w:hAnsi="Times" w:cs="Times"/>
                <w:sz w:val="20"/>
                <w:szCs w:val="20"/>
              </w:rPr>
              <w:t xml:space="preserve"> </w:t>
            </w:r>
            <w:r w:rsidR="00D97D0F">
              <w:rPr>
                <w:rFonts w:ascii="Wingdings 2" w:hAnsi="Wingdings 2" w:cs="Times"/>
                <w:sz w:val="28"/>
                <w:szCs w:val="28"/>
              </w:rPr>
              <w:t></w:t>
            </w:r>
            <w:r>
              <w:rPr>
                <w:rFonts w:ascii="Times" w:hAnsi="Times" w:cs="Times"/>
                <w:sz w:val="20"/>
                <w:szCs w:val="20"/>
              </w:rPr>
              <w:t xml:space="preserve"> </w:t>
            </w:r>
            <w:r w:rsidR="00D97D0F">
              <w:rPr>
                <w:rFonts w:ascii="Times" w:hAnsi="Times" w:cs="Times"/>
                <w:sz w:val="20"/>
                <w:szCs w:val="20"/>
              </w:rPr>
              <w:t>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97D0F" w:rsidRDefault="00211FA4" w:rsidP="00D97D0F">
            <w:pPr>
              <w:rPr>
                <w:rFonts w:ascii="Times" w:hAnsi="Times" w:cs="Times"/>
                <w:sz w:val="20"/>
                <w:szCs w:val="20"/>
              </w:rPr>
            </w:pPr>
            <w:r>
              <w:rPr>
                <w:rFonts w:ascii="Times" w:hAnsi="Times" w:cs="Times"/>
                <w:sz w:val="20"/>
                <w:szCs w:val="20"/>
              </w:rPr>
              <w:t xml:space="preserve"> </w:t>
            </w:r>
            <w:r w:rsidR="00D97D0F">
              <w:rPr>
                <w:rFonts w:ascii="Wingdings 2" w:hAnsi="Wingdings 2" w:cs="Times"/>
                <w:sz w:val="20"/>
                <w:szCs w:val="20"/>
              </w:rPr>
              <w:t></w:t>
            </w:r>
            <w:r>
              <w:rPr>
                <w:rFonts w:ascii="Times" w:hAnsi="Times" w:cs="Times"/>
                <w:sz w:val="20"/>
                <w:szCs w:val="20"/>
              </w:rPr>
              <w:t xml:space="preserve"> </w:t>
            </w:r>
            <w:r w:rsidR="00D97D0F">
              <w:rPr>
                <w:rFonts w:ascii="Times" w:hAnsi="Times" w:cs="Times"/>
                <w:sz w:val="20"/>
                <w:szCs w:val="20"/>
              </w:rPr>
              <w:t>Žiadne</w:t>
            </w:r>
          </w:p>
        </w:tc>
        <w:tc>
          <w:tcPr>
            <w:tcW w:w="1001" w:type="pct"/>
            <w:tcBorders>
              <w:top w:val="outset" w:sz="6" w:space="0" w:color="000000"/>
              <w:left w:val="outset" w:sz="6" w:space="0" w:color="000000"/>
              <w:bottom w:val="outset" w:sz="6" w:space="0" w:color="000000"/>
            </w:tcBorders>
            <w:vAlign w:val="center"/>
            <w:hideMark/>
          </w:tcPr>
          <w:p w:rsidR="00D97D0F" w:rsidRDefault="00211FA4" w:rsidP="00D97D0F">
            <w:pPr>
              <w:rPr>
                <w:rFonts w:ascii="Times" w:hAnsi="Times" w:cs="Times"/>
                <w:sz w:val="20"/>
                <w:szCs w:val="20"/>
              </w:rPr>
            </w:pPr>
            <w:r>
              <w:rPr>
                <w:rFonts w:ascii="Times" w:hAnsi="Times" w:cs="Times"/>
                <w:sz w:val="20"/>
                <w:szCs w:val="20"/>
              </w:rPr>
              <w:t xml:space="preserve"> </w:t>
            </w:r>
            <w:r w:rsidR="00D97D0F">
              <w:rPr>
                <w:rFonts w:ascii="Wingdings 2" w:hAnsi="Wingdings 2" w:cs="Times"/>
                <w:sz w:val="28"/>
                <w:szCs w:val="28"/>
              </w:rPr>
              <w:t></w:t>
            </w:r>
            <w:r>
              <w:rPr>
                <w:rFonts w:ascii="Times" w:hAnsi="Times" w:cs="Times"/>
                <w:sz w:val="20"/>
                <w:szCs w:val="20"/>
              </w:rPr>
              <w:t xml:space="preserve"> </w:t>
            </w:r>
            <w:r w:rsidR="00D97D0F">
              <w:rPr>
                <w:rFonts w:ascii="Times" w:hAnsi="Times" w:cs="Times"/>
                <w:sz w:val="20"/>
                <w:szCs w:val="20"/>
              </w:rPr>
              <w:t>Negatívne</w:t>
            </w:r>
          </w:p>
        </w:tc>
      </w:tr>
      <w:tr w:rsidR="00D97D0F" w:rsidTr="00CA601C">
        <w:trPr>
          <w:trHeight w:val="270"/>
          <w:jc w:val="center"/>
        </w:trPr>
        <w:tc>
          <w:tcPr>
            <w:tcW w:w="1999" w:type="pct"/>
            <w:tcBorders>
              <w:top w:val="outset" w:sz="6" w:space="0" w:color="000000"/>
              <w:bottom w:val="outset" w:sz="6" w:space="0" w:color="000000"/>
              <w:right w:val="outset" w:sz="6" w:space="0" w:color="000000"/>
            </w:tcBorders>
            <w:shd w:val="clear" w:color="auto" w:fill="E6E6E6"/>
            <w:vAlign w:val="center"/>
            <w:hideMark/>
          </w:tcPr>
          <w:p w:rsidR="00D97D0F" w:rsidRDefault="00211FA4" w:rsidP="00D97D0F">
            <w:pPr>
              <w:rPr>
                <w:rFonts w:ascii="Times" w:hAnsi="Times" w:cs="Times"/>
                <w:sz w:val="20"/>
                <w:szCs w:val="20"/>
              </w:rPr>
            </w:pPr>
            <w:r>
              <w:rPr>
                <w:rFonts w:ascii="Times" w:hAnsi="Times" w:cs="Times"/>
                <w:b/>
                <w:bCs/>
                <w:sz w:val="20"/>
                <w:szCs w:val="20"/>
              </w:rPr>
              <w:t xml:space="preserve"> </w:t>
            </w:r>
            <w:r w:rsidR="00D97D0F">
              <w:rPr>
                <w:rFonts w:ascii="Times" w:hAnsi="Times" w:cs="Times"/>
                <w:b/>
                <w:bCs/>
                <w:sz w:val="20"/>
                <w:szCs w:val="20"/>
              </w:rPr>
              <w:t>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97D0F" w:rsidRDefault="00211FA4" w:rsidP="00D97D0F">
            <w:pPr>
              <w:rPr>
                <w:rFonts w:ascii="Times" w:hAnsi="Times" w:cs="Times"/>
                <w:sz w:val="20"/>
                <w:szCs w:val="20"/>
              </w:rPr>
            </w:pPr>
            <w:r>
              <w:rPr>
                <w:rFonts w:ascii="Times" w:hAnsi="Times" w:cs="Times"/>
                <w:sz w:val="20"/>
                <w:szCs w:val="20"/>
              </w:rPr>
              <w:t xml:space="preserve"> </w:t>
            </w:r>
            <w:r w:rsidR="00D97D0F">
              <w:rPr>
                <w:rFonts w:ascii="Wingdings 2" w:hAnsi="Wingdings 2" w:cs="Times"/>
                <w:sz w:val="28"/>
                <w:szCs w:val="28"/>
              </w:rPr>
              <w:t></w:t>
            </w:r>
            <w:r>
              <w:rPr>
                <w:rFonts w:ascii="Times" w:hAnsi="Times" w:cs="Times"/>
                <w:sz w:val="20"/>
                <w:szCs w:val="20"/>
              </w:rPr>
              <w:t xml:space="preserve"> </w:t>
            </w:r>
            <w:r w:rsidR="00D97D0F">
              <w:rPr>
                <w:rFonts w:ascii="Times" w:hAnsi="Times" w:cs="Times"/>
                <w:sz w:val="20"/>
                <w:szCs w:val="20"/>
              </w:rPr>
              <w:t>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97D0F" w:rsidRDefault="00211FA4" w:rsidP="00D97D0F">
            <w:pPr>
              <w:rPr>
                <w:rFonts w:ascii="Times" w:hAnsi="Times" w:cs="Times"/>
                <w:sz w:val="20"/>
                <w:szCs w:val="20"/>
              </w:rPr>
            </w:pPr>
            <w:r>
              <w:rPr>
                <w:rFonts w:ascii="Times" w:hAnsi="Times" w:cs="Times"/>
                <w:sz w:val="20"/>
                <w:szCs w:val="20"/>
              </w:rPr>
              <w:t xml:space="preserve"> </w:t>
            </w:r>
            <w:r w:rsidR="00D97D0F">
              <w:rPr>
                <w:rFonts w:ascii="Wingdings 2" w:hAnsi="Wingdings 2" w:cs="Times"/>
                <w:sz w:val="20"/>
                <w:szCs w:val="20"/>
              </w:rPr>
              <w:t></w:t>
            </w:r>
            <w:r>
              <w:rPr>
                <w:rFonts w:ascii="Times" w:hAnsi="Times" w:cs="Times"/>
                <w:sz w:val="20"/>
                <w:szCs w:val="20"/>
              </w:rPr>
              <w:t xml:space="preserve"> </w:t>
            </w:r>
            <w:r w:rsidR="00D97D0F">
              <w:rPr>
                <w:rFonts w:ascii="Times" w:hAnsi="Times" w:cs="Times"/>
                <w:sz w:val="20"/>
                <w:szCs w:val="20"/>
              </w:rPr>
              <w:t>Žiadne</w:t>
            </w:r>
          </w:p>
        </w:tc>
        <w:tc>
          <w:tcPr>
            <w:tcW w:w="1001" w:type="pct"/>
            <w:tcBorders>
              <w:top w:val="outset" w:sz="6" w:space="0" w:color="000000"/>
              <w:left w:val="outset" w:sz="6" w:space="0" w:color="000000"/>
              <w:bottom w:val="outset" w:sz="6" w:space="0" w:color="000000"/>
            </w:tcBorders>
            <w:vAlign w:val="center"/>
            <w:hideMark/>
          </w:tcPr>
          <w:p w:rsidR="00D97D0F" w:rsidRDefault="00211FA4" w:rsidP="00D97D0F">
            <w:pPr>
              <w:rPr>
                <w:rFonts w:ascii="Times" w:hAnsi="Times" w:cs="Times"/>
                <w:sz w:val="20"/>
                <w:szCs w:val="20"/>
              </w:rPr>
            </w:pPr>
            <w:r>
              <w:rPr>
                <w:rFonts w:ascii="Times" w:hAnsi="Times" w:cs="Times"/>
                <w:sz w:val="20"/>
                <w:szCs w:val="20"/>
              </w:rPr>
              <w:t xml:space="preserve"> </w:t>
            </w:r>
            <w:r w:rsidR="00D97D0F">
              <w:rPr>
                <w:rFonts w:ascii="Wingdings 2" w:hAnsi="Wingdings 2" w:cs="Times"/>
                <w:sz w:val="28"/>
                <w:szCs w:val="28"/>
              </w:rPr>
              <w:t></w:t>
            </w:r>
            <w:r>
              <w:rPr>
                <w:rFonts w:ascii="Times" w:hAnsi="Times" w:cs="Times"/>
                <w:sz w:val="20"/>
                <w:szCs w:val="20"/>
              </w:rPr>
              <w:t xml:space="preserve"> </w:t>
            </w:r>
            <w:r w:rsidR="00D97D0F">
              <w:rPr>
                <w:rFonts w:ascii="Times" w:hAnsi="Times" w:cs="Times"/>
                <w:sz w:val="20"/>
                <w:szCs w:val="20"/>
              </w:rPr>
              <w:t>Negatívne</w:t>
            </w:r>
          </w:p>
        </w:tc>
      </w:tr>
      <w:tr w:rsidR="00D97D0F" w:rsidTr="00CA601C">
        <w:trPr>
          <w:trHeight w:val="675"/>
          <w:jc w:val="center"/>
        </w:trPr>
        <w:tc>
          <w:tcPr>
            <w:tcW w:w="1999" w:type="pct"/>
            <w:vMerge w:val="restart"/>
            <w:tcBorders>
              <w:top w:val="outset" w:sz="6" w:space="0" w:color="000000"/>
              <w:bottom w:val="outset" w:sz="6" w:space="0" w:color="000000"/>
              <w:right w:val="outset" w:sz="6" w:space="0" w:color="000000"/>
            </w:tcBorders>
            <w:shd w:val="clear" w:color="auto" w:fill="E6E6E6"/>
            <w:vAlign w:val="center"/>
            <w:hideMark/>
          </w:tcPr>
          <w:p w:rsidR="00D97D0F" w:rsidRDefault="00211FA4" w:rsidP="00D97D0F">
            <w:pPr>
              <w:rPr>
                <w:rFonts w:ascii="Times" w:hAnsi="Times" w:cs="Times"/>
                <w:sz w:val="20"/>
                <w:szCs w:val="20"/>
              </w:rPr>
            </w:pPr>
            <w:r>
              <w:rPr>
                <w:rFonts w:ascii="Times" w:hAnsi="Times" w:cs="Times"/>
                <w:b/>
                <w:bCs/>
                <w:sz w:val="20"/>
                <w:szCs w:val="20"/>
              </w:rPr>
              <w:t xml:space="preserve"> </w:t>
            </w:r>
            <w:r w:rsidR="00D97D0F">
              <w:rPr>
                <w:rFonts w:ascii="Times" w:hAnsi="Times" w:cs="Times"/>
                <w:b/>
                <w:bCs/>
                <w:sz w:val="20"/>
                <w:szCs w:val="20"/>
              </w:rPr>
              <w:t>Vplyvy na služby pre občana z toho</w:t>
            </w:r>
            <w:r w:rsidR="00D97D0F">
              <w:rPr>
                <w:rFonts w:ascii="Times" w:hAnsi="Times" w:cs="Times"/>
                <w:sz w:val="20"/>
                <w:szCs w:val="20"/>
              </w:rPr>
              <w:br/>
            </w:r>
            <w:r>
              <w:rPr>
                <w:rFonts w:ascii="Times" w:hAnsi="Times" w:cs="Times"/>
                <w:sz w:val="20"/>
                <w:szCs w:val="20"/>
              </w:rPr>
              <w:t xml:space="preserve"> </w:t>
            </w:r>
            <w:r w:rsidR="00D97D0F">
              <w:rPr>
                <w:rFonts w:ascii="Times" w:hAnsi="Times" w:cs="Times"/>
                <w:sz w:val="20"/>
                <w:szCs w:val="20"/>
              </w:rPr>
              <w:t>vplyvy služieb verejnej správy na občana</w:t>
            </w:r>
            <w:r w:rsidR="00D97D0F">
              <w:rPr>
                <w:rFonts w:ascii="Times" w:hAnsi="Times" w:cs="Times"/>
                <w:sz w:val="20"/>
                <w:szCs w:val="20"/>
              </w:rPr>
              <w:br/>
            </w:r>
            <w:r>
              <w:rPr>
                <w:rFonts w:ascii="Times" w:hAnsi="Times" w:cs="Times"/>
                <w:sz w:val="20"/>
                <w:szCs w:val="20"/>
              </w:rPr>
              <w:t xml:space="preserve"> </w:t>
            </w:r>
            <w:r w:rsidR="00D97D0F">
              <w:rPr>
                <w:rFonts w:ascii="Times" w:hAnsi="Times" w:cs="Times"/>
                <w:sz w:val="20"/>
                <w:szCs w:val="20"/>
              </w:rPr>
              <w:t>vplyvy na procesy služieb vo verejnej</w:t>
            </w:r>
            <w:r w:rsidR="00D97D0F">
              <w:rPr>
                <w:rFonts w:ascii="Times" w:hAnsi="Times" w:cs="Times"/>
                <w:sz w:val="20"/>
                <w:szCs w:val="20"/>
              </w:rPr>
              <w:br/>
            </w:r>
            <w:r>
              <w:rPr>
                <w:rFonts w:ascii="Times" w:hAnsi="Times" w:cs="Times"/>
                <w:sz w:val="20"/>
                <w:szCs w:val="20"/>
              </w:rPr>
              <w:t xml:space="preserve"> </w:t>
            </w:r>
            <w:r w:rsidR="00D97D0F">
              <w:rPr>
                <w:rFonts w:ascii="Times" w:hAnsi="Times" w:cs="Times"/>
                <w:sz w:val="20"/>
                <w:szCs w:val="20"/>
              </w:rPr>
              <w:t>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97D0F" w:rsidRDefault="00D97D0F" w:rsidP="00D97D0F">
            <w:pPr>
              <w:rPr>
                <w:rFonts w:ascii="Times" w:hAnsi="Times" w:cs="Times"/>
                <w:sz w:val="20"/>
                <w:szCs w:val="20"/>
              </w:rPr>
            </w:pPr>
            <w:r>
              <w:rPr>
                <w:rFonts w:ascii="Times" w:hAnsi="Times" w:cs="Times"/>
                <w:sz w:val="20"/>
                <w:szCs w:val="20"/>
              </w:rPr>
              <w:br/>
            </w:r>
            <w:r w:rsidR="00211FA4">
              <w:rPr>
                <w:rFonts w:ascii="Times" w:hAnsi="Times" w:cs="Times"/>
                <w:sz w:val="20"/>
                <w:szCs w:val="20"/>
              </w:rPr>
              <w:t xml:space="preserve"> </w:t>
            </w:r>
            <w:r>
              <w:rPr>
                <w:rFonts w:ascii="Wingdings 2" w:hAnsi="Wingdings 2" w:cs="Times"/>
                <w:sz w:val="28"/>
                <w:szCs w:val="28"/>
              </w:rPr>
              <w:t></w:t>
            </w:r>
            <w:r w:rsidR="00211FA4">
              <w:rPr>
                <w:rFonts w:ascii="Times" w:hAnsi="Times" w:cs="Times"/>
                <w:sz w:val="20"/>
                <w:szCs w:val="20"/>
              </w:rPr>
              <w:t xml:space="preserve"> </w:t>
            </w:r>
            <w:r>
              <w:rPr>
                <w:rFonts w:ascii="Times" w:hAnsi="Times" w:cs="Times"/>
                <w:sz w:val="20"/>
                <w:szCs w:val="20"/>
              </w:rPr>
              <w:t>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97D0F" w:rsidRDefault="00D97D0F" w:rsidP="00D97D0F">
            <w:pPr>
              <w:rPr>
                <w:rFonts w:ascii="Times" w:hAnsi="Times" w:cs="Times"/>
                <w:sz w:val="20"/>
                <w:szCs w:val="20"/>
              </w:rPr>
            </w:pPr>
            <w:r>
              <w:rPr>
                <w:rFonts w:ascii="Times" w:hAnsi="Times" w:cs="Times"/>
                <w:sz w:val="20"/>
                <w:szCs w:val="20"/>
              </w:rPr>
              <w:br/>
            </w:r>
            <w:r w:rsidR="00211FA4">
              <w:rPr>
                <w:rFonts w:ascii="Times" w:hAnsi="Times" w:cs="Times"/>
                <w:sz w:val="20"/>
                <w:szCs w:val="20"/>
              </w:rPr>
              <w:t xml:space="preserve"> </w:t>
            </w:r>
            <w:r>
              <w:rPr>
                <w:rFonts w:ascii="Wingdings 2" w:hAnsi="Wingdings 2" w:cs="Times"/>
                <w:sz w:val="20"/>
                <w:szCs w:val="20"/>
              </w:rPr>
              <w:t></w:t>
            </w:r>
            <w:r w:rsidR="00211FA4">
              <w:rPr>
                <w:rFonts w:ascii="Times" w:hAnsi="Times" w:cs="Times"/>
                <w:sz w:val="20"/>
                <w:szCs w:val="20"/>
              </w:rPr>
              <w:t xml:space="preserve"> </w:t>
            </w:r>
            <w:r>
              <w:rPr>
                <w:rFonts w:ascii="Times" w:hAnsi="Times" w:cs="Times"/>
                <w:sz w:val="20"/>
                <w:szCs w:val="20"/>
              </w:rPr>
              <w:t>Žiadne</w:t>
            </w:r>
          </w:p>
        </w:tc>
        <w:tc>
          <w:tcPr>
            <w:tcW w:w="1001" w:type="pct"/>
            <w:tcBorders>
              <w:top w:val="outset" w:sz="6" w:space="0" w:color="000000"/>
              <w:left w:val="outset" w:sz="6" w:space="0" w:color="000000"/>
              <w:bottom w:val="outset" w:sz="6" w:space="0" w:color="000000"/>
            </w:tcBorders>
            <w:vAlign w:val="center"/>
            <w:hideMark/>
          </w:tcPr>
          <w:p w:rsidR="00D97D0F" w:rsidRDefault="00D97D0F" w:rsidP="00D97D0F">
            <w:pPr>
              <w:rPr>
                <w:rFonts w:ascii="Times" w:hAnsi="Times" w:cs="Times"/>
                <w:sz w:val="20"/>
                <w:szCs w:val="20"/>
              </w:rPr>
            </w:pPr>
            <w:r>
              <w:rPr>
                <w:rFonts w:ascii="Times" w:hAnsi="Times" w:cs="Times"/>
                <w:sz w:val="20"/>
                <w:szCs w:val="20"/>
              </w:rPr>
              <w:br/>
            </w:r>
            <w:r w:rsidR="00211FA4">
              <w:rPr>
                <w:rFonts w:ascii="Times" w:hAnsi="Times" w:cs="Times"/>
                <w:sz w:val="20"/>
                <w:szCs w:val="20"/>
              </w:rPr>
              <w:t xml:space="preserve"> </w:t>
            </w:r>
            <w:r>
              <w:rPr>
                <w:rFonts w:ascii="Wingdings 2" w:hAnsi="Wingdings 2" w:cs="Times"/>
                <w:sz w:val="28"/>
                <w:szCs w:val="28"/>
              </w:rPr>
              <w:t></w:t>
            </w:r>
            <w:r w:rsidR="00211FA4">
              <w:rPr>
                <w:rFonts w:ascii="Times" w:hAnsi="Times" w:cs="Times"/>
                <w:sz w:val="20"/>
                <w:szCs w:val="20"/>
              </w:rPr>
              <w:t xml:space="preserve"> </w:t>
            </w:r>
            <w:r>
              <w:rPr>
                <w:rFonts w:ascii="Times" w:hAnsi="Times" w:cs="Times"/>
                <w:sz w:val="20"/>
                <w:szCs w:val="20"/>
              </w:rPr>
              <w:t>Negatívne</w:t>
            </w:r>
          </w:p>
        </w:tc>
      </w:tr>
      <w:tr w:rsidR="00D97D0F" w:rsidTr="00CA601C">
        <w:trPr>
          <w:trHeight w:val="150"/>
          <w:jc w:val="center"/>
        </w:trPr>
        <w:tc>
          <w:tcPr>
            <w:tcW w:w="0" w:type="auto"/>
            <w:vMerge/>
            <w:tcBorders>
              <w:top w:val="outset" w:sz="6" w:space="0" w:color="000000"/>
              <w:bottom w:val="outset" w:sz="6" w:space="0" w:color="000000"/>
              <w:right w:val="outset" w:sz="6" w:space="0" w:color="000000"/>
            </w:tcBorders>
            <w:vAlign w:val="center"/>
            <w:hideMark/>
          </w:tcPr>
          <w:p w:rsidR="00D97D0F" w:rsidRDefault="00D97D0F" w:rsidP="00D97D0F">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97D0F" w:rsidRDefault="00211FA4" w:rsidP="00D97D0F">
            <w:pPr>
              <w:rPr>
                <w:rFonts w:ascii="Times" w:hAnsi="Times" w:cs="Times"/>
                <w:sz w:val="20"/>
                <w:szCs w:val="20"/>
              </w:rPr>
            </w:pPr>
            <w:r>
              <w:rPr>
                <w:rFonts w:ascii="Times" w:hAnsi="Times" w:cs="Times"/>
                <w:sz w:val="20"/>
                <w:szCs w:val="20"/>
              </w:rPr>
              <w:t xml:space="preserve"> </w:t>
            </w:r>
            <w:r w:rsidR="00D97D0F">
              <w:rPr>
                <w:rFonts w:ascii="Wingdings 2" w:hAnsi="Wingdings 2" w:cs="Times"/>
                <w:sz w:val="28"/>
                <w:szCs w:val="28"/>
              </w:rPr>
              <w:t></w:t>
            </w:r>
            <w:r>
              <w:rPr>
                <w:rFonts w:ascii="Times" w:hAnsi="Times" w:cs="Times"/>
                <w:sz w:val="20"/>
                <w:szCs w:val="20"/>
              </w:rPr>
              <w:t xml:space="preserve"> </w:t>
            </w:r>
            <w:r w:rsidR="00D97D0F">
              <w:rPr>
                <w:rFonts w:ascii="Times" w:hAnsi="Times" w:cs="Times"/>
                <w:sz w:val="20"/>
                <w:szCs w:val="20"/>
              </w:rPr>
              <w:t>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D97D0F" w:rsidRDefault="00211FA4" w:rsidP="00D97D0F">
            <w:pPr>
              <w:rPr>
                <w:rFonts w:ascii="Times" w:hAnsi="Times" w:cs="Times"/>
                <w:sz w:val="20"/>
                <w:szCs w:val="20"/>
              </w:rPr>
            </w:pPr>
            <w:r>
              <w:rPr>
                <w:rFonts w:ascii="Times" w:hAnsi="Times" w:cs="Times"/>
                <w:sz w:val="20"/>
                <w:szCs w:val="20"/>
              </w:rPr>
              <w:t xml:space="preserve"> </w:t>
            </w:r>
            <w:r w:rsidR="00D97D0F">
              <w:rPr>
                <w:rFonts w:ascii="Wingdings 2" w:hAnsi="Wingdings 2" w:cs="Times"/>
                <w:sz w:val="20"/>
                <w:szCs w:val="20"/>
              </w:rPr>
              <w:t></w:t>
            </w:r>
            <w:r>
              <w:rPr>
                <w:rFonts w:ascii="Times" w:hAnsi="Times" w:cs="Times"/>
                <w:sz w:val="20"/>
                <w:szCs w:val="20"/>
              </w:rPr>
              <w:t xml:space="preserve"> </w:t>
            </w:r>
            <w:r w:rsidR="00D97D0F">
              <w:rPr>
                <w:rFonts w:ascii="Times" w:hAnsi="Times" w:cs="Times"/>
                <w:sz w:val="20"/>
                <w:szCs w:val="20"/>
              </w:rPr>
              <w:t>Žiadne</w:t>
            </w:r>
          </w:p>
        </w:tc>
        <w:tc>
          <w:tcPr>
            <w:tcW w:w="1001" w:type="pct"/>
            <w:tcBorders>
              <w:top w:val="outset" w:sz="6" w:space="0" w:color="000000"/>
              <w:left w:val="outset" w:sz="6" w:space="0" w:color="000000"/>
              <w:bottom w:val="outset" w:sz="6" w:space="0" w:color="000000"/>
            </w:tcBorders>
            <w:vAlign w:val="center"/>
            <w:hideMark/>
          </w:tcPr>
          <w:p w:rsidR="00D97D0F" w:rsidRDefault="00211FA4" w:rsidP="00D97D0F">
            <w:pPr>
              <w:rPr>
                <w:rFonts w:ascii="Times" w:hAnsi="Times" w:cs="Times"/>
                <w:sz w:val="20"/>
                <w:szCs w:val="20"/>
              </w:rPr>
            </w:pPr>
            <w:r>
              <w:rPr>
                <w:rFonts w:ascii="Times" w:hAnsi="Times" w:cs="Times"/>
                <w:sz w:val="20"/>
                <w:szCs w:val="20"/>
              </w:rPr>
              <w:t xml:space="preserve"> </w:t>
            </w:r>
            <w:r w:rsidR="00D97D0F">
              <w:rPr>
                <w:rFonts w:ascii="Wingdings 2" w:hAnsi="Wingdings 2" w:cs="Times"/>
                <w:sz w:val="28"/>
                <w:szCs w:val="28"/>
              </w:rPr>
              <w:t></w:t>
            </w:r>
            <w:r>
              <w:rPr>
                <w:rFonts w:ascii="Times" w:hAnsi="Times" w:cs="Times"/>
                <w:sz w:val="20"/>
                <w:szCs w:val="20"/>
              </w:rPr>
              <w:t xml:space="preserve"> </w:t>
            </w:r>
            <w:r w:rsidR="00D97D0F">
              <w:rPr>
                <w:rFonts w:ascii="Times" w:hAnsi="Times" w:cs="Times"/>
                <w:sz w:val="20"/>
                <w:szCs w:val="20"/>
              </w:rPr>
              <w:t>Negatívne</w:t>
            </w:r>
          </w:p>
        </w:tc>
      </w:tr>
      <w:tr w:rsidR="00D97D0F" w:rsidTr="00CA601C">
        <w:trPr>
          <w:jc w:val="center"/>
        </w:trPr>
        <w:tc>
          <w:tcPr>
            <w:tcW w:w="5000" w:type="pct"/>
            <w:gridSpan w:val="4"/>
            <w:tcBorders>
              <w:top w:val="outset" w:sz="6" w:space="0" w:color="000000"/>
              <w:bottom w:val="outset" w:sz="6" w:space="0" w:color="000000"/>
            </w:tcBorders>
            <w:shd w:val="clear" w:color="auto" w:fill="E6E6E6"/>
            <w:hideMark/>
          </w:tcPr>
          <w:p w:rsidR="00D97D0F" w:rsidRDefault="00211FA4" w:rsidP="00D97D0F">
            <w:pPr>
              <w:rPr>
                <w:rFonts w:ascii="Times" w:hAnsi="Times" w:cs="Times"/>
                <w:b/>
                <w:bCs/>
                <w:sz w:val="22"/>
                <w:szCs w:val="22"/>
              </w:rPr>
            </w:pPr>
            <w:r>
              <w:rPr>
                <w:rFonts w:ascii="Times" w:hAnsi="Times" w:cs="Times"/>
                <w:b/>
                <w:bCs/>
                <w:sz w:val="22"/>
                <w:szCs w:val="22"/>
              </w:rPr>
              <w:t xml:space="preserve"> </w:t>
            </w:r>
            <w:r w:rsidR="00D97D0F">
              <w:rPr>
                <w:rFonts w:ascii="Times" w:hAnsi="Times" w:cs="Times"/>
                <w:b/>
                <w:bCs/>
                <w:sz w:val="22"/>
                <w:szCs w:val="22"/>
              </w:rPr>
              <w:t>10.</w:t>
            </w:r>
            <w:r>
              <w:rPr>
                <w:rFonts w:ascii="Times" w:hAnsi="Times" w:cs="Times"/>
                <w:b/>
                <w:bCs/>
                <w:sz w:val="22"/>
                <w:szCs w:val="22"/>
              </w:rPr>
              <w:t xml:space="preserve"> </w:t>
            </w:r>
            <w:r w:rsidR="00D97D0F">
              <w:rPr>
                <w:rFonts w:ascii="Times" w:hAnsi="Times" w:cs="Times"/>
                <w:b/>
                <w:bCs/>
                <w:sz w:val="22"/>
                <w:szCs w:val="22"/>
              </w:rPr>
              <w:t>Poznámky</w:t>
            </w:r>
          </w:p>
        </w:tc>
      </w:tr>
      <w:tr w:rsidR="00D97D0F" w:rsidTr="00CA601C">
        <w:trPr>
          <w:trHeight w:val="600"/>
          <w:jc w:val="center"/>
        </w:trPr>
        <w:tc>
          <w:tcPr>
            <w:tcW w:w="5000" w:type="pct"/>
            <w:gridSpan w:val="4"/>
            <w:tcBorders>
              <w:top w:val="outset" w:sz="6" w:space="0" w:color="000000"/>
              <w:bottom w:val="outset" w:sz="6" w:space="0" w:color="000000"/>
            </w:tcBorders>
            <w:hideMark/>
          </w:tcPr>
          <w:p w:rsidR="00D97D0F" w:rsidRDefault="00D97D0F" w:rsidP="00D97D0F">
            <w:pPr>
              <w:rPr>
                <w:rFonts w:ascii="Times" w:hAnsi="Times" w:cs="Times"/>
                <w:sz w:val="20"/>
                <w:szCs w:val="20"/>
              </w:rPr>
            </w:pPr>
            <w:r>
              <w:rPr>
                <w:rFonts w:ascii="Times" w:hAnsi="Times" w:cs="Times"/>
                <w:sz w:val="20"/>
                <w:szCs w:val="20"/>
              </w:rPr>
              <w:t>Pozitívny vplyv na rozpočet verejnej správy spočíva v možnosti uloženia pokuty za porušenia zákona, a to až do výšky 500 000 eur, ktorá je následne príjmom štátneho rozpočtu. Pozitívny vplyv na podnikateľské prostredie spočíva vo vyrovnaní podmienok podnikania pre malých a stredných výrobcov potravín, ktorí nemajú dostatočnú ekonomickú silu (často domáci malí a strední podnikatelia), a veľkých (spravidla nadnárodných) výrobcov potravín. Negatívny vplyv na podnikateľské prostredie spočíva v potenciálnom zmenšení ziskovosti odberateľov potravín (predpoklad, že môže nastať zmenšenie ziskovosti najmä odberateľov s veľkou ekonomickou silou a obratmi). Návrh nebude vyžadovať ďalšie materiálno-technické ani personálne zabezpečenie, ktoré by mali za následok výdavky štátneho rozpočtu.</w:t>
            </w:r>
          </w:p>
        </w:tc>
      </w:tr>
      <w:tr w:rsidR="00D97D0F" w:rsidTr="00CA601C">
        <w:trPr>
          <w:jc w:val="center"/>
        </w:trPr>
        <w:tc>
          <w:tcPr>
            <w:tcW w:w="5000" w:type="pct"/>
            <w:gridSpan w:val="4"/>
            <w:tcBorders>
              <w:top w:val="outset" w:sz="6" w:space="0" w:color="000000"/>
              <w:bottom w:val="outset" w:sz="6" w:space="0" w:color="000000"/>
            </w:tcBorders>
            <w:shd w:val="clear" w:color="auto" w:fill="E6E6E6"/>
            <w:hideMark/>
          </w:tcPr>
          <w:p w:rsidR="00D97D0F" w:rsidRDefault="00211FA4" w:rsidP="00D97D0F">
            <w:pPr>
              <w:rPr>
                <w:rFonts w:ascii="Times" w:hAnsi="Times" w:cs="Times"/>
                <w:b/>
                <w:bCs/>
                <w:sz w:val="22"/>
                <w:szCs w:val="22"/>
              </w:rPr>
            </w:pPr>
            <w:r>
              <w:rPr>
                <w:rFonts w:ascii="Times" w:hAnsi="Times" w:cs="Times"/>
                <w:b/>
                <w:bCs/>
                <w:sz w:val="22"/>
                <w:szCs w:val="22"/>
              </w:rPr>
              <w:t xml:space="preserve"> </w:t>
            </w:r>
            <w:r w:rsidR="00D97D0F">
              <w:rPr>
                <w:rFonts w:ascii="Times" w:hAnsi="Times" w:cs="Times"/>
                <w:b/>
                <w:bCs/>
                <w:sz w:val="22"/>
                <w:szCs w:val="22"/>
              </w:rPr>
              <w:t>11.</w:t>
            </w:r>
            <w:r>
              <w:rPr>
                <w:rFonts w:ascii="Times" w:hAnsi="Times" w:cs="Times"/>
                <w:b/>
                <w:bCs/>
                <w:sz w:val="22"/>
                <w:szCs w:val="22"/>
              </w:rPr>
              <w:t xml:space="preserve"> </w:t>
            </w:r>
            <w:r w:rsidR="00D97D0F">
              <w:rPr>
                <w:rFonts w:ascii="Times" w:hAnsi="Times" w:cs="Times"/>
                <w:b/>
                <w:bCs/>
                <w:sz w:val="22"/>
                <w:szCs w:val="22"/>
              </w:rPr>
              <w:t>Kontakt na spracovateľa</w:t>
            </w:r>
          </w:p>
        </w:tc>
      </w:tr>
      <w:tr w:rsidR="00D97D0F" w:rsidTr="00CA601C">
        <w:trPr>
          <w:trHeight w:val="209"/>
          <w:jc w:val="center"/>
        </w:trPr>
        <w:tc>
          <w:tcPr>
            <w:tcW w:w="5000" w:type="pct"/>
            <w:gridSpan w:val="4"/>
            <w:tcBorders>
              <w:top w:val="outset" w:sz="6" w:space="0" w:color="000000"/>
              <w:bottom w:val="outset" w:sz="6" w:space="0" w:color="000000"/>
            </w:tcBorders>
            <w:hideMark/>
          </w:tcPr>
          <w:p w:rsidR="0060336C" w:rsidRDefault="00D97D0F" w:rsidP="00D97D0F">
            <w:pPr>
              <w:rPr>
                <w:rFonts w:ascii="Times" w:hAnsi="Times" w:cs="Times"/>
                <w:sz w:val="20"/>
                <w:szCs w:val="20"/>
              </w:rPr>
            </w:pPr>
            <w:r>
              <w:rPr>
                <w:rFonts w:ascii="Times" w:hAnsi="Times" w:cs="Times"/>
                <w:sz w:val="20"/>
                <w:szCs w:val="20"/>
              </w:rPr>
              <w:t xml:space="preserve">JUDr. Martin Žaťko, tel.: +421 2 5926 6580, </w:t>
            </w:r>
            <w:hyperlink r:id="rId8" w:history="1">
              <w:r w:rsidR="0060336C" w:rsidRPr="0060336C">
                <w:rPr>
                  <w:rStyle w:val="Hypertextovprepojenie"/>
                  <w:rFonts w:ascii="Times" w:hAnsi="Times" w:cs="Times"/>
                  <w:color w:val="auto"/>
                  <w:sz w:val="20"/>
                  <w:szCs w:val="20"/>
                  <w:u w:val="none"/>
                </w:rPr>
                <w:t>martin.zatko@land.gov.sk</w:t>
              </w:r>
            </w:hyperlink>
          </w:p>
        </w:tc>
      </w:tr>
      <w:tr w:rsidR="00D97D0F" w:rsidTr="00CA601C">
        <w:trPr>
          <w:jc w:val="center"/>
        </w:trPr>
        <w:tc>
          <w:tcPr>
            <w:tcW w:w="5000" w:type="pct"/>
            <w:gridSpan w:val="4"/>
            <w:tcBorders>
              <w:top w:val="outset" w:sz="6" w:space="0" w:color="000000"/>
              <w:bottom w:val="outset" w:sz="6" w:space="0" w:color="000000"/>
            </w:tcBorders>
            <w:shd w:val="clear" w:color="auto" w:fill="E6E6E6"/>
            <w:hideMark/>
          </w:tcPr>
          <w:p w:rsidR="00D97D0F" w:rsidRDefault="00211FA4" w:rsidP="00D97D0F">
            <w:pPr>
              <w:rPr>
                <w:rFonts w:ascii="Times" w:hAnsi="Times" w:cs="Times"/>
                <w:b/>
                <w:bCs/>
                <w:sz w:val="22"/>
                <w:szCs w:val="22"/>
              </w:rPr>
            </w:pPr>
            <w:r>
              <w:rPr>
                <w:rFonts w:ascii="Times" w:hAnsi="Times" w:cs="Times"/>
                <w:b/>
                <w:bCs/>
                <w:sz w:val="22"/>
                <w:szCs w:val="22"/>
              </w:rPr>
              <w:t xml:space="preserve"> </w:t>
            </w:r>
            <w:r w:rsidR="00D97D0F">
              <w:rPr>
                <w:rFonts w:ascii="Times" w:hAnsi="Times" w:cs="Times"/>
                <w:b/>
                <w:bCs/>
                <w:sz w:val="22"/>
                <w:szCs w:val="22"/>
              </w:rPr>
              <w:t>12.</w:t>
            </w:r>
            <w:r>
              <w:rPr>
                <w:rFonts w:ascii="Times" w:hAnsi="Times" w:cs="Times"/>
                <w:b/>
                <w:bCs/>
                <w:sz w:val="22"/>
                <w:szCs w:val="22"/>
              </w:rPr>
              <w:t xml:space="preserve"> </w:t>
            </w:r>
            <w:r w:rsidR="00D97D0F">
              <w:rPr>
                <w:rFonts w:ascii="Times" w:hAnsi="Times" w:cs="Times"/>
                <w:b/>
                <w:bCs/>
                <w:sz w:val="22"/>
                <w:szCs w:val="22"/>
              </w:rPr>
              <w:t>Zdroje</w:t>
            </w:r>
          </w:p>
        </w:tc>
      </w:tr>
      <w:tr w:rsidR="00D97D0F" w:rsidTr="00CA601C">
        <w:trPr>
          <w:trHeight w:val="600"/>
          <w:jc w:val="center"/>
        </w:trPr>
        <w:tc>
          <w:tcPr>
            <w:tcW w:w="5000" w:type="pct"/>
            <w:gridSpan w:val="4"/>
            <w:tcBorders>
              <w:top w:val="outset" w:sz="6" w:space="0" w:color="000000"/>
              <w:bottom w:val="outset" w:sz="6" w:space="0" w:color="000000"/>
            </w:tcBorders>
            <w:hideMark/>
          </w:tcPr>
          <w:p w:rsidR="00D97D0F" w:rsidRDefault="00D97D0F" w:rsidP="007333C2">
            <w:pPr>
              <w:jc w:val="left"/>
              <w:rPr>
                <w:rFonts w:ascii="Times" w:hAnsi="Times" w:cs="Times"/>
                <w:sz w:val="20"/>
                <w:szCs w:val="20"/>
              </w:rPr>
            </w:pPr>
            <w:r>
              <w:rPr>
                <w:rFonts w:ascii="Times" w:hAnsi="Times" w:cs="Times"/>
                <w:sz w:val="20"/>
                <w:szCs w:val="20"/>
              </w:rPr>
              <w:t>Vlastné prepočty ministerstiev a úradov .</w:t>
            </w:r>
            <w:r>
              <w:rPr>
                <w:rFonts w:ascii="Times" w:hAnsi="Times" w:cs="Times"/>
                <w:sz w:val="20"/>
                <w:szCs w:val="20"/>
              </w:rPr>
              <w:br/>
              <w:t>Informácie poskytnuté SPPK, PKS, SAMO, Zväz obchodu SR.</w:t>
            </w:r>
            <w:r>
              <w:rPr>
                <w:rFonts w:ascii="Times" w:hAnsi="Times" w:cs="Times"/>
                <w:sz w:val="20"/>
                <w:szCs w:val="20"/>
              </w:rPr>
              <w:br/>
              <w:t>Informácie zistené pri kontrolách.</w:t>
            </w:r>
          </w:p>
        </w:tc>
      </w:tr>
      <w:tr w:rsidR="00D97D0F" w:rsidTr="00CA601C">
        <w:trPr>
          <w:jc w:val="center"/>
        </w:trPr>
        <w:tc>
          <w:tcPr>
            <w:tcW w:w="5000" w:type="pct"/>
            <w:gridSpan w:val="4"/>
            <w:tcBorders>
              <w:top w:val="outset" w:sz="6" w:space="0" w:color="000000"/>
              <w:bottom w:val="outset" w:sz="6" w:space="0" w:color="000000"/>
            </w:tcBorders>
            <w:shd w:val="clear" w:color="auto" w:fill="E6E6E6"/>
            <w:hideMark/>
          </w:tcPr>
          <w:p w:rsidR="00D97D0F" w:rsidRDefault="00211FA4" w:rsidP="00D97D0F">
            <w:pPr>
              <w:rPr>
                <w:rFonts w:ascii="Times" w:hAnsi="Times" w:cs="Times"/>
                <w:b/>
                <w:bCs/>
                <w:sz w:val="22"/>
                <w:szCs w:val="22"/>
              </w:rPr>
            </w:pPr>
            <w:r>
              <w:rPr>
                <w:rFonts w:ascii="Times" w:hAnsi="Times" w:cs="Times"/>
                <w:b/>
                <w:bCs/>
                <w:sz w:val="22"/>
                <w:szCs w:val="22"/>
              </w:rPr>
              <w:t xml:space="preserve"> </w:t>
            </w:r>
            <w:r w:rsidR="00D97D0F">
              <w:rPr>
                <w:rFonts w:ascii="Times" w:hAnsi="Times" w:cs="Times"/>
                <w:b/>
                <w:bCs/>
                <w:sz w:val="22"/>
                <w:szCs w:val="22"/>
              </w:rPr>
              <w:t>13.</w:t>
            </w:r>
            <w:r>
              <w:rPr>
                <w:rFonts w:ascii="Times" w:hAnsi="Times" w:cs="Times"/>
                <w:b/>
                <w:bCs/>
                <w:sz w:val="22"/>
                <w:szCs w:val="22"/>
              </w:rPr>
              <w:t xml:space="preserve"> </w:t>
            </w:r>
            <w:r w:rsidR="00D97D0F">
              <w:rPr>
                <w:rFonts w:ascii="Times" w:hAnsi="Times" w:cs="Times"/>
                <w:b/>
                <w:bCs/>
                <w:sz w:val="22"/>
                <w:szCs w:val="22"/>
              </w:rPr>
              <w:t>Stanovisko Komisie pre posudzovanie vybraných vplyvov z PPK</w:t>
            </w:r>
          </w:p>
        </w:tc>
      </w:tr>
      <w:tr w:rsidR="00D97D0F" w:rsidTr="00CA601C">
        <w:trPr>
          <w:trHeight w:val="1200"/>
          <w:jc w:val="center"/>
        </w:trPr>
        <w:tc>
          <w:tcPr>
            <w:tcW w:w="5000" w:type="pct"/>
            <w:gridSpan w:val="4"/>
            <w:tcBorders>
              <w:top w:val="outset" w:sz="6" w:space="0" w:color="000000"/>
              <w:bottom w:val="outset" w:sz="6" w:space="0" w:color="000000"/>
            </w:tcBorders>
            <w:hideMark/>
          </w:tcPr>
          <w:p w:rsidR="00D97D0F" w:rsidRDefault="00D97D0F" w:rsidP="00D97D0F">
            <w:pPr>
              <w:jc w:val="center"/>
              <w:rPr>
                <w:rFonts w:ascii="Times" w:hAnsi="Times" w:cs="Times"/>
                <w:b/>
                <w:sz w:val="20"/>
                <w:szCs w:val="20"/>
              </w:rPr>
            </w:pPr>
            <w:r w:rsidRPr="004548BB">
              <w:rPr>
                <w:rFonts w:ascii="Times" w:hAnsi="Times" w:cs="Times"/>
                <w:b/>
                <w:sz w:val="20"/>
                <w:szCs w:val="20"/>
              </w:rPr>
              <w:t xml:space="preserve">Stanovisko komisie </w:t>
            </w:r>
          </w:p>
          <w:p w:rsidR="00D97D0F" w:rsidRDefault="00D97D0F" w:rsidP="00D97D0F">
            <w:pPr>
              <w:jc w:val="center"/>
              <w:rPr>
                <w:rFonts w:ascii="Times" w:hAnsi="Times" w:cs="Times"/>
                <w:b/>
                <w:sz w:val="20"/>
                <w:szCs w:val="20"/>
              </w:rPr>
            </w:pPr>
            <w:r w:rsidRPr="004548BB">
              <w:rPr>
                <w:rFonts w:ascii="Times" w:hAnsi="Times" w:cs="Times"/>
                <w:b/>
                <w:sz w:val="20"/>
                <w:szCs w:val="20"/>
              </w:rPr>
              <w:t xml:space="preserve">(predbežné pripomienkové konanie) </w:t>
            </w:r>
          </w:p>
          <w:p w:rsidR="00D97D0F" w:rsidRPr="004548BB" w:rsidRDefault="00D97D0F" w:rsidP="00D97D0F">
            <w:pPr>
              <w:jc w:val="center"/>
              <w:rPr>
                <w:rFonts w:ascii="Times" w:hAnsi="Times" w:cs="Times"/>
                <w:b/>
                <w:sz w:val="20"/>
                <w:szCs w:val="20"/>
              </w:rPr>
            </w:pPr>
            <w:r w:rsidRPr="004548BB">
              <w:rPr>
                <w:rFonts w:ascii="Times" w:hAnsi="Times" w:cs="Times"/>
                <w:b/>
                <w:sz w:val="20"/>
                <w:szCs w:val="20"/>
              </w:rPr>
              <w:t>k návrhu zákona, ktorým sa mení a dopĺňa zákon č. 362/2012 Z. z. o neprimeraných podmienkach v obchodných vzťahoch, ktorých predmetom sú potraviny</w:t>
            </w:r>
            <w:r w:rsidRPr="004548BB">
              <w:rPr>
                <w:rFonts w:ascii="Times" w:hAnsi="Times" w:cs="Times"/>
                <w:b/>
                <w:sz w:val="20"/>
                <w:szCs w:val="20"/>
              </w:rPr>
              <w:br/>
            </w:r>
          </w:p>
          <w:p w:rsidR="00D97D0F" w:rsidRDefault="00D97D0F" w:rsidP="00D97D0F">
            <w:pPr>
              <w:rPr>
                <w:rFonts w:ascii="Times" w:hAnsi="Times" w:cs="Times"/>
                <w:sz w:val="20"/>
                <w:szCs w:val="20"/>
              </w:rPr>
            </w:pPr>
            <w:r w:rsidRPr="004548BB">
              <w:rPr>
                <w:rFonts w:ascii="Times" w:hAnsi="Times" w:cs="Times"/>
                <w:b/>
                <w:sz w:val="20"/>
                <w:szCs w:val="20"/>
              </w:rPr>
              <w:t>I. Úvod:</w:t>
            </w:r>
            <w:r>
              <w:rPr>
                <w:rFonts w:ascii="Times" w:hAnsi="Times" w:cs="Times"/>
                <w:sz w:val="20"/>
                <w:szCs w:val="20"/>
              </w:rPr>
              <w:t xml:space="preserve"> Ministerstvo pôdohospodárstva a rozvoja vidieka Slovenskej republiky dňa 17. Augusta 2017 predložilo Stálej pracovnej komisii na posudzovanie vybraných vplyvov (ďalej len „Komisia“) na predbežné pripomienkové konanie materiál „Návrh zákona, ktorým sa mení a dopĺňa zákon </w:t>
            </w:r>
            <w:r>
              <w:rPr>
                <w:rFonts w:ascii="Times" w:hAnsi="Times" w:cs="Times"/>
                <w:sz w:val="20"/>
                <w:szCs w:val="20"/>
              </w:rPr>
              <w:br/>
              <w:t xml:space="preserve">č. 362/2012 Z. z. o neprimeraných podmienkach v obchodných vzťahoch, ktorých predmetom sú potraviny“. Materiál predpokladá pozitívne vplyvy na rozpočet verejnej správy a pozitívno-negatívne vplyvy </w:t>
            </w:r>
            <w:r>
              <w:rPr>
                <w:rFonts w:ascii="Times" w:hAnsi="Times" w:cs="Times"/>
                <w:sz w:val="20"/>
                <w:szCs w:val="20"/>
              </w:rPr>
              <w:br/>
              <w:t>na podnikateľské prostredie, vrátane pozitívnych vplyvov na malé a stredné podniky.</w:t>
            </w:r>
            <w:r>
              <w:rPr>
                <w:rFonts w:ascii="Times" w:hAnsi="Times" w:cs="Times"/>
                <w:sz w:val="20"/>
                <w:szCs w:val="20"/>
              </w:rPr>
              <w:br/>
            </w:r>
            <w:r w:rsidRPr="004548BB">
              <w:rPr>
                <w:rFonts w:ascii="Times" w:hAnsi="Times" w:cs="Times"/>
                <w:b/>
                <w:sz w:val="20"/>
                <w:szCs w:val="20"/>
              </w:rPr>
              <w:t>II. Pripomienky a návrhy zmien:</w:t>
            </w:r>
            <w:r>
              <w:rPr>
                <w:rFonts w:ascii="Times" w:hAnsi="Times" w:cs="Times"/>
                <w:sz w:val="20"/>
                <w:szCs w:val="20"/>
              </w:rPr>
              <w:t xml:space="preserve"> Komisia uplatňuje k materiálu nasledovné pripomienky a odporúčania:</w:t>
            </w:r>
            <w:r>
              <w:rPr>
                <w:rFonts w:ascii="Times" w:hAnsi="Times" w:cs="Times"/>
                <w:sz w:val="20"/>
                <w:szCs w:val="20"/>
              </w:rPr>
              <w:br/>
            </w:r>
            <w:r w:rsidRPr="004548BB">
              <w:rPr>
                <w:rFonts w:ascii="Times" w:hAnsi="Times" w:cs="Times"/>
                <w:b/>
                <w:sz w:val="20"/>
                <w:szCs w:val="20"/>
              </w:rPr>
              <w:t>K doložke vybraných vplyvov</w:t>
            </w:r>
          </w:p>
          <w:p w:rsidR="00D97D0F" w:rsidRDefault="00D97D0F" w:rsidP="00D97D0F">
            <w:pPr>
              <w:rPr>
                <w:rFonts w:ascii="Times" w:hAnsi="Times" w:cs="Times"/>
                <w:sz w:val="20"/>
                <w:szCs w:val="20"/>
              </w:rPr>
            </w:pPr>
            <w:r w:rsidRPr="004548BB">
              <w:rPr>
                <w:rFonts w:ascii="Times" w:hAnsi="Times" w:cs="Times"/>
                <w:sz w:val="20"/>
                <w:szCs w:val="20"/>
              </w:rPr>
              <w:t>Komisia</w:t>
            </w:r>
            <w:r>
              <w:rPr>
                <w:rFonts w:ascii="Times" w:hAnsi="Times" w:cs="Times"/>
                <w:sz w:val="20"/>
                <w:szCs w:val="20"/>
              </w:rPr>
              <w:t xml:space="preserve"> žiada opraviť časť 9. Vplyvy navrhovaného materiálu doložky vybraných vplyvov tak, že pri pozitívnych vplyvoch na rozpočet verejnej správy nie je potrebné vyznačiť „z toho rozpočtovo zabezpečené </w:t>
            </w:r>
            <w:r>
              <w:rPr>
                <w:rFonts w:ascii="Times" w:hAnsi="Times" w:cs="Times"/>
                <w:sz w:val="20"/>
                <w:szCs w:val="20"/>
              </w:rPr>
              <w:lastRenderedPageBreak/>
              <w:t>vplyvy“.</w:t>
            </w:r>
          </w:p>
          <w:p w:rsidR="00D97D0F" w:rsidRPr="004548BB" w:rsidRDefault="00D97D0F" w:rsidP="00D97D0F">
            <w:pPr>
              <w:rPr>
                <w:rFonts w:ascii="Times" w:hAnsi="Times" w:cs="Times"/>
                <w:b/>
                <w:sz w:val="20"/>
                <w:szCs w:val="20"/>
              </w:rPr>
            </w:pPr>
            <w:r w:rsidRPr="004548BB">
              <w:rPr>
                <w:rFonts w:ascii="Times" w:hAnsi="Times" w:cs="Times"/>
                <w:b/>
                <w:sz w:val="20"/>
                <w:szCs w:val="20"/>
              </w:rPr>
              <w:t>K analýze vplyvov podnikateľské prostredie</w:t>
            </w:r>
          </w:p>
          <w:p w:rsidR="00D97D0F" w:rsidRDefault="00D97D0F" w:rsidP="00D97D0F">
            <w:pPr>
              <w:rPr>
                <w:rFonts w:ascii="Times" w:hAnsi="Times" w:cs="Times"/>
                <w:sz w:val="20"/>
                <w:szCs w:val="20"/>
              </w:rPr>
            </w:pPr>
            <w:r>
              <w:rPr>
                <w:rFonts w:ascii="Times" w:hAnsi="Times" w:cs="Times"/>
                <w:sz w:val="20"/>
                <w:szCs w:val="20"/>
              </w:rPr>
              <w:t>Komisia odporúča v bode 3.1 Dotknuté podnikateľské subjekty uviesť aj veľkoobchodné reťazce napr. podľa subjektov uvedených v bode 3.2.</w:t>
            </w:r>
          </w:p>
          <w:p w:rsidR="00D97D0F" w:rsidRDefault="00D97D0F" w:rsidP="00D97D0F">
            <w:pPr>
              <w:rPr>
                <w:rFonts w:ascii="Times" w:hAnsi="Times" w:cs="Times"/>
                <w:sz w:val="20"/>
                <w:szCs w:val="20"/>
              </w:rPr>
            </w:pPr>
            <w:r>
              <w:rPr>
                <w:rFonts w:ascii="Times" w:hAnsi="Times" w:cs="Times"/>
                <w:sz w:val="20"/>
                <w:szCs w:val="20"/>
              </w:rPr>
              <w:t>V rámci Analýzy vplyvov na podnikateľské prostredie absentuje kvalitatívny popis opatrení, ktoré majú mať za následok, ako predkladateľ uvádza v časti 3.4. „vybalansovanie vzťahov medzi dodávateľmi potravín a odberateľmi potravín (najmä s veľkou ekonomickou silou) a zlepšenie resp. nediskriminačné podmienky pre všetkých na trhu obchodu s potravinami“, preto Komisia odporúča predkladateľovi doplniť aspoň kvalitatívny popis opatrení, v dôsledku ktorých takýto efekt na podnikateľské prostredie na Slovenska predpokladá, konkrétne:</w:t>
            </w:r>
          </w:p>
          <w:p w:rsidR="00D97D0F" w:rsidRDefault="00D97D0F" w:rsidP="00D97D0F">
            <w:pPr>
              <w:rPr>
                <w:rFonts w:ascii="Times" w:hAnsi="Times" w:cs="Times"/>
                <w:sz w:val="20"/>
                <w:szCs w:val="20"/>
              </w:rPr>
            </w:pPr>
            <w:r>
              <w:rPr>
                <w:rFonts w:ascii="Times" w:hAnsi="Times" w:cs="Times"/>
                <w:sz w:val="20"/>
                <w:szCs w:val="20"/>
              </w:rPr>
              <w:t>a)precizovanie znenia doterajších neprimeraných podmienok v obchodných vzťahoch, ktorých predmetom sú potraviny a zavedenie nových špecifických neprimeraných podmienok a zároveň ustanovenie tzv. generálnej klauzuly neprimeranej podmienky (akékoľvek iné obdobné konanie alebo opomenutie konania, ktorého následkom je priame alebo nepriame znevýhodnenie jedného z účastníkov obchodného vzťahu), čím sa doterajší taxatívny výpočet stáva demonštratívnym (doplnenie slova „najmä“ pred výpočet neprimeraných podmienok),</w:t>
            </w:r>
          </w:p>
          <w:p w:rsidR="00D97D0F" w:rsidRDefault="00D97D0F" w:rsidP="00D97D0F">
            <w:pPr>
              <w:rPr>
                <w:rFonts w:ascii="Times" w:hAnsi="Times" w:cs="Times"/>
                <w:sz w:val="20"/>
                <w:szCs w:val="20"/>
              </w:rPr>
            </w:pPr>
            <w:r>
              <w:rPr>
                <w:rFonts w:ascii="Times" w:hAnsi="Times" w:cs="Times"/>
                <w:sz w:val="20"/>
                <w:szCs w:val="20"/>
              </w:rPr>
              <w:t>b)úprava kontrolného procesu, v rámci ktorého sa posilňuje postavenie kontrolórov ministerstva, zjednodušuje postup kontroly a zavedenie možnosti predkladať ministerstvu aj anonymné podnety upozorňujúce na možné porušenie zákona,</w:t>
            </w:r>
          </w:p>
          <w:p w:rsidR="00D97D0F" w:rsidRDefault="00D97D0F" w:rsidP="00D97D0F">
            <w:pPr>
              <w:rPr>
                <w:rFonts w:ascii="Times" w:hAnsi="Times" w:cs="Times"/>
                <w:sz w:val="20"/>
                <w:szCs w:val="20"/>
              </w:rPr>
            </w:pPr>
            <w:r>
              <w:rPr>
                <w:rFonts w:ascii="Times" w:hAnsi="Times" w:cs="Times"/>
                <w:sz w:val="20"/>
                <w:szCs w:val="20"/>
              </w:rPr>
              <w:t xml:space="preserve">c)zvýšenie pokuty z rozmedzia 1000-300 000 eur na „až do výšky 500 000 eur“ bez spodnej hranice, ktorú možno uložiť tomu, kto dohodne/uplatní/požaduje neprimeranú podmienku priamo alebo nepriamo znevýhodňujúcu druhého účastníka obchodného vzťahu. </w:t>
            </w:r>
          </w:p>
          <w:p w:rsidR="00D97D0F" w:rsidRDefault="00D97D0F" w:rsidP="00D97D0F">
            <w:pPr>
              <w:rPr>
                <w:rFonts w:ascii="Times" w:hAnsi="Times" w:cs="Times"/>
                <w:sz w:val="20"/>
                <w:szCs w:val="20"/>
              </w:rPr>
            </w:pPr>
            <w:r w:rsidRPr="007478C1">
              <w:rPr>
                <w:rFonts w:ascii="Times" w:hAnsi="Times" w:cs="Times"/>
                <w:b/>
                <w:sz w:val="20"/>
                <w:szCs w:val="20"/>
              </w:rPr>
              <w:t>K analýze vplyvov na rozpočet verejnej správy</w:t>
            </w:r>
            <w:r>
              <w:rPr>
                <w:rFonts w:ascii="Times" w:hAnsi="Times" w:cs="Times"/>
                <w:sz w:val="20"/>
                <w:szCs w:val="20"/>
              </w:rPr>
              <w:t xml:space="preserve"> </w:t>
            </w:r>
          </w:p>
          <w:p w:rsidR="00D97D0F" w:rsidRDefault="00D97D0F" w:rsidP="00D97D0F">
            <w:pPr>
              <w:rPr>
                <w:rFonts w:ascii="Times" w:hAnsi="Times" w:cs="Times"/>
                <w:sz w:val="20"/>
                <w:szCs w:val="20"/>
              </w:rPr>
            </w:pPr>
            <w:r>
              <w:rPr>
                <w:rFonts w:ascii="Times" w:hAnsi="Times" w:cs="Times"/>
                <w:sz w:val="20"/>
                <w:szCs w:val="20"/>
              </w:rPr>
              <w:t xml:space="preserve">V predkladacej správe, dôvodovej správe – všeobecná časť a doložke vybraných vplyvov predkladateľ uvádza pozitívny vplyv predmetného materiálu na rozpočet verejnej správy, ktorý podľa analýzy vplyvov na rozpočet verejnej správy, na zamestnanosť vo verejnej správe a financovanie návrhu má byť v rokoch r až r + 3 v sume 1 200 581 eur ročne. Pozitívny vplyv na rozpočet verejnej správy má spočívať vo väčšej efektivite kontrol a predpokladanom náraste právoplatne uložených pokút za porušenie predmetného zákona. </w:t>
            </w:r>
          </w:p>
          <w:p w:rsidR="00D97D0F" w:rsidRDefault="00D97D0F" w:rsidP="00D97D0F">
            <w:pPr>
              <w:rPr>
                <w:rFonts w:ascii="Times" w:hAnsi="Times" w:cs="Times"/>
                <w:sz w:val="20"/>
                <w:szCs w:val="20"/>
              </w:rPr>
            </w:pPr>
            <w:r>
              <w:rPr>
                <w:rFonts w:ascii="Times" w:hAnsi="Times" w:cs="Times"/>
                <w:sz w:val="20"/>
                <w:szCs w:val="20"/>
              </w:rPr>
              <w:t xml:space="preserve">V súvislosti s odvádzaním pokút predkladateľ navrhuje, aby poriadkové pokuty uložené MPRV SR kontrolovanému subjektu alebo tretej osobe podľa § 17 zákona boli príjmom rozpočtu MPRV SR, zatiaľ čo výnos pokút uložených MPRV SR účastníkovi obchodného vzťahu za správny delikt podľa § 18 zákona bol príjmom štátneho rozpočtu. Vzhľadom na to, že predkladateľ v dôvodovej správe – osobitná časť neodôvodnil uplatňovanie odlišného postupu pri odvádzaní poriadkových pokút a pokút uložených za správny delikt, Komisia žiada, aby aj v navrhovanom znení § 17 zákona bolo ustanovené, že uložené poriadkové pokuty sú príjmom štátneho rozpočtu. </w:t>
            </w:r>
          </w:p>
          <w:p w:rsidR="00D97D0F" w:rsidRDefault="00D97D0F" w:rsidP="00D97D0F">
            <w:pPr>
              <w:rPr>
                <w:rFonts w:ascii="Times" w:hAnsi="Times" w:cs="Times"/>
                <w:sz w:val="20"/>
                <w:szCs w:val="20"/>
              </w:rPr>
            </w:pPr>
            <w:r>
              <w:rPr>
                <w:rFonts w:ascii="Times" w:hAnsi="Times" w:cs="Times"/>
                <w:sz w:val="20"/>
                <w:szCs w:val="20"/>
              </w:rPr>
              <w:t>V záhlaví všetkých tabuliek analýzy vplyvov na rozpočet verejnej správy, na zamestnanosť vo verejnej správe a financovanie návrhu žiada Komisia uviesť konkrétne roky, keďže podľa § 33 zákona č. 523/2004 Z. z. o rozpočtových pravidlách verejnej správy v znení neskorších predpisov sa pri materiáloch predkladaných na rokovanie vlády SR uvádzajú finančné dôsledky na rozpočet verejnej správy na bežný rok a na tri nasledujúce rozpočtové roky. Vzhľadom na to, že návrh zákona má nadobudnúť účinnosť 1. januára 2018, nemôže byť vyčíslený pozitívny vplyv na rozpočet verejnej správy v bežnom roku (2017).</w:t>
            </w:r>
          </w:p>
          <w:p w:rsidR="00D97D0F" w:rsidRDefault="00D97D0F" w:rsidP="00D97D0F">
            <w:pPr>
              <w:rPr>
                <w:rFonts w:ascii="Times" w:hAnsi="Times" w:cs="Times"/>
                <w:sz w:val="20"/>
                <w:szCs w:val="20"/>
              </w:rPr>
            </w:pPr>
            <w:r>
              <w:rPr>
                <w:rFonts w:ascii="Times" w:hAnsi="Times" w:cs="Times"/>
                <w:sz w:val="20"/>
                <w:szCs w:val="20"/>
              </w:rPr>
              <w:t xml:space="preserve">Súčasne žiada Komisia v tabuľke č. 1 analýzy vplyvov na rozpočet verejnej správy, </w:t>
            </w:r>
            <w:r>
              <w:rPr>
                <w:rFonts w:ascii="Times" w:hAnsi="Times" w:cs="Times"/>
                <w:sz w:val="20"/>
                <w:szCs w:val="20"/>
              </w:rPr>
              <w:br/>
              <w:t>na zamestnanosť vo verejnej správe a financovanie návrhu doplniť subjekt verej</w:t>
            </w:r>
            <w:r w:rsidR="0060336C">
              <w:rPr>
                <w:rFonts w:ascii="Times" w:hAnsi="Times" w:cs="Times"/>
                <w:sz w:val="20"/>
                <w:szCs w:val="20"/>
              </w:rPr>
              <w:t xml:space="preserve">nej správy (kapitolu) v riadku </w:t>
            </w:r>
            <w:r>
              <w:rPr>
                <w:rFonts w:ascii="Times" w:hAnsi="Times" w:cs="Times"/>
                <w:sz w:val="20"/>
                <w:szCs w:val="20"/>
              </w:rPr>
              <w:t>“Príjmy verejnej správy celkom, v tom: za každý subjekt verejnej správy zvlášť“.</w:t>
            </w:r>
            <w:r>
              <w:rPr>
                <w:rFonts w:ascii="Times" w:hAnsi="Times" w:cs="Times"/>
                <w:sz w:val="20"/>
                <w:szCs w:val="20"/>
              </w:rPr>
              <w:br/>
            </w:r>
            <w:r w:rsidRPr="00526500">
              <w:rPr>
                <w:rFonts w:ascii="Times" w:hAnsi="Times" w:cs="Times"/>
                <w:b/>
                <w:sz w:val="20"/>
                <w:szCs w:val="20"/>
              </w:rPr>
              <w:t>III. Záver:</w:t>
            </w:r>
            <w:r>
              <w:rPr>
                <w:rFonts w:ascii="Times" w:hAnsi="Times" w:cs="Times"/>
                <w:sz w:val="20"/>
                <w:szCs w:val="20"/>
              </w:rPr>
              <w:t xml:space="preserve"> Stála pracovná komisia na posudzovanie vybraných vplyvov vyjadruje </w:t>
            </w:r>
          </w:p>
          <w:p w:rsidR="00D97D0F" w:rsidRPr="00C0699F" w:rsidRDefault="00D97D0F" w:rsidP="00D97D0F">
            <w:pPr>
              <w:jc w:val="center"/>
              <w:rPr>
                <w:rFonts w:ascii="Times" w:hAnsi="Times" w:cs="Times"/>
                <w:b/>
                <w:sz w:val="20"/>
                <w:szCs w:val="20"/>
              </w:rPr>
            </w:pPr>
            <w:r w:rsidRPr="00C0699F">
              <w:rPr>
                <w:rFonts w:ascii="Times" w:hAnsi="Times" w:cs="Times"/>
                <w:b/>
                <w:sz w:val="20"/>
                <w:szCs w:val="20"/>
              </w:rPr>
              <w:t>súhlasné stanovisko s návrhom na dopracovanie</w:t>
            </w:r>
          </w:p>
          <w:p w:rsidR="00D97D0F" w:rsidRDefault="00D97D0F" w:rsidP="00D97D0F">
            <w:pPr>
              <w:rPr>
                <w:rFonts w:ascii="Times" w:hAnsi="Times" w:cs="Times"/>
                <w:sz w:val="20"/>
                <w:szCs w:val="20"/>
              </w:rPr>
            </w:pPr>
            <w:r>
              <w:rPr>
                <w:rFonts w:ascii="Times" w:hAnsi="Times" w:cs="Times"/>
                <w:sz w:val="20"/>
                <w:szCs w:val="20"/>
              </w:rPr>
              <w:t>s materiálom predloženým na predbežné pripomienkové konanie s odporúčaním na jeho dopracovanie podľa pripomienok v bode II.</w:t>
            </w:r>
          </w:p>
          <w:p w:rsidR="00D97D0F" w:rsidRDefault="00D97D0F" w:rsidP="00D97D0F">
            <w:pPr>
              <w:rPr>
                <w:rFonts w:ascii="Times" w:hAnsi="Times" w:cs="Times"/>
                <w:sz w:val="20"/>
                <w:szCs w:val="20"/>
              </w:rPr>
            </w:pPr>
            <w:r w:rsidRPr="00526500">
              <w:rPr>
                <w:rFonts w:ascii="Times" w:hAnsi="Times" w:cs="Times"/>
                <w:b/>
                <w:sz w:val="20"/>
                <w:szCs w:val="20"/>
              </w:rPr>
              <w:t>IV. Poznámka:</w:t>
            </w:r>
            <w:r>
              <w:rPr>
                <w:rFonts w:ascii="Times" w:hAnsi="Times" w:cs="Times"/>
                <w:sz w:val="20"/>
                <w:szCs w:val="20"/>
              </w:rPr>
              <w:t xml:space="preserve"> Predkladateľ zapracuje pripomienky a odporúčania na úpravu uvedené v bode II a uvedie stanovisko Komisie do doložky vybraných vplyvov spolu s vyhodnotením pripomienok.</w:t>
            </w:r>
          </w:p>
          <w:p w:rsidR="00D97D0F" w:rsidRDefault="00D97D0F" w:rsidP="00D97D0F">
            <w:pPr>
              <w:jc w:val="right"/>
              <w:rPr>
                <w:rFonts w:ascii="Times" w:hAnsi="Times" w:cs="Times"/>
                <w:sz w:val="20"/>
                <w:szCs w:val="20"/>
              </w:rPr>
            </w:pPr>
            <w:r w:rsidRPr="00C0699F">
              <w:rPr>
                <w:rFonts w:ascii="Times" w:hAnsi="Times" w:cs="Times"/>
                <w:b/>
                <w:sz w:val="20"/>
                <w:szCs w:val="20"/>
              </w:rPr>
              <w:t>Ing. Rastislav Chovanec, PhD</w:t>
            </w:r>
            <w:r>
              <w:rPr>
                <w:rFonts w:ascii="Times" w:hAnsi="Times" w:cs="Times"/>
                <w:sz w:val="20"/>
                <w:szCs w:val="20"/>
              </w:rPr>
              <w:t xml:space="preserve">. </w:t>
            </w:r>
          </w:p>
          <w:p w:rsidR="00D97D0F" w:rsidRDefault="00D97D0F" w:rsidP="00D97D0F">
            <w:pPr>
              <w:jc w:val="right"/>
              <w:rPr>
                <w:rFonts w:ascii="Times" w:hAnsi="Times" w:cs="Times"/>
                <w:sz w:val="20"/>
                <w:szCs w:val="20"/>
              </w:rPr>
            </w:pPr>
            <w:r>
              <w:rPr>
                <w:rFonts w:ascii="Times" w:hAnsi="Times" w:cs="Times"/>
                <w:sz w:val="20"/>
                <w:szCs w:val="20"/>
              </w:rPr>
              <w:t xml:space="preserve">predseda Komisie </w:t>
            </w:r>
            <w:r>
              <w:rPr>
                <w:rFonts w:ascii="Times" w:hAnsi="Times" w:cs="Times"/>
                <w:sz w:val="20"/>
                <w:szCs w:val="20"/>
              </w:rPr>
              <w:br/>
            </w:r>
          </w:p>
        </w:tc>
      </w:tr>
    </w:tbl>
    <w:p w:rsidR="00D97D0F" w:rsidRPr="00543B8E" w:rsidRDefault="00D97D0F" w:rsidP="00D97D0F">
      <w:pPr>
        <w:pStyle w:val="Normlnywebov"/>
        <w:spacing w:before="0" w:beforeAutospacing="0" w:after="0" w:afterAutospacing="0"/>
        <w:rPr>
          <w:bCs/>
          <w:sz w:val="20"/>
          <w:szCs w:val="20"/>
        </w:rPr>
      </w:pPr>
    </w:p>
    <w:p w:rsidR="00D97D0F" w:rsidRDefault="00D97D0F" w:rsidP="00C56EEC">
      <w:pPr>
        <w:spacing w:after="120"/>
        <w:ind w:firstLine="709"/>
        <w:contextualSpacing/>
      </w:pPr>
    </w:p>
    <w:p w:rsidR="00D97D0F" w:rsidRDefault="00D97D0F" w:rsidP="00222E1E">
      <w:pPr>
        <w:spacing w:after="120"/>
        <w:contextualSpacing/>
      </w:pPr>
    </w:p>
    <w:p w:rsidR="00D97D0F" w:rsidRPr="00EB4ECB" w:rsidRDefault="00D97D0F" w:rsidP="00CA601C">
      <w:pPr>
        <w:pageBreakBefore/>
        <w:jc w:val="center"/>
        <w:rPr>
          <w:b/>
          <w:bCs/>
          <w:sz w:val="28"/>
          <w:szCs w:val="28"/>
        </w:rPr>
      </w:pPr>
      <w:r w:rsidRPr="00EB4ECB">
        <w:rPr>
          <w:b/>
          <w:bCs/>
          <w:sz w:val="28"/>
          <w:szCs w:val="28"/>
        </w:rPr>
        <w:lastRenderedPageBreak/>
        <w:t>Analýza vplyvov na rozpočet verejnej správy,</w:t>
      </w:r>
    </w:p>
    <w:p w:rsidR="00D97D0F" w:rsidRPr="00EB4ECB" w:rsidRDefault="00D97D0F" w:rsidP="00D97D0F">
      <w:pPr>
        <w:jc w:val="center"/>
        <w:rPr>
          <w:b/>
          <w:bCs/>
          <w:sz w:val="28"/>
          <w:szCs w:val="28"/>
        </w:rPr>
      </w:pPr>
      <w:r w:rsidRPr="00EB4ECB">
        <w:rPr>
          <w:b/>
          <w:bCs/>
          <w:sz w:val="28"/>
          <w:szCs w:val="28"/>
        </w:rPr>
        <w:t>na zamestnanosť vo verejnej správe a financovanie návrhu</w:t>
      </w:r>
    </w:p>
    <w:p w:rsidR="00D97D0F" w:rsidRPr="00EB4ECB" w:rsidRDefault="00D97D0F" w:rsidP="00D97D0F">
      <w:pPr>
        <w:rPr>
          <w:b/>
          <w:bCs/>
        </w:rPr>
      </w:pPr>
    </w:p>
    <w:p w:rsidR="00D97D0F" w:rsidRPr="00EB4ECB" w:rsidRDefault="00D97D0F" w:rsidP="00D97D0F">
      <w:pPr>
        <w:rPr>
          <w:b/>
          <w:bCs/>
        </w:rPr>
      </w:pPr>
      <w:r w:rsidRPr="00EB4ECB">
        <w:rPr>
          <w:b/>
          <w:bCs/>
        </w:rPr>
        <w:t>2.1 Zhrnutie vplyvov na rozpočet verejnej správy v návrhu</w:t>
      </w:r>
    </w:p>
    <w:p w:rsidR="00D97D0F" w:rsidRPr="00EB4ECB" w:rsidRDefault="00D97D0F" w:rsidP="00D97D0F">
      <w:pPr>
        <w:jc w:val="right"/>
      </w:pPr>
    </w:p>
    <w:p w:rsidR="00D97D0F" w:rsidRPr="00EB4ECB" w:rsidRDefault="00D97D0F" w:rsidP="00D97D0F">
      <w:pPr>
        <w:jc w:val="right"/>
      </w:pPr>
      <w:r w:rsidRPr="00EB4ECB">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D97D0F" w:rsidRPr="00EB4ECB" w:rsidTr="00D97D0F">
        <w:trPr>
          <w:cantSplit/>
          <w:trHeight w:val="194"/>
          <w:jc w:val="center"/>
        </w:trPr>
        <w:tc>
          <w:tcPr>
            <w:tcW w:w="4661" w:type="dxa"/>
            <w:vMerge w:val="restart"/>
            <w:shd w:val="clear" w:color="auto" w:fill="BFBFBF"/>
            <w:vAlign w:val="center"/>
          </w:tcPr>
          <w:p w:rsidR="00D97D0F" w:rsidRPr="00EB4ECB" w:rsidRDefault="00D97D0F" w:rsidP="00D97D0F">
            <w:pPr>
              <w:jc w:val="center"/>
              <w:rPr>
                <w:b/>
                <w:bCs/>
              </w:rPr>
            </w:pPr>
            <w:bookmarkStart w:id="1" w:name="OLE_LINK1"/>
            <w:r w:rsidRPr="00EB4ECB">
              <w:rPr>
                <w:b/>
                <w:bCs/>
              </w:rPr>
              <w:t>Vplyvy na rozpočet verejnej správy</w:t>
            </w:r>
          </w:p>
        </w:tc>
        <w:tc>
          <w:tcPr>
            <w:tcW w:w="5068" w:type="dxa"/>
            <w:gridSpan w:val="4"/>
            <w:shd w:val="clear" w:color="auto" w:fill="BFBFBF"/>
            <w:vAlign w:val="center"/>
          </w:tcPr>
          <w:p w:rsidR="00D97D0F" w:rsidRPr="00EB4ECB" w:rsidRDefault="00D97D0F" w:rsidP="00D97D0F">
            <w:pPr>
              <w:jc w:val="center"/>
              <w:rPr>
                <w:b/>
                <w:bCs/>
              </w:rPr>
            </w:pPr>
            <w:r w:rsidRPr="00EB4ECB">
              <w:rPr>
                <w:b/>
                <w:bCs/>
              </w:rPr>
              <w:t>Vplyv na rozpočet verejnej správy (v eurách)</w:t>
            </w:r>
          </w:p>
        </w:tc>
      </w:tr>
      <w:tr w:rsidR="00D97D0F" w:rsidRPr="00EB4ECB" w:rsidTr="00D97D0F">
        <w:trPr>
          <w:cantSplit/>
          <w:trHeight w:val="70"/>
          <w:jc w:val="center"/>
        </w:trPr>
        <w:tc>
          <w:tcPr>
            <w:tcW w:w="4661" w:type="dxa"/>
            <w:vMerge/>
            <w:shd w:val="clear" w:color="auto" w:fill="BFBFBF"/>
            <w:vAlign w:val="center"/>
          </w:tcPr>
          <w:p w:rsidR="00D97D0F" w:rsidRPr="00EB4ECB" w:rsidRDefault="00D97D0F" w:rsidP="00D97D0F">
            <w:pPr>
              <w:jc w:val="center"/>
              <w:rPr>
                <w:b/>
                <w:bCs/>
              </w:rPr>
            </w:pPr>
          </w:p>
        </w:tc>
        <w:tc>
          <w:tcPr>
            <w:tcW w:w="1267" w:type="dxa"/>
            <w:shd w:val="clear" w:color="auto" w:fill="BFBFBF"/>
            <w:vAlign w:val="center"/>
          </w:tcPr>
          <w:p w:rsidR="00D97D0F" w:rsidRPr="00EB4ECB" w:rsidRDefault="00D97D0F" w:rsidP="00D97D0F">
            <w:pPr>
              <w:jc w:val="center"/>
              <w:rPr>
                <w:b/>
                <w:bCs/>
              </w:rPr>
            </w:pPr>
            <w:r w:rsidRPr="00EB4ECB">
              <w:rPr>
                <w:b/>
                <w:bCs/>
              </w:rPr>
              <w:t>2018</w:t>
            </w:r>
          </w:p>
        </w:tc>
        <w:tc>
          <w:tcPr>
            <w:tcW w:w="1267" w:type="dxa"/>
            <w:shd w:val="clear" w:color="auto" w:fill="BFBFBF"/>
            <w:vAlign w:val="center"/>
          </w:tcPr>
          <w:p w:rsidR="00D97D0F" w:rsidRPr="00EB4ECB" w:rsidRDefault="00D97D0F" w:rsidP="00D97D0F">
            <w:pPr>
              <w:jc w:val="center"/>
              <w:rPr>
                <w:b/>
                <w:bCs/>
              </w:rPr>
            </w:pPr>
            <w:r w:rsidRPr="00EB4ECB">
              <w:rPr>
                <w:b/>
                <w:bCs/>
              </w:rPr>
              <w:t>2019</w:t>
            </w:r>
          </w:p>
        </w:tc>
        <w:tc>
          <w:tcPr>
            <w:tcW w:w="1267" w:type="dxa"/>
            <w:shd w:val="clear" w:color="auto" w:fill="BFBFBF"/>
            <w:vAlign w:val="center"/>
          </w:tcPr>
          <w:p w:rsidR="00D97D0F" w:rsidRPr="00EB4ECB" w:rsidRDefault="00D97D0F" w:rsidP="00D97D0F">
            <w:pPr>
              <w:jc w:val="center"/>
              <w:rPr>
                <w:b/>
                <w:bCs/>
              </w:rPr>
            </w:pPr>
            <w:r w:rsidRPr="00EB4ECB">
              <w:rPr>
                <w:b/>
                <w:bCs/>
              </w:rPr>
              <w:t>2020</w:t>
            </w:r>
          </w:p>
        </w:tc>
        <w:tc>
          <w:tcPr>
            <w:tcW w:w="1267" w:type="dxa"/>
            <w:shd w:val="clear" w:color="auto" w:fill="BFBFBF"/>
            <w:vAlign w:val="center"/>
          </w:tcPr>
          <w:p w:rsidR="00D97D0F" w:rsidRPr="00EB4ECB" w:rsidRDefault="00D97D0F" w:rsidP="00D97D0F">
            <w:pPr>
              <w:jc w:val="center"/>
              <w:rPr>
                <w:b/>
                <w:bCs/>
              </w:rPr>
            </w:pPr>
            <w:r w:rsidRPr="00EB4ECB">
              <w:rPr>
                <w:b/>
                <w:bCs/>
              </w:rPr>
              <w:t>2021</w:t>
            </w:r>
          </w:p>
        </w:tc>
      </w:tr>
      <w:tr w:rsidR="00D97D0F" w:rsidRPr="00EB4ECB" w:rsidTr="00D97D0F">
        <w:trPr>
          <w:trHeight w:val="70"/>
          <w:jc w:val="center"/>
        </w:trPr>
        <w:tc>
          <w:tcPr>
            <w:tcW w:w="4661" w:type="dxa"/>
            <w:shd w:val="clear" w:color="auto" w:fill="C0C0C0"/>
            <w:noWrap/>
            <w:vAlign w:val="center"/>
          </w:tcPr>
          <w:p w:rsidR="00D97D0F" w:rsidRPr="00EB4ECB" w:rsidRDefault="00D97D0F" w:rsidP="00D97D0F">
            <w:r w:rsidRPr="00EB4ECB">
              <w:rPr>
                <w:b/>
                <w:bCs/>
              </w:rPr>
              <w:t>Príjmy verejnej správy celkom</w:t>
            </w:r>
          </w:p>
        </w:tc>
        <w:tc>
          <w:tcPr>
            <w:tcW w:w="1267" w:type="dxa"/>
            <w:shd w:val="clear" w:color="auto" w:fill="C0C0C0"/>
            <w:vAlign w:val="center"/>
          </w:tcPr>
          <w:p w:rsidR="00D97D0F" w:rsidRPr="00EB4ECB" w:rsidRDefault="00D97D0F" w:rsidP="00D97D0F">
            <w:pPr>
              <w:jc w:val="right"/>
              <w:rPr>
                <w:b/>
                <w:bCs/>
              </w:rPr>
            </w:pPr>
            <w:r w:rsidRPr="00EB4ECB">
              <w:rPr>
                <w:b/>
                <w:bCs/>
              </w:rPr>
              <w:t>0</w:t>
            </w:r>
          </w:p>
        </w:tc>
        <w:tc>
          <w:tcPr>
            <w:tcW w:w="1267" w:type="dxa"/>
            <w:shd w:val="clear" w:color="auto" w:fill="C0C0C0"/>
            <w:vAlign w:val="center"/>
          </w:tcPr>
          <w:p w:rsidR="00D97D0F" w:rsidRPr="00EB4ECB" w:rsidRDefault="00D97D0F" w:rsidP="00D97D0F">
            <w:pPr>
              <w:jc w:val="right"/>
              <w:rPr>
                <w:b/>
                <w:bCs/>
              </w:rPr>
            </w:pPr>
            <w:r>
              <w:rPr>
                <w:b/>
                <w:bCs/>
              </w:rPr>
              <w:t>6</w:t>
            </w:r>
            <w:r w:rsidRPr="00EB4ECB">
              <w:rPr>
                <w:b/>
                <w:bCs/>
              </w:rPr>
              <w:t xml:space="preserve">00 </w:t>
            </w:r>
            <w:r>
              <w:rPr>
                <w:b/>
                <w:bCs/>
              </w:rPr>
              <w:t>29</w:t>
            </w:r>
            <w:r w:rsidRPr="00EB4ECB">
              <w:rPr>
                <w:b/>
                <w:bCs/>
              </w:rPr>
              <w:t>1</w:t>
            </w:r>
          </w:p>
        </w:tc>
        <w:tc>
          <w:tcPr>
            <w:tcW w:w="1267" w:type="dxa"/>
            <w:shd w:val="clear" w:color="auto" w:fill="C0C0C0"/>
            <w:vAlign w:val="center"/>
          </w:tcPr>
          <w:p w:rsidR="00D97D0F" w:rsidRPr="00EB4ECB" w:rsidRDefault="00D97D0F" w:rsidP="00D97D0F">
            <w:pPr>
              <w:jc w:val="right"/>
              <w:rPr>
                <w:b/>
                <w:bCs/>
              </w:rPr>
            </w:pPr>
            <w:r w:rsidRPr="00EB4ECB">
              <w:rPr>
                <w:b/>
                <w:bCs/>
              </w:rPr>
              <w:t>1 200 581</w:t>
            </w:r>
          </w:p>
        </w:tc>
        <w:tc>
          <w:tcPr>
            <w:tcW w:w="1267" w:type="dxa"/>
            <w:shd w:val="clear" w:color="auto" w:fill="C0C0C0"/>
            <w:vAlign w:val="center"/>
          </w:tcPr>
          <w:p w:rsidR="00D97D0F" w:rsidRPr="00EB4ECB" w:rsidRDefault="00D97D0F" w:rsidP="00D97D0F">
            <w:pPr>
              <w:jc w:val="right"/>
              <w:rPr>
                <w:b/>
                <w:bCs/>
              </w:rPr>
            </w:pPr>
            <w:r w:rsidRPr="00EB4ECB">
              <w:rPr>
                <w:b/>
                <w:bCs/>
              </w:rPr>
              <w:t>1 200 581</w:t>
            </w:r>
          </w:p>
        </w:tc>
      </w:tr>
      <w:tr w:rsidR="00D97D0F" w:rsidRPr="00EB4ECB" w:rsidTr="00D97D0F">
        <w:trPr>
          <w:trHeight w:val="132"/>
          <w:jc w:val="center"/>
        </w:trPr>
        <w:tc>
          <w:tcPr>
            <w:tcW w:w="4661" w:type="dxa"/>
            <w:noWrap/>
            <w:vAlign w:val="center"/>
          </w:tcPr>
          <w:p w:rsidR="00D97D0F" w:rsidRPr="00EB4ECB" w:rsidRDefault="00D97D0F" w:rsidP="00D97D0F">
            <w:r w:rsidRPr="00EB4ECB">
              <w:t xml:space="preserve">v tom: za </w:t>
            </w:r>
            <w:r>
              <w:t>MPRV SR</w:t>
            </w:r>
          </w:p>
        </w:tc>
        <w:tc>
          <w:tcPr>
            <w:tcW w:w="1267" w:type="dxa"/>
            <w:noWrap/>
            <w:vAlign w:val="center"/>
          </w:tcPr>
          <w:p w:rsidR="00D97D0F" w:rsidRPr="00EB4ECB" w:rsidRDefault="00D97D0F" w:rsidP="00D97D0F">
            <w:pPr>
              <w:jc w:val="right"/>
            </w:pPr>
            <w:r w:rsidRPr="00EB4ECB">
              <w:t>0</w:t>
            </w:r>
          </w:p>
        </w:tc>
        <w:tc>
          <w:tcPr>
            <w:tcW w:w="1267" w:type="dxa"/>
            <w:noWrap/>
            <w:vAlign w:val="center"/>
          </w:tcPr>
          <w:p w:rsidR="00D97D0F" w:rsidRPr="00EB4ECB" w:rsidRDefault="00D97D0F" w:rsidP="00D97D0F">
            <w:pPr>
              <w:jc w:val="right"/>
              <w:rPr>
                <w:b/>
                <w:bCs/>
              </w:rPr>
            </w:pPr>
            <w:r>
              <w:rPr>
                <w:b/>
                <w:bCs/>
              </w:rPr>
              <w:t>6</w:t>
            </w:r>
            <w:r w:rsidRPr="00EB4ECB">
              <w:rPr>
                <w:b/>
                <w:bCs/>
              </w:rPr>
              <w:t xml:space="preserve">00 </w:t>
            </w:r>
            <w:r>
              <w:rPr>
                <w:b/>
                <w:bCs/>
              </w:rPr>
              <w:t>291</w:t>
            </w:r>
          </w:p>
        </w:tc>
        <w:tc>
          <w:tcPr>
            <w:tcW w:w="1267" w:type="dxa"/>
            <w:noWrap/>
            <w:vAlign w:val="center"/>
          </w:tcPr>
          <w:p w:rsidR="00D97D0F" w:rsidRPr="00EB4ECB" w:rsidRDefault="00D97D0F" w:rsidP="00D97D0F">
            <w:pPr>
              <w:jc w:val="right"/>
              <w:rPr>
                <w:b/>
                <w:bCs/>
              </w:rPr>
            </w:pPr>
            <w:r w:rsidRPr="00EB4ECB">
              <w:rPr>
                <w:b/>
                <w:bCs/>
              </w:rPr>
              <w:t>1 200 581</w:t>
            </w:r>
          </w:p>
        </w:tc>
        <w:tc>
          <w:tcPr>
            <w:tcW w:w="1267" w:type="dxa"/>
            <w:noWrap/>
            <w:vAlign w:val="center"/>
          </w:tcPr>
          <w:p w:rsidR="00D97D0F" w:rsidRPr="00EB4ECB" w:rsidRDefault="00D97D0F" w:rsidP="00D97D0F">
            <w:pPr>
              <w:jc w:val="right"/>
              <w:rPr>
                <w:b/>
                <w:bCs/>
              </w:rPr>
            </w:pPr>
            <w:r w:rsidRPr="00EB4ECB">
              <w:rPr>
                <w:b/>
                <w:bCs/>
              </w:rPr>
              <w:t>1 200 581</w:t>
            </w:r>
          </w:p>
        </w:tc>
      </w:tr>
      <w:tr w:rsidR="00D97D0F" w:rsidRPr="00EB4ECB" w:rsidTr="00D97D0F">
        <w:trPr>
          <w:trHeight w:val="70"/>
          <w:jc w:val="center"/>
        </w:trPr>
        <w:tc>
          <w:tcPr>
            <w:tcW w:w="4661" w:type="dxa"/>
            <w:noWrap/>
            <w:vAlign w:val="center"/>
          </w:tcPr>
          <w:p w:rsidR="00D97D0F" w:rsidRPr="00EB4ECB" w:rsidRDefault="00D97D0F" w:rsidP="00D97D0F">
            <w:pPr>
              <w:rPr>
                <w:b/>
                <w:bCs/>
                <w:i/>
                <w:iCs/>
              </w:rPr>
            </w:pPr>
            <w:r w:rsidRPr="00EB4ECB">
              <w:rPr>
                <w:b/>
                <w:bCs/>
                <w:i/>
                <w:iCs/>
              </w:rPr>
              <w:t>z toho:</w:t>
            </w:r>
            <w:r w:rsidR="00211FA4">
              <w:rPr>
                <w:b/>
                <w:bCs/>
                <w:i/>
                <w:iCs/>
              </w:rPr>
              <w:t xml:space="preserve"> </w:t>
            </w:r>
          </w:p>
        </w:tc>
        <w:tc>
          <w:tcPr>
            <w:tcW w:w="1267" w:type="dxa"/>
            <w:noWrap/>
            <w:vAlign w:val="center"/>
          </w:tcPr>
          <w:p w:rsidR="00D97D0F" w:rsidRPr="00EB4ECB" w:rsidRDefault="00D97D0F" w:rsidP="00D97D0F">
            <w:pPr>
              <w:jc w:val="right"/>
              <w:rPr>
                <w:b/>
                <w:bCs/>
                <w:iCs/>
              </w:rPr>
            </w:pPr>
          </w:p>
        </w:tc>
        <w:tc>
          <w:tcPr>
            <w:tcW w:w="1267" w:type="dxa"/>
            <w:noWrap/>
            <w:vAlign w:val="center"/>
          </w:tcPr>
          <w:p w:rsidR="00D97D0F" w:rsidRPr="00EB4ECB" w:rsidRDefault="00D97D0F" w:rsidP="00D97D0F">
            <w:pPr>
              <w:jc w:val="right"/>
              <w:rPr>
                <w:b/>
                <w:bCs/>
                <w:iCs/>
              </w:rPr>
            </w:pPr>
          </w:p>
        </w:tc>
        <w:tc>
          <w:tcPr>
            <w:tcW w:w="1267" w:type="dxa"/>
            <w:noWrap/>
            <w:vAlign w:val="center"/>
          </w:tcPr>
          <w:p w:rsidR="00D97D0F" w:rsidRPr="00EB4ECB" w:rsidRDefault="00D97D0F" w:rsidP="00D97D0F">
            <w:pPr>
              <w:jc w:val="right"/>
              <w:rPr>
                <w:b/>
                <w:bCs/>
                <w:iCs/>
              </w:rPr>
            </w:pPr>
          </w:p>
        </w:tc>
        <w:tc>
          <w:tcPr>
            <w:tcW w:w="1267" w:type="dxa"/>
            <w:noWrap/>
            <w:vAlign w:val="center"/>
          </w:tcPr>
          <w:p w:rsidR="00D97D0F" w:rsidRPr="00EB4ECB" w:rsidRDefault="00D97D0F" w:rsidP="00D97D0F">
            <w:pPr>
              <w:jc w:val="right"/>
              <w:rPr>
                <w:b/>
                <w:bCs/>
                <w:iCs/>
              </w:rPr>
            </w:pPr>
          </w:p>
        </w:tc>
      </w:tr>
      <w:tr w:rsidR="00D97D0F" w:rsidRPr="00EB4ECB" w:rsidTr="00D97D0F">
        <w:trPr>
          <w:trHeight w:val="125"/>
          <w:jc w:val="center"/>
        </w:trPr>
        <w:tc>
          <w:tcPr>
            <w:tcW w:w="4661" w:type="dxa"/>
            <w:noWrap/>
            <w:vAlign w:val="center"/>
          </w:tcPr>
          <w:p w:rsidR="00D97D0F" w:rsidRPr="00EB4ECB" w:rsidRDefault="00D97D0F" w:rsidP="00D97D0F">
            <w:pPr>
              <w:rPr>
                <w:b/>
                <w:bCs/>
                <w:i/>
                <w:iCs/>
              </w:rPr>
            </w:pPr>
            <w:r w:rsidRPr="00EB4ECB">
              <w:rPr>
                <w:b/>
                <w:bCs/>
                <w:i/>
                <w:iCs/>
              </w:rPr>
              <w:t>- vplyv na ŠR</w:t>
            </w:r>
          </w:p>
        </w:tc>
        <w:tc>
          <w:tcPr>
            <w:tcW w:w="1267" w:type="dxa"/>
            <w:noWrap/>
            <w:vAlign w:val="center"/>
          </w:tcPr>
          <w:p w:rsidR="00D97D0F" w:rsidRPr="00EB4ECB" w:rsidRDefault="00D97D0F" w:rsidP="00D97D0F">
            <w:pPr>
              <w:jc w:val="right"/>
              <w:rPr>
                <w:b/>
                <w:bCs/>
                <w:iCs/>
              </w:rPr>
            </w:pPr>
            <w:r w:rsidRPr="00EB4ECB">
              <w:rPr>
                <w:b/>
                <w:bCs/>
                <w:iCs/>
              </w:rPr>
              <w:t>0</w:t>
            </w:r>
          </w:p>
        </w:tc>
        <w:tc>
          <w:tcPr>
            <w:tcW w:w="1267" w:type="dxa"/>
            <w:noWrap/>
            <w:vAlign w:val="center"/>
          </w:tcPr>
          <w:p w:rsidR="00D97D0F" w:rsidRPr="00EB4ECB" w:rsidRDefault="00D97D0F" w:rsidP="00D97D0F">
            <w:pPr>
              <w:jc w:val="right"/>
              <w:rPr>
                <w:b/>
                <w:bCs/>
                <w:iCs/>
              </w:rPr>
            </w:pPr>
            <w:r w:rsidRPr="00EB4ECB">
              <w:rPr>
                <w:b/>
                <w:bCs/>
                <w:iCs/>
              </w:rPr>
              <w:t>0</w:t>
            </w:r>
          </w:p>
        </w:tc>
        <w:tc>
          <w:tcPr>
            <w:tcW w:w="1267" w:type="dxa"/>
            <w:noWrap/>
            <w:vAlign w:val="center"/>
          </w:tcPr>
          <w:p w:rsidR="00D97D0F" w:rsidRPr="00EB4ECB" w:rsidRDefault="00D97D0F" w:rsidP="00D97D0F">
            <w:pPr>
              <w:jc w:val="right"/>
              <w:rPr>
                <w:b/>
                <w:bCs/>
                <w:iCs/>
              </w:rPr>
            </w:pPr>
            <w:r w:rsidRPr="00EB4ECB">
              <w:rPr>
                <w:b/>
                <w:bCs/>
                <w:iCs/>
              </w:rPr>
              <w:t>0</w:t>
            </w:r>
          </w:p>
        </w:tc>
        <w:tc>
          <w:tcPr>
            <w:tcW w:w="1267" w:type="dxa"/>
            <w:noWrap/>
            <w:vAlign w:val="center"/>
          </w:tcPr>
          <w:p w:rsidR="00D97D0F" w:rsidRPr="00EB4ECB" w:rsidRDefault="00D97D0F" w:rsidP="00D97D0F">
            <w:pPr>
              <w:jc w:val="right"/>
              <w:rPr>
                <w:b/>
                <w:bCs/>
                <w:iCs/>
              </w:rPr>
            </w:pPr>
            <w:r w:rsidRPr="00EB4ECB">
              <w:rPr>
                <w:b/>
                <w:bCs/>
                <w:iCs/>
              </w:rPr>
              <w:t>0</w:t>
            </w:r>
          </w:p>
        </w:tc>
      </w:tr>
      <w:tr w:rsidR="00D97D0F" w:rsidRPr="00EB4ECB" w:rsidTr="00D97D0F">
        <w:trPr>
          <w:trHeight w:val="125"/>
          <w:jc w:val="center"/>
        </w:trPr>
        <w:tc>
          <w:tcPr>
            <w:tcW w:w="4661" w:type="dxa"/>
            <w:noWrap/>
            <w:vAlign w:val="center"/>
          </w:tcPr>
          <w:p w:rsidR="00D97D0F" w:rsidRPr="00EB4ECB" w:rsidRDefault="00D97D0F" w:rsidP="00D97D0F">
            <w:pPr>
              <w:ind w:left="259"/>
              <w:rPr>
                <w:b/>
                <w:bCs/>
                <w:i/>
                <w:iCs/>
              </w:rPr>
            </w:pPr>
            <w:r w:rsidRPr="00EB4ECB">
              <w:rPr>
                <w:bCs/>
                <w:i/>
                <w:iCs/>
              </w:rPr>
              <w:t>Rozpočtové prostriedky</w:t>
            </w:r>
          </w:p>
        </w:tc>
        <w:tc>
          <w:tcPr>
            <w:tcW w:w="1267" w:type="dxa"/>
            <w:noWrap/>
            <w:vAlign w:val="center"/>
          </w:tcPr>
          <w:p w:rsidR="00D97D0F" w:rsidRPr="00EB4ECB" w:rsidRDefault="00D97D0F" w:rsidP="00D97D0F">
            <w:pPr>
              <w:jc w:val="right"/>
              <w:rPr>
                <w:b/>
                <w:bCs/>
                <w:iCs/>
              </w:rPr>
            </w:pPr>
            <w:r w:rsidRPr="00EB4ECB">
              <w:rPr>
                <w:b/>
                <w:bCs/>
              </w:rPr>
              <w:t>0</w:t>
            </w:r>
          </w:p>
        </w:tc>
        <w:tc>
          <w:tcPr>
            <w:tcW w:w="1267" w:type="dxa"/>
            <w:noWrap/>
            <w:vAlign w:val="center"/>
          </w:tcPr>
          <w:p w:rsidR="00D97D0F" w:rsidRPr="00EB4ECB" w:rsidRDefault="00D97D0F" w:rsidP="00D97D0F">
            <w:pPr>
              <w:jc w:val="right"/>
              <w:rPr>
                <w:b/>
                <w:bCs/>
                <w:iCs/>
              </w:rPr>
            </w:pPr>
            <w:r>
              <w:rPr>
                <w:b/>
                <w:bCs/>
              </w:rPr>
              <w:t>6</w:t>
            </w:r>
            <w:r w:rsidRPr="00EB4ECB">
              <w:rPr>
                <w:b/>
                <w:bCs/>
              </w:rPr>
              <w:t xml:space="preserve">00 </w:t>
            </w:r>
            <w:r>
              <w:rPr>
                <w:b/>
                <w:bCs/>
              </w:rPr>
              <w:t>29</w:t>
            </w:r>
            <w:r w:rsidRPr="00EB4ECB">
              <w:rPr>
                <w:b/>
                <w:bCs/>
              </w:rPr>
              <w:t>1</w:t>
            </w:r>
          </w:p>
        </w:tc>
        <w:tc>
          <w:tcPr>
            <w:tcW w:w="1267" w:type="dxa"/>
            <w:noWrap/>
            <w:vAlign w:val="center"/>
          </w:tcPr>
          <w:p w:rsidR="00D97D0F" w:rsidRPr="00EB4ECB" w:rsidRDefault="00D97D0F" w:rsidP="00D97D0F">
            <w:pPr>
              <w:jc w:val="right"/>
              <w:rPr>
                <w:b/>
                <w:bCs/>
                <w:iCs/>
              </w:rPr>
            </w:pPr>
            <w:r w:rsidRPr="00EB4ECB">
              <w:rPr>
                <w:b/>
                <w:bCs/>
              </w:rPr>
              <w:t>1 200 581</w:t>
            </w:r>
          </w:p>
        </w:tc>
        <w:tc>
          <w:tcPr>
            <w:tcW w:w="1267" w:type="dxa"/>
            <w:noWrap/>
            <w:vAlign w:val="center"/>
          </w:tcPr>
          <w:p w:rsidR="00D97D0F" w:rsidRPr="00EB4ECB" w:rsidRDefault="00D97D0F" w:rsidP="00D97D0F">
            <w:pPr>
              <w:jc w:val="right"/>
              <w:rPr>
                <w:b/>
                <w:bCs/>
                <w:iCs/>
              </w:rPr>
            </w:pPr>
            <w:r w:rsidRPr="00EB4ECB">
              <w:rPr>
                <w:b/>
                <w:bCs/>
              </w:rPr>
              <w:t>1 200 581</w:t>
            </w:r>
          </w:p>
        </w:tc>
      </w:tr>
      <w:tr w:rsidR="00D97D0F" w:rsidRPr="00EB4ECB" w:rsidTr="00D97D0F">
        <w:trPr>
          <w:trHeight w:val="125"/>
          <w:jc w:val="center"/>
        </w:trPr>
        <w:tc>
          <w:tcPr>
            <w:tcW w:w="4661" w:type="dxa"/>
            <w:noWrap/>
            <w:vAlign w:val="center"/>
          </w:tcPr>
          <w:p w:rsidR="00D97D0F" w:rsidRPr="00EB4ECB" w:rsidRDefault="00D97D0F" w:rsidP="00D97D0F">
            <w:pPr>
              <w:ind w:left="259"/>
              <w:rPr>
                <w:bCs/>
                <w:i/>
                <w:iCs/>
              </w:rPr>
            </w:pPr>
            <w:r w:rsidRPr="00EB4ECB">
              <w:rPr>
                <w:bCs/>
                <w:i/>
                <w:iCs/>
              </w:rPr>
              <w:t>EÚ zdroje</w:t>
            </w:r>
          </w:p>
        </w:tc>
        <w:tc>
          <w:tcPr>
            <w:tcW w:w="1267" w:type="dxa"/>
            <w:noWrap/>
            <w:vAlign w:val="center"/>
          </w:tcPr>
          <w:p w:rsidR="00D97D0F" w:rsidRPr="00EB4ECB" w:rsidRDefault="00D97D0F" w:rsidP="00D97D0F">
            <w:pPr>
              <w:jc w:val="right"/>
            </w:pPr>
            <w:r w:rsidRPr="00EB4ECB">
              <w:t>0</w:t>
            </w:r>
          </w:p>
        </w:tc>
        <w:tc>
          <w:tcPr>
            <w:tcW w:w="1267" w:type="dxa"/>
            <w:noWrap/>
            <w:vAlign w:val="center"/>
          </w:tcPr>
          <w:p w:rsidR="00D97D0F" w:rsidRPr="00EB4ECB" w:rsidRDefault="00D97D0F" w:rsidP="00D97D0F">
            <w:pPr>
              <w:jc w:val="right"/>
            </w:pPr>
            <w:r w:rsidRPr="00EB4ECB">
              <w:t>0</w:t>
            </w:r>
          </w:p>
        </w:tc>
        <w:tc>
          <w:tcPr>
            <w:tcW w:w="1267" w:type="dxa"/>
            <w:noWrap/>
            <w:vAlign w:val="center"/>
          </w:tcPr>
          <w:p w:rsidR="00D97D0F" w:rsidRPr="00EB4ECB" w:rsidRDefault="00D97D0F" w:rsidP="00D97D0F">
            <w:pPr>
              <w:jc w:val="right"/>
            </w:pPr>
            <w:r w:rsidRPr="00EB4ECB">
              <w:t>0</w:t>
            </w:r>
          </w:p>
        </w:tc>
        <w:tc>
          <w:tcPr>
            <w:tcW w:w="1267" w:type="dxa"/>
            <w:noWrap/>
            <w:vAlign w:val="center"/>
          </w:tcPr>
          <w:p w:rsidR="00D97D0F" w:rsidRPr="00EB4ECB" w:rsidRDefault="00D97D0F" w:rsidP="00D97D0F">
            <w:pPr>
              <w:jc w:val="right"/>
            </w:pPr>
            <w:r w:rsidRPr="00EB4ECB">
              <w:t>0</w:t>
            </w:r>
          </w:p>
        </w:tc>
      </w:tr>
      <w:tr w:rsidR="00D97D0F" w:rsidRPr="00EB4ECB" w:rsidTr="00D97D0F">
        <w:trPr>
          <w:trHeight w:val="125"/>
          <w:jc w:val="center"/>
        </w:trPr>
        <w:tc>
          <w:tcPr>
            <w:tcW w:w="4661" w:type="dxa"/>
            <w:noWrap/>
            <w:vAlign w:val="center"/>
          </w:tcPr>
          <w:p w:rsidR="00D97D0F" w:rsidRPr="00EB4ECB" w:rsidRDefault="00D97D0F" w:rsidP="00D97D0F">
            <w:pPr>
              <w:rPr>
                <w:b/>
                <w:bCs/>
                <w:i/>
                <w:iCs/>
              </w:rPr>
            </w:pPr>
            <w:r w:rsidRPr="00EB4ECB">
              <w:rPr>
                <w:b/>
                <w:bCs/>
                <w:i/>
                <w:iCs/>
              </w:rPr>
              <w:t>- vplyv na obce</w:t>
            </w:r>
          </w:p>
        </w:tc>
        <w:tc>
          <w:tcPr>
            <w:tcW w:w="1267" w:type="dxa"/>
            <w:noWrap/>
            <w:vAlign w:val="center"/>
          </w:tcPr>
          <w:p w:rsidR="00D97D0F" w:rsidRPr="00EB4ECB" w:rsidRDefault="00D97D0F" w:rsidP="00D97D0F">
            <w:pPr>
              <w:jc w:val="right"/>
              <w:rPr>
                <w:b/>
                <w:bCs/>
                <w:iCs/>
              </w:rPr>
            </w:pPr>
            <w:r w:rsidRPr="00EB4ECB">
              <w:rPr>
                <w:b/>
                <w:bCs/>
                <w:iCs/>
              </w:rPr>
              <w:t>0</w:t>
            </w:r>
          </w:p>
        </w:tc>
        <w:tc>
          <w:tcPr>
            <w:tcW w:w="1267" w:type="dxa"/>
            <w:noWrap/>
            <w:vAlign w:val="center"/>
          </w:tcPr>
          <w:p w:rsidR="00D97D0F" w:rsidRPr="00EB4ECB" w:rsidRDefault="00D97D0F" w:rsidP="00D97D0F">
            <w:pPr>
              <w:jc w:val="right"/>
              <w:rPr>
                <w:b/>
                <w:bCs/>
                <w:iCs/>
              </w:rPr>
            </w:pPr>
            <w:r w:rsidRPr="00EB4ECB">
              <w:rPr>
                <w:b/>
                <w:bCs/>
                <w:iCs/>
              </w:rPr>
              <w:t>0</w:t>
            </w:r>
          </w:p>
        </w:tc>
        <w:tc>
          <w:tcPr>
            <w:tcW w:w="1267" w:type="dxa"/>
            <w:noWrap/>
            <w:vAlign w:val="center"/>
          </w:tcPr>
          <w:p w:rsidR="00D97D0F" w:rsidRPr="00EB4ECB" w:rsidRDefault="00D97D0F" w:rsidP="00D97D0F">
            <w:pPr>
              <w:jc w:val="right"/>
              <w:rPr>
                <w:b/>
                <w:bCs/>
                <w:iCs/>
              </w:rPr>
            </w:pPr>
            <w:r w:rsidRPr="00EB4ECB">
              <w:rPr>
                <w:b/>
                <w:bCs/>
                <w:iCs/>
              </w:rPr>
              <w:t>0</w:t>
            </w:r>
          </w:p>
        </w:tc>
        <w:tc>
          <w:tcPr>
            <w:tcW w:w="1267" w:type="dxa"/>
            <w:noWrap/>
            <w:vAlign w:val="center"/>
          </w:tcPr>
          <w:p w:rsidR="00D97D0F" w:rsidRPr="00EB4ECB" w:rsidRDefault="00D97D0F" w:rsidP="00D97D0F">
            <w:pPr>
              <w:jc w:val="right"/>
              <w:rPr>
                <w:b/>
                <w:bCs/>
                <w:iCs/>
              </w:rPr>
            </w:pPr>
            <w:r w:rsidRPr="00EB4ECB">
              <w:rPr>
                <w:b/>
                <w:bCs/>
                <w:iCs/>
              </w:rPr>
              <w:t>0</w:t>
            </w:r>
          </w:p>
        </w:tc>
      </w:tr>
      <w:tr w:rsidR="00D97D0F" w:rsidRPr="00EB4ECB" w:rsidTr="00D97D0F">
        <w:trPr>
          <w:trHeight w:val="125"/>
          <w:jc w:val="center"/>
        </w:trPr>
        <w:tc>
          <w:tcPr>
            <w:tcW w:w="4661" w:type="dxa"/>
            <w:noWrap/>
            <w:vAlign w:val="center"/>
          </w:tcPr>
          <w:p w:rsidR="00D97D0F" w:rsidRPr="00EB4ECB" w:rsidRDefault="00D97D0F" w:rsidP="00D97D0F">
            <w:pPr>
              <w:rPr>
                <w:b/>
                <w:bCs/>
                <w:i/>
                <w:iCs/>
              </w:rPr>
            </w:pPr>
            <w:r w:rsidRPr="00EB4ECB">
              <w:rPr>
                <w:b/>
                <w:bCs/>
                <w:i/>
                <w:iCs/>
              </w:rPr>
              <w:t>- vplyv na vyššie územné celky</w:t>
            </w:r>
          </w:p>
        </w:tc>
        <w:tc>
          <w:tcPr>
            <w:tcW w:w="1267" w:type="dxa"/>
            <w:noWrap/>
            <w:vAlign w:val="center"/>
          </w:tcPr>
          <w:p w:rsidR="00D97D0F" w:rsidRPr="00EB4ECB" w:rsidRDefault="00D97D0F" w:rsidP="00D97D0F">
            <w:pPr>
              <w:jc w:val="right"/>
              <w:rPr>
                <w:b/>
                <w:bCs/>
                <w:iCs/>
              </w:rPr>
            </w:pPr>
            <w:r w:rsidRPr="00EB4ECB">
              <w:rPr>
                <w:b/>
                <w:bCs/>
                <w:iCs/>
              </w:rPr>
              <w:t>0</w:t>
            </w:r>
          </w:p>
        </w:tc>
        <w:tc>
          <w:tcPr>
            <w:tcW w:w="1267" w:type="dxa"/>
            <w:noWrap/>
            <w:vAlign w:val="center"/>
          </w:tcPr>
          <w:p w:rsidR="00D97D0F" w:rsidRPr="00EB4ECB" w:rsidRDefault="00D97D0F" w:rsidP="00D97D0F">
            <w:pPr>
              <w:jc w:val="right"/>
              <w:rPr>
                <w:b/>
                <w:bCs/>
                <w:iCs/>
              </w:rPr>
            </w:pPr>
            <w:r w:rsidRPr="00EB4ECB">
              <w:rPr>
                <w:b/>
                <w:bCs/>
                <w:iCs/>
              </w:rPr>
              <w:t>0</w:t>
            </w:r>
          </w:p>
        </w:tc>
        <w:tc>
          <w:tcPr>
            <w:tcW w:w="1267" w:type="dxa"/>
            <w:noWrap/>
            <w:vAlign w:val="center"/>
          </w:tcPr>
          <w:p w:rsidR="00D97D0F" w:rsidRPr="00EB4ECB" w:rsidRDefault="00D97D0F" w:rsidP="00D97D0F">
            <w:pPr>
              <w:jc w:val="right"/>
              <w:rPr>
                <w:b/>
                <w:bCs/>
                <w:iCs/>
              </w:rPr>
            </w:pPr>
            <w:r w:rsidRPr="00EB4ECB">
              <w:rPr>
                <w:b/>
                <w:bCs/>
                <w:iCs/>
              </w:rPr>
              <w:t>0</w:t>
            </w:r>
          </w:p>
        </w:tc>
        <w:tc>
          <w:tcPr>
            <w:tcW w:w="1267" w:type="dxa"/>
            <w:noWrap/>
            <w:vAlign w:val="center"/>
          </w:tcPr>
          <w:p w:rsidR="00D97D0F" w:rsidRPr="00EB4ECB" w:rsidRDefault="00D97D0F" w:rsidP="00D97D0F">
            <w:pPr>
              <w:jc w:val="right"/>
              <w:rPr>
                <w:b/>
                <w:bCs/>
                <w:iCs/>
              </w:rPr>
            </w:pPr>
            <w:r w:rsidRPr="00EB4ECB">
              <w:rPr>
                <w:b/>
                <w:bCs/>
                <w:iCs/>
              </w:rPr>
              <w:t>0</w:t>
            </w:r>
          </w:p>
        </w:tc>
      </w:tr>
      <w:tr w:rsidR="00D97D0F" w:rsidRPr="00EB4ECB" w:rsidTr="00D97D0F">
        <w:trPr>
          <w:trHeight w:val="125"/>
          <w:jc w:val="center"/>
        </w:trPr>
        <w:tc>
          <w:tcPr>
            <w:tcW w:w="4661" w:type="dxa"/>
            <w:noWrap/>
            <w:vAlign w:val="center"/>
          </w:tcPr>
          <w:p w:rsidR="00D97D0F" w:rsidRPr="00EB4ECB" w:rsidRDefault="00D97D0F" w:rsidP="00D97D0F">
            <w:pPr>
              <w:rPr>
                <w:b/>
                <w:bCs/>
                <w:i/>
                <w:iCs/>
              </w:rPr>
            </w:pPr>
            <w:r w:rsidRPr="00EB4ECB">
              <w:rPr>
                <w:b/>
                <w:bCs/>
                <w:i/>
                <w:iCs/>
              </w:rPr>
              <w:t>- vplyv na ostatné subjekty verejnej správy</w:t>
            </w:r>
          </w:p>
        </w:tc>
        <w:tc>
          <w:tcPr>
            <w:tcW w:w="1267" w:type="dxa"/>
            <w:noWrap/>
            <w:vAlign w:val="center"/>
          </w:tcPr>
          <w:p w:rsidR="00D97D0F" w:rsidRPr="00EB4ECB" w:rsidRDefault="00D97D0F" w:rsidP="00D97D0F">
            <w:pPr>
              <w:jc w:val="right"/>
              <w:rPr>
                <w:b/>
                <w:bCs/>
                <w:iCs/>
              </w:rPr>
            </w:pPr>
            <w:r w:rsidRPr="00EB4ECB">
              <w:rPr>
                <w:b/>
                <w:bCs/>
                <w:iCs/>
              </w:rPr>
              <w:t>0</w:t>
            </w:r>
          </w:p>
        </w:tc>
        <w:tc>
          <w:tcPr>
            <w:tcW w:w="1267" w:type="dxa"/>
            <w:noWrap/>
            <w:vAlign w:val="center"/>
          </w:tcPr>
          <w:p w:rsidR="00D97D0F" w:rsidRPr="00EB4ECB" w:rsidRDefault="00D97D0F" w:rsidP="00D97D0F">
            <w:pPr>
              <w:jc w:val="right"/>
              <w:rPr>
                <w:b/>
                <w:bCs/>
                <w:iCs/>
              </w:rPr>
            </w:pPr>
            <w:r w:rsidRPr="00EB4ECB">
              <w:rPr>
                <w:b/>
                <w:bCs/>
                <w:iCs/>
              </w:rPr>
              <w:t>0</w:t>
            </w:r>
          </w:p>
        </w:tc>
        <w:tc>
          <w:tcPr>
            <w:tcW w:w="1267" w:type="dxa"/>
            <w:noWrap/>
            <w:vAlign w:val="center"/>
          </w:tcPr>
          <w:p w:rsidR="00D97D0F" w:rsidRPr="00EB4ECB" w:rsidRDefault="00D97D0F" w:rsidP="00D97D0F">
            <w:pPr>
              <w:jc w:val="right"/>
              <w:rPr>
                <w:b/>
                <w:bCs/>
                <w:iCs/>
              </w:rPr>
            </w:pPr>
            <w:r w:rsidRPr="00EB4ECB">
              <w:rPr>
                <w:b/>
                <w:bCs/>
                <w:iCs/>
              </w:rPr>
              <w:t>0</w:t>
            </w:r>
          </w:p>
        </w:tc>
        <w:tc>
          <w:tcPr>
            <w:tcW w:w="1267" w:type="dxa"/>
            <w:noWrap/>
            <w:vAlign w:val="center"/>
          </w:tcPr>
          <w:p w:rsidR="00D97D0F" w:rsidRPr="00EB4ECB" w:rsidRDefault="00D97D0F" w:rsidP="00D97D0F">
            <w:pPr>
              <w:jc w:val="right"/>
              <w:rPr>
                <w:b/>
                <w:bCs/>
                <w:iCs/>
              </w:rPr>
            </w:pPr>
            <w:r w:rsidRPr="00EB4ECB">
              <w:rPr>
                <w:b/>
                <w:bCs/>
                <w:iCs/>
              </w:rPr>
              <w:t>0</w:t>
            </w:r>
          </w:p>
        </w:tc>
      </w:tr>
      <w:tr w:rsidR="00D97D0F" w:rsidRPr="00EB4ECB" w:rsidTr="00D97D0F">
        <w:trPr>
          <w:trHeight w:val="125"/>
          <w:jc w:val="center"/>
        </w:trPr>
        <w:tc>
          <w:tcPr>
            <w:tcW w:w="4661" w:type="dxa"/>
            <w:shd w:val="clear" w:color="auto" w:fill="C0C0C0"/>
            <w:noWrap/>
            <w:vAlign w:val="center"/>
          </w:tcPr>
          <w:p w:rsidR="00D97D0F" w:rsidRPr="00EB4ECB" w:rsidRDefault="00D97D0F" w:rsidP="00D97D0F">
            <w:pPr>
              <w:rPr>
                <w:b/>
                <w:bCs/>
              </w:rPr>
            </w:pPr>
            <w:r w:rsidRPr="00EB4ECB">
              <w:rPr>
                <w:b/>
                <w:bCs/>
              </w:rPr>
              <w:t>Výdavky verejnej správy celkom</w:t>
            </w:r>
          </w:p>
        </w:tc>
        <w:tc>
          <w:tcPr>
            <w:tcW w:w="1267" w:type="dxa"/>
            <w:shd w:val="clear" w:color="auto" w:fill="C0C0C0"/>
            <w:noWrap/>
            <w:vAlign w:val="center"/>
          </w:tcPr>
          <w:p w:rsidR="00D97D0F" w:rsidRPr="00EB4ECB" w:rsidRDefault="00D97D0F" w:rsidP="00D97D0F">
            <w:pPr>
              <w:jc w:val="right"/>
              <w:rPr>
                <w:b/>
                <w:bCs/>
              </w:rPr>
            </w:pPr>
            <w:r w:rsidRPr="00EB4ECB">
              <w:rPr>
                <w:b/>
                <w:bCs/>
              </w:rPr>
              <w:t>0</w:t>
            </w:r>
          </w:p>
        </w:tc>
        <w:tc>
          <w:tcPr>
            <w:tcW w:w="1267" w:type="dxa"/>
            <w:shd w:val="clear" w:color="auto" w:fill="C0C0C0"/>
            <w:noWrap/>
            <w:vAlign w:val="center"/>
          </w:tcPr>
          <w:p w:rsidR="00D97D0F" w:rsidRPr="00EB4ECB" w:rsidRDefault="00D97D0F" w:rsidP="00D97D0F">
            <w:pPr>
              <w:jc w:val="right"/>
              <w:rPr>
                <w:b/>
                <w:bCs/>
              </w:rPr>
            </w:pPr>
            <w:r w:rsidRPr="00EB4ECB">
              <w:rPr>
                <w:b/>
                <w:bCs/>
              </w:rPr>
              <w:t>0</w:t>
            </w:r>
          </w:p>
        </w:tc>
        <w:tc>
          <w:tcPr>
            <w:tcW w:w="1267" w:type="dxa"/>
            <w:shd w:val="clear" w:color="auto" w:fill="C0C0C0"/>
            <w:noWrap/>
            <w:vAlign w:val="center"/>
          </w:tcPr>
          <w:p w:rsidR="00D97D0F" w:rsidRPr="00EB4ECB" w:rsidRDefault="00D97D0F" w:rsidP="00D97D0F">
            <w:pPr>
              <w:jc w:val="right"/>
              <w:rPr>
                <w:b/>
                <w:bCs/>
              </w:rPr>
            </w:pPr>
            <w:r w:rsidRPr="00EB4ECB">
              <w:rPr>
                <w:b/>
                <w:bCs/>
              </w:rPr>
              <w:t>0</w:t>
            </w:r>
          </w:p>
        </w:tc>
        <w:tc>
          <w:tcPr>
            <w:tcW w:w="1267" w:type="dxa"/>
            <w:shd w:val="clear" w:color="auto" w:fill="C0C0C0"/>
            <w:noWrap/>
            <w:vAlign w:val="center"/>
          </w:tcPr>
          <w:p w:rsidR="00D97D0F" w:rsidRPr="00EB4ECB" w:rsidRDefault="00D97D0F" w:rsidP="00D97D0F">
            <w:pPr>
              <w:jc w:val="right"/>
              <w:rPr>
                <w:b/>
                <w:bCs/>
              </w:rPr>
            </w:pPr>
            <w:r w:rsidRPr="00EB4ECB">
              <w:rPr>
                <w:b/>
                <w:bCs/>
              </w:rPr>
              <w:t>0</w:t>
            </w:r>
            <w:r w:rsidR="00211FA4">
              <w:rPr>
                <w:b/>
                <w:bCs/>
              </w:rPr>
              <w:t xml:space="preserve"> </w:t>
            </w:r>
          </w:p>
        </w:tc>
      </w:tr>
      <w:tr w:rsidR="00D97D0F" w:rsidRPr="00EB4ECB" w:rsidTr="00D97D0F">
        <w:trPr>
          <w:trHeight w:val="70"/>
          <w:jc w:val="center"/>
        </w:trPr>
        <w:tc>
          <w:tcPr>
            <w:tcW w:w="4661" w:type="dxa"/>
            <w:noWrap/>
            <w:vAlign w:val="center"/>
          </w:tcPr>
          <w:p w:rsidR="00D97D0F" w:rsidRPr="00EB4ECB" w:rsidRDefault="00D97D0F" w:rsidP="00D97D0F">
            <w:r w:rsidRPr="00EB4ECB">
              <w:t xml:space="preserve">v tom: za </w:t>
            </w:r>
            <w:r>
              <w:t>MPRV SR</w:t>
            </w:r>
          </w:p>
        </w:tc>
        <w:tc>
          <w:tcPr>
            <w:tcW w:w="1267" w:type="dxa"/>
            <w:noWrap/>
            <w:vAlign w:val="center"/>
          </w:tcPr>
          <w:p w:rsidR="00D97D0F" w:rsidRPr="00EB4ECB" w:rsidRDefault="00D97D0F" w:rsidP="00D97D0F">
            <w:pPr>
              <w:jc w:val="right"/>
            </w:pPr>
            <w:r w:rsidRPr="00EB4ECB">
              <w:t>0</w:t>
            </w:r>
          </w:p>
        </w:tc>
        <w:tc>
          <w:tcPr>
            <w:tcW w:w="1267" w:type="dxa"/>
            <w:noWrap/>
            <w:vAlign w:val="center"/>
          </w:tcPr>
          <w:p w:rsidR="00D97D0F" w:rsidRPr="00EB4ECB" w:rsidRDefault="00D97D0F" w:rsidP="00D97D0F">
            <w:pPr>
              <w:jc w:val="right"/>
            </w:pPr>
            <w:r w:rsidRPr="00EB4ECB">
              <w:t>0</w:t>
            </w:r>
          </w:p>
        </w:tc>
        <w:tc>
          <w:tcPr>
            <w:tcW w:w="1267" w:type="dxa"/>
            <w:noWrap/>
            <w:vAlign w:val="center"/>
          </w:tcPr>
          <w:p w:rsidR="00D97D0F" w:rsidRPr="00EB4ECB" w:rsidRDefault="00D97D0F" w:rsidP="00D97D0F">
            <w:pPr>
              <w:jc w:val="right"/>
            </w:pPr>
            <w:r w:rsidRPr="00EB4ECB">
              <w:t>0</w:t>
            </w:r>
          </w:p>
        </w:tc>
        <w:tc>
          <w:tcPr>
            <w:tcW w:w="1267" w:type="dxa"/>
            <w:noWrap/>
            <w:vAlign w:val="center"/>
          </w:tcPr>
          <w:p w:rsidR="00D97D0F" w:rsidRPr="00EB4ECB" w:rsidRDefault="00D97D0F" w:rsidP="00D97D0F">
            <w:pPr>
              <w:jc w:val="right"/>
            </w:pPr>
            <w:r w:rsidRPr="00EB4ECB">
              <w:t>0</w:t>
            </w:r>
          </w:p>
        </w:tc>
      </w:tr>
      <w:tr w:rsidR="00D97D0F" w:rsidRPr="00EB4ECB" w:rsidTr="00D97D0F">
        <w:trPr>
          <w:trHeight w:val="166"/>
          <w:jc w:val="center"/>
        </w:trPr>
        <w:tc>
          <w:tcPr>
            <w:tcW w:w="4661" w:type="dxa"/>
            <w:noWrap/>
            <w:vAlign w:val="center"/>
          </w:tcPr>
          <w:p w:rsidR="00D97D0F" w:rsidRPr="00EB4ECB" w:rsidRDefault="00D97D0F" w:rsidP="00D97D0F">
            <w:pPr>
              <w:rPr>
                <w:b/>
                <w:bCs/>
                <w:i/>
                <w:iCs/>
              </w:rPr>
            </w:pPr>
            <w:r w:rsidRPr="00EB4ECB">
              <w:rPr>
                <w:b/>
                <w:bCs/>
                <w:i/>
                <w:iCs/>
              </w:rPr>
              <w:t xml:space="preserve">z toho: </w:t>
            </w:r>
          </w:p>
        </w:tc>
        <w:tc>
          <w:tcPr>
            <w:tcW w:w="1267" w:type="dxa"/>
            <w:noWrap/>
            <w:vAlign w:val="center"/>
          </w:tcPr>
          <w:p w:rsidR="00D97D0F" w:rsidRPr="00EB4ECB" w:rsidRDefault="00D97D0F" w:rsidP="00D97D0F">
            <w:pPr>
              <w:jc w:val="right"/>
              <w:rPr>
                <w:b/>
                <w:bCs/>
                <w:iCs/>
              </w:rPr>
            </w:pPr>
          </w:p>
        </w:tc>
        <w:tc>
          <w:tcPr>
            <w:tcW w:w="1267" w:type="dxa"/>
            <w:noWrap/>
            <w:vAlign w:val="center"/>
          </w:tcPr>
          <w:p w:rsidR="00D97D0F" w:rsidRPr="00EB4ECB" w:rsidRDefault="00D97D0F" w:rsidP="00D97D0F">
            <w:pPr>
              <w:jc w:val="right"/>
              <w:rPr>
                <w:b/>
                <w:bCs/>
                <w:iCs/>
              </w:rPr>
            </w:pPr>
          </w:p>
        </w:tc>
        <w:tc>
          <w:tcPr>
            <w:tcW w:w="1267" w:type="dxa"/>
            <w:noWrap/>
            <w:vAlign w:val="center"/>
          </w:tcPr>
          <w:p w:rsidR="00D97D0F" w:rsidRPr="00EB4ECB" w:rsidRDefault="00D97D0F" w:rsidP="00D97D0F">
            <w:pPr>
              <w:jc w:val="right"/>
              <w:rPr>
                <w:b/>
                <w:bCs/>
                <w:iCs/>
              </w:rPr>
            </w:pPr>
          </w:p>
        </w:tc>
        <w:tc>
          <w:tcPr>
            <w:tcW w:w="1267" w:type="dxa"/>
            <w:noWrap/>
            <w:vAlign w:val="center"/>
          </w:tcPr>
          <w:p w:rsidR="00D97D0F" w:rsidRPr="00EB4ECB" w:rsidRDefault="00D97D0F" w:rsidP="00D97D0F">
            <w:pPr>
              <w:jc w:val="right"/>
              <w:rPr>
                <w:b/>
                <w:bCs/>
                <w:iCs/>
              </w:rPr>
            </w:pPr>
          </w:p>
        </w:tc>
      </w:tr>
      <w:tr w:rsidR="00D97D0F" w:rsidRPr="00EB4ECB" w:rsidTr="00D97D0F">
        <w:trPr>
          <w:trHeight w:val="70"/>
          <w:jc w:val="center"/>
        </w:trPr>
        <w:tc>
          <w:tcPr>
            <w:tcW w:w="4661" w:type="dxa"/>
            <w:noWrap/>
            <w:vAlign w:val="center"/>
          </w:tcPr>
          <w:p w:rsidR="00D97D0F" w:rsidRPr="00EB4ECB" w:rsidRDefault="00D97D0F" w:rsidP="00D97D0F">
            <w:pPr>
              <w:rPr>
                <w:b/>
                <w:bCs/>
                <w:i/>
                <w:iCs/>
              </w:rPr>
            </w:pPr>
            <w:r w:rsidRPr="00EB4ECB">
              <w:rPr>
                <w:b/>
                <w:bCs/>
                <w:i/>
                <w:iCs/>
              </w:rPr>
              <w:t>- vplyv na ŠR</w:t>
            </w:r>
          </w:p>
        </w:tc>
        <w:tc>
          <w:tcPr>
            <w:tcW w:w="1267" w:type="dxa"/>
            <w:noWrap/>
            <w:vAlign w:val="center"/>
          </w:tcPr>
          <w:p w:rsidR="00D97D0F" w:rsidRPr="00EB4ECB" w:rsidRDefault="00D97D0F" w:rsidP="00D97D0F">
            <w:pPr>
              <w:jc w:val="right"/>
              <w:rPr>
                <w:b/>
                <w:bCs/>
                <w:iCs/>
              </w:rPr>
            </w:pPr>
            <w:r w:rsidRPr="00EB4ECB">
              <w:rPr>
                <w:b/>
                <w:bCs/>
                <w:iCs/>
              </w:rPr>
              <w:t>0</w:t>
            </w:r>
          </w:p>
        </w:tc>
        <w:tc>
          <w:tcPr>
            <w:tcW w:w="1267" w:type="dxa"/>
            <w:noWrap/>
            <w:vAlign w:val="center"/>
          </w:tcPr>
          <w:p w:rsidR="00D97D0F" w:rsidRPr="00EB4ECB" w:rsidRDefault="00D97D0F" w:rsidP="00D97D0F">
            <w:pPr>
              <w:jc w:val="right"/>
              <w:rPr>
                <w:b/>
                <w:bCs/>
                <w:iCs/>
              </w:rPr>
            </w:pPr>
            <w:r w:rsidRPr="00EB4ECB">
              <w:rPr>
                <w:b/>
                <w:bCs/>
                <w:iCs/>
              </w:rPr>
              <w:t>0</w:t>
            </w:r>
          </w:p>
        </w:tc>
        <w:tc>
          <w:tcPr>
            <w:tcW w:w="1267" w:type="dxa"/>
            <w:noWrap/>
            <w:vAlign w:val="center"/>
          </w:tcPr>
          <w:p w:rsidR="00D97D0F" w:rsidRPr="00EB4ECB" w:rsidRDefault="00D97D0F" w:rsidP="00D97D0F">
            <w:pPr>
              <w:jc w:val="right"/>
              <w:rPr>
                <w:b/>
                <w:bCs/>
                <w:iCs/>
              </w:rPr>
            </w:pPr>
            <w:r w:rsidRPr="00EB4ECB">
              <w:rPr>
                <w:b/>
                <w:bCs/>
                <w:iCs/>
              </w:rPr>
              <w:t>0</w:t>
            </w:r>
          </w:p>
        </w:tc>
        <w:tc>
          <w:tcPr>
            <w:tcW w:w="1267" w:type="dxa"/>
            <w:noWrap/>
            <w:vAlign w:val="center"/>
          </w:tcPr>
          <w:p w:rsidR="00D97D0F" w:rsidRPr="00EB4ECB" w:rsidRDefault="00D97D0F" w:rsidP="00D97D0F">
            <w:pPr>
              <w:jc w:val="right"/>
              <w:rPr>
                <w:b/>
                <w:bCs/>
                <w:iCs/>
              </w:rPr>
            </w:pPr>
            <w:r w:rsidRPr="00EB4ECB">
              <w:rPr>
                <w:b/>
                <w:bCs/>
                <w:iCs/>
              </w:rPr>
              <w:t>0</w:t>
            </w:r>
          </w:p>
        </w:tc>
      </w:tr>
      <w:tr w:rsidR="00D97D0F" w:rsidRPr="00EB4ECB" w:rsidTr="00D97D0F">
        <w:trPr>
          <w:trHeight w:val="70"/>
          <w:jc w:val="center"/>
        </w:trPr>
        <w:tc>
          <w:tcPr>
            <w:tcW w:w="4661" w:type="dxa"/>
            <w:noWrap/>
            <w:vAlign w:val="center"/>
          </w:tcPr>
          <w:p w:rsidR="00D97D0F" w:rsidRPr="00EB4ECB" w:rsidRDefault="00D97D0F" w:rsidP="00D97D0F">
            <w:pPr>
              <w:ind w:left="259"/>
              <w:rPr>
                <w:b/>
                <w:bCs/>
                <w:i/>
                <w:iCs/>
              </w:rPr>
            </w:pPr>
            <w:r w:rsidRPr="00EB4ECB">
              <w:rPr>
                <w:bCs/>
                <w:i/>
                <w:iCs/>
              </w:rPr>
              <w:t>Rozpočtové prostriedky</w:t>
            </w:r>
          </w:p>
        </w:tc>
        <w:tc>
          <w:tcPr>
            <w:tcW w:w="1267" w:type="dxa"/>
            <w:noWrap/>
            <w:vAlign w:val="center"/>
          </w:tcPr>
          <w:p w:rsidR="00D97D0F" w:rsidRPr="00EB4ECB" w:rsidRDefault="00D97D0F" w:rsidP="00D97D0F">
            <w:pPr>
              <w:jc w:val="right"/>
              <w:rPr>
                <w:b/>
                <w:bCs/>
                <w:iCs/>
              </w:rPr>
            </w:pPr>
            <w:r w:rsidRPr="00EB4ECB">
              <w:rPr>
                <w:b/>
                <w:bCs/>
                <w:iCs/>
              </w:rPr>
              <w:t>0</w:t>
            </w:r>
          </w:p>
        </w:tc>
        <w:tc>
          <w:tcPr>
            <w:tcW w:w="1267" w:type="dxa"/>
            <w:noWrap/>
            <w:vAlign w:val="center"/>
          </w:tcPr>
          <w:p w:rsidR="00D97D0F" w:rsidRPr="00EB4ECB" w:rsidRDefault="00D97D0F" w:rsidP="00D97D0F">
            <w:pPr>
              <w:jc w:val="right"/>
              <w:rPr>
                <w:b/>
                <w:bCs/>
                <w:iCs/>
              </w:rPr>
            </w:pPr>
            <w:r w:rsidRPr="00EB4ECB">
              <w:rPr>
                <w:b/>
                <w:bCs/>
                <w:iCs/>
              </w:rPr>
              <w:t>0</w:t>
            </w:r>
          </w:p>
        </w:tc>
        <w:tc>
          <w:tcPr>
            <w:tcW w:w="1267" w:type="dxa"/>
            <w:noWrap/>
            <w:vAlign w:val="center"/>
          </w:tcPr>
          <w:p w:rsidR="00D97D0F" w:rsidRPr="00EB4ECB" w:rsidRDefault="00D97D0F" w:rsidP="00D97D0F">
            <w:pPr>
              <w:jc w:val="right"/>
              <w:rPr>
                <w:b/>
                <w:bCs/>
                <w:iCs/>
              </w:rPr>
            </w:pPr>
            <w:r w:rsidRPr="00EB4ECB">
              <w:rPr>
                <w:b/>
                <w:bCs/>
                <w:iCs/>
              </w:rPr>
              <w:t>0</w:t>
            </w:r>
          </w:p>
        </w:tc>
        <w:tc>
          <w:tcPr>
            <w:tcW w:w="1267" w:type="dxa"/>
            <w:noWrap/>
            <w:vAlign w:val="center"/>
          </w:tcPr>
          <w:p w:rsidR="00D97D0F" w:rsidRPr="00EB4ECB" w:rsidRDefault="00D97D0F" w:rsidP="00D97D0F">
            <w:pPr>
              <w:jc w:val="right"/>
              <w:rPr>
                <w:b/>
                <w:bCs/>
                <w:iCs/>
              </w:rPr>
            </w:pPr>
            <w:r w:rsidRPr="00EB4ECB">
              <w:rPr>
                <w:b/>
                <w:bCs/>
                <w:iCs/>
              </w:rPr>
              <w:t>0</w:t>
            </w:r>
          </w:p>
        </w:tc>
      </w:tr>
      <w:tr w:rsidR="00D97D0F" w:rsidRPr="00EB4ECB" w:rsidTr="00D97D0F">
        <w:trPr>
          <w:trHeight w:val="70"/>
          <w:jc w:val="center"/>
        </w:trPr>
        <w:tc>
          <w:tcPr>
            <w:tcW w:w="4661" w:type="dxa"/>
            <w:noWrap/>
            <w:vAlign w:val="center"/>
          </w:tcPr>
          <w:p w:rsidR="00D97D0F" w:rsidRPr="00EB4ECB" w:rsidRDefault="00211FA4" w:rsidP="00D97D0F">
            <w:pPr>
              <w:rPr>
                <w:bCs/>
                <w:i/>
                <w:iCs/>
              </w:rPr>
            </w:pPr>
            <w:r>
              <w:rPr>
                <w:bCs/>
                <w:i/>
                <w:iCs/>
              </w:rPr>
              <w:t xml:space="preserve"> </w:t>
            </w:r>
            <w:r w:rsidR="00D97D0F" w:rsidRPr="00EB4ECB">
              <w:rPr>
                <w:bCs/>
                <w:i/>
                <w:iCs/>
              </w:rPr>
              <w:t>EÚ zdroje</w:t>
            </w:r>
          </w:p>
        </w:tc>
        <w:tc>
          <w:tcPr>
            <w:tcW w:w="1267" w:type="dxa"/>
            <w:noWrap/>
            <w:vAlign w:val="center"/>
          </w:tcPr>
          <w:p w:rsidR="00D97D0F" w:rsidRPr="00EB4ECB" w:rsidRDefault="00D97D0F" w:rsidP="00D97D0F">
            <w:pPr>
              <w:jc w:val="right"/>
            </w:pPr>
            <w:r w:rsidRPr="00EB4ECB">
              <w:t>0</w:t>
            </w:r>
          </w:p>
        </w:tc>
        <w:tc>
          <w:tcPr>
            <w:tcW w:w="1267" w:type="dxa"/>
            <w:noWrap/>
            <w:vAlign w:val="center"/>
          </w:tcPr>
          <w:p w:rsidR="00D97D0F" w:rsidRPr="00EB4ECB" w:rsidRDefault="00D97D0F" w:rsidP="00D97D0F">
            <w:pPr>
              <w:jc w:val="right"/>
            </w:pPr>
            <w:r w:rsidRPr="00EB4ECB">
              <w:t>0</w:t>
            </w:r>
          </w:p>
        </w:tc>
        <w:tc>
          <w:tcPr>
            <w:tcW w:w="1267" w:type="dxa"/>
            <w:noWrap/>
            <w:vAlign w:val="center"/>
          </w:tcPr>
          <w:p w:rsidR="00D97D0F" w:rsidRPr="00EB4ECB" w:rsidRDefault="00D97D0F" w:rsidP="00D97D0F">
            <w:pPr>
              <w:jc w:val="right"/>
            </w:pPr>
            <w:r w:rsidRPr="00EB4ECB">
              <w:t>0</w:t>
            </w:r>
          </w:p>
        </w:tc>
        <w:tc>
          <w:tcPr>
            <w:tcW w:w="1267" w:type="dxa"/>
            <w:noWrap/>
            <w:vAlign w:val="center"/>
          </w:tcPr>
          <w:p w:rsidR="00D97D0F" w:rsidRPr="00EB4ECB" w:rsidRDefault="00D97D0F" w:rsidP="00D97D0F">
            <w:pPr>
              <w:jc w:val="right"/>
            </w:pPr>
            <w:r w:rsidRPr="00EB4ECB">
              <w:t>0</w:t>
            </w:r>
          </w:p>
        </w:tc>
      </w:tr>
      <w:tr w:rsidR="00D97D0F" w:rsidRPr="00EB4ECB" w:rsidTr="00D97D0F">
        <w:trPr>
          <w:trHeight w:val="70"/>
          <w:jc w:val="center"/>
        </w:trPr>
        <w:tc>
          <w:tcPr>
            <w:tcW w:w="4661" w:type="dxa"/>
            <w:noWrap/>
            <w:vAlign w:val="center"/>
          </w:tcPr>
          <w:p w:rsidR="00D97D0F" w:rsidRPr="00EB4ECB" w:rsidRDefault="00211FA4" w:rsidP="00D97D0F">
            <w:pPr>
              <w:rPr>
                <w:bCs/>
                <w:i/>
                <w:iCs/>
              </w:rPr>
            </w:pPr>
            <w:r>
              <w:rPr>
                <w:bCs/>
                <w:i/>
                <w:iCs/>
              </w:rPr>
              <w:t xml:space="preserve"> </w:t>
            </w:r>
            <w:r w:rsidR="00D97D0F" w:rsidRPr="00EB4ECB">
              <w:rPr>
                <w:bCs/>
                <w:i/>
                <w:iCs/>
              </w:rPr>
              <w:t>spolufinancovanie</w:t>
            </w:r>
          </w:p>
        </w:tc>
        <w:tc>
          <w:tcPr>
            <w:tcW w:w="1267" w:type="dxa"/>
            <w:noWrap/>
            <w:vAlign w:val="center"/>
          </w:tcPr>
          <w:p w:rsidR="00D97D0F" w:rsidRPr="00EB4ECB" w:rsidRDefault="00D97D0F" w:rsidP="00D97D0F">
            <w:pPr>
              <w:jc w:val="right"/>
            </w:pPr>
            <w:r w:rsidRPr="00EB4ECB">
              <w:t>0</w:t>
            </w:r>
          </w:p>
        </w:tc>
        <w:tc>
          <w:tcPr>
            <w:tcW w:w="1267" w:type="dxa"/>
            <w:noWrap/>
            <w:vAlign w:val="center"/>
          </w:tcPr>
          <w:p w:rsidR="00D97D0F" w:rsidRPr="00EB4ECB" w:rsidRDefault="00D97D0F" w:rsidP="00D97D0F">
            <w:pPr>
              <w:jc w:val="right"/>
            </w:pPr>
            <w:r w:rsidRPr="00EB4ECB">
              <w:t>0</w:t>
            </w:r>
          </w:p>
        </w:tc>
        <w:tc>
          <w:tcPr>
            <w:tcW w:w="1267" w:type="dxa"/>
            <w:noWrap/>
            <w:vAlign w:val="center"/>
          </w:tcPr>
          <w:p w:rsidR="00D97D0F" w:rsidRPr="00EB4ECB" w:rsidRDefault="00D97D0F" w:rsidP="00D97D0F">
            <w:pPr>
              <w:jc w:val="right"/>
            </w:pPr>
            <w:r w:rsidRPr="00EB4ECB">
              <w:t>0</w:t>
            </w:r>
          </w:p>
        </w:tc>
        <w:tc>
          <w:tcPr>
            <w:tcW w:w="1267" w:type="dxa"/>
            <w:noWrap/>
            <w:vAlign w:val="center"/>
          </w:tcPr>
          <w:p w:rsidR="00D97D0F" w:rsidRPr="00EB4ECB" w:rsidRDefault="00D97D0F" w:rsidP="00D97D0F">
            <w:pPr>
              <w:jc w:val="right"/>
            </w:pPr>
            <w:r w:rsidRPr="00EB4ECB">
              <w:t>0</w:t>
            </w:r>
          </w:p>
        </w:tc>
      </w:tr>
      <w:tr w:rsidR="00D97D0F" w:rsidRPr="00EB4ECB" w:rsidTr="00D97D0F">
        <w:trPr>
          <w:trHeight w:val="125"/>
          <w:jc w:val="center"/>
        </w:trPr>
        <w:tc>
          <w:tcPr>
            <w:tcW w:w="4661" w:type="dxa"/>
            <w:noWrap/>
            <w:vAlign w:val="center"/>
          </w:tcPr>
          <w:p w:rsidR="00D97D0F" w:rsidRPr="00EB4ECB" w:rsidRDefault="00D97D0F" w:rsidP="00D97D0F">
            <w:pPr>
              <w:rPr>
                <w:b/>
                <w:bCs/>
                <w:i/>
                <w:iCs/>
              </w:rPr>
            </w:pPr>
            <w:r w:rsidRPr="00EB4ECB">
              <w:rPr>
                <w:b/>
                <w:bCs/>
                <w:i/>
                <w:iCs/>
              </w:rPr>
              <w:t>- vplyv na obce</w:t>
            </w:r>
          </w:p>
        </w:tc>
        <w:tc>
          <w:tcPr>
            <w:tcW w:w="1267" w:type="dxa"/>
            <w:noWrap/>
            <w:vAlign w:val="center"/>
          </w:tcPr>
          <w:p w:rsidR="00D97D0F" w:rsidRPr="00EB4ECB" w:rsidRDefault="00D97D0F" w:rsidP="00D97D0F">
            <w:pPr>
              <w:jc w:val="right"/>
              <w:rPr>
                <w:b/>
                <w:bCs/>
                <w:iCs/>
              </w:rPr>
            </w:pPr>
            <w:r w:rsidRPr="00EB4ECB">
              <w:rPr>
                <w:b/>
                <w:bCs/>
                <w:iCs/>
              </w:rPr>
              <w:t>0</w:t>
            </w:r>
          </w:p>
        </w:tc>
        <w:tc>
          <w:tcPr>
            <w:tcW w:w="1267" w:type="dxa"/>
            <w:noWrap/>
            <w:vAlign w:val="center"/>
          </w:tcPr>
          <w:p w:rsidR="00D97D0F" w:rsidRPr="00EB4ECB" w:rsidRDefault="00D97D0F" w:rsidP="00D97D0F">
            <w:pPr>
              <w:jc w:val="right"/>
              <w:rPr>
                <w:b/>
                <w:bCs/>
                <w:iCs/>
              </w:rPr>
            </w:pPr>
            <w:r w:rsidRPr="00EB4ECB">
              <w:rPr>
                <w:b/>
                <w:bCs/>
                <w:iCs/>
              </w:rPr>
              <w:t>0</w:t>
            </w:r>
          </w:p>
        </w:tc>
        <w:tc>
          <w:tcPr>
            <w:tcW w:w="1267" w:type="dxa"/>
            <w:noWrap/>
            <w:vAlign w:val="center"/>
          </w:tcPr>
          <w:p w:rsidR="00D97D0F" w:rsidRPr="00EB4ECB" w:rsidRDefault="00D97D0F" w:rsidP="00D97D0F">
            <w:pPr>
              <w:jc w:val="right"/>
              <w:rPr>
                <w:b/>
                <w:bCs/>
                <w:iCs/>
              </w:rPr>
            </w:pPr>
            <w:r w:rsidRPr="00EB4ECB">
              <w:rPr>
                <w:b/>
                <w:bCs/>
                <w:iCs/>
              </w:rPr>
              <w:t>0</w:t>
            </w:r>
          </w:p>
        </w:tc>
        <w:tc>
          <w:tcPr>
            <w:tcW w:w="1267" w:type="dxa"/>
            <w:noWrap/>
            <w:vAlign w:val="center"/>
          </w:tcPr>
          <w:p w:rsidR="00D97D0F" w:rsidRPr="00EB4ECB" w:rsidRDefault="00D97D0F" w:rsidP="00D97D0F">
            <w:pPr>
              <w:jc w:val="right"/>
              <w:rPr>
                <w:b/>
                <w:bCs/>
                <w:iCs/>
              </w:rPr>
            </w:pPr>
            <w:r w:rsidRPr="00EB4ECB">
              <w:rPr>
                <w:b/>
                <w:bCs/>
                <w:iCs/>
              </w:rPr>
              <w:t>0</w:t>
            </w:r>
          </w:p>
        </w:tc>
      </w:tr>
      <w:tr w:rsidR="00D97D0F" w:rsidRPr="00EB4ECB" w:rsidTr="00D97D0F">
        <w:trPr>
          <w:trHeight w:val="125"/>
          <w:jc w:val="center"/>
        </w:trPr>
        <w:tc>
          <w:tcPr>
            <w:tcW w:w="4661" w:type="dxa"/>
            <w:noWrap/>
            <w:vAlign w:val="center"/>
          </w:tcPr>
          <w:p w:rsidR="00D97D0F" w:rsidRPr="00EB4ECB" w:rsidRDefault="00D97D0F" w:rsidP="00D97D0F">
            <w:pPr>
              <w:rPr>
                <w:b/>
                <w:bCs/>
                <w:i/>
                <w:iCs/>
              </w:rPr>
            </w:pPr>
            <w:r w:rsidRPr="00EB4ECB">
              <w:rPr>
                <w:b/>
                <w:bCs/>
                <w:i/>
                <w:iCs/>
              </w:rPr>
              <w:t>- vplyv na vyššie územné celky</w:t>
            </w:r>
          </w:p>
        </w:tc>
        <w:tc>
          <w:tcPr>
            <w:tcW w:w="1267" w:type="dxa"/>
            <w:noWrap/>
            <w:vAlign w:val="center"/>
          </w:tcPr>
          <w:p w:rsidR="00D97D0F" w:rsidRPr="00EB4ECB" w:rsidRDefault="00D97D0F" w:rsidP="00D97D0F">
            <w:pPr>
              <w:jc w:val="right"/>
              <w:rPr>
                <w:b/>
                <w:bCs/>
                <w:iCs/>
              </w:rPr>
            </w:pPr>
            <w:r w:rsidRPr="00EB4ECB">
              <w:rPr>
                <w:b/>
                <w:bCs/>
                <w:iCs/>
              </w:rPr>
              <w:t>0</w:t>
            </w:r>
          </w:p>
        </w:tc>
        <w:tc>
          <w:tcPr>
            <w:tcW w:w="1267" w:type="dxa"/>
            <w:noWrap/>
            <w:vAlign w:val="center"/>
          </w:tcPr>
          <w:p w:rsidR="00D97D0F" w:rsidRPr="00EB4ECB" w:rsidRDefault="00D97D0F" w:rsidP="00D97D0F">
            <w:pPr>
              <w:jc w:val="right"/>
              <w:rPr>
                <w:b/>
                <w:bCs/>
                <w:iCs/>
              </w:rPr>
            </w:pPr>
            <w:r w:rsidRPr="00EB4ECB">
              <w:rPr>
                <w:b/>
                <w:bCs/>
                <w:iCs/>
              </w:rPr>
              <w:t>0</w:t>
            </w:r>
          </w:p>
        </w:tc>
        <w:tc>
          <w:tcPr>
            <w:tcW w:w="1267" w:type="dxa"/>
            <w:noWrap/>
            <w:vAlign w:val="center"/>
          </w:tcPr>
          <w:p w:rsidR="00D97D0F" w:rsidRPr="00EB4ECB" w:rsidRDefault="00D97D0F" w:rsidP="00D97D0F">
            <w:pPr>
              <w:jc w:val="right"/>
              <w:rPr>
                <w:b/>
                <w:bCs/>
                <w:iCs/>
              </w:rPr>
            </w:pPr>
            <w:r w:rsidRPr="00EB4ECB">
              <w:rPr>
                <w:b/>
                <w:bCs/>
                <w:iCs/>
              </w:rPr>
              <w:t>0</w:t>
            </w:r>
          </w:p>
        </w:tc>
        <w:tc>
          <w:tcPr>
            <w:tcW w:w="1267" w:type="dxa"/>
            <w:noWrap/>
            <w:vAlign w:val="center"/>
          </w:tcPr>
          <w:p w:rsidR="00D97D0F" w:rsidRPr="00EB4ECB" w:rsidRDefault="00D97D0F" w:rsidP="00D97D0F">
            <w:pPr>
              <w:jc w:val="right"/>
              <w:rPr>
                <w:b/>
                <w:bCs/>
                <w:iCs/>
              </w:rPr>
            </w:pPr>
            <w:r w:rsidRPr="00EB4ECB">
              <w:rPr>
                <w:b/>
                <w:bCs/>
                <w:iCs/>
              </w:rPr>
              <w:t>0</w:t>
            </w:r>
          </w:p>
        </w:tc>
      </w:tr>
      <w:tr w:rsidR="00D97D0F" w:rsidRPr="00EB4ECB" w:rsidTr="00D97D0F">
        <w:trPr>
          <w:trHeight w:val="70"/>
          <w:jc w:val="center"/>
        </w:trPr>
        <w:tc>
          <w:tcPr>
            <w:tcW w:w="4661" w:type="dxa"/>
            <w:noWrap/>
            <w:vAlign w:val="center"/>
          </w:tcPr>
          <w:p w:rsidR="00D97D0F" w:rsidRPr="00EB4ECB" w:rsidRDefault="00D97D0F" w:rsidP="00D97D0F">
            <w:pPr>
              <w:rPr>
                <w:b/>
                <w:bCs/>
              </w:rPr>
            </w:pPr>
            <w:r w:rsidRPr="00EB4ECB">
              <w:rPr>
                <w:b/>
                <w:bCs/>
                <w:i/>
                <w:iCs/>
              </w:rPr>
              <w:t>- vplyv na ostatné subjekty verejnej správy</w:t>
            </w:r>
          </w:p>
        </w:tc>
        <w:tc>
          <w:tcPr>
            <w:tcW w:w="1267" w:type="dxa"/>
            <w:noWrap/>
            <w:vAlign w:val="center"/>
          </w:tcPr>
          <w:p w:rsidR="00D97D0F" w:rsidRPr="00EB4ECB" w:rsidRDefault="00D97D0F" w:rsidP="00D97D0F">
            <w:pPr>
              <w:jc w:val="right"/>
              <w:rPr>
                <w:b/>
                <w:bCs/>
                <w:iCs/>
              </w:rPr>
            </w:pPr>
            <w:r w:rsidRPr="00EB4ECB">
              <w:rPr>
                <w:b/>
                <w:bCs/>
                <w:iCs/>
              </w:rPr>
              <w:t>0</w:t>
            </w:r>
          </w:p>
        </w:tc>
        <w:tc>
          <w:tcPr>
            <w:tcW w:w="1267" w:type="dxa"/>
            <w:noWrap/>
            <w:vAlign w:val="center"/>
          </w:tcPr>
          <w:p w:rsidR="00D97D0F" w:rsidRPr="00EB4ECB" w:rsidRDefault="00D97D0F" w:rsidP="00D97D0F">
            <w:pPr>
              <w:jc w:val="right"/>
              <w:rPr>
                <w:b/>
                <w:bCs/>
                <w:iCs/>
              </w:rPr>
            </w:pPr>
            <w:r w:rsidRPr="00EB4ECB">
              <w:rPr>
                <w:b/>
                <w:bCs/>
                <w:iCs/>
              </w:rPr>
              <w:t>0</w:t>
            </w:r>
          </w:p>
        </w:tc>
        <w:tc>
          <w:tcPr>
            <w:tcW w:w="1267" w:type="dxa"/>
            <w:noWrap/>
            <w:vAlign w:val="center"/>
          </w:tcPr>
          <w:p w:rsidR="00D97D0F" w:rsidRPr="00EB4ECB" w:rsidRDefault="00D97D0F" w:rsidP="00D97D0F">
            <w:pPr>
              <w:jc w:val="right"/>
              <w:rPr>
                <w:b/>
                <w:bCs/>
                <w:iCs/>
              </w:rPr>
            </w:pPr>
            <w:r w:rsidRPr="00EB4ECB">
              <w:rPr>
                <w:b/>
                <w:bCs/>
                <w:iCs/>
              </w:rPr>
              <w:t>0</w:t>
            </w:r>
          </w:p>
        </w:tc>
        <w:tc>
          <w:tcPr>
            <w:tcW w:w="1267" w:type="dxa"/>
            <w:noWrap/>
            <w:vAlign w:val="center"/>
          </w:tcPr>
          <w:p w:rsidR="00D97D0F" w:rsidRPr="00EB4ECB" w:rsidRDefault="00D97D0F" w:rsidP="00D97D0F">
            <w:pPr>
              <w:jc w:val="right"/>
              <w:rPr>
                <w:b/>
                <w:bCs/>
                <w:iCs/>
              </w:rPr>
            </w:pPr>
            <w:r w:rsidRPr="00EB4ECB">
              <w:rPr>
                <w:b/>
                <w:bCs/>
                <w:iCs/>
              </w:rPr>
              <w:t>0</w:t>
            </w:r>
          </w:p>
        </w:tc>
      </w:tr>
      <w:tr w:rsidR="00D97D0F" w:rsidRPr="00EB4ECB" w:rsidTr="00D97D0F">
        <w:trPr>
          <w:trHeight w:val="70"/>
          <w:jc w:val="center"/>
        </w:trPr>
        <w:tc>
          <w:tcPr>
            <w:tcW w:w="4661" w:type="dxa"/>
            <w:shd w:val="clear" w:color="auto" w:fill="BFBFBF"/>
            <w:noWrap/>
            <w:vAlign w:val="center"/>
          </w:tcPr>
          <w:p w:rsidR="00D97D0F" w:rsidRPr="00EB4ECB" w:rsidRDefault="00D97D0F" w:rsidP="00D97D0F">
            <w:pPr>
              <w:rPr>
                <w:b/>
                <w:bCs/>
              </w:rPr>
            </w:pPr>
            <w:r w:rsidRPr="00EB4ECB">
              <w:rPr>
                <w:b/>
                <w:bCs/>
              </w:rPr>
              <w:t xml:space="preserve">Vplyv na počet zamestnancov </w:t>
            </w:r>
          </w:p>
        </w:tc>
        <w:tc>
          <w:tcPr>
            <w:tcW w:w="1267" w:type="dxa"/>
            <w:shd w:val="clear" w:color="auto" w:fill="BFBFBF"/>
            <w:noWrap/>
            <w:vAlign w:val="center"/>
          </w:tcPr>
          <w:p w:rsidR="00D97D0F" w:rsidRPr="00EB4ECB" w:rsidRDefault="00D97D0F" w:rsidP="00D97D0F">
            <w:pPr>
              <w:jc w:val="right"/>
              <w:rPr>
                <w:b/>
                <w:bCs/>
              </w:rPr>
            </w:pPr>
            <w:r w:rsidRPr="00EB4ECB">
              <w:rPr>
                <w:b/>
                <w:bCs/>
              </w:rPr>
              <w:t>0</w:t>
            </w:r>
          </w:p>
        </w:tc>
        <w:tc>
          <w:tcPr>
            <w:tcW w:w="1267" w:type="dxa"/>
            <w:shd w:val="clear" w:color="auto" w:fill="BFBFBF"/>
            <w:noWrap/>
            <w:vAlign w:val="center"/>
          </w:tcPr>
          <w:p w:rsidR="00D97D0F" w:rsidRPr="00EB4ECB" w:rsidRDefault="00D97D0F" w:rsidP="00D97D0F">
            <w:pPr>
              <w:jc w:val="right"/>
              <w:rPr>
                <w:b/>
                <w:bCs/>
              </w:rPr>
            </w:pPr>
            <w:r w:rsidRPr="00EB4ECB">
              <w:rPr>
                <w:b/>
                <w:bCs/>
              </w:rPr>
              <w:t>0</w:t>
            </w:r>
          </w:p>
        </w:tc>
        <w:tc>
          <w:tcPr>
            <w:tcW w:w="1267" w:type="dxa"/>
            <w:shd w:val="clear" w:color="auto" w:fill="BFBFBF"/>
            <w:noWrap/>
            <w:vAlign w:val="center"/>
          </w:tcPr>
          <w:p w:rsidR="00D97D0F" w:rsidRPr="00EB4ECB" w:rsidRDefault="00D97D0F" w:rsidP="00D97D0F">
            <w:pPr>
              <w:jc w:val="right"/>
              <w:rPr>
                <w:b/>
                <w:bCs/>
              </w:rPr>
            </w:pPr>
            <w:r w:rsidRPr="00EB4ECB">
              <w:rPr>
                <w:b/>
                <w:bCs/>
              </w:rPr>
              <w:t>0</w:t>
            </w:r>
          </w:p>
        </w:tc>
        <w:tc>
          <w:tcPr>
            <w:tcW w:w="1267" w:type="dxa"/>
            <w:shd w:val="clear" w:color="auto" w:fill="BFBFBF"/>
            <w:noWrap/>
            <w:vAlign w:val="center"/>
          </w:tcPr>
          <w:p w:rsidR="00D97D0F" w:rsidRPr="00EB4ECB" w:rsidRDefault="00D97D0F" w:rsidP="00D97D0F">
            <w:pPr>
              <w:jc w:val="right"/>
              <w:rPr>
                <w:b/>
                <w:bCs/>
              </w:rPr>
            </w:pPr>
            <w:r w:rsidRPr="00EB4ECB">
              <w:rPr>
                <w:b/>
                <w:bCs/>
              </w:rPr>
              <w:t>0</w:t>
            </w:r>
          </w:p>
        </w:tc>
      </w:tr>
      <w:tr w:rsidR="00D97D0F" w:rsidRPr="00EB4ECB" w:rsidTr="00D97D0F">
        <w:trPr>
          <w:trHeight w:val="70"/>
          <w:jc w:val="center"/>
        </w:trPr>
        <w:tc>
          <w:tcPr>
            <w:tcW w:w="4661" w:type="dxa"/>
            <w:noWrap/>
            <w:vAlign w:val="center"/>
          </w:tcPr>
          <w:p w:rsidR="00D97D0F" w:rsidRPr="00EB4ECB" w:rsidRDefault="00D97D0F" w:rsidP="00D97D0F">
            <w:pPr>
              <w:rPr>
                <w:b/>
                <w:bCs/>
                <w:i/>
                <w:iCs/>
              </w:rPr>
            </w:pPr>
            <w:r w:rsidRPr="00EB4ECB">
              <w:rPr>
                <w:b/>
                <w:bCs/>
                <w:i/>
                <w:iCs/>
              </w:rPr>
              <w:t>- vplyv na ŠR</w:t>
            </w:r>
          </w:p>
        </w:tc>
        <w:tc>
          <w:tcPr>
            <w:tcW w:w="1267" w:type="dxa"/>
            <w:noWrap/>
            <w:vAlign w:val="center"/>
          </w:tcPr>
          <w:p w:rsidR="00D97D0F" w:rsidRPr="00EB4ECB" w:rsidRDefault="00D97D0F" w:rsidP="00D97D0F">
            <w:pPr>
              <w:jc w:val="right"/>
              <w:rPr>
                <w:b/>
                <w:bCs/>
                <w:iCs/>
              </w:rPr>
            </w:pPr>
            <w:r w:rsidRPr="00EB4ECB">
              <w:rPr>
                <w:b/>
                <w:bCs/>
                <w:iCs/>
              </w:rPr>
              <w:t>0</w:t>
            </w:r>
          </w:p>
        </w:tc>
        <w:tc>
          <w:tcPr>
            <w:tcW w:w="1267" w:type="dxa"/>
            <w:noWrap/>
            <w:vAlign w:val="center"/>
          </w:tcPr>
          <w:p w:rsidR="00D97D0F" w:rsidRPr="00EB4ECB" w:rsidRDefault="00D97D0F" w:rsidP="00D97D0F">
            <w:pPr>
              <w:jc w:val="right"/>
              <w:rPr>
                <w:b/>
                <w:bCs/>
                <w:iCs/>
              </w:rPr>
            </w:pPr>
            <w:r w:rsidRPr="00EB4ECB">
              <w:rPr>
                <w:b/>
                <w:bCs/>
                <w:iCs/>
              </w:rPr>
              <w:t>0</w:t>
            </w:r>
          </w:p>
        </w:tc>
        <w:tc>
          <w:tcPr>
            <w:tcW w:w="1267" w:type="dxa"/>
            <w:noWrap/>
            <w:vAlign w:val="center"/>
          </w:tcPr>
          <w:p w:rsidR="00D97D0F" w:rsidRPr="00EB4ECB" w:rsidRDefault="00D97D0F" w:rsidP="00D97D0F">
            <w:pPr>
              <w:jc w:val="right"/>
              <w:rPr>
                <w:b/>
                <w:bCs/>
                <w:iCs/>
              </w:rPr>
            </w:pPr>
            <w:r w:rsidRPr="00EB4ECB">
              <w:rPr>
                <w:b/>
                <w:bCs/>
                <w:iCs/>
              </w:rPr>
              <w:t>0</w:t>
            </w:r>
          </w:p>
        </w:tc>
        <w:tc>
          <w:tcPr>
            <w:tcW w:w="1267" w:type="dxa"/>
            <w:noWrap/>
            <w:vAlign w:val="center"/>
          </w:tcPr>
          <w:p w:rsidR="00D97D0F" w:rsidRPr="00EB4ECB" w:rsidRDefault="00D97D0F" w:rsidP="00D97D0F">
            <w:pPr>
              <w:jc w:val="right"/>
              <w:rPr>
                <w:b/>
                <w:bCs/>
                <w:iCs/>
              </w:rPr>
            </w:pPr>
            <w:r w:rsidRPr="00EB4ECB">
              <w:rPr>
                <w:b/>
                <w:bCs/>
                <w:iCs/>
              </w:rPr>
              <w:t>0</w:t>
            </w:r>
          </w:p>
        </w:tc>
      </w:tr>
      <w:tr w:rsidR="00D97D0F" w:rsidRPr="00EB4ECB" w:rsidTr="00D97D0F">
        <w:trPr>
          <w:trHeight w:val="70"/>
          <w:jc w:val="center"/>
        </w:trPr>
        <w:tc>
          <w:tcPr>
            <w:tcW w:w="4661" w:type="dxa"/>
            <w:noWrap/>
            <w:vAlign w:val="center"/>
          </w:tcPr>
          <w:p w:rsidR="00D97D0F" w:rsidRPr="00EB4ECB" w:rsidRDefault="00D97D0F" w:rsidP="00D97D0F">
            <w:pPr>
              <w:rPr>
                <w:b/>
                <w:bCs/>
                <w:i/>
                <w:iCs/>
              </w:rPr>
            </w:pPr>
            <w:r w:rsidRPr="00EB4ECB">
              <w:rPr>
                <w:b/>
                <w:bCs/>
                <w:i/>
                <w:iCs/>
              </w:rPr>
              <w:t>- vplyv na obce</w:t>
            </w:r>
          </w:p>
        </w:tc>
        <w:tc>
          <w:tcPr>
            <w:tcW w:w="1267" w:type="dxa"/>
            <w:noWrap/>
            <w:vAlign w:val="center"/>
          </w:tcPr>
          <w:p w:rsidR="00D97D0F" w:rsidRPr="00EB4ECB" w:rsidRDefault="00D97D0F" w:rsidP="00D97D0F">
            <w:pPr>
              <w:jc w:val="right"/>
              <w:rPr>
                <w:b/>
                <w:bCs/>
                <w:iCs/>
              </w:rPr>
            </w:pPr>
            <w:r w:rsidRPr="00EB4ECB">
              <w:rPr>
                <w:b/>
                <w:bCs/>
                <w:iCs/>
              </w:rPr>
              <w:t>0</w:t>
            </w:r>
          </w:p>
        </w:tc>
        <w:tc>
          <w:tcPr>
            <w:tcW w:w="1267" w:type="dxa"/>
            <w:noWrap/>
            <w:vAlign w:val="center"/>
          </w:tcPr>
          <w:p w:rsidR="00D97D0F" w:rsidRPr="00EB4ECB" w:rsidRDefault="00D97D0F" w:rsidP="00D97D0F">
            <w:pPr>
              <w:jc w:val="right"/>
              <w:rPr>
                <w:b/>
                <w:bCs/>
                <w:iCs/>
              </w:rPr>
            </w:pPr>
            <w:r w:rsidRPr="00EB4ECB">
              <w:rPr>
                <w:b/>
                <w:bCs/>
                <w:iCs/>
              </w:rPr>
              <w:t>0</w:t>
            </w:r>
          </w:p>
        </w:tc>
        <w:tc>
          <w:tcPr>
            <w:tcW w:w="1267" w:type="dxa"/>
            <w:noWrap/>
            <w:vAlign w:val="center"/>
          </w:tcPr>
          <w:p w:rsidR="00D97D0F" w:rsidRPr="00EB4ECB" w:rsidRDefault="00D97D0F" w:rsidP="00D97D0F">
            <w:pPr>
              <w:jc w:val="right"/>
              <w:rPr>
                <w:b/>
                <w:bCs/>
                <w:iCs/>
              </w:rPr>
            </w:pPr>
            <w:r w:rsidRPr="00EB4ECB">
              <w:rPr>
                <w:b/>
                <w:bCs/>
                <w:iCs/>
              </w:rPr>
              <w:t>0</w:t>
            </w:r>
          </w:p>
        </w:tc>
        <w:tc>
          <w:tcPr>
            <w:tcW w:w="1267" w:type="dxa"/>
            <w:noWrap/>
            <w:vAlign w:val="center"/>
          </w:tcPr>
          <w:p w:rsidR="00D97D0F" w:rsidRPr="00EB4ECB" w:rsidRDefault="00D97D0F" w:rsidP="00D97D0F">
            <w:pPr>
              <w:jc w:val="right"/>
              <w:rPr>
                <w:b/>
                <w:bCs/>
                <w:iCs/>
              </w:rPr>
            </w:pPr>
            <w:r w:rsidRPr="00EB4ECB">
              <w:rPr>
                <w:b/>
                <w:bCs/>
                <w:iCs/>
              </w:rPr>
              <w:t>0</w:t>
            </w:r>
          </w:p>
        </w:tc>
      </w:tr>
      <w:tr w:rsidR="00D97D0F" w:rsidRPr="00EB4ECB" w:rsidTr="00D97D0F">
        <w:trPr>
          <w:trHeight w:val="70"/>
          <w:jc w:val="center"/>
        </w:trPr>
        <w:tc>
          <w:tcPr>
            <w:tcW w:w="4661" w:type="dxa"/>
            <w:noWrap/>
            <w:vAlign w:val="center"/>
          </w:tcPr>
          <w:p w:rsidR="00D97D0F" w:rsidRPr="00EB4ECB" w:rsidRDefault="00D97D0F" w:rsidP="00D97D0F">
            <w:pPr>
              <w:rPr>
                <w:b/>
                <w:bCs/>
                <w:i/>
                <w:iCs/>
              </w:rPr>
            </w:pPr>
            <w:r w:rsidRPr="00EB4ECB">
              <w:rPr>
                <w:b/>
                <w:bCs/>
                <w:i/>
                <w:iCs/>
              </w:rPr>
              <w:t>- vplyv na vyššie územné celky</w:t>
            </w:r>
          </w:p>
        </w:tc>
        <w:tc>
          <w:tcPr>
            <w:tcW w:w="1267" w:type="dxa"/>
            <w:noWrap/>
            <w:vAlign w:val="center"/>
          </w:tcPr>
          <w:p w:rsidR="00D97D0F" w:rsidRPr="00EB4ECB" w:rsidRDefault="00D97D0F" w:rsidP="00D97D0F">
            <w:pPr>
              <w:jc w:val="right"/>
              <w:rPr>
                <w:b/>
                <w:bCs/>
                <w:iCs/>
              </w:rPr>
            </w:pPr>
            <w:r w:rsidRPr="00EB4ECB">
              <w:rPr>
                <w:b/>
                <w:bCs/>
                <w:iCs/>
              </w:rPr>
              <w:t>0</w:t>
            </w:r>
          </w:p>
        </w:tc>
        <w:tc>
          <w:tcPr>
            <w:tcW w:w="1267" w:type="dxa"/>
            <w:noWrap/>
            <w:vAlign w:val="center"/>
          </w:tcPr>
          <w:p w:rsidR="00D97D0F" w:rsidRPr="00EB4ECB" w:rsidRDefault="00D97D0F" w:rsidP="00D97D0F">
            <w:pPr>
              <w:jc w:val="right"/>
              <w:rPr>
                <w:b/>
                <w:bCs/>
                <w:iCs/>
              </w:rPr>
            </w:pPr>
            <w:r w:rsidRPr="00EB4ECB">
              <w:rPr>
                <w:b/>
                <w:bCs/>
                <w:iCs/>
              </w:rPr>
              <w:t>0</w:t>
            </w:r>
          </w:p>
        </w:tc>
        <w:tc>
          <w:tcPr>
            <w:tcW w:w="1267" w:type="dxa"/>
            <w:noWrap/>
            <w:vAlign w:val="center"/>
          </w:tcPr>
          <w:p w:rsidR="00D97D0F" w:rsidRPr="00EB4ECB" w:rsidRDefault="00D97D0F" w:rsidP="00D97D0F">
            <w:pPr>
              <w:jc w:val="right"/>
              <w:rPr>
                <w:b/>
                <w:bCs/>
                <w:iCs/>
              </w:rPr>
            </w:pPr>
            <w:r w:rsidRPr="00EB4ECB">
              <w:rPr>
                <w:b/>
                <w:bCs/>
                <w:iCs/>
              </w:rPr>
              <w:t>0</w:t>
            </w:r>
          </w:p>
        </w:tc>
        <w:tc>
          <w:tcPr>
            <w:tcW w:w="1267" w:type="dxa"/>
            <w:noWrap/>
            <w:vAlign w:val="center"/>
          </w:tcPr>
          <w:p w:rsidR="00D97D0F" w:rsidRPr="00EB4ECB" w:rsidRDefault="00D97D0F" w:rsidP="00D97D0F">
            <w:pPr>
              <w:jc w:val="right"/>
              <w:rPr>
                <w:b/>
                <w:bCs/>
                <w:iCs/>
              </w:rPr>
            </w:pPr>
            <w:r w:rsidRPr="00EB4ECB">
              <w:rPr>
                <w:b/>
                <w:bCs/>
                <w:iCs/>
              </w:rPr>
              <w:t>0</w:t>
            </w:r>
          </w:p>
        </w:tc>
      </w:tr>
      <w:tr w:rsidR="00D97D0F" w:rsidRPr="00EB4ECB" w:rsidTr="00D97D0F">
        <w:trPr>
          <w:trHeight w:val="70"/>
          <w:jc w:val="center"/>
        </w:trPr>
        <w:tc>
          <w:tcPr>
            <w:tcW w:w="4661" w:type="dxa"/>
            <w:noWrap/>
            <w:vAlign w:val="center"/>
          </w:tcPr>
          <w:p w:rsidR="00D97D0F" w:rsidRPr="00EB4ECB" w:rsidRDefault="00D97D0F" w:rsidP="00D97D0F">
            <w:pPr>
              <w:rPr>
                <w:b/>
                <w:bCs/>
                <w:i/>
                <w:iCs/>
              </w:rPr>
            </w:pPr>
            <w:r w:rsidRPr="00EB4ECB">
              <w:rPr>
                <w:b/>
                <w:bCs/>
                <w:i/>
                <w:iCs/>
              </w:rPr>
              <w:t>- vplyv na ostatné subjekty verejnej správy</w:t>
            </w:r>
          </w:p>
        </w:tc>
        <w:tc>
          <w:tcPr>
            <w:tcW w:w="1267" w:type="dxa"/>
            <w:noWrap/>
            <w:vAlign w:val="center"/>
          </w:tcPr>
          <w:p w:rsidR="00D97D0F" w:rsidRPr="00EB4ECB" w:rsidRDefault="00D97D0F" w:rsidP="00D97D0F">
            <w:pPr>
              <w:jc w:val="right"/>
              <w:rPr>
                <w:b/>
                <w:bCs/>
                <w:iCs/>
              </w:rPr>
            </w:pPr>
            <w:r w:rsidRPr="00EB4ECB">
              <w:rPr>
                <w:b/>
                <w:bCs/>
                <w:iCs/>
              </w:rPr>
              <w:t>0</w:t>
            </w:r>
          </w:p>
        </w:tc>
        <w:tc>
          <w:tcPr>
            <w:tcW w:w="1267" w:type="dxa"/>
            <w:noWrap/>
            <w:vAlign w:val="center"/>
          </w:tcPr>
          <w:p w:rsidR="00D97D0F" w:rsidRPr="00EB4ECB" w:rsidRDefault="00D97D0F" w:rsidP="00D97D0F">
            <w:pPr>
              <w:jc w:val="right"/>
              <w:rPr>
                <w:b/>
                <w:bCs/>
                <w:iCs/>
              </w:rPr>
            </w:pPr>
            <w:r w:rsidRPr="00EB4ECB">
              <w:rPr>
                <w:b/>
                <w:bCs/>
                <w:iCs/>
              </w:rPr>
              <w:t>0</w:t>
            </w:r>
          </w:p>
        </w:tc>
        <w:tc>
          <w:tcPr>
            <w:tcW w:w="1267" w:type="dxa"/>
            <w:noWrap/>
            <w:vAlign w:val="center"/>
          </w:tcPr>
          <w:p w:rsidR="00D97D0F" w:rsidRPr="00EB4ECB" w:rsidRDefault="00D97D0F" w:rsidP="00D97D0F">
            <w:pPr>
              <w:jc w:val="right"/>
              <w:rPr>
                <w:b/>
                <w:bCs/>
                <w:iCs/>
              </w:rPr>
            </w:pPr>
            <w:r w:rsidRPr="00EB4ECB">
              <w:rPr>
                <w:b/>
                <w:bCs/>
                <w:iCs/>
              </w:rPr>
              <w:t>0</w:t>
            </w:r>
          </w:p>
        </w:tc>
        <w:tc>
          <w:tcPr>
            <w:tcW w:w="1267" w:type="dxa"/>
            <w:noWrap/>
            <w:vAlign w:val="center"/>
          </w:tcPr>
          <w:p w:rsidR="00D97D0F" w:rsidRPr="00EB4ECB" w:rsidRDefault="00D97D0F" w:rsidP="00D97D0F">
            <w:pPr>
              <w:jc w:val="right"/>
              <w:rPr>
                <w:b/>
                <w:bCs/>
                <w:iCs/>
              </w:rPr>
            </w:pPr>
            <w:r w:rsidRPr="00EB4ECB">
              <w:rPr>
                <w:b/>
                <w:bCs/>
                <w:iCs/>
              </w:rPr>
              <w:t>0</w:t>
            </w:r>
          </w:p>
        </w:tc>
      </w:tr>
      <w:tr w:rsidR="00D97D0F" w:rsidRPr="00EB4ECB" w:rsidTr="00D97D0F">
        <w:trPr>
          <w:trHeight w:val="70"/>
          <w:jc w:val="center"/>
        </w:trPr>
        <w:tc>
          <w:tcPr>
            <w:tcW w:w="4661" w:type="dxa"/>
            <w:shd w:val="clear" w:color="auto" w:fill="BFBFBF"/>
            <w:noWrap/>
            <w:vAlign w:val="center"/>
          </w:tcPr>
          <w:p w:rsidR="00D97D0F" w:rsidRPr="00EB4ECB" w:rsidRDefault="00D97D0F" w:rsidP="00D97D0F">
            <w:pPr>
              <w:rPr>
                <w:b/>
              </w:rPr>
            </w:pPr>
            <w:r w:rsidRPr="00EB4ECB">
              <w:rPr>
                <w:b/>
              </w:rPr>
              <w:t>Vplyv na mzdové výdavky</w:t>
            </w:r>
          </w:p>
        </w:tc>
        <w:tc>
          <w:tcPr>
            <w:tcW w:w="1267" w:type="dxa"/>
            <w:shd w:val="clear" w:color="auto" w:fill="BFBFBF"/>
            <w:noWrap/>
            <w:vAlign w:val="center"/>
          </w:tcPr>
          <w:p w:rsidR="00D97D0F" w:rsidRPr="00EB4ECB" w:rsidRDefault="00D97D0F" w:rsidP="00D97D0F">
            <w:pPr>
              <w:jc w:val="right"/>
              <w:rPr>
                <w:b/>
              </w:rPr>
            </w:pPr>
            <w:r w:rsidRPr="00EB4ECB">
              <w:rPr>
                <w:b/>
              </w:rPr>
              <w:t>0</w:t>
            </w:r>
          </w:p>
        </w:tc>
        <w:tc>
          <w:tcPr>
            <w:tcW w:w="1267" w:type="dxa"/>
            <w:shd w:val="clear" w:color="auto" w:fill="BFBFBF"/>
            <w:noWrap/>
            <w:vAlign w:val="center"/>
          </w:tcPr>
          <w:p w:rsidR="00D97D0F" w:rsidRPr="00EB4ECB" w:rsidRDefault="00D97D0F" w:rsidP="00D97D0F">
            <w:pPr>
              <w:jc w:val="right"/>
              <w:rPr>
                <w:b/>
              </w:rPr>
            </w:pPr>
            <w:r w:rsidRPr="00EB4ECB">
              <w:rPr>
                <w:b/>
              </w:rPr>
              <w:t>0</w:t>
            </w:r>
          </w:p>
        </w:tc>
        <w:tc>
          <w:tcPr>
            <w:tcW w:w="1267" w:type="dxa"/>
            <w:shd w:val="clear" w:color="auto" w:fill="BFBFBF"/>
            <w:noWrap/>
            <w:vAlign w:val="center"/>
          </w:tcPr>
          <w:p w:rsidR="00D97D0F" w:rsidRPr="00EB4ECB" w:rsidRDefault="00D97D0F" w:rsidP="00D97D0F">
            <w:pPr>
              <w:jc w:val="right"/>
              <w:rPr>
                <w:b/>
              </w:rPr>
            </w:pPr>
            <w:r w:rsidRPr="00EB4ECB">
              <w:rPr>
                <w:b/>
              </w:rPr>
              <w:t>0</w:t>
            </w:r>
          </w:p>
        </w:tc>
        <w:tc>
          <w:tcPr>
            <w:tcW w:w="1267" w:type="dxa"/>
            <w:shd w:val="clear" w:color="auto" w:fill="BFBFBF"/>
            <w:noWrap/>
            <w:vAlign w:val="center"/>
          </w:tcPr>
          <w:p w:rsidR="00D97D0F" w:rsidRPr="00EB4ECB" w:rsidRDefault="00D97D0F" w:rsidP="00D97D0F">
            <w:pPr>
              <w:jc w:val="right"/>
              <w:rPr>
                <w:b/>
              </w:rPr>
            </w:pPr>
            <w:r w:rsidRPr="00EB4ECB">
              <w:rPr>
                <w:b/>
              </w:rPr>
              <w:t>0</w:t>
            </w:r>
          </w:p>
        </w:tc>
      </w:tr>
      <w:tr w:rsidR="00D97D0F" w:rsidRPr="00EB4ECB" w:rsidTr="00D97D0F">
        <w:trPr>
          <w:trHeight w:val="70"/>
          <w:jc w:val="center"/>
        </w:trPr>
        <w:tc>
          <w:tcPr>
            <w:tcW w:w="4661" w:type="dxa"/>
            <w:noWrap/>
            <w:vAlign w:val="center"/>
          </w:tcPr>
          <w:p w:rsidR="00D97D0F" w:rsidRPr="00EB4ECB" w:rsidRDefault="00D97D0F" w:rsidP="00D97D0F">
            <w:pPr>
              <w:rPr>
                <w:b/>
                <w:bCs/>
                <w:i/>
                <w:iCs/>
              </w:rPr>
            </w:pPr>
            <w:r w:rsidRPr="00EB4ECB">
              <w:rPr>
                <w:b/>
                <w:bCs/>
                <w:i/>
                <w:iCs/>
              </w:rPr>
              <w:t>- vplyv na ŠR</w:t>
            </w:r>
          </w:p>
        </w:tc>
        <w:tc>
          <w:tcPr>
            <w:tcW w:w="1267" w:type="dxa"/>
            <w:noWrap/>
            <w:vAlign w:val="center"/>
          </w:tcPr>
          <w:p w:rsidR="00D97D0F" w:rsidRPr="00EB4ECB" w:rsidRDefault="00D97D0F" w:rsidP="00D97D0F">
            <w:pPr>
              <w:jc w:val="right"/>
              <w:rPr>
                <w:b/>
                <w:bCs/>
                <w:iCs/>
              </w:rPr>
            </w:pPr>
            <w:r w:rsidRPr="00EB4ECB">
              <w:rPr>
                <w:b/>
                <w:bCs/>
                <w:iCs/>
              </w:rPr>
              <w:t>0</w:t>
            </w:r>
          </w:p>
        </w:tc>
        <w:tc>
          <w:tcPr>
            <w:tcW w:w="1267" w:type="dxa"/>
            <w:noWrap/>
            <w:vAlign w:val="center"/>
          </w:tcPr>
          <w:p w:rsidR="00D97D0F" w:rsidRPr="00EB4ECB" w:rsidRDefault="00D97D0F" w:rsidP="00D97D0F">
            <w:pPr>
              <w:jc w:val="right"/>
              <w:rPr>
                <w:b/>
                <w:bCs/>
                <w:iCs/>
              </w:rPr>
            </w:pPr>
            <w:r w:rsidRPr="00EB4ECB">
              <w:rPr>
                <w:b/>
                <w:bCs/>
                <w:iCs/>
              </w:rPr>
              <w:t>0</w:t>
            </w:r>
          </w:p>
        </w:tc>
        <w:tc>
          <w:tcPr>
            <w:tcW w:w="1267" w:type="dxa"/>
            <w:noWrap/>
            <w:vAlign w:val="center"/>
          </w:tcPr>
          <w:p w:rsidR="00D97D0F" w:rsidRPr="00EB4ECB" w:rsidRDefault="00D97D0F" w:rsidP="00D97D0F">
            <w:pPr>
              <w:jc w:val="right"/>
              <w:rPr>
                <w:b/>
                <w:bCs/>
                <w:iCs/>
              </w:rPr>
            </w:pPr>
            <w:r w:rsidRPr="00EB4ECB">
              <w:rPr>
                <w:b/>
                <w:bCs/>
                <w:iCs/>
              </w:rPr>
              <w:t>0</w:t>
            </w:r>
          </w:p>
        </w:tc>
        <w:tc>
          <w:tcPr>
            <w:tcW w:w="1267" w:type="dxa"/>
            <w:noWrap/>
            <w:vAlign w:val="center"/>
          </w:tcPr>
          <w:p w:rsidR="00D97D0F" w:rsidRPr="00EB4ECB" w:rsidRDefault="00D97D0F" w:rsidP="00D97D0F">
            <w:pPr>
              <w:jc w:val="right"/>
              <w:rPr>
                <w:b/>
                <w:bCs/>
                <w:iCs/>
              </w:rPr>
            </w:pPr>
            <w:r w:rsidRPr="00EB4ECB">
              <w:rPr>
                <w:b/>
                <w:bCs/>
                <w:iCs/>
              </w:rPr>
              <w:t>0</w:t>
            </w:r>
          </w:p>
        </w:tc>
      </w:tr>
      <w:tr w:rsidR="00D97D0F" w:rsidRPr="00EB4ECB" w:rsidTr="00D97D0F">
        <w:trPr>
          <w:trHeight w:val="70"/>
          <w:jc w:val="center"/>
        </w:trPr>
        <w:tc>
          <w:tcPr>
            <w:tcW w:w="4661" w:type="dxa"/>
            <w:noWrap/>
            <w:vAlign w:val="center"/>
          </w:tcPr>
          <w:p w:rsidR="00D97D0F" w:rsidRPr="00EB4ECB" w:rsidRDefault="00D97D0F" w:rsidP="00D97D0F">
            <w:pPr>
              <w:rPr>
                <w:b/>
                <w:bCs/>
                <w:i/>
                <w:iCs/>
              </w:rPr>
            </w:pPr>
            <w:r w:rsidRPr="00EB4ECB">
              <w:rPr>
                <w:b/>
                <w:bCs/>
                <w:i/>
                <w:iCs/>
              </w:rPr>
              <w:t>- vplyv na obce</w:t>
            </w:r>
          </w:p>
        </w:tc>
        <w:tc>
          <w:tcPr>
            <w:tcW w:w="1267" w:type="dxa"/>
            <w:noWrap/>
            <w:vAlign w:val="center"/>
          </w:tcPr>
          <w:p w:rsidR="00D97D0F" w:rsidRPr="00EB4ECB" w:rsidRDefault="00D97D0F" w:rsidP="00D97D0F">
            <w:pPr>
              <w:jc w:val="right"/>
              <w:rPr>
                <w:b/>
                <w:bCs/>
                <w:iCs/>
              </w:rPr>
            </w:pPr>
            <w:r w:rsidRPr="00EB4ECB">
              <w:rPr>
                <w:b/>
                <w:bCs/>
                <w:iCs/>
              </w:rPr>
              <w:t>0</w:t>
            </w:r>
          </w:p>
        </w:tc>
        <w:tc>
          <w:tcPr>
            <w:tcW w:w="1267" w:type="dxa"/>
            <w:noWrap/>
            <w:vAlign w:val="center"/>
          </w:tcPr>
          <w:p w:rsidR="00D97D0F" w:rsidRPr="00EB4ECB" w:rsidRDefault="00D97D0F" w:rsidP="00D97D0F">
            <w:pPr>
              <w:jc w:val="right"/>
              <w:rPr>
                <w:b/>
                <w:bCs/>
                <w:iCs/>
              </w:rPr>
            </w:pPr>
            <w:r w:rsidRPr="00EB4ECB">
              <w:rPr>
                <w:b/>
                <w:bCs/>
                <w:iCs/>
              </w:rPr>
              <w:t>0</w:t>
            </w:r>
          </w:p>
        </w:tc>
        <w:tc>
          <w:tcPr>
            <w:tcW w:w="1267" w:type="dxa"/>
            <w:noWrap/>
            <w:vAlign w:val="center"/>
          </w:tcPr>
          <w:p w:rsidR="00D97D0F" w:rsidRPr="00EB4ECB" w:rsidRDefault="00D97D0F" w:rsidP="00D97D0F">
            <w:pPr>
              <w:jc w:val="right"/>
              <w:rPr>
                <w:b/>
                <w:bCs/>
                <w:iCs/>
              </w:rPr>
            </w:pPr>
            <w:r w:rsidRPr="00EB4ECB">
              <w:rPr>
                <w:b/>
                <w:bCs/>
                <w:iCs/>
              </w:rPr>
              <w:t>0</w:t>
            </w:r>
          </w:p>
        </w:tc>
        <w:tc>
          <w:tcPr>
            <w:tcW w:w="1267" w:type="dxa"/>
            <w:noWrap/>
            <w:vAlign w:val="center"/>
          </w:tcPr>
          <w:p w:rsidR="00D97D0F" w:rsidRPr="00EB4ECB" w:rsidRDefault="00D97D0F" w:rsidP="00D97D0F">
            <w:pPr>
              <w:jc w:val="right"/>
              <w:rPr>
                <w:b/>
                <w:bCs/>
                <w:iCs/>
              </w:rPr>
            </w:pPr>
            <w:r w:rsidRPr="00EB4ECB">
              <w:rPr>
                <w:b/>
                <w:bCs/>
                <w:iCs/>
              </w:rPr>
              <w:t>0</w:t>
            </w:r>
          </w:p>
        </w:tc>
      </w:tr>
      <w:tr w:rsidR="00D97D0F" w:rsidRPr="00EB4ECB" w:rsidTr="00D97D0F">
        <w:trPr>
          <w:trHeight w:val="70"/>
          <w:jc w:val="center"/>
        </w:trPr>
        <w:tc>
          <w:tcPr>
            <w:tcW w:w="4661" w:type="dxa"/>
            <w:noWrap/>
            <w:vAlign w:val="center"/>
          </w:tcPr>
          <w:p w:rsidR="00D97D0F" w:rsidRPr="00EB4ECB" w:rsidRDefault="00D97D0F" w:rsidP="00D97D0F">
            <w:pPr>
              <w:rPr>
                <w:b/>
                <w:bCs/>
                <w:i/>
                <w:iCs/>
              </w:rPr>
            </w:pPr>
            <w:r w:rsidRPr="00EB4ECB">
              <w:rPr>
                <w:b/>
                <w:bCs/>
                <w:i/>
                <w:iCs/>
              </w:rPr>
              <w:t>- vplyv na vyššie územné celky</w:t>
            </w:r>
          </w:p>
        </w:tc>
        <w:tc>
          <w:tcPr>
            <w:tcW w:w="1267" w:type="dxa"/>
            <w:noWrap/>
            <w:vAlign w:val="center"/>
          </w:tcPr>
          <w:p w:rsidR="00D97D0F" w:rsidRPr="00EB4ECB" w:rsidRDefault="00D97D0F" w:rsidP="00D97D0F">
            <w:pPr>
              <w:jc w:val="right"/>
              <w:rPr>
                <w:b/>
                <w:bCs/>
                <w:iCs/>
              </w:rPr>
            </w:pPr>
            <w:r w:rsidRPr="00EB4ECB">
              <w:rPr>
                <w:b/>
                <w:bCs/>
                <w:iCs/>
              </w:rPr>
              <w:t>0</w:t>
            </w:r>
          </w:p>
        </w:tc>
        <w:tc>
          <w:tcPr>
            <w:tcW w:w="1267" w:type="dxa"/>
            <w:noWrap/>
            <w:vAlign w:val="center"/>
          </w:tcPr>
          <w:p w:rsidR="00D97D0F" w:rsidRPr="00EB4ECB" w:rsidRDefault="00D97D0F" w:rsidP="00D97D0F">
            <w:pPr>
              <w:jc w:val="right"/>
              <w:rPr>
                <w:b/>
                <w:bCs/>
                <w:iCs/>
              </w:rPr>
            </w:pPr>
            <w:r w:rsidRPr="00EB4ECB">
              <w:rPr>
                <w:b/>
                <w:bCs/>
                <w:iCs/>
              </w:rPr>
              <w:t>0</w:t>
            </w:r>
          </w:p>
        </w:tc>
        <w:tc>
          <w:tcPr>
            <w:tcW w:w="1267" w:type="dxa"/>
            <w:noWrap/>
            <w:vAlign w:val="center"/>
          </w:tcPr>
          <w:p w:rsidR="00D97D0F" w:rsidRPr="00EB4ECB" w:rsidRDefault="00D97D0F" w:rsidP="00D97D0F">
            <w:pPr>
              <w:jc w:val="right"/>
              <w:rPr>
                <w:b/>
                <w:bCs/>
                <w:iCs/>
              </w:rPr>
            </w:pPr>
            <w:r w:rsidRPr="00EB4ECB">
              <w:rPr>
                <w:b/>
                <w:bCs/>
                <w:iCs/>
              </w:rPr>
              <w:t>0</w:t>
            </w:r>
          </w:p>
        </w:tc>
        <w:tc>
          <w:tcPr>
            <w:tcW w:w="1267" w:type="dxa"/>
            <w:noWrap/>
            <w:vAlign w:val="center"/>
          </w:tcPr>
          <w:p w:rsidR="00D97D0F" w:rsidRPr="00EB4ECB" w:rsidRDefault="00D97D0F" w:rsidP="00D97D0F">
            <w:pPr>
              <w:jc w:val="right"/>
              <w:rPr>
                <w:b/>
                <w:bCs/>
                <w:iCs/>
              </w:rPr>
            </w:pPr>
            <w:r w:rsidRPr="00EB4ECB">
              <w:rPr>
                <w:b/>
                <w:bCs/>
                <w:iCs/>
              </w:rPr>
              <w:t>0</w:t>
            </w:r>
          </w:p>
        </w:tc>
      </w:tr>
      <w:tr w:rsidR="00D97D0F" w:rsidRPr="00EB4ECB" w:rsidTr="00D97D0F">
        <w:trPr>
          <w:trHeight w:val="70"/>
          <w:jc w:val="center"/>
        </w:trPr>
        <w:tc>
          <w:tcPr>
            <w:tcW w:w="4661" w:type="dxa"/>
            <w:noWrap/>
            <w:vAlign w:val="center"/>
          </w:tcPr>
          <w:p w:rsidR="00D97D0F" w:rsidRPr="00EB4ECB" w:rsidRDefault="00D97D0F" w:rsidP="00D97D0F">
            <w:pPr>
              <w:rPr>
                <w:b/>
                <w:bCs/>
              </w:rPr>
            </w:pPr>
            <w:r w:rsidRPr="00EB4ECB">
              <w:rPr>
                <w:b/>
                <w:bCs/>
                <w:i/>
                <w:iCs/>
              </w:rPr>
              <w:t>- vplyv na ostatné subjekty verejnej správy</w:t>
            </w:r>
          </w:p>
        </w:tc>
        <w:tc>
          <w:tcPr>
            <w:tcW w:w="1267" w:type="dxa"/>
            <w:noWrap/>
            <w:vAlign w:val="center"/>
          </w:tcPr>
          <w:p w:rsidR="00D97D0F" w:rsidRPr="00EB4ECB" w:rsidRDefault="00D97D0F" w:rsidP="00D97D0F">
            <w:pPr>
              <w:jc w:val="right"/>
              <w:rPr>
                <w:b/>
                <w:bCs/>
                <w:iCs/>
              </w:rPr>
            </w:pPr>
            <w:r w:rsidRPr="00EB4ECB">
              <w:rPr>
                <w:b/>
                <w:bCs/>
                <w:iCs/>
              </w:rPr>
              <w:t>0</w:t>
            </w:r>
          </w:p>
        </w:tc>
        <w:tc>
          <w:tcPr>
            <w:tcW w:w="1267" w:type="dxa"/>
            <w:noWrap/>
            <w:vAlign w:val="center"/>
          </w:tcPr>
          <w:p w:rsidR="00D97D0F" w:rsidRPr="00EB4ECB" w:rsidRDefault="00D97D0F" w:rsidP="00D97D0F">
            <w:pPr>
              <w:jc w:val="right"/>
              <w:rPr>
                <w:b/>
                <w:bCs/>
                <w:iCs/>
              </w:rPr>
            </w:pPr>
            <w:r w:rsidRPr="00EB4ECB">
              <w:rPr>
                <w:b/>
                <w:bCs/>
                <w:iCs/>
              </w:rPr>
              <w:t>0</w:t>
            </w:r>
          </w:p>
        </w:tc>
        <w:tc>
          <w:tcPr>
            <w:tcW w:w="1267" w:type="dxa"/>
            <w:noWrap/>
            <w:vAlign w:val="center"/>
          </w:tcPr>
          <w:p w:rsidR="00D97D0F" w:rsidRPr="00EB4ECB" w:rsidRDefault="00D97D0F" w:rsidP="00D97D0F">
            <w:pPr>
              <w:jc w:val="right"/>
              <w:rPr>
                <w:b/>
                <w:bCs/>
                <w:iCs/>
              </w:rPr>
            </w:pPr>
            <w:r w:rsidRPr="00EB4ECB">
              <w:rPr>
                <w:b/>
                <w:bCs/>
                <w:iCs/>
              </w:rPr>
              <w:t>0</w:t>
            </w:r>
          </w:p>
        </w:tc>
        <w:tc>
          <w:tcPr>
            <w:tcW w:w="1267" w:type="dxa"/>
            <w:noWrap/>
            <w:vAlign w:val="center"/>
          </w:tcPr>
          <w:p w:rsidR="00D97D0F" w:rsidRPr="00EB4ECB" w:rsidRDefault="00D97D0F" w:rsidP="00D97D0F">
            <w:pPr>
              <w:jc w:val="right"/>
              <w:rPr>
                <w:b/>
                <w:bCs/>
                <w:iCs/>
              </w:rPr>
            </w:pPr>
            <w:r w:rsidRPr="00EB4ECB">
              <w:rPr>
                <w:b/>
                <w:bCs/>
                <w:iCs/>
              </w:rPr>
              <w:t>0</w:t>
            </w:r>
          </w:p>
        </w:tc>
      </w:tr>
      <w:tr w:rsidR="00D97D0F" w:rsidRPr="00EB4ECB" w:rsidTr="00D97D0F">
        <w:trPr>
          <w:trHeight w:val="70"/>
          <w:jc w:val="center"/>
        </w:trPr>
        <w:tc>
          <w:tcPr>
            <w:tcW w:w="4661" w:type="dxa"/>
            <w:shd w:val="clear" w:color="auto" w:fill="C0C0C0"/>
            <w:noWrap/>
            <w:vAlign w:val="center"/>
          </w:tcPr>
          <w:p w:rsidR="00D97D0F" w:rsidRPr="00EB4ECB" w:rsidRDefault="00D97D0F" w:rsidP="00D97D0F">
            <w:pPr>
              <w:rPr>
                <w:b/>
                <w:bCs/>
              </w:rPr>
            </w:pPr>
            <w:r w:rsidRPr="00EB4ECB">
              <w:rPr>
                <w:b/>
                <w:bCs/>
              </w:rPr>
              <w:t>Financovanie zabezpečené v rozpočte</w:t>
            </w:r>
          </w:p>
        </w:tc>
        <w:tc>
          <w:tcPr>
            <w:tcW w:w="1267" w:type="dxa"/>
            <w:shd w:val="clear" w:color="auto" w:fill="C0C0C0"/>
            <w:noWrap/>
            <w:vAlign w:val="center"/>
          </w:tcPr>
          <w:p w:rsidR="00D97D0F" w:rsidRPr="00EB4ECB" w:rsidRDefault="00D97D0F" w:rsidP="00D97D0F">
            <w:pPr>
              <w:jc w:val="right"/>
              <w:rPr>
                <w:b/>
                <w:bCs/>
              </w:rPr>
            </w:pPr>
            <w:r w:rsidRPr="00EB4ECB">
              <w:rPr>
                <w:b/>
                <w:bCs/>
              </w:rPr>
              <w:t>0</w:t>
            </w:r>
          </w:p>
        </w:tc>
        <w:tc>
          <w:tcPr>
            <w:tcW w:w="1267" w:type="dxa"/>
            <w:shd w:val="clear" w:color="auto" w:fill="C0C0C0"/>
            <w:noWrap/>
            <w:vAlign w:val="center"/>
          </w:tcPr>
          <w:p w:rsidR="00D97D0F" w:rsidRPr="00EB4ECB" w:rsidRDefault="00D97D0F" w:rsidP="00D97D0F">
            <w:pPr>
              <w:jc w:val="right"/>
              <w:rPr>
                <w:b/>
                <w:bCs/>
              </w:rPr>
            </w:pPr>
            <w:r w:rsidRPr="00EB4ECB">
              <w:rPr>
                <w:b/>
                <w:bCs/>
              </w:rPr>
              <w:t>0</w:t>
            </w:r>
          </w:p>
        </w:tc>
        <w:tc>
          <w:tcPr>
            <w:tcW w:w="1267" w:type="dxa"/>
            <w:shd w:val="clear" w:color="auto" w:fill="C0C0C0"/>
            <w:noWrap/>
            <w:vAlign w:val="center"/>
          </w:tcPr>
          <w:p w:rsidR="00D97D0F" w:rsidRPr="00EB4ECB" w:rsidRDefault="00D97D0F" w:rsidP="00D97D0F">
            <w:pPr>
              <w:jc w:val="right"/>
              <w:rPr>
                <w:b/>
                <w:bCs/>
              </w:rPr>
            </w:pPr>
            <w:r w:rsidRPr="00EB4ECB">
              <w:rPr>
                <w:b/>
                <w:bCs/>
              </w:rPr>
              <w:t>0</w:t>
            </w:r>
          </w:p>
        </w:tc>
        <w:tc>
          <w:tcPr>
            <w:tcW w:w="1267" w:type="dxa"/>
            <w:shd w:val="clear" w:color="auto" w:fill="C0C0C0"/>
            <w:noWrap/>
            <w:vAlign w:val="center"/>
          </w:tcPr>
          <w:p w:rsidR="00D97D0F" w:rsidRPr="00EB4ECB" w:rsidRDefault="00D97D0F" w:rsidP="00D97D0F">
            <w:pPr>
              <w:jc w:val="right"/>
              <w:rPr>
                <w:b/>
                <w:bCs/>
              </w:rPr>
            </w:pPr>
            <w:r w:rsidRPr="00EB4ECB">
              <w:rPr>
                <w:b/>
                <w:bCs/>
              </w:rPr>
              <w:t>0</w:t>
            </w:r>
          </w:p>
        </w:tc>
      </w:tr>
      <w:tr w:rsidR="00D97D0F" w:rsidRPr="00EB4ECB" w:rsidTr="00D97D0F">
        <w:trPr>
          <w:trHeight w:val="70"/>
          <w:jc w:val="center"/>
        </w:trPr>
        <w:tc>
          <w:tcPr>
            <w:tcW w:w="4661" w:type="dxa"/>
            <w:noWrap/>
            <w:vAlign w:val="center"/>
          </w:tcPr>
          <w:p w:rsidR="00D97D0F" w:rsidRPr="00EB4ECB" w:rsidRDefault="00D97D0F" w:rsidP="00D97D0F">
            <w:r w:rsidRPr="00EB4ECB">
              <w:t>v tom: za každý subjekt verejnej správy / program zvlášť</w:t>
            </w:r>
          </w:p>
        </w:tc>
        <w:tc>
          <w:tcPr>
            <w:tcW w:w="1267" w:type="dxa"/>
            <w:noWrap/>
            <w:vAlign w:val="center"/>
          </w:tcPr>
          <w:p w:rsidR="00D97D0F" w:rsidRPr="00EB4ECB" w:rsidRDefault="00D97D0F" w:rsidP="00D97D0F">
            <w:pPr>
              <w:jc w:val="right"/>
            </w:pPr>
            <w:r w:rsidRPr="00EB4ECB">
              <w:t>0</w:t>
            </w:r>
          </w:p>
        </w:tc>
        <w:tc>
          <w:tcPr>
            <w:tcW w:w="1267" w:type="dxa"/>
            <w:noWrap/>
            <w:vAlign w:val="center"/>
          </w:tcPr>
          <w:p w:rsidR="00D97D0F" w:rsidRPr="00EB4ECB" w:rsidRDefault="00D97D0F" w:rsidP="00D97D0F">
            <w:pPr>
              <w:jc w:val="right"/>
            </w:pPr>
            <w:r w:rsidRPr="00EB4ECB">
              <w:t>0</w:t>
            </w:r>
          </w:p>
        </w:tc>
        <w:tc>
          <w:tcPr>
            <w:tcW w:w="1267" w:type="dxa"/>
            <w:noWrap/>
            <w:vAlign w:val="center"/>
          </w:tcPr>
          <w:p w:rsidR="00D97D0F" w:rsidRPr="00EB4ECB" w:rsidRDefault="00D97D0F" w:rsidP="00D97D0F">
            <w:pPr>
              <w:jc w:val="right"/>
            </w:pPr>
            <w:r w:rsidRPr="00EB4ECB">
              <w:t>0</w:t>
            </w:r>
          </w:p>
        </w:tc>
        <w:tc>
          <w:tcPr>
            <w:tcW w:w="1267" w:type="dxa"/>
            <w:noWrap/>
            <w:vAlign w:val="center"/>
          </w:tcPr>
          <w:p w:rsidR="00D97D0F" w:rsidRPr="00EB4ECB" w:rsidRDefault="00D97D0F" w:rsidP="00D97D0F">
            <w:pPr>
              <w:jc w:val="right"/>
            </w:pPr>
            <w:r w:rsidRPr="00EB4ECB">
              <w:t>0</w:t>
            </w:r>
          </w:p>
        </w:tc>
      </w:tr>
      <w:tr w:rsidR="00D97D0F" w:rsidRPr="00EB4ECB" w:rsidTr="00D97D0F">
        <w:trPr>
          <w:trHeight w:val="70"/>
          <w:jc w:val="center"/>
        </w:trPr>
        <w:tc>
          <w:tcPr>
            <w:tcW w:w="4661" w:type="dxa"/>
            <w:shd w:val="clear" w:color="auto" w:fill="BFBFBF"/>
            <w:noWrap/>
            <w:vAlign w:val="center"/>
          </w:tcPr>
          <w:p w:rsidR="00D97D0F" w:rsidRPr="00EB4ECB" w:rsidRDefault="00D97D0F" w:rsidP="00D97D0F">
            <w:pPr>
              <w:rPr>
                <w:b/>
              </w:rPr>
            </w:pPr>
            <w:r w:rsidRPr="00EB4ECB">
              <w:rPr>
                <w:b/>
              </w:rPr>
              <w:t>Iné ako rozpočtové zdroje</w:t>
            </w:r>
          </w:p>
        </w:tc>
        <w:tc>
          <w:tcPr>
            <w:tcW w:w="1267" w:type="dxa"/>
            <w:shd w:val="clear" w:color="auto" w:fill="BFBFBF"/>
            <w:noWrap/>
            <w:vAlign w:val="center"/>
          </w:tcPr>
          <w:p w:rsidR="00D97D0F" w:rsidRPr="00EB4ECB" w:rsidRDefault="00D97D0F" w:rsidP="00D97D0F">
            <w:pPr>
              <w:jc w:val="right"/>
              <w:rPr>
                <w:b/>
                <w:bCs/>
              </w:rPr>
            </w:pPr>
            <w:r w:rsidRPr="00EB4ECB">
              <w:rPr>
                <w:b/>
                <w:bCs/>
              </w:rPr>
              <w:t>0</w:t>
            </w:r>
          </w:p>
        </w:tc>
        <w:tc>
          <w:tcPr>
            <w:tcW w:w="1267" w:type="dxa"/>
            <w:shd w:val="clear" w:color="auto" w:fill="BFBFBF"/>
            <w:noWrap/>
            <w:vAlign w:val="center"/>
          </w:tcPr>
          <w:p w:rsidR="00D97D0F" w:rsidRPr="00EB4ECB" w:rsidRDefault="00D97D0F" w:rsidP="00D97D0F">
            <w:pPr>
              <w:jc w:val="right"/>
              <w:rPr>
                <w:b/>
                <w:bCs/>
              </w:rPr>
            </w:pPr>
            <w:r w:rsidRPr="00EB4ECB">
              <w:rPr>
                <w:b/>
                <w:bCs/>
              </w:rPr>
              <w:t>0</w:t>
            </w:r>
          </w:p>
        </w:tc>
        <w:tc>
          <w:tcPr>
            <w:tcW w:w="1267" w:type="dxa"/>
            <w:shd w:val="clear" w:color="auto" w:fill="BFBFBF"/>
            <w:noWrap/>
            <w:vAlign w:val="center"/>
          </w:tcPr>
          <w:p w:rsidR="00D97D0F" w:rsidRPr="00EB4ECB" w:rsidRDefault="00D97D0F" w:rsidP="00D97D0F">
            <w:pPr>
              <w:jc w:val="right"/>
              <w:rPr>
                <w:b/>
                <w:bCs/>
              </w:rPr>
            </w:pPr>
            <w:r w:rsidRPr="00EB4ECB">
              <w:rPr>
                <w:b/>
                <w:bCs/>
              </w:rPr>
              <w:t>0</w:t>
            </w:r>
          </w:p>
        </w:tc>
        <w:tc>
          <w:tcPr>
            <w:tcW w:w="1267" w:type="dxa"/>
            <w:shd w:val="clear" w:color="auto" w:fill="BFBFBF"/>
            <w:noWrap/>
            <w:vAlign w:val="center"/>
          </w:tcPr>
          <w:p w:rsidR="00D97D0F" w:rsidRPr="00EB4ECB" w:rsidRDefault="00D97D0F" w:rsidP="00D97D0F">
            <w:pPr>
              <w:jc w:val="right"/>
              <w:rPr>
                <w:b/>
                <w:bCs/>
              </w:rPr>
            </w:pPr>
            <w:r w:rsidRPr="00EB4ECB">
              <w:rPr>
                <w:b/>
                <w:bCs/>
              </w:rPr>
              <w:t>0</w:t>
            </w:r>
          </w:p>
        </w:tc>
      </w:tr>
      <w:tr w:rsidR="00D97D0F" w:rsidRPr="00EB4ECB" w:rsidTr="00D97D0F">
        <w:trPr>
          <w:trHeight w:val="70"/>
          <w:jc w:val="center"/>
        </w:trPr>
        <w:tc>
          <w:tcPr>
            <w:tcW w:w="4661" w:type="dxa"/>
            <w:shd w:val="clear" w:color="auto" w:fill="A6A6A6"/>
            <w:noWrap/>
            <w:vAlign w:val="center"/>
          </w:tcPr>
          <w:p w:rsidR="00D97D0F" w:rsidRPr="00EB4ECB" w:rsidRDefault="00D97D0F" w:rsidP="00D97D0F">
            <w:pPr>
              <w:rPr>
                <w:b/>
                <w:bCs/>
              </w:rPr>
            </w:pPr>
            <w:r w:rsidRPr="00EB4ECB">
              <w:rPr>
                <w:b/>
                <w:bCs/>
              </w:rPr>
              <w:t>Rozpočtovo nekrytý vplyv / úspora</w:t>
            </w:r>
          </w:p>
        </w:tc>
        <w:tc>
          <w:tcPr>
            <w:tcW w:w="1267" w:type="dxa"/>
            <w:shd w:val="clear" w:color="auto" w:fill="A6A6A6"/>
            <w:noWrap/>
            <w:vAlign w:val="center"/>
          </w:tcPr>
          <w:p w:rsidR="00D97D0F" w:rsidRPr="00EB4ECB" w:rsidRDefault="00D97D0F" w:rsidP="00D97D0F">
            <w:pPr>
              <w:jc w:val="right"/>
              <w:rPr>
                <w:b/>
                <w:bCs/>
              </w:rPr>
            </w:pPr>
            <w:r w:rsidRPr="00EB4ECB">
              <w:rPr>
                <w:b/>
                <w:bCs/>
              </w:rPr>
              <w:t>0</w:t>
            </w:r>
          </w:p>
        </w:tc>
        <w:tc>
          <w:tcPr>
            <w:tcW w:w="1267" w:type="dxa"/>
            <w:shd w:val="clear" w:color="auto" w:fill="A6A6A6"/>
            <w:noWrap/>
            <w:vAlign w:val="center"/>
          </w:tcPr>
          <w:p w:rsidR="00D97D0F" w:rsidRPr="00EB4ECB" w:rsidRDefault="00D97D0F" w:rsidP="00D97D0F">
            <w:pPr>
              <w:jc w:val="right"/>
              <w:rPr>
                <w:b/>
                <w:bCs/>
              </w:rPr>
            </w:pPr>
            <w:r w:rsidRPr="00EB4ECB">
              <w:rPr>
                <w:b/>
                <w:bCs/>
              </w:rPr>
              <w:t>0</w:t>
            </w:r>
          </w:p>
        </w:tc>
        <w:tc>
          <w:tcPr>
            <w:tcW w:w="1267" w:type="dxa"/>
            <w:shd w:val="clear" w:color="auto" w:fill="A6A6A6"/>
            <w:noWrap/>
            <w:vAlign w:val="center"/>
          </w:tcPr>
          <w:p w:rsidR="00D97D0F" w:rsidRPr="00EB4ECB" w:rsidRDefault="00D97D0F" w:rsidP="00D97D0F">
            <w:pPr>
              <w:jc w:val="right"/>
              <w:rPr>
                <w:b/>
                <w:bCs/>
              </w:rPr>
            </w:pPr>
            <w:r w:rsidRPr="00EB4ECB">
              <w:rPr>
                <w:b/>
                <w:bCs/>
              </w:rPr>
              <w:t>0</w:t>
            </w:r>
          </w:p>
        </w:tc>
        <w:tc>
          <w:tcPr>
            <w:tcW w:w="1267" w:type="dxa"/>
            <w:shd w:val="clear" w:color="auto" w:fill="A6A6A6"/>
            <w:noWrap/>
            <w:vAlign w:val="center"/>
          </w:tcPr>
          <w:p w:rsidR="00D97D0F" w:rsidRPr="00EB4ECB" w:rsidRDefault="00D97D0F" w:rsidP="00D97D0F">
            <w:pPr>
              <w:jc w:val="right"/>
              <w:rPr>
                <w:b/>
                <w:bCs/>
              </w:rPr>
            </w:pPr>
            <w:r w:rsidRPr="00EB4ECB">
              <w:rPr>
                <w:b/>
                <w:bCs/>
              </w:rPr>
              <w:t>0</w:t>
            </w:r>
          </w:p>
        </w:tc>
      </w:tr>
      <w:bookmarkEnd w:id="1"/>
    </w:tbl>
    <w:p w:rsidR="00D97D0F" w:rsidRPr="00EB4ECB" w:rsidRDefault="00D97D0F" w:rsidP="00D97D0F">
      <w:pPr>
        <w:rPr>
          <w:b/>
          <w:bCs/>
        </w:rPr>
      </w:pPr>
    </w:p>
    <w:p w:rsidR="00D97D0F" w:rsidRPr="00EB4ECB" w:rsidRDefault="00D97D0F" w:rsidP="00D97D0F">
      <w:pPr>
        <w:rPr>
          <w:b/>
          <w:bCs/>
        </w:rPr>
      </w:pPr>
      <w:r w:rsidRPr="00EB4ECB">
        <w:rPr>
          <w:b/>
          <w:bCs/>
        </w:rPr>
        <w:br w:type="page"/>
      </w:r>
    </w:p>
    <w:p w:rsidR="00D97D0F" w:rsidRPr="00EB4ECB" w:rsidRDefault="00D97D0F" w:rsidP="00D97D0F">
      <w:pPr>
        <w:rPr>
          <w:b/>
          <w:bCs/>
        </w:rPr>
      </w:pPr>
      <w:r w:rsidRPr="00EB4ECB">
        <w:rPr>
          <w:b/>
          <w:bCs/>
        </w:rPr>
        <w:t>2.1.1. Financovanie návrhu - Návrh na riešenie úbytku príjmov alebo zvýšených výdavkov podľa § 33 ods. 1 zákona č. 523/2004 Z. z. o rozpočtových pravidlách verejnej správy:</w:t>
      </w:r>
    </w:p>
    <w:p w:rsidR="00D97D0F" w:rsidRPr="00EB4ECB" w:rsidRDefault="00D97D0F" w:rsidP="00D97D0F">
      <w:pPr>
        <w:rPr>
          <w:b/>
          <w:bCs/>
        </w:rPr>
      </w:pPr>
    </w:p>
    <w:p w:rsidR="00D97D0F" w:rsidRPr="00EB4ECB" w:rsidRDefault="00D97D0F" w:rsidP="00D97D0F">
      <w:pPr>
        <w:pBdr>
          <w:top w:val="single" w:sz="4" w:space="1" w:color="auto"/>
          <w:left w:val="single" w:sz="4" w:space="4" w:color="auto"/>
          <w:bottom w:val="single" w:sz="4" w:space="0" w:color="auto"/>
          <w:right w:val="single" w:sz="4" w:space="4" w:color="auto"/>
        </w:pBdr>
        <w:rPr>
          <w:bCs/>
        </w:rPr>
      </w:pPr>
      <w:r w:rsidRPr="00EB4ECB">
        <w:rPr>
          <w:bCs/>
        </w:rPr>
        <w:t>Pozitívny vplyv na rozpočet verejnej správy v objeme 1 200 581 eur bude spočívať vo väčšej efektivite kontrol a predpokladanom náraste právoplatne uložených pokút za správne delikty</w:t>
      </w:r>
      <w:r>
        <w:rPr>
          <w:bCs/>
        </w:rPr>
        <w:t xml:space="preserve"> vrátane poriadkových deliktov</w:t>
      </w:r>
      <w:r w:rsidRPr="00EB4ECB">
        <w:rPr>
          <w:bCs/>
        </w:rPr>
        <w:t xml:space="preserve">. </w:t>
      </w:r>
    </w:p>
    <w:p w:rsidR="00D97D0F" w:rsidRPr="00EB4ECB" w:rsidRDefault="00D97D0F" w:rsidP="00D97D0F">
      <w:pPr>
        <w:pBdr>
          <w:top w:val="single" w:sz="4" w:space="1" w:color="auto"/>
          <w:left w:val="single" w:sz="4" w:space="4" w:color="auto"/>
          <w:bottom w:val="single" w:sz="4" w:space="0" w:color="auto"/>
          <w:right w:val="single" w:sz="4" w:space="4" w:color="auto"/>
        </w:pBdr>
        <w:rPr>
          <w:bCs/>
        </w:rPr>
      </w:pPr>
      <w:r w:rsidRPr="00EB4ECB">
        <w:rPr>
          <w:bCs/>
        </w:rPr>
        <w:t xml:space="preserve">V súčasnosti však nie je možné vyčísliť výšku predpokladaných pokút. </w:t>
      </w:r>
    </w:p>
    <w:p w:rsidR="00D97D0F" w:rsidRPr="00EB4ECB" w:rsidRDefault="00D97D0F" w:rsidP="00D97D0F">
      <w:pPr>
        <w:pBdr>
          <w:top w:val="single" w:sz="4" w:space="1" w:color="auto"/>
          <w:left w:val="single" w:sz="4" w:space="4" w:color="auto"/>
          <w:bottom w:val="single" w:sz="4" w:space="0" w:color="auto"/>
          <w:right w:val="single" w:sz="4" w:space="4" w:color="auto"/>
        </w:pBdr>
        <w:rPr>
          <w:bCs/>
        </w:rPr>
      </w:pPr>
      <w:r w:rsidRPr="00EB4ECB">
        <w:rPr>
          <w:bCs/>
        </w:rPr>
        <w:t>Pokuty za správne delikty</w:t>
      </w:r>
      <w:r>
        <w:rPr>
          <w:bCs/>
        </w:rPr>
        <w:t xml:space="preserve"> a pokuty za poriadkové delikty</w:t>
      </w:r>
      <w:r w:rsidRPr="00EB4ECB">
        <w:rPr>
          <w:bCs/>
        </w:rPr>
        <w:t xml:space="preserve"> budú príjmom štátneho rozpočtu.</w:t>
      </w:r>
    </w:p>
    <w:p w:rsidR="00D97D0F" w:rsidRPr="00EB4ECB" w:rsidRDefault="00D97D0F" w:rsidP="00D97D0F">
      <w:pPr>
        <w:pBdr>
          <w:top w:val="single" w:sz="4" w:space="1" w:color="auto"/>
          <w:left w:val="single" w:sz="4" w:space="4" w:color="auto"/>
          <w:bottom w:val="single" w:sz="4" w:space="0" w:color="auto"/>
          <w:right w:val="single" w:sz="4" w:space="4" w:color="auto"/>
        </w:pBdr>
        <w:rPr>
          <w:b/>
          <w:bCs/>
        </w:rPr>
      </w:pPr>
    </w:p>
    <w:p w:rsidR="00D97D0F" w:rsidRPr="00EB4ECB" w:rsidRDefault="00D97D0F" w:rsidP="00D97D0F">
      <w:pPr>
        <w:rPr>
          <w:b/>
          <w:bCs/>
        </w:rPr>
      </w:pPr>
    </w:p>
    <w:p w:rsidR="00D97D0F" w:rsidRPr="00EB4ECB" w:rsidRDefault="00D97D0F" w:rsidP="00D97D0F">
      <w:pPr>
        <w:rPr>
          <w:b/>
          <w:bCs/>
        </w:rPr>
      </w:pPr>
      <w:r w:rsidRPr="00EB4ECB">
        <w:rPr>
          <w:b/>
          <w:bCs/>
        </w:rPr>
        <w:t>2.2. Popis a charakteristika návrhu</w:t>
      </w:r>
    </w:p>
    <w:p w:rsidR="00D97D0F" w:rsidRPr="00EB4ECB" w:rsidRDefault="00D97D0F" w:rsidP="00D97D0F"/>
    <w:p w:rsidR="00D97D0F" w:rsidRPr="00EB4ECB" w:rsidRDefault="00D97D0F" w:rsidP="00D97D0F">
      <w:pPr>
        <w:rPr>
          <w:b/>
          <w:bCs/>
        </w:rPr>
      </w:pPr>
      <w:r w:rsidRPr="00EB4ECB">
        <w:rPr>
          <w:b/>
          <w:bCs/>
        </w:rPr>
        <w:t>2.2.1. Popis návrhu:</w:t>
      </w:r>
    </w:p>
    <w:p w:rsidR="00D97D0F" w:rsidRPr="00EB4ECB" w:rsidRDefault="00D97D0F" w:rsidP="00D97D0F">
      <w:pPr>
        <w:ind w:firstLine="708"/>
      </w:pPr>
      <w:r w:rsidRPr="00EB4ECB">
        <w:t>Akú problematiku návrh rieši? Kto bude návrh implementovať? Kde sa budú služby poskytovať?</w:t>
      </w:r>
    </w:p>
    <w:p w:rsidR="00D97D0F" w:rsidRPr="00EB4ECB" w:rsidRDefault="00D97D0F" w:rsidP="00D97D0F">
      <w:r w:rsidRPr="00EB4ECB">
        <w:t>.......................................................................................................................................................</w:t>
      </w:r>
    </w:p>
    <w:p w:rsidR="00D97D0F" w:rsidRPr="00EB4ECB" w:rsidRDefault="00D97D0F" w:rsidP="00D97D0F"/>
    <w:p w:rsidR="00D97D0F" w:rsidRPr="00EB4ECB" w:rsidRDefault="00D97D0F" w:rsidP="00D97D0F">
      <w:pPr>
        <w:rPr>
          <w:b/>
          <w:bCs/>
        </w:rPr>
      </w:pPr>
      <w:r w:rsidRPr="00EB4ECB">
        <w:rPr>
          <w:b/>
          <w:bCs/>
        </w:rPr>
        <w:t>2.2.2. Charakteristika návrhu:</w:t>
      </w:r>
    </w:p>
    <w:p w:rsidR="00D97D0F" w:rsidRPr="00EB4ECB" w:rsidRDefault="00211FA4" w:rsidP="00D97D0F">
      <w:r>
        <w:rPr>
          <w:b/>
          <w:bdr w:val="single" w:sz="4" w:space="0" w:color="auto"/>
        </w:rPr>
        <w:t xml:space="preserve"> </w:t>
      </w:r>
      <w:r w:rsidR="00D97D0F" w:rsidRPr="00EB4ECB">
        <w:t>zmena sadzby</w:t>
      </w:r>
    </w:p>
    <w:p w:rsidR="00D97D0F" w:rsidRPr="00EB4ECB" w:rsidRDefault="00211FA4" w:rsidP="00D97D0F">
      <w:r>
        <w:rPr>
          <w:bdr w:val="single" w:sz="4" w:space="0" w:color="auto"/>
        </w:rPr>
        <w:t xml:space="preserve"> </w:t>
      </w:r>
      <w:r w:rsidR="00D97D0F" w:rsidRPr="00EB4ECB">
        <w:t>zmena v nároku</w:t>
      </w:r>
    </w:p>
    <w:p w:rsidR="00D97D0F" w:rsidRPr="00EB4ECB" w:rsidRDefault="00211FA4" w:rsidP="00D97D0F">
      <w:r>
        <w:rPr>
          <w:bdr w:val="single" w:sz="4" w:space="0" w:color="auto"/>
        </w:rPr>
        <w:t xml:space="preserve"> </w:t>
      </w:r>
      <w:r w:rsidR="00D97D0F" w:rsidRPr="00EB4ECB">
        <w:t>nová služba alebo nariadenie (alebo ich zrušenie)</w:t>
      </w:r>
    </w:p>
    <w:p w:rsidR="00D97D0F" w:rsidRPr="00EB4ECB" w:rsidRDefault="00211FA4" w:rsidP="00D97D0F">
      <w:r>
        <w:rPr>
          <w:bdr w:val="single" w:sz="4" w:space="0" w:color="auto"/>
        </w:rPr>
        <w:t xml:space="preserve"> </w:t>
      </w:r>
      <w:r w:rsidR="00D97D0F" w:rsidRPr="00EB4ECB">
        <w:t>kombinovaný návrh</w:t>
      </w:r>
    </w:p>
    <w:p w:rsidR="00D97D0F" w:rsidRPr="00EB4ECB" w:rsidRDefault="00211FA4" w:rsidP="00D97D0F">
      <w:r>
        <w:rPr>
          <w:bdr w:val="single" w:sz="4" w:space="0" w:color="auto"/>
        </w:rPr>
        <w:t xml:space="preserve"> </w:t>
      </w:r>
      <w:r w:rsidR="00D97D0F" w:rsidRPr="00EB4ECB">
        <w:t xml:space="preserve">iné </w:t>
      </w:r>
    </w:p>
    <w:p w:rsidR="00D97D0F" w:rsidRPr="00EB4ECB" w:rsidRDefault="00D97D0F" w:rsidP="00D97D0F"/>
    <w:p w:rsidR="00D97D0F" w:rsidRPr="00EB4ECB" w:rsidRDefault="00D97D0F" w:rsidP="00D97D0F">
      <w:r w:rsidRPr="00EB4ECB">
        <w:rPr>
          <w:b/>
          <w:bCs/>
        </w:rPr>
        <w:t>2.2.3. Predpoklady vývoja objemu aktivít:</w:t>
      </w:r>
    </w:p>
    <w:p w:rsidR="00D97D0F" w:rsidRPr="00EB4ECB" w:rsidRDefault="00D97D0F" w:rsidP="00D97D0F">
      <w:pPr>
        <w:ind w:firstLine="708"/>
      </w:pPr>
      <w:r w:rsidRPr="00EB4ECB">
        <w:t>Jasne popíšte, v prípade potreby použite nižšie uvedenú tabuľku. Uveďte aj odhady základov daní a/alebo poplatkov, ak sa ich táto zmena týka.</w:t>
      </w:r>
    </w:p>
    <w:p w:rsidR="00D97D0F" w:rsidRPr="00EB4ECB" w:rsidRDefault="00D97D0F" w:rsidP="00D97D0F">
      <w:pPr>
        <w:jc w:val="right"/>
      </w:pPr>
      <w:r w:rsidRPr="00EB4ECB">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D97D0F" w:rsidRPr="00EB4ECB" w:rsidTr="00D97D0F">
        <w:trPr>
          <w:cantSplit/>
          <w:trHeight w:val="70"/>
        </w:trPr>
        <w:tc>
          <w:tcPr>
            <w:tcW w:w="4530" w:type="dxa"/>
            <w:vMerge w:val="restart"/>
            <w:shd w:val="clear" w:color="auto" w:fill="BFBFBF"/>
            <w:vAlign w:val="center"/>
          </w:tcPr>
          <w:p w:rsidR="00D97D0F" w:rsidRPr="00EB4ECB" w:rsidRDefault="00D97D0F" w:rsidP="00D97D0F">
            <w:pPr>
              <w:autoSpaceDE w:val="0"/>
              <w:autoSpaceDN w:val="0"/>
              <w:adjustRightInd w:val="0"/>
              <w:jc w:val="center"/>
              <w:rPr>
                <w:b/>
                <w:bCs/>
              </w:rPr>
            </w:pPr>
            <w:r w:rsidRPr="00EB4ECB">
              <w:rPr>
                <w:b/>
                <w:bCs/>
              </w:rPr>
              <w:t>Objem aktivít</w:t>
            </w:r>
          </w:p>
        </w:tc>
        <w:tc>
          <w:tcPr>
            <w:tcW w:w="1134" w:type="dxa"/>
            <w:gridSpan w:val="4"/>
            <w:shd w:val="clear" w:color="auto" w:fill="BFBFBF"/>
            <w:vAlign w:val="center"/>
          </w:tcPr>
          <w:p w:rsidR="00D97D0F" w:rsidRPr="00EB4ECB" w:rsidRDefault="00D97D0F" w:rsidP="00D97D0F">
            <w:pPr>
              <w:autoSpaceDE w:val="0"/>
              <w:autoSpaceDN w:val="0"/>
              <w:adjustRightInd w:val="0"/>
              <w:jc w:val="center"/>
              <w:rPr>
                <w:b/>
                <w:bCs/>
              </w:rPr>
            </w:pPr>
            <w:r w:rsidRPr="00EB4ECB">
              <w:rPr>
                <w:b/>
                <w:bCs/>
              </w:rPr>
              <w:t>Odhadované objemy</w:t>
            </w:r>
          </w:p>
        </w:tc>
      </w:tr>
      <w:tr w:rsidR="00D97D0F" w:rsidRPr="00EB4ECB" w:rsidTr="00D97D0F">
        <w:trPr>
          <w:cantSplit/>
          <w:trHeight w:val="70"/>
        </w:trPr>
        <w:tc>
          <w:tcPr>
            <w:tcW w:w="4530" w:type="dxa"/>
            <w:vMerge/>
            <w:shd w:val="clear" w:color="auto" w:fill="BFBFBF"/>
          </w:tcPr>
          <w:p w:rsidR="00D97D0F" w:rsidRPr="00EB4ECB" w:rsidRDefault="00D97D0F" w:rsidP="00D97D0F">
            <w:pPr>
              <w:autoSpaceDE w:val="0"/>
              <w:autoSpaceDN w:val="0"/>
              <w:adjustRightInd w:val="0"/>
              <w:jc w:val="center"/>
              <w:rPr>
                <w:b/>
                <w:bCs/>
              </w:rPr>
            </w:pPr>
          </w:p>
        </w:tc>
        <w:tc>
          <w:tcPr>
            <w:tcW w:w="1134" w:type="dxa"/>
            <w:shd w:val="clear" w:color="auto" w:fill="BFBFBF"/>
            <w:vAlign w:val="center"/>
          </w:tcPr>
          <w:p w:rsidR="00D97D0F" w:rsidRPr="00EB4ECB" w:rsidRDefault="00D97D0F" w:rsidP="00D97D0F">
            <w:pPr>
              <w:autoSpaceDE w:val="0"/>
              <w:autoSpaceDN w:val="0"/>
              <w:adjustRightInd w:val="0"/>
              <w:jc w:val="center"/>
              <w:rPr>
                <w:b/>
                <w:bCs/>
              </w:rPr>
            </w:pPr>
            <w:r w:rsidRPr="00EB4ECB">
              <w:rPr>
                <w:b/>
                <w:bCs/>
              </w:rPr>
              <w:t>r</w:t>
            </w:r>
          </w:p>
        </w:tc>
        <w:tc>
          <w:tcPr>
            <w:tcW w:w="1134" w:type="dxa"/>
            <w:shd w:val="clear" w:color="auto" w:fill="BFBFBF"/>
            <w:vAlign w:val="center"/>
          </w:tcPr>
          <w:p w:rsidR="00D97D0F" w:rsidRPr="00EB4ECB" w:rsidRDefault="00D97D0F" w:rsidP="00D97D0F">
            <w:pPr>
              <w:autoSpaceDE w:val="0"/>
              <w:autoSpaceDN w:val="0"/>
              <w:adjustRightInd w:val="0"/>
              <w:jc w:val="center"/>
              <w:rPr>
                <w:b/>
                <w:bCs/>
              </w:rPr>
            </w:pPr>
            <w:r w:rsidRPr="00EB4ECB">
              <w:rPr>
                <w:b/>
                <w:bCs/>
              </w:rPr>
              <w:t>r + 1</w:t>
            </w:r>
          </w:p>
        </w:tc>
        <w:tc>
          <w:tcPr>
            <w:tcW w:w="1134" w:type="dxa"/>
            <w:shd w:val="clear" w:color="auto" w:fill="BFBFBF"/>
            <w:vAlign w:val="center"/>
          </w:tcPr>
          <w:p w:rsidR="00D97D0F" w:rsidRPr="00EB4ECB" w:rsidRDefault="00D97D0F" w:rsidP="00D97D0F">
            <w:pPr>
              <w:autoSpaceDE w:val="0"/>
              <w:autoSpaceDN w:val="0"/>
              <w:adjustRightInd w:val="0"/>
              <w:jc w:val="center"/>
              <w:rPr>
                <w:b/>
                <w:bCs/>
              </w:rPr>
            </w:pPr>
            <w:r w:rsidRPr="00EB4ECB">
              <w:rPr>
                <w:b/>
                <w:bCs/>
              </w:rPr>
              <w:t>r + 2</w:t>
            </w:r>
          </w:p>
        </w:tc>
        <w:tc>
          <w:tcPr>
            <w:tcW w:w="1134" w:type="dxa"/>
            <w:shd w:val="clear" w:color="auto" w:fill="BFBFBF"/>
            <w:vAlign w:val="center"/>
          </w:tcPr>
          <w:p w:rsidR="00D97D0F" w:rsidRPr="00EB4ECB" w:rsidRDefault="00D97D0F" w:rsidP="00D97D0F">
            <w:pPr>
              <w:autoSpaceDE w:val="0"/>
              <w:autoSpaceDN w:val="0"/>
              <w:adjustRightInd w:val="0"/>
              <w:jc w:val="center"/>
              <w:rPr>
                <w:b/>
                <w:bCs/>
              </w:rPr>
            </w:pPr>
            <w:r w:rsidRPr="00EB4ECB">
              <w:rPr>
                <w:b/>
                <w:bCs/>
              </w:rPr>
              <w:t>r + 3</w:t>
            </w:r>
          </w:p>
        </w:tc>
      </w:tr>
      <w:tr w:rsidR="00D97D0F" w:rsidRPr="00EB4ECB" w:rsidTr="00D97D0F">
        <w:trPr>
          <w:trHeight w:val="70"/>
        </w:trPr>
        <w:tc>
          <w:tcPr>
            <w:tcW w:w="4530" w:type="dxa"/>
          </w:tcPr>
          <w:p w:rsidR="00D97D0F" w:rsidRPr="00EB4ECB" w:rsidRDefault="00D97D0F" w:rsidP="00D97D0F">
            <w:pPr>
              <w:autoSpaceDE w:val="0"/>
              <w:autoSpaceDN w:val="0"/>
              <w:adjustRightInd w:val="0"/>
              <w:rPr>
                <w:color w:val="000000"/>
              </w:rPr>
            </w:pPr>
            <w:r w:rsidRPr="00EB4ECB">
              <w:rPr>
                <w:color w:val="000000"/>
              </w:rPr>
              <w:t>Indikátor ABC</w:t>
            </w:r>
          </w:p>
        </w:tc>
        <w:tc>
          <w:tcPr>
            <w:tcW w:w="1134" w:type="dxa"/>
          </w:tcPr>
          <w:p w:rsidR="00D97D0F" w:rsidRPr="00EB4ECB" w:rsidRDefault="00D97D0F" w:rsidP="00D97D0F">
            <w:pPr>
              <w:autoSpaceDE w:val="0"/>
              <w:autoSpaceDN w:val="0"/>
              <w:adjustRightInd w:val="0"/>
              <w:jc w:val="right"/>
              <w:rPr>
                <w:color w:val="000000"/>
              </w:rPr>
            </w:pPr>
          </w:p>
        </w:tc>
        <w:tc>
          <w:tcPr>
            <w:tcW w:w="1134" w:type="dxa"/>
          </w:tcPr>
          <w:p w:rsidR="00D97D0F" w:rsidRPr="00EB4ECB" w:rsidRDefault="00D97D0F" w:rsidP="00D97D0F">
            <w:pPr>
              <w:autoSpaceDE w:val="0"/>
              <w:autoSpaceDN w:val="0"/>
              <w:adjustRightInd w:val="0"/>
              <w:jc w:val="right"/>
              <w:rPr>
                <w:color w:val="000000"/>
              </w:rPr>
            </w:pPr>
          </w:p>
        </w:tc>
        <w:tc>
          <w:tcPr>
            <w:tcW w:w="1134" w:type="dxa"/>
          </w:tcPr>
          <w:p w:rsidR="00D97D0F" w:rsidRPr="00EB4ECB" w:rsidRDefault="00D97D0F" w:rsidP="00D97D0F">
            <w:pPr>
              <w:autoSpaceDE w:val="0"/>
              <w:autoSpaceDN w:val="0"/>
              <w:adjustRightInd w:val="0"/>
              <w:jc w:val="right"/>
              <w:rPr>
                <w:color w:val="000000"/>
              </w:rPr>
            </w:pPr>
          </w:p>
        </w:tc>
        <w:tc>
          <w:tcPr>
            <w:tcW w:w="1134" w:type="dxa"/>
          </w:tcPr>
          <w:p w:rsidR="00D97D0F" w:rsidRPr="00EB4ECB" w:rsidRDefault="00D97D0F" w:rsidP="00D97D0F">
            <w:pPr>
              <w:autoSpaceDE w:val="0"/>
              <w:autoSpaceDN w:val="0"/>
              <w:adjustRightInd w:val="0"/>
              <w:jc w:val="right"/>
              <w:rPr>
                <w:color w:val="000000"/>
              </w:rPr>
            </w:pPr>
          </w:p>
        </w:tc>
      </w:tr>
      <w:tr w:rsidR="00D97D0F" w:rsidRPr="00EB4ECB" w:rsidTr="00D97D0F">
        <w:trPr>
          <w:trHeight w:val="70"/>
        </w:trPr>
        <w:tc>
          <w:tcPr>
            <w:tcW w:w="4530" w:type="dxa"/>
          </w:tcPr>
          <w:p w:rsidR="00D97D0F" w:rsidRPr="00EB4ECB" w:rsidRDefault="00D97D0F" w:rsidP="00D97D0F">
            <w:pPr>
              <w:autoSpaceDE w:val="0"/>
              <w:autoSpaceDN w:val="0"/>
              <w:adjustRightInd w:val="0"/>
              <w:rPr>
                <w:color w:val="000000"/>
              </w:rPr>
            </w:pPr>
            <w:r w:rsidRPr="00EB4ECB">
              <w:rPr>
                <w:color w:val="000000"/>
              </w:rPr>
              <w:t>Indikátor KLM</w:t>
            </w:r>
          </w:p>
        </w:tc>
        <w:tc>
          <w:tcPr>
            <w:tcW w:w="1134" w:type="dxa"/>
          </w:tcPr>
          <w:p w:rsidR="00D97D0F" w:rsidRPr="00EB4ECB" w:rsidRDefault="00D97D0F" w:rsidP="00D97D0F">
            <w:pPr>
              <w:autoSpaceDE w:val="0"/>
              <w:autoSpaceDN w:val="0"/>
              <w:adjustRightInd w:val="0"/>
              <w:jc w:val="right"/>
              <w:rPr>
                <w:color w:val="000000"/>
              </w:rPr>
            </w:pPr>
          </w:p>
        </w:tc>
        <w:tc>
          <w:tcPr>
            <w:tcW w:w="1134" w:type="dxa"/>
          </w:tcPr>
          <w:p w:rsidR="00D97D0F" w:rsidRPr="00EB4ECB" w:rsidRDefault="00D97D0F" w:rsidP="00D97D0F">
            <w:pPr>
              <w:autoSpaceDE w:val="0"/>
              <w:autoSpaceDN w:val="0"/>
              <w:adjustRightInd w:val="0"/>
              <w:jc w:val="right"/>
              <w:rPr>
                <w:color w:val="000000"/>
              </w:rPr>
            </w:pPr>
          </w:p>
        </w:tc>
        <w:tc>
          <w:tcPr>
            <w:tcW w:w="1134" w:type="dxa"/>
          </w:tcPr>
          <w:p w:rsidR="00D97D0F" w:rsidRPr="00EB4ECB" w:rsidRDefault="00D97D0F" w:rsidP="00D97D0F">
            <w:pPr>
              <w:autoSpaceDE w:val="0"/>
              <w:autoSpaceDN w:val="0"/>
              <w:adjustRightInd w:val="0"/>
              <w:jc w:val="right"/>
              <w:rPr>
                <w:color w:val="000000"/>
              </w:rPr>
            </w:pPr>
          </w:p>
        </w:tc>
        <w:tc>
          <w:tcPr>
            <w:tcW w:w="1134" w:type="dxa"/>
          </w:tcPr>
          <w:p w:rsidR="00D97D0F" w:rsidRPr="00EB4ECB" w:rsidRDefault="00D97D0F" w:rsidP="00D97D0F">
            <w:pPr>
              <w:autoSpaceDE w:val="0"/>
              <w:autoSpaceDN w:val="0"/>
              <w:adjustRightInd w:val="0"/>
              <w:jc w:val="right"/>
              <w:rPr>
                <w:color w:val="000000"/>
              </w:rPr>
            </w:pPr>
          </w:p>
        </w:tc>
      </w:tr>
      <w:tr w:rsidR="00D97D0F" w:rsidRPr="00EB4ECB" w:rsidTr="00D97D0F">
        <w:trPr>
          <w:trHeight w:val="70"/>
        </w:trPr>
        <w:tc>
          <w:tcPr>
            <w:tcW w:w="4530" w:type="dxa"/>
          </w:tcPr>
          <w:p w:rsidR="00D97D0F" w:rsidRPr="00EB4ECB" w:rsidRDefault="00D97D0F" w:rsidP="00D97D0F">
            <w:pPr>
              <w:autoSpaceDE w:val="0"/>
              <w:autoSpaceDN w:val="0"/>
              <w:adjustRightInd w:val="0"/>
              <w:rPr>
                <w:color w:val="000000"/>
              </w:rPr>
            </w:pPr>
            <w:r w:rsidRPr="00EB4ECB">
              <w:rPr>
                <w:color w:val="000000"/>
              </w:rPr>
              <w:t>Indikátor XYZ</w:t>
            </w:r>
          </w:p>
        </w:tc>
        <w:tc>
          <w:tcPr>
            <w:tcW w:w="1134" w:type="dxa"/>
          </w:tcPr>
          <w:p w:rsidR="00D97D0F" w:rsidRPr="00EB4ECB" w:rsidRDefault="00D97D0F" w:rsidP="00D97D0F">
            <w:pPr>
              <w:autoSpaceDE w:val="0"/>
              <w:autoSpaceDN w:val="0"/>
              <w:adjustRightInd w:val="0"/>
              <w:jc w:val="right"/>
              <w:rPr>
                <w:color w:val="000000"/>
              </w:rPr>
            </w:pPr>
          </w:p>
        </w:tc>
        <w:tc>
          <w:tcPr>
            <w:tcW w:w="1134" w:type="dxa"/>
          </w:tcPr>
          <w:p w:rsidR="00D97D0F" w:rsidRPr="00EB4ECB" w:rsidRDefault="00D97D0F" w:rsidP="00D97D0F">
            <w:pPr>
              <w:autoSpaceDE w:val="0"/>
              <w:autoSpaceDN w:val="0"/>
              <w:adjustRightInd w:val="0"/>
              <w:jc w:val="right"/>
              <w:rPr>
                <w:color w:val="000000"/>
              </w:rPr>
            </w:pPr>
          </w:p>
        </w:tc>
        <w:tc>
          <w:tcPr>
            <w:tcW w:w="1134" w:type="dxa"/>
          </w:tcPr>
          <w:p w:rsidR="00D97D0F" w:rsidRPr="00EB4ECB" w:rsidRDefault="00D97D0F" w:rsidP="00D97D0F">
            <w:pPr>
              <w:autoSpaceDE w:val="0"/>
              <w:autoSpaceDN w:val="0"/>
              <w:adjustRightInd w:val="0"/>
              <w:jc w:val="right"/>
              <w:rPr>
                <w:color w:val="000000"/>
              </w:rPr>
            </w:pPr>
          </w:p>
        </w:tc>
        <w:tc>
          <w:tcPr>
            <w:tcW w:w="1134" w:type="dxa"/>
          </w:tcPr>
          <w:p w:rsidR="00D97D0F" w:rsidRPr="00EB4ECB" w:rsidRDefault="00D97D0F" w:rsidP="00D97D0F">
            <w:pPr>
              <w:autoSpaceDE w:val="0"/>
              <w:autoSpaceDN w:val="0"/>
              <w:adjustRightInd w:val="0"/>
              <w:jc w:val="right"/>
              <w:rPr>
                <w:color w:val="000000"/>
              </w:rPr>
            </w:pPr>
          </w:p>
        </w:tc>
      </w:tr>
    </w:tbl>
    <w:p w:rsidR="00D97D0F" w:rsidRPr="00EB4ECB" w:rsidRDefault="00D97D0F" w:rsidP="00D97D0F"/>
    <w:p w:rsidR="00D97D0F" w:rsidRPr="00EB4ECB" w:rsidRDefault="00D97D0F" w:rsidP="00D97D0F">
      <w:pPr>
        <w:rPr>
          <w:b/>
          <w:bCs/>
        </w:rPr>
      </w:pPr>
      <w:r w:rsidRPr="00EB4ECB">
        <w:rPr>
          <w:b/>
          <w:bCs/>
        </w:rPr>
        <w:t>2.2.4. Výpočty vplyvov na verejné financie</w:t>
      </w:r>
    </w:p>
    <w:p w:rsidR="00D97D0F" w:rsidRPr="00EB4ECB" w:rsidRDefault="00D97D0F" w:rsidP="00D97D0F">
      <w:pPr>
        <w:ind w:firstLine="708"/>
      </w:pPr>
      <w:r w:rsidRPr="00EB4ECB">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D97D0F" w:rsidRDefault="00D97D0F" w:rsidP="00D97D0F">
      <w:pPr>
        <w:ind w:firstLine="708"/>
        <w:rPr>
          <w:i/>
        </w:rPr>
      </w:pPr>
      <w:r w:rsidRPr="00EB4ECB">
        <w:rPr>
          <w:i/>
        </w:rPr>
        <w:t>Podľa štatistiky Ministerstva pôdohospodárstva a rozvoja vidieka S</w:t>
      </w:r>
      <w:r>
        <w:rPr>
          <w:i/>
        </w:rPr>
        <w:t>lovenskej republiky</w:t>
      </w:r>
      <w:r w:rsidRPr="00EB4ECB">
        <w:rPr>
          <w:i/>
        </w:rPr>
        <w:t xml:space="preserve"> prebiehali kontroly počas rokov 2013, 2014, 2015 a 2016, pričom priemerný výber pokút za</w:t>
      </w:r>
      <w:r w:rsidR="007333C2">
        <w:rPr>
          <w:i/>
        </w:rPr>
        <w:t xml:space="preserve"> </w:t>
      </w:r>
      <w:r w:rsidRPr="00EB4ECB">
        <w:rPr>
          <w:i/>
        </w:rPr>
        <w:t xml:space="preserve">rok predstavoval sumu </w:t>
      </w:r>
      <w:r w:rsidRPr="00EB4ECB">
        <w:rPr>
          <w:rFonts w:ascii="Cambria Math" w:hAnsi="Cambria Math" w:cs="Cambria Math"/>
          <w:i/>
        </w:rPr>
        <w:t>≐</w:t>
      </w:r>
      <w:r w:rsidRPr="00EB4ECB">
        <w:rPr>
          <w:i/>
        </w:rPr>
        <w:t xml:space="preserve"> 723.242,-EUR. Sadzby ukladaných pokút sa v navrhovanom predpise zvyšujú o </w:t>
      </w:r>
      <w:r w:rsidRPr="00EB4ECB">
        <w:rPr>
          <w:rFonts w:ascii="Cambria Math" w:hAnsi="Cambria Math" w:cs="Cambria Math"/>
          <w:i/>
        </w:rPr>
        <w:t>≐</w:t>
      </w:r>
      <w:r w:rsidR="00211FA4">
        <w:rPr>
          <w:i/>
        </w:rPr>
        <w:t xml:space="preserve"> </w:t>
      </w:r>
      <w:r w:rsidRPr="00EB4ECB">
        <w:rPr>
          <w:i/>
        </w:rPr>
        <w:t xml:space="preserve">66%. Príjem štátneho rozpočtu na vybraných pokutách sa preto </w:t>
      </w:r>
      <w:r>
        <w:rPr>
          <w:i/>
        </w:rPr>
        <w:br/>
      </w:r>
      <w:r w:rsidRPr="00EB4ECB">
        <w:rPr>
          <w:i/>
        </w:rPr>
        <w:t xml:space="preserve">dá štatisticky odhadnúť na </w:t>
      </w:r>
      <w:r w:rsidRPr="00EB4ECB">
        <w:rPr>
          <w:rFonts w:ascii="Cambria Math" w:hAnsi="Cambria Math" w:cs="Cambria Math"/>
          <w:i/>
        </w:rPr>
        <w:t>≐</w:t>
      </w:r>
      <w:r w:rsidRPr="00EB4ECB">
        <w:rPr>
          <w:i/>
        </w:rPr>
        <w:t xml:space="preserve"> 1.200.581,-EUR. Keďže návrh mení celkový systém a proces kontroly (zvyšuje podstatne efektivitu, a preto je výška 1.200.581,-EUR pravdepodobne najnižší možný štatisticky odhadnutý príjem), je možné predpokladať vyšší príjem pre štátny rozpočet.</w:t>
      </w:r>
    </w:p>
    <w:p w:rsidR="007333C2" w:rsidRPr="00EB4ECB" w:rsidRDefault="007333C2" w:rsidP="00D97D0F">
      <w:pPr>
        <w:ind w:firstLine="708"/>
        <w:rPr>
          <w:bCs/>
        </w:rPr>
      </w:pPr>
    </w:p>
    <w:p w:rsidR="00D97D0F" w:rsidRPr="00EB4ECB" w:rsidRDefault="00D97D0F" w:rsidP="00D97D0F">
      <w:pPr>
        <w:tabs>
          <w:tab w:val="num" w:pos="1080"/>
        </w:tabs>
        <w:rPr>
          <w:bCs/>
        </w:rPr>
      </w:pPr>
    </w:p>
    <w:p w:rsidR="00D97D0F" w:rsidRPr="00EB4ECB" w:rsidRDefault="00D97D0F" w:rsidP="00D97D0F">
      <w:pPr>
        <w:tabs>
          <w:tab w:val="num" w:pos="1080"/>
        </w:tabs>
        <w:rPr>
          <w:bCs/>
        </w:rPr>
        <w:sectPr w:rsidR="00D97D0F" w:rsidRPr="00EB4ECB" w:rsidSect="009B3BA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276" w:left="1417" w:header="708" w:footer="708" w:gutter="0"/>
          <w:pgNumType w:start="1"/>
          <w:cols w:space="708"/>
          <w:docGrid w:linePitch="360"/>
        </w:sectPr>
      </w:pPr>
    </w:p>
    <w:p w:rsidR="00E97D3B" w:rsidRDefault="00E97D3B" w:rsidP="00211FA4">
      <w:pPr>
        <w:keepNext w:val="0"/>
        <w:widowControl w:val="0"/>
        <w:tabs>
          <w:tab w:val="num" w:pos="1080"/>
        </w:tabs>
        <w:jc w:val="right"/>
        <w:rPr>
          <w:bCs/>
        </w:rPr>
      </w:pPr>
      <w:r w:rsidRPr="00EB4ECB">
        <w:rPr>
          <w:bCs/>
        </w:rPr>
        <w:lastRenderedPageBreak/>
        <w:t xml:space="preserve">Tabuľka č. 3 </w:t>
      </w:r>
    </w:p>
    <w:p w:rsidR="00E97D3B" w:rsidRPr="00EB4ECB" w:rsidRDefault="00E97D3B" w:rsidP="00211FA4">
      <w:pPr>
        <w:keepNext w:val="0"/>
        <w:widowControl w:val="0"/>
        <w:tabs>
          <w:tab w:val="num" w:pos="1080"/>
        </w:tabs>
        <w:jc w:val="right"/>
        <w:rPr>
          <w:bCs/>
        </w:rPr>
      </w:pPr>
    </w:p>
    <w:p w:rsidR="00E97D3B" w:rsidRPr="00EB4ECB" w:rsidRDefault="00E97D3B" w:rsidP="00211FA4">
      <w:pPr>
        <w:keepNext w:val="0"/>
        <w:widowControl w:val="0"/>
        <w:tabs>
          <w:tab w:val="num" w:pos="1080"/>
        </w:tabs>
        <w:rPr>
          <w:bCs/>
        </w:rPr>
      </w:pPr>
      <w:r>
        <w:rPr>
          <w:bCs/>
        </w:rPr>
        <w:t>Ministerstvo pôdohospodárstva a rozvoja vidieka SR</w:t>
      </w:r>
    </w:p>
    <w:tbl>
      <w:tblPr>
        <w:tblpPr w:leftFromText="141" w:rightFromText="141" w:vertAnchor="page" w:horzAnchor="margin" w:tblpXSpec="center" w:tblpY="2371"/>
        <w:tblW w:w="0" w:type="auto"/>
        <w:tblCellMar>
          <w:left w:w="70" w:type="dxa"/>
          <w:right w:w="70" w:type="dxa"/>
        </w:tblCellMar>
        <w:tblLook w:val="0000" w:firstRow="0" w:lastRow="0" w:firstColumn="0" w:lastColumn="0" w:noHBand="0" w:noVBand="0"/>
      </w:tblPr>
      <w:tblGrid>
        <w:gridCol w:w="7414"/>
        <w:gridCol w:w="620"/>
        <w:gridCol w:w="920"/>
        <w:gridCol w:w="1100"/>
        <w:gridCol w:w="1100"/>
        <w:gridCol w:w="1753"/>
      </w:tblGrid>
      <w:tr w:rsidR="00E97D3B" w:rsidRPr="00EB4ECB" w:rsidTr="003E2019">
        <w:trPr>
          <w:cantSplit/>
          <w:trHeight w:val="255"/>
        </w:trPr>
        <w:tc>
          <w:tcPr>
            <w:tcW w:w="0" w:type="auto"/>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E97D3B" w:rsidRPr="00EB4ECB" w:rsidRDefault="00E97D3B" w:rsidP="00211FA4">
            <w:pPr>
              <w:keepNext w:val="0"/>
              <w:widowControl w:val="0"/>
              <w:jc w:val="center"/>
              <w:rPr>
                <w:b/>
                <w:bCs/>
              </w:rPr>
            </w:pPr>
            <w:r w:rsidRPr="00EB4ECB">
              <w:rPr>
                <w:b/>
                <w:bCs/>
              </w:rPr>
              <w:t>Príjmy (v eurách)</w:t>
            </w:r>
          </w:p>
        </w:tc>
        <w:tc>
          <w:tcPr>
            <w:tcW w:w="0" w:type="auto"/>
            <w:gridSpan w:val="4"/>
            <w:tcBorders>
              <w:top w:val="single" w:sz="4" w:space="0" w:color="auto"/>
              <w:left w:val="nil"/>
              <w:bottom w:val="single" w:sz="4" w:space="0" w:color="auto"/>
              <w:right w:val="single" w:sz="4" w:space="0" w:color="auto"/>
            </w:tcBorders>
            <w:shd w:val="clear" w:color="auto" w:fill="BFBFBF"/>
          </w:tcPr>
          <w:p w:rsidR="00E97D3B" w:rsidRPr="00EB4ECB" w:rsidRDefault="00E97D3B" w:rsidP="00211FA4">
            <w:pPr>
              <w:keepNext w:val="0"/>
              <w:widowControl w:val="0"/>
              <w:jc w:val="center"/>
              <w:rPr>
                <w:b/>
                <w:bCs/>
              </w:rPr>
            </w:pPr>
            <w:r w:rsidRPr="00EB4ECB">
              <w:rPr>
                <w:b/>
                <w:bCs/>
              </w:rPr>
              <w:t>Vplyv na rozpočet verejnej správy</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E97D3B" w:rsidRPr="00EB4ECB" w:rsidRDefault="00E97D3B" w:rsidP="00211FA4">
            <w:pPr>
              <w:keepNext w:val="0"/>
              <w:widowControl w:val="0"/>
              <w:jc w:val="center"/>
              <w:rPr>
                <w:b/>
                <w:bCs/>
              </w:rPr>
            </w:pPr>
            <w:r w:rsidRPr="00EB4ECB">
              <w:rPr>
                <w:b/>
                <w:bCs/>
              </w:rPr>
              <w:t>poznámka</w:t>
            </w:r>
          </w:p>
        </w:tc>
      </w:tr>
      <w:tr w:rsidR="00E97D3B" w:rsidRPr="00EB4ECB" w:rsidTr="003E2019">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tcPr>
          <w:p w:rsidR="00E97D3B" w:rsidRPr="00EB4ECB" w:rsidRDefault="00E97D3B" w:rsidP="00211FA4">
            <w:pPr>
              <w:keepNext w:val="0"/>
              <w:widowControl w:val="0"/>
              <w:rPr>
                <w:b/>
                <w:bCs/>
                <w:color w:val="FFFFFF"/>
              </w:rPr>
            </w:pPr>
          </w:p>
        </w:tc>
        <w:tc>
          <w:tcPr>
            <w:tcW w:w="0" w:type="auto"/>
            <w:tcBorders>
              <w:top w:val="nil"/>
              <w:left w:val="nil"/>
              <w:bottom w:val="single" w:sz="4" w:space="0" w:color="auto"/>
              <w:right w:val="single" w:sz="4" w:space="0" w:color="auto"/>
            </w:tcBorders>
            <w:shd w:val="clear" w:color="auto" w:fill="BFBFBF"/>
          </w:tcPr>
          <w:p w:rsidR="00E97D3B" w:rsidRPr="00EB4ECB" w:rsidRDefault="00E97D3B" w:rsidP="00211FA4">
            <w:pPr>
              <w:keepNext w:val="0"/>
              <w:widowControl w:val="0"/>
              <w:jc w:val="center"/>
              <w:rPr>
                <w:b/>
                <w:bCs/>
              </w:rPr>
            </w:pPr>
            <w:r w:rsidRPr="00EB4ECB">
              <w:rPr>
                <w:b/>
                <w:bCs/>
              </w:rPr>
              <w:t>2018</w:t>
            </w:r>
          </w:p>
        </w:tc>
        <w:tc>
          <w:tcPr>
            <w:tcW w:w="0" w:type="auto"/>
            <w:tcBorders>
              <w:top w:val="nil"/>
              <w:left w:val="nil"/>
              <w:bottom w:val="single" w:sz="4" w:space="0" w:color="auto"/>
              <w:right w:val="single" w:sz="4" w:space="0" w:color="auto"/>
            </w:tcBorders>
            <w:shd w:val="clear" w:color="auto" w:fill="BFBFBF"/>
          </w:tcPr>
          <w:p w:rsidR="00E97D3B" w:rsidRPr="00EB4ECB" w:rsidRDefault="00E97D3B" w:rsidP="00211FA4">
            <w:pPr>
              <w:keepNext w:val="0"/>
              <w:widowControl w:val="0"/>
              <w:jc w:val="center"/>
              <w:rPr>
                <w:b/>
                <w:bCs/>
              </w:rPr>
            </w:pPr>
            <w:r w:rsidRPr="00EB4ECB">
              <w:rPr>
                <w:b/>
                <w:bCs/>
              </w:rPr>
              <w:t>2019</w:t>
            </w:r>
          </w:p>
        </w:tc>
        <w:tc>
          <w:tcPr>
            <w:tcW w:w="0" w:type="auto"/>
            <w:tcBorders>
              <w:top w:val="nil"/>
              <w:left w:val="nil"/>
              <w:bottom w:val="single" w:sz="4" w:space="0" w:color="auto"/>
              <w:right w:val="single" w:sz="4" w:space="0" w:color="auto"/>
            </w:tcBorders>
            <w:shd w:val="clear" w:color="auto" w:fill="BFBFBF"/>
          </w:tcPr>
          <w:p w:rsidR="00E97D3B" w:rsidRPr="00EB4ECB" w:rsidRDefault="00E97D3B" w:rsidP="00211FA4">
            <w:pPr>
              <w:keepNext w:val="0"/>
              <w:widowControl w:val="0"/>
              <w:jc w:val="center"/>
              <w:rPr>
                <w:b/>
                <w:bCs/>
              </w:rPr>
            </w:pPr>
            <w:r w:rsidRPr="00EB4ECB">
              <w:rPr>
                <w:b/>
                <w:bCs/>
              </w:rPr>
              <w:t>2020</w:t>
            </w:r>
          </w:p>
        </w:tc>
        <w:tc>
          <w:tcPr>
            <w:tcW w:w="0" w:type="auto"/>
            <w:tcBorders>
              <w:top w:val="nil"/>
              <w:left w:val="nil"/>
              <w:bottom w:val="single" w:sz="4" w:space="0" w:color="auto"/>
              <w:right w:val="single" w:sz="4" w:space="0" w:color="auto"/>
            </w:tcBorders>
            <w:shd w:val="clear" w:color="auto" w:fill="BFBFBF"/>
          </w:tcPr>
          <w:p w:rsidR="00E97D3B" w:rsidRPr="00EB4ECB" w:rsidRDefault="00E97D3B" w:rsidP="00211FA4">
            <w:pPr>
              <w:keepNext w:val="0"/>
              <w:widowControl w:val="0"/>
              <w:jc w:val="center"/>
              <w:rPr>
                <w:b/>
                <w:bCs/>
              </w:rPr>
            </w:pPr>
            <w:r w:rsidRPr="00EB4ECB">
              <w:rPr>
                <w:b/>
                <w:bCs/>
              </w:rPr>
              <w:t>2021</w:t>
            </w:r>
          </w:p>
        </w:tc>
        <w:tc>
          <w:tcPr>
            <w:tcW w:w="0" w:type="auto"/>
            <w:vMerge/>
            <w:tcBorders>
              <w:top w:val="single" w:sz="4" w:space="0" w:color="auto"/>
              <w:left w:val="single" w:sz="4" w:space="0" w:color="auto"/>
              <w:bottom w:val="single" w:sz="4" w:space="0" w:color="auto"/>
              <w:right w:val="single" w:sz="4" w:space="0" w:color="auto"/>
            </w:tcBorders>
            <w:vAlign w:val="center"/>
          </w:tcPr>
          <w:p w:rsidR="00E97D3B" w:rsidRPr="00EB4ECB" w:rsidRDefault="00E97D3B" w:rsidP="00211FA4">
            <w:pPr>
              <w:keepNext w:val="0"/>
              <w:widowControl w:val="0"/>
              <w:rPr>
                <w:b/>
                <w:bCs/>
                <w:color w:val="FFFFFF"/>
              </w:rPr>
            </w:pPr>
          </w:p>
        </w:tc>
      </w:tr>
      <w:tr w:rsidR="00E97D3B" w:rsidRPr="00EB4ECB" w:rsidTr="003E2019">
        <w:trPr>
          <w:trHeight w:val="255"/>
        </w:trPr>
        <w:tc>
          <w:tcPr>
            <w:tcW w:w="0" w:type="auto"/>
            <w:tcBorders>
              <w:top w:val="nil"/>
              <w:left w:val="single" w:sz="4" w:space="0" w:color="auto"/>
              <w:bottom w:val="single" w:sz="4" w:space="0" w:color="auto"/>
              <w:right w:val="single" w:sz="4" w:space="0" w:color="auto"/>
            </w:tcBorders>
          </w:tcPr>
          <w:p w:rsidR="00E97D3B" w:rsidRPr="00EB4ECB" w:rsidRDefault="00E97D3B" w:rsidP="00211FA4">
            <w:pPr>
              <w:keepNext w:val="0"/>
              <w:widowControl w:val="0"/>
              <w:rPr>
                <w:b/>
                <w:bCs/>
                <w:vertAlign w:val="superscript"/>
              </w:rPr>
            </w:pPr>
            <w:r w:rsidRPr="00EB4ECB">
              <w:rPr>
                <w:b/>
                <w:bCs/>
              </w:rPr>
              <w:t>Daňové príjmy (100)</w:t>
            </w:r>
            <w:r w:rsidRPr="00EB4ECB">
              <w:rPr>
                <w:b/>
                <w:bCs/>
                <w:vertAlign w:val="superscript"/>
              </w:rPr>
              <w:t>1</w:t>
            </w:r>
          </w:p>
        </w:tc>
        <w:tc>
          <w:tcPr>
            <w:tcW w:w="0" w:type="auto"/>
            <w:tcBorders>
              <w:top w:val="nil"/>
              <w:left w:val="nil"/>
              <w:bottom w:val="single" w:sz="4" w:space="0" w:color="auto"/>
              <w:right w:val="single" w:sz="4" w:space="0" w:color="auto"/>
            </w:tcBorders>
          </w:tcPr>
          <w:p w:rsidR="00E97D3B" w:rsidRPr="00EB4ECB" w:rsidRDefault="00E97D3B" w:rsidP="00211FA4">
            <w:pPr>
              <w:keepNext w:val="0"/>
              <w:widowControl w:val="0"/>
              <w:jc w:val="center"/>
              <w:rPr>
                <w:b/>
                <w:bCs/>
              </w:rPr>
            </w:pPr>
          </w:p>
        </w:tc>
        <w:tc>
          <w:tcPr>
            <w:tcW w:w="0" w:type="auto"/>
            <w:tcBorders>
              <w:top w:val="nil"/>
              <w:left w:val="nil"/>
              <w:bottom w:val="single" w:sz="4" w:space="0" w:color="auto"/>
              <w:right w:val="single" w:sz="4" w:space="0" w:color="auto"/>
            </w:tcBorders>
          </w:tcPr>
          <w:p w:rsidR="00E97D3B" w:rsidRPr="00EB4ECB" w:rsidRDefault="00E97D3B" w:rsidP="00211FA4">
            <w:pPr>
              <w:keepNext w:val="0"/>
              <w:widowControl w:val="0"/>
              <w:jc w:val="center"/>
              <w:rPr>
                <w:b/>
                <w:bCs/>
              </w:rPr>
            </w:pPr>
          </w:p>
        </w:tc>
        <w:tc>
          <w:tcPr>
            <w:tcW w:w="0" w:type="auto"/>
            <w:tcBorders>
              <w:top w:val="nil"/>
              <w:left w:val="nil"/>
              <w:bottom w:val="single" w:sz="4" w:space="0" w:color="auto"/>
              <w:right w:val="single" w:sz="4" w:space="0" w:color="auto"/>
            </w:tcBorders>
          </w:tcPr>
          <w:p w:rsidR="00E97D3B" w:rsidRPr="00EB4ECB" w:rsidRDefault="00E97D3B" w:rsidP="00211FA4">
            <w:pPr>
              <w:keepNext w:val="0"/>
              <w:widowControl w:val="0"/>
              <w:jc w:val="center"/>
              <w:rPr>
                <w:b/>
                <w:bCs/>
              </w:rPr>
            </w:pPr>
          </w:p>
        </w:tc>
        <w:tc>
          <w:tcPr>
            <w:tcW w:w="0" w:type="auto"/>
            <w:tcBorders>
              <w:top w:val="nil"/>
              <w:left w:val="nil"/>
              <w:bottom w:val="single" w:sz="4" w:space="0" w:color="auto"/>
              <w:right w:val="single" w:sz="4" w:space="0" w:color="auto"/>
            </w:tcBorders>
          </w:tcPr>
          <w:p w:rsidR="00E97D3B" w:rsidRPr="00EB4ECB" w:rsidRDefault="00E97D3B" w:rsidP="00211FA4">
            <w:pPr>
              <w:keepNext w:val="0"/>
              <w:widowControl w:val="0"/>
              <w:jc w:val="center"/>
              <w:rPr>
                <w:b/>
                <w:bCs/>
              </w:rPr>
            </w:pPr>
          </w:p>
        </w:tc>
        <w:tc>
          <w:tcPr>
            <w:tcW w:w="0" w:type="auto"/>
            <w:tcBorders>
              <w:top w:val="nil"/>
              <w:left w:val="nil"/>
              <w:bottom w:val="single" w:sz="4" w:space="0" w:color="auto"/>
              <w:right w:val="single" w:sz="4" w:space="0" w:color="auto"/>
            </w:tcBorders>
            <w:noWrap/>
            <w:vAlign w:val="bottom"/>
          </w:tcPr>
          <w:p w:rsidR="00E97D3B" w:rsidRPr="00EB4ECB" w:rsidRDefault="00E97D3B" w:rsidP="00211FA4">
            <w:pPr>
              <w:keepNext w:val="0"/>
              <w:widowControl w:val="0"/>
            </w:pPr>
            <w:r w:rsidRPr="00EB4ECB">
              <w:t> </w:t>
            </w:r>
          </w:p>
        </w:tc>
      </w:tr>
      <w:tr w:rsidR="00E97D3B" w:rsidRPr="00EB4ECB" w:rsidTr="003E2019">
        <w:trPr>
          <w:trHeight w:val="255"/>
        </w:trPr>
        <w:tc>
          <w:tcPr>
            <w:tcW w:w="0" w:type="auto"/>
            <w:tcBorders>
              <w:top w:val="nil"/>
              <w:left w:val="single" w:sz="4" w:space="0" w:color="auto"/>
              <w:bottom w:val="single" w:sz="4" w:space="0" w:color="auto"/>
              <w:right w:val="single" w:sz="4" w:space="0" w:color="auto"/>
            </w:tcBorders>
          </w:tcPr>
          <w:p w:rsidR="00E97D3B" w:rsidRPr="00EB4ECB" w:rsidRDefault="00E97D3B" w:rsidP="00211FA4">
            <w:pPr>
              <w:keepNext w:val="0"/>
              <w:widowControl w:val="0"/>
              <w:rPr>
                <w:b/>
                <w:bCs/>
              </w:rPr>
            </w:pPr>
            <w:r w:rsidRPr="00EB4ECB">
              <w:rPr>
                <w:b/>
                <w:bCs/>
              </w:rPr>
              <w:t>Nedaňové príjmy (200)</w:t>
            </w:r>
            <w:r w:rsidRPr="00EB4ECB">
              <w:rPr>
                <w:b/>
                <w:bCs/>
                <w:vertAlign w:val="superscript"/>
              </w:rPr>
              <w:t>1</w:t>
            </w:r>
          </w:p>
        </w:tc>
        <w:tc>
          <w:tcPr>
            <w:tcW w:w="0" w:type="auto"/>
            <w:tcBorders>
              <w:top w:val="nil"/>
              <w:left w:val="nil"/>
              <w:bottom w:val="single" w:sz="4" w:space="0" w:color="auto"/>
              <w:right w:val="single" w:sz="4" w:space="0" w:color="auto"/>
            </w:tcBorders>
          </w:tcPr>
          <w:p w:rsidR="00E97D3B" w:rsidRPr="00EB4ECB" w:rsidRDefault="00E97D3B" w:rsidP="00211FA4">
            <w:pPr>
              <w:keepNext w:val="0"/>
              <w:widowControl w:val="0"/>
              <w:jc w:val="center"/>
              <w:rPr>
                <w:b/>
                <w:bCs/>
              </w:rPr>
            </w:pPr>
            <w:r w:rsidRPr="00EB4ECB">
              <w:rPr>
                <w:b/>
                <w:bCs/>
              </w:rPr>
              <w:t>0</w:t>
            </w:r>
          </w:p>
        </w:tc>
        <w:tc>
          <w:tcPr>
            <w:tcW w:w="0" w:type="auto"/>
            <w:tcBorders>
              <w:top w:val="nil"/>
              <w:left w:val="nil"/>
              <w:bottom w:val="single" w:sz="4" w:space="0" w:color="auto"/>
              <w:right w:val="single" w:sz="4" w:space="0" w:color="auto"/>
            </w:tcBorders>
          </w:tcPr>
          <w:p w:rsidR="00E97D3B" w:rsidRPr="00EB4ECB" w:rsidRDefault="00E97D3B" w:rsidP="00211FA4">
            <w:pPr>
              <w:keepNext w:val="0"/>
              <w:widowControl w:val="0"/>
              <w:jc w:val="center"/>
              <w:rPr>
                <w:b/>
                <w:bCs/>
              </w:rPr>
            </w:pPr>
            <w:r>
              <w:rPr>
                <w:b/>
                <w:bCs/>
              </w:rPr>
              <w:t>6</w:t>
            </w:r>
            <w:r w:rsidRPr="00EB4ECB">
              <w:rPr>
                <w:b/>
                <w:bCs/>
              </w:rPr>
              <w:t xml:space="preserve">00 </w:t>
            </w:r>
            <w:r>
              <w:rPr>
                <w:b/>
                <w:bCs/>
              </w:rPr>
              <w:t>29</w:t>
            </w:r>
            <w:r w:rsidRPr="00EB4ECB">
              <w:rPr>
                <w:b/>
                <w:bCs/>
              </w:rPr>
              <w:t>1</w:t>
            </w:r>
          </w:p>
        </w:tc>
        <w:tc>
          <w:tcPr>
            <w:tcW w:w="0" w:type="auto"/>
            <w:tcBorders>
              <w:top w:val="nil"/>
              <w:left w:val="nil"/>
              <w:bottom w:val="single" w:sz="4" w:space="0" w:color="auto"/>
              <w:right w:val="single" w:sz="4" w:space="0" w:color="auto"/>
            </w:tcBorders>
          </w:tcPr>
          <w:p w:rsidR="00E97D3B" w:rsidRPr="00EB4ECB" w:rsidRDefault="00E97D3B" w:rsidP="00211FA4">
            <w:pPr>
              <w:keepNext w:val="0"/>
              <w:widowControl w:val="0"/>
              <w:jc w:val="center"/>
              <w:rPr>
                <w:b/>
                <w:bCs/>
              </w:rPr>
            </w:pPr>
            <w:r w:rsidRPr="00EB4ECB">
              <w:rPr>
                <w:b/>
                <w:bCs/>
              </w:rPr>
              <w:t>1 200 581</w:t>
            </w:r>
          </w:p>
        </w:tc>
        <w:tc>
          <w:tcPr>
            <w:tcW w:w="0" w:type="auto"/>
            <w:tcBorders>
              <w:top w:val="nil"/>
              <w:left w:val="nil"/>
              <w:bottom w:val="single" w:sz="4" w:space="0" w:color="auto"/>
              <w:right w:val="single" w:sz="4" w:space="0" w:color="auto"/>
            </w:tcBorders>
          </w:tcPr>
          <w:p w:rsidR="00E97D3B" w:rsidRPr="00EB4ECB" w:rsidRDefault="00E97D3B" w:rsidP="00211FA4">
            <w:pPr>
              <w:keepNext w:val="0"/>
              <w:widowControl w:val="0"/>
              <w:jc w:val="center"/>
              <w:rPr>
                <w:b/>
                <w:bCs/>
              </w:rPr>
            </w:pPr>
            <w:r w:rsidRPr="00EB4ECB">
              <w:rPr>
                <w:b/>
                <w:bCs/>
              </w:rPr>
              <w:t>1 200 581</w:t>
            </w:r>
          </w:p>
        </w:tc>
        <w:tc>
          <w:tcPr>
            <w:tcW w:w="0" w:type="auto"/>
            <w:tcBorders>
              <w:top w:val="nil"/>
              <w:left w:val="nil"/>
              <w:bottom w:val="single" w:sz="4" w:space="0" w:color="auto"/>
              <w:right w:val="single" w:sz="4" w:space="0" w:color="auto"/>
            </w:tcBorders>
            <w:noWrap/>
            <w:vAlign w:val="bottom"/>
          </w:tcPr>
          <w:p w:rsidR="00E97D3B" w:rsidRPr="00EB4ECB" w:rsidRDefault="00E97D3B" w:rsidP="00211FA4">
            <w:pPr>
              <w:keepNext w:val="0"/>
              <w:widowControl w:val="0"/>
            </w:pPr>
            <w:r w:rsidRPr="00EB4ECB">
              <w:t> Vybrané pokuty</w:t>
            </w:r>
          </w:p>
        </w:tc>
      </w:tr>
      <w:tr w:rsidR="00E97D3B" w:rsidRPr="00EB4ECB" w:rsidTr="003E2019">
        <w:trPr>
          <w:trHeight w:val="255"/>
        </w:trPr>
        <w:tc>
          <w:tcPr>
            <w:tcW w:w="0" w:type="auto"/>
            <w:tcBorders>
              <w:top w:val="nil"/>
              <w:left w:val="single" w:sz="4" w:space="0" w:color="auto"/>
              <w:bottom w:val="single" w:sz="4" w:space="0" w:color="auto"/>
              <w:right w:val="single" w:sz="4" w:space="0" w:color="auto"/>
            </w:tcBorders>
          </w:tcPr>
          <w:p w:rsidR="00E97D3B" w:rsidRPr="00EB4ECB" w:rsidRDefault="00E97D3B" w:rsidP="00211FA4">
            <w:pPr>
              <w:keepNext w:val="0"/>
              <w:widowControl w:val="0"/>
              <w:rPr>
                <w:b/>
                <w:bCs/>
              </w:rPr>
            </w:pPr>
            <w:r w:rsidRPr="00EB4ECB">
              <w:rPr>
                <w:b/>
                <w:bCs/>
              </w:rPr>
              <w:t>Granty a transfery (300)</w:t>
            </w:r>
            <w:r w:rsidRPr="00EB4ECB">
              <w:rPr>
                <w:b/>
                <w:bCs/>
                <w:vertAlign w:val="superscript"/>
              </w:rPr>
              <w:t>1</w:t>
            </w:r>
          </w:p>
        </w:tc>
        <w:tc>
          <w:tcPr>
            <w:tcW w:w="0" w:type="auto"/>
            <w:tcBorders>
              <w:top w:val="nil"/>
              <w:left w:val="nil"/>
              <w:bottom w:val="single" w:sz="4" w:space="0" w:color="auto"/>
              <w:right w:val="single" w:sz="4" w:space="0" w:color="auto"/>
            </w:tcBorders>
          </w:tcPr>
          <w:p w:rsidR="00E97D3B" w:rsidRPr="00EB4ECB" w:rsidRDefault="00E97D3B" w:rsidP="00211FA4">
            <w:pPr>
              <w:keepNext w:val="0"/>
              <w:widowControl w:val="0"/>
              <w:jc w:val="center"/>
              <w:rPr>
                <w:b/>
                <w:bCs/>
              </w:rPr>
            </w:pPr>
          </w:p>
        </w:tc>
        <w:tc>
          <w:tcPr>
            <w:tcW w:w="0" w:type="auto"/>
            <w:tcBorders>
              <w:top w:val="nil"/>
              <w:left w:val="nil"/>
              <w:bottom w:val="single" w:sz="4" w:space="0" w:color="auto"/>
              <w:right w:val="single" w:sz="4" w:space="0" w:color="auto"/>
            </w:tcBorders>
          </w:tcPr>
          <w:p w:rsidR="00E97D3B" w:rsidRPr="00EB4ECB" w:rsidRDefault="00E97D3B" w:rsidP="00211FA4">
            <w:pPr>
              <w:keepNext w:val="0"/>
              <w:widowControl w:val="0"/>
              <w:jc w:val="center"/>
              <w:rPr>
                <w:b/>
                <w:bCs/>
              </w:rPr>
            </w:pPr>
          </w:p>
        </w:tc>
        <w:tc>
          <w:tcPr>
            <w:tcW w:w="0" w:type="auto"/>
            <w:tcBorders>
              <w:top w:val="nil"/>
              <w:left w:val="nil"/>
              <w:bottom w:val="single" w:sz="4" w:space="0" w:color="auto"/>
              <w:right w:val="single" w:sz="4" w:space="0" w:color="auto"/>
            </w:tcBorders>
          </w:tcPr>
          <w:p w:rsidR="00E97D3B" w:rsidRPr="00EB4ECB" w:rsidRDefault="00E97D3B" w:rsidP="00211FA4">
            <w:pPr>
              <w:keepNext w:val="0"/>
              <w:widowControl w:val="0"/>
              <w:jc w:val="center"/>
              <w:rPr>
                <w:b/>
                <w:bCs/>
              </w:rPr>
            </w:pPr>
          </w:p>
        </w:tc>
        <w:tc>
          <w:tcPr>
            <w:tcW w:w="0" w:type="auto"/>
            <w:tcBorders>
              <w:top w:val="nil"/>
              <w:left w:val="nil"/>
              <w:bottom w:val="single" w:sz="4" w:space="0" w:color="auto"/>
              <w:right w:val="single" w:sz="4" w:space="0" w:color="auto"/>
            </w:tcBorders>
          </w:tcPr>
          <w:p w:rsidR="00E97D3B" w:rsidRPr="00EB4ECB" w:rsidRDefault="00E97D3B" w:rsidP="00211FA4">
            <w:pPr>
              <w:keepNext w:val="0"/>
              <w:widowControl w:val="0"/>
              <w:jc w:val="center"/>
              <w:rPr>
                <w:b/>
                <w:bCs/>
              </w:rPr>
            </w:pPr>
          </w:p>
        </w:tc>
        <w:tc>
          <w:tcPr>
            <w:tcW w:w="0" w:type="auto"/>
            <w:tcBorders>
              <w:top w:val="nil"/>
              <w:left w:val="nil"/>
              <w:bottom w:val="single" w:sz="4" w:space="0" w:color="auto"/>
              <w:right w:val="single" w:sz="4" w:space="0" w:color="auto"/>
            </w:tcBorders>
            <w:noWrap/>
            <w:vAlign w:val="bottom"/>
          </w:tcPr>
          <w:p w:rsidR="00E97D3B" w:rsidRPr="00EB4ECB" w:rsidRDefault="00E97D3B" w:rsidP="00211FA4">
            <w:pPr>
              <w:keepNext w:val="0"/>
              <w:widowControl w:val="0"/>
            </w:pPr>
            <w:r w:rsidRPr="00EB4ECB">
              <w:t> </w:t>
            </w:r>
          </w:p>
        </w:tc>
      </w:tr>
      <w:tr w:rsidR="00E97D3B" w:rsidRPr="00EB4ECB" w:rsidTr="003E2019">
        <w:trPr>
          <w:trHeight w:val="255"/>
        </w:trPr>
        <w:tc>
          <w:tcPr>
            <w:tcW w:w="0" w:type="auto"/>
            <w:tcBorders>
              <w:top w:val="nil"/>
              <w:left w:val="single" w:sz="4" w:space="0" w:color="auto"/>
              <w:bottom w:val="single" w:sz="4" w:space="0" w:color="auto"/>
              <w:right w:val="single" w:sz="4" w:space="0" w:color="auto"/>
            </w:tcBorders>
          </w:tcPr>
          <w:p w:rsidR="00E97D3B" w:rsidRPr="00EB4ECB" w:rsidRDefault="00E97D3B" w:rsidP="00211FA4">
            <w:pPr>
              <w:keepNext w:val="0"/>
              <w:widowControl w:val="0"/>
              <w:rPr>
                <w:b/>
                <w:bCs/>
              </w:rPr>
            </w:pPr>
            <w:r w:rsidRPr="00EB4ECB">
              <w:rPr>
                <w:b/>
                <w:bCs/>
              </w:rPr>
              <w:t>Príjmy z transakcií s finančnými aktívami a finančnými pasívami (400)</w:t>
            </w:r>
          </w:p>
        </w:tc>
        <w:tc>
          <w:tcPr>
            <w:tcW w:w="0" w:type="auto"/>
            <w:tcBorders>
              <w:top w:val="nil"/>
              <w:left w:val="nil"/>
              <w:bottom w:val="single" w:sz="4" w:space="0" w:color="auto"/>
              <w:right w:val="single" w:sz="4" w:space="0" w:color="auto"/>
            </w:tcBorders>
            <w:shd w:val="clear" w:color="auto" w:fill="FFFF99"/>
          </w:tcPr>
          <w:p w:rsidR="00E97D3B" w:rsidRPr="00EB4ECB" w:rsidRDefault="00E97D3B" w:rsidP="00211FA4">
            <w:pPr>
              <w:keepNext w:val="0"/>
              <w:widowControl w:val="0"/>
              <w:jc w:val="center"/>
              <w:rPr>
                <w:b/>
                <w:bCs/>
              </w:rPr>
            </w:pPr>
            <w:r w:rsidRPr="00EB4ECB">
              <w:rPr>
                <w:b/>
                <w:bCs/>
              </w:rPr>
              <w:t> </w:t>
            </w:r>
          </w:p>
        </w:tc>
        <w:tc>
          <w:tcPr>
            <w:tcW w:w="0" w:type="auto"/>
            <w:tcBorders>
              <w:top w:val="nil"/>
              <w:left w:val="nil"/>
              <w:bottom w:val="single" w:sz="4" w:space="0" w:color="auto"/>
              <w:right w:val="single" w:sz="4" w:space="0" w:color="auto"/>
            </w:tcBorders>
            <w:shd w:val="clear" w:color="auto" w:fill="FFFF99"/>
          </w:tcPr>
          <w:p w:rsidR="00E97D3B" w:rsidRPr="00EB4ECB" w:rsidRDefault="00E97D3B" w:rsidP="00211FA4">
            <w:pPr>
              <w:keepNext w:val="0"/>
              <w:widowControl w:val="0"/>
              <w:jc w:val="center"/>
              <w:rPr>
                <w:b/>
                <w:bCs/>
              </w:rPr>
            </w:pPr>
            <w:r w:rsidRPr="00EB4ECB">
              <w:rPr>
                <w:b/>
                <w:bCs/>
              </w:rPr>
              <w:t> </w:t>
            </w:r>
          </w:p>
        </w:tc>
        <w:tc>
          <w:tcPr>
            <w:tcW w:w="0" w:type="auto"/>
            <w:tcBorders>
              <w:top w:val="nil"/>
              <w:left w:val="nil"/>
              <w:bottom w:val="single" w:sz="4" w:space="0" w:color="auto"/>
              <w:right w:val="single" w:sz="4" w:space="0" w:color="auto"/>
            </w:tcBorders>
            <w:shd w:val="clear" w:color="auto" w:fill="FFFF99"/>
          </w:tcPr>
          <w:p w:rsidR="00E97D3B" w:rsidRPr="00EB4ECB" w:rsidRDefault="00E97D3B" w:rsidP="00211FA4">
            <w:pPr>
              <w:keepNext w:val="0"/>
              <w:widowControl w:val="0"/>
              <w:jc w:val="center"/>
              <w:rPr>
                <w:b/>
                <w:bCs/>
              </w:rPr>
            </w:pPr>
            <w:r w:rsidRPr="00EB4ECB">
              <w:rPr>
                <w:b/>
                <w:bCs/>
              </w:rPr>
              <w:t> </w:t>
            </w:r>
          </w:p>
        </w:tc>
        <w:tc>
          <w:tcPr>
            <w:tcW w:w="0" w:type="auto"/>
            <w:tcBorders>
              <w:top w:val="nil"/>
              <w:left w:val="nil"/>
              <w:bottom w:val="single" w:sz="4" w:space="0" w:color="auto"/>
              <w:right w:val="single" w:sz="4" w:space="0" w:color="auto"/>
            </w:tcBorders>
            <w:shd w:val="clear" w:color="auto" w:fill="FFFF99"/>
          </w:tcPr>
          <w:p w:rsidR="00E97D3B" w:rsidRPr="00EB4ECB" w:rsidRDefault="00E97D3B" w:rsidP="00211FA4">
            <w:pPr>
              <w:keepNext w:val="0"/>
              <w:widowControl w:val="0"/>
              <w:jc w:val="center"/>
              <w:rPr>
                <w:b/>
                <w:bCs/>
              </w:rPr>
            </w:pPr>
            <w:r w:rsidRPr="00EB4ECB">
              <w:rPr>
                <w:b/>
                <w:bCs/>
              </w:rPr>
              <w:t> </w:t>
            </w:r>
          </w:p>
        </w:tc>
        <w:tc>
          <w:tcPr>
            <w:tcW w:w="0" w:type="auto"/>
            <w:tcBorders>
              <w:top w:val="nil"/>
              <w:left w:val="nil"/>
              <w:bottom w:val="single" w:sz="4" w:space="0" w:color="auto"/>
              <w:right w:val="single" w:sz="4" w:space="0" w:color="auto"/>
            </w:tcBorders>
            <w:noWrap/>
            <w:vAlign w:val="bottom"/>
          </w:tcPr>
          <w:p w:rsidR="00E97D3B" w:rsidRPr="00EB4ECB" w:rsidRDefault="00E97D3B" w:rsidP="00211FA4">
            <w:pPr>
              <w:keepNext w:val="0"/>
              <w:widowControl w:val="0"/>
            </w:pPr>
            <w:r w:rsidRPr="00EB4ECB">
              <w:t> </w:t>
            </w:r>
          </w:p>
        </w:tc>
      </w:tr>
      <w:tr w:rsidR="00E97D3B" w:rsidRPr="00EB4ECB" w:rsidTr="003E2019">
        <w:trPr>
          <w:trHeight w:val="255"/>
        </w:trPr>
        <w:tc>
          <w:tcPr>
            <w:tcW w:w="0" w:type="auto"/>
            <w:tcBorders>
              <w:top w:val="nil"/>
              <w:left w:val="single" w:sz="4" w:space="0" w:color="auto"/>
              <w:bottom w:val="single" w:sz="4" w:space="0" w:color="auto"/>
              <w:right w:val="single" w:sz="4" w:space="0" w:color="auto"/>
            </w:tcBorders>
          </w:tcPr>
          <w:p w:rsidR="00E97D3B" w:rsidRPr="00EB4ECB" w:rsidRDefault="00E97D3B" w:rsidP="00211FA4">
            <w:pPr>
              <w:keepNext w:val="0"/>
              <w:widowControl w:val="0"/>
              <w:rPr>
                <w:b/>
                <w:bCs/>
              </w:rPr>
            </w:pPr>
            <w:r w:rsidRPr="00EB4ECB">
              <w:rPr>
                <w:b/>
                <w:bCs/>
              </w:rPr>
              <w:t>Prijaté úvery, pôžičky a návratné finančné výpomoci (500)</w:t>
            </w:r>
          </w:p>
        </w:tc>
        <w:tc>
          <w:tcPr>
            <w:tcW w:w="0" w:type="auto"/>
            <w:tcBorders>
              <w:top w:val="nil"/>
              <w:left w:val="nil"/>
              <w:bottom w:val="single" w:sz="4" w:space="0" w:color="auto"/>
              <w:right w:val="single" w:sz="4" w:space="0" w:color="auto"/>
            </w:tcBorders>
            <w:shd w:val="clear" w:color="auto" w:fill="FFFF99"/>
          </w:tcPr>
          <w:p w:rsidR="00E97D3B" w:rsidRPr="00EB4ECB" w:rsidRDefault="00E97D3B" w:rsidP="00211FA4">
            <w:pPr>
              <w:keepNext w:val="0"/>
              <w:widowControl w:val="0"/>
              <w:jc w:val="center"/>
              <w:rPr>
                <w:b/>
                <w:bCs/>
              </w:rPr>
            </w:pPr>
            <w:r w:rsidRPr="00EB4ECB">
              <w:rPr>
                <w:b/>
                <w:bCs/>
              </w:rPr>
              <w:t> </w:t>
            </w:r>
          </w:p>
        </w:tc>
        <w:tc>
          <w:tcPr>
            <w:tcW w:w="0" w:type="auto"/>
            <w:tcBorders>
              <w:top w:val="nil"/>
              <w:left w:val="nil"/>
              <w:bottom w:val="single" w:sz="4" w:space="0" w:color="auto"/>
              <w:right w:val="single" w:sz="4" w:space="0" w:color="auto"/>
            </w:tcBorders>
            <w:shd w:val="clear" w:color="auto" w:fill="FFFF99"/>
          </w:tcPr>
          <w:p w:rsidR="00E97D3B" w:rsidRPr="00EB4ECB" w:rsidRDefault="00E97D3B" w:rsidP="00211FA4">
            <w:pPr>
              <w:keepNext w:val="0"/>
              <w:widowControl w:val="0"/>
              <w:jc w:val="center"/>
              <w:rPr>
                <w:b/>
                <w:bCs/>
              </w:rPr>
            </w:pPr>
            <w:r w:rsidRPr="00EB4ECB">
              <w:rPr>
                <w:b/>
                <w:bCs/>
              </w:rPr>
              <w:t> </w:t>
            </w:r>
          </w:p>
        </w:tc>
        <w:tc>
          <w:tcPr>
            <w:tcW w:w="0" w:type="auto"/>
            <w:tcBorders>
              <w:top w:val="nil"/>
              <w:left w:val="nil"/>
              <w:bottom w:val="single" w:sz="4" w:space="0" w:color="auto"/>
              <w:right w:val="single" w:sz="4" w:space="0" w:color="auto"/>
            </w:tcBorders>
            <w:shd w:val="clear" w:color="auto" w:fill="FFFF99"/>
          </w:tcPr>
          <w:p w:rsidR="00E97D3B" w:rsidRPr="00EB4ECB" w:rsidRDefault="00E97D3B" w:rsidP="00211FA4">
            <w:pPr>
              <w:keepNext w:val="0"/>
              <w:widowControl w:val="0"/>
              <w:jc w:val="center"/>
              <w:rPr>
                <w:b/>
                <w:bCs/>
              </w:rPr>
            </w:pPr>
            <w:r w:rsidRPr="00EB4ECB">
              <w:rPr>
                <w:b/>
                <w:bCs/>
              </w:rPr>
              <w:t> </w:t>
            </w:r>
          </w:p>
        </w:tc>
        <w:tc>
          <w:tcPr>
            <w:tcW w:w="0" w:type="auto"/>
            <w:tcBorders>
              <w:top w:val="nil"/>
              <w:left w:val="nil"/>
              <w:bottom w:val="single" w:sz="4" w:space="0" w:color="auto"/>
              <w:right w:val="single" w:sz="4" w:space="0" w:color="auto"/>
            </w:tcBorders>
            <w:shd w:val="clear" w:color="auto" w:fill="FFFF99"/>
          </w:tcPr>
          <w:p w:rsidR="00E97D3B" w:rsidRPr="00EB4ECB" w:rsidRDefault="00E97D3B" w:rsidP="00211FA4">
            <w:pPr>
              <w:keepNext w:val="0"/>
              <w:widowControl w:val="0"/>
              <w:jc w:val="center"/>
              <w:rPr>
                <w:b/>
                <w:bCs/>
              </w:rPr>
            </w:pPr>
            <w:r w:rsidRPr="00EB4ECB">
              <w:rPr>
                <w:b/>
                <w:bCs/>
              </w:rPr>
              <w:t> </w:t>
            </w:r>
          </w:p>
        </w:tc>
        <w:tc>
          <w:tcPr>
            <w:tcW w:w="0" w:type="auto"/>
            <w:tcBorders>
              <w:top w:val="nil"/>
              <w:left w:val="nil"/>
              <w:bottom w:val="single" w:sz="4" w:space="0" w:color="auto"/>
              <w:right w:val="single" w:sz="4" w:space="0" w:color="auto"/>
            </w:tcBorders>
            <w:noWrap/>
            <w:vAlign w:val="bottom"/>
          </w:tcPr>
          <w:p w:rsidR="00E97D3B" w:rsidRPr="00EB4ECB" w:rsidRDefault="00E97D3B" w:rsidP="00211FA4">
            <w:pPr>
              <w:keepNext w:val="0"/>
              <w:widowControl w:val="0"/>
            </w:pPr>
            <w:r w:rsidRPr="00EB4ECB">
              <w:t> </w:t>
            </w:r>
          </w:p>
        </w:tc>
      </w:tr>
      <w:tr w:rsidR="00E97D3B" w:rsidRPr="00EB4ECB" w:rsidTr="003E2019">
        <w:trPr>
          <w:trHeight w:val="255"/>
        </w:trPr>
        <w:tc>
          <w:tcPr>
            <w:tcW w:w="0" w:type="auto"/>
            <w:tcBorders>
              <w:top w:val="nil"/>
              <w:left w:val="single" w:sz="4" w:space="0" w:color="auto"/>
              <w:bottom w:val="single" w:sz="4" w:space="0" w:color="auto"/>
              <w:right w:val="single" w:sz="4" w:space="0" w:color="auto"/>
            </w:tcBorders>
            <w:shd w:val="clear" w:color="auto" w:fill="BFBFBF"/>
          </w:tcPr>
          <w:p w:rsidR="00E97D3B" w:rsidRPr="00EB4ECB" w:rsidRDefault="00E97D3B" w:rsidP="00211FA4">
            <w:pPr>
              <w:keepNext w:val="0"/>
              <w:widowControl w:val="0"/>
              <w:rPr>
                <w:b/>
                <w:bCs/>
              </w:rPr>
            </w:pPr>
            <w:r w:rsidRPr="00EB4ECB">
              <w:rPr>
                <w:b/>
                <w:bCs/>
              </w:rPr>
              <w:t>Dopad na príjmy verejnej správy celkom</w:t>
            </w:r>
          </w:p>
        </w:tc>
        <w:tc>
          <w:tcPr>
            <w:tcW w:w="0" w:type="auto"/>
            <w:tcBorders>
              <w:top w:val="nil"/>
              <w:left w:val="nil"/>
              <w:bottom w:val="single" w:sz="4" w:space="0" w:color="auto"/>
              <w:right w:val="single" w:sz="4" w:space="0" w:color="auto"/>
            </w:tcBorders>
            <w:shd w:val="clear" w:color="auto" w:fill="BFBFBF"/>
          </w:tcPr>
          <w:p w:rsidR="00E97D3B" w:rsidRPr="00EB4ECB" w:rsidRDefault="00E97D3B" w:rsidP="00211FA4">
            <w:pPr>
              <w:keepNext w:val="0"/>
              <w:widowControl w:val="0"/>
              <w:jc w:val="center"/>
              <w:rPr>
                <w:b/>
                <w:bCs/>
              </w:rPr>
            </w:pPr>
            <w:r w:rsidRPr="00EB4ECB">
              <w:rPr>
                <w:b/>
                <w:bCs/>
              </w:rPr>
              <w:t>0</w:t>
            </w:r>
          </w:p>
        </w:tc>
        <w:tc>
          <w:tcPr>
            <w:tcW w:w="0" w:type="auto"/>
            <w:tcBorders>
              <w:top w:val="nil"/>
              <w:left w:val="nil"/>
              <w:bottom w:val="single" w:sz="4" w:space="0" w:color="auto"/>
              <w:right w:val="single" w:sz="4" w:space="0" w:color="auto"/>
            </w:tcBorders>
            <w:shd w:val="clear" w:color="auto" w:fill="BFBFBF"/>
          </w:tcPr>
          <w:p w:rsidR="00E97D3B" w:rsidRPr="00EB4ECB" w:rsidRDefault="00E97D3B" w:rsidP="00211FA4">
            <w:pPr>
              <w:keepNext w:val="0"/>
              <w:widowControl w:val="0"/>
              <w:jc w:val="center"/>
              <w:rPr>
                <w:b/>
                <w:bCs/>
              </w:rPr>
            </w:pPr>
            <w:r>
              <w:rPr>
                <w:b/>
                <w:bCs/>
              </w:rPr>
              <w:t>6</w:t>
            </w:r>
            <w:r w:rsidRPr="00EB4ECB">
              <w:rPr>
                <w:b/>
                <w:bCs/>
              </w:rPr>
              <w:t xml:space="preserve">00 </w:t>
            </w:r>
            <w:r>
              <w:rPr>
                <w:b/>
                <w:bCs/>
              </w:rPr>
              <w:t>29</w:t>
            </w:r>
            <w:r w:rsidRPr="00EB4ECB">
              <w:rPr>
                <w:b/>
                <w:bCs/>
              </w:rPr>
              <w:t>1</w:t>
            </w:r>
          </w:p>
        </w:tc>
        <w:tc>
          <w:tcPr>
            <w:tcW w:w="0" w:type="auto"/>
            <w:tcBorders>
              <w:top w:val="nil"/>
              <w:left w:val="nil"/>
              <w:bottom w:val="single" w:sz="4" w:space="0" w:color="auto"/>
              <w:right w:val="single" w:sz="4" w:space="0" w:color="auto"/>
            </w:tcBorders>
            <w:shd w:val="clear" w:color="auto" w:fill="BFBFBF"/>
          </w:tcPr>
          <w:p w:rsidR="00E97D3B" w:rsidRPr="00EB4ECB" w:rsidRDefault="00E97D3B" w:rsidP="00211FA4">
            <w:pPr>
              <w:keepNext w:val="0"/>
              <w:widowControl w:val="0"/>
              <w:jc w:val="center"/>
              <w:rPr>
                <w:b/>
                <w:bCs/>
              </w:rPr>
            </w:pPr>
            <w:r w:rsidRPr="00EB4ECB">
              <w:rPr>
                <w:b/>
                <w:bCs/>
              </w:rPr>
              <w:t>1 200 581</w:t>
            </w:r>
          </w:p>
        </w:tc>
        <w:tc>
          <w:tcPr>
            <w:tcW w:w="0" w:type="auto"/>
            <w:tcBorders>
              <w:top w:val="nil"/>
              <w:left w:val="nil"/>
              <w:bottom w:val="single" w:sz="4" w:space="0" w:color="auto"/>
              <w:right w:val="single" w:sz="4" w:space="0" w:color="auto"/>
            </w:tcBorders>
            <w:shd w:val="clear" w:color="auto" w:fill="BFBFBF"/>
          </w:tcPr>
          <w:p w:rsidR="00E97D3B" w:rsidRPr="00EB4ECB" w:rsidRDefault="00E97D3B" w:rsidP="00211FA4">
            <w:pPr>
              <w:keepNext w:val="0"/>
              <w:widowControl w:val="0"/>
              <w:jc w:val="center"/>
              <w:rPr>
                <w:b/>
                <w:bCs/>
              </w:rPr>
            </w:pPr>
            <w:r w:rsidRPr="00EB4ECB">
              <w:rPr>
                <w:b/>
                <w:bCs/>
              </w:rPr>
              <w:t>1 200 581</w:t>
            </w:r>
          </w:p>
        </w:tc>
        <w:tc>
          <w:tcPr>
            <w:tcW w:w="0" w:type="auto"/>
            <w:tcBorders>
              <w:top w:val="nil"/>
              <w:left w:val="nil"/>
              <w:bottom w:val="single" w:sz="4" w:space="0" w:color="auto"/>
              <w:right w:val="single" w:sz="4" w:space="0" w:color="auto"/>
            </w:tcBorders>
            <w:shd w:val="clear" w:color="auto" w:fill="BFBFBF"/>
            <w:noWrap/>
            <w:vAlign w:val="bottom"/>
          </w:tcPr>
          <w:p w:rsidR="00E97D3B" w:rsidRPr="00EB4ECB" w:rsidRDefault="00E97D3B" w:rsidP="00211FA4">
            <w:pPr>
              <w:keepNext w:val="0"/>
              <w:widowControl w:val="0"/>
            </w:pPr>
            <w:r w:rsidRPr="00EB4ECB">
              <w:t> </w:t>
            </w:r>
          </w:p>
        </w:tc>
      </w:tr>
    </w:tbl>
    <w:p w:rsidR="00E97D3B" w:rsidRPr="00EB4ECB" w:rsidRDefault="00E97D3B" w:rsidP="00211FA4">
      <w:pPr>
        <w:keepNext w:val="0"/>
        <w:widowControl w:val="0"/>
        <w:tabs>
          <w:tab w:val="num" w:pos="1080"/>
        </w:tabs>
        <w:rPr>
          <w:bCs/>
        </w:rPr>
      </w:pPr>
      <w:r w:rsidRPr="00EB4ECB">
        <w:rPr>
          <w:bCs/>
        </w:rPr>
        <w:t>1 –</w:t>
      </w:r>
      <w:r w:rsidR="00211FA4">
        <w:rPr>
          <w:bCs/>
        </w:rPr>
        <w:t xml:space="preserve"> </w:t>
      </w:r>
      <w:r w:rsidRPr="00EB4ECB">
        <w:rPr>
          <w:bCs/>
        </w:rPr>
        <w:t>príjmy rozpísať až do položiek platnej ekonomickej klasifikácie</w:t>
      </w:r>
    </w:p>
    <w:p w:rsidR="00E97D3B" w:rsidRPr="00EB4ECB" w:rsidRDefault="00E97D3B" w:rsidP="00211FA4">
      <w:pPr>
        <w:keepNext w:val="0"/>
        <w:widowControl w:val="0"/>
        <w:tabs>
          <w:tab w:val="num" w:pos="1080"/>
        </w:tabs>
        <w:rPr>
          <w:bCs/>
        </w:rPr>
      </w:pPr>
    </w:p>
    <w:p w:rsidR="00E97D3B" w:rsidRPr="00EB4ECB" w:rsidRDefault="00E97D3B" w:rsidP="00211FA4">
      <w:pPr>
        <w:keepNext w:val="0"/>
        <w:widowControl w:val="0"/>
        <w:tabs>
          <w:tab w:val="num" w:pos="1080"/>
        </w:tabs>
        <w:rPr>
          <w:b/>
          <w:bCs/>
        </w:rPr>
      </w:pPr>
      <w:r>
        <w:rPr>
          <w:b/>
          <w:bCs/>
        </w:rPr>
        <w:t xml:space="preserve"> </w:t>
      </w:r>
      <w:r w:rsidRPr="00EB4ECB">
        <w:rPr>
          <w:b/>
          <w:bCs/>
        </w:rPr>
        <w:t>Poznámka:</w:t>
      </w:r>
    </w:p>
    <w:p w:rsidR="00E97D3B" w:rsidRPr="00EB4ECB" w:rsidRDefault="00E97D3B" w:rsidP="00211FA4">
      <w:pPr>
        <w:keepNext w:val="0"/>
        <w:widowControl w:val="0"/>
        <w:tabs>
          <w:tab w:val="num" w:pos="1080"/>
        </w:tabs>
        <w:rPr>
          <w:bCs/>
        </w:rPr>
      </w:pPr>
      <w:r>
        <w:rPr>
          <w:bCs/>
        </w:rPr>
        <w:t xml:space="preserve"> </w:t>
      </w:r>
      <w:r w:rsidRPr="00EB4ECB">
        <w:rPr>
          <w:bCs/>
        </w:rPr>
        <w:t>Ak sa vplyv týka viacerých subjektov verejnej správy, vypĺňa sa samostatná tabuľka za každý subjekt.</w:t>
      </w:r>
    </w:p>
    <w:p w:rsidR="00D97D0F" w:rsidRDefault="00D97D0F" w:rsidP="00211FA4">
      <w:pPr>
        <w:keepNext w:val="0"/>
        <w:widowControl w:val="0"/>
        <w:tabs>
          <w:tab w:val="num" w:pos="1080"/>
        </w:tabs>
        <w:jc w:val="left"/>
      </w:pPr>
    </w:p>
    <w:p w:rsidR="00E97D3B" w:rsidRDefault="00E97D3B" w:rsidP="00211FA4">
      <w:pPr>
        <w:keepNext w:val="0"/>
        <w:widowControl w:val="0"/>
        <w:tabs>
          <w:tab w:val="num" w:pos="1080"/>
        </w:tabs>
        <w:jc w:val="left"/>
      </w:pPr>
    </w:p>
    <w:p w:rsidR="00E97D3B" w:rsidRDefault="00E97D3B" w:rsidP="00211FA4">
      <w:pPr>
        <w:keepNext w:val="0"/>
        <w:widowControl w:val="0"/>
        <w:tabs>
          <w:tab w:val="num" w:pos="1080"/>
        </w:tabs>
        <w:jc w:val="left"/>
      </w:pPr>
    </w:p>
    <w:p w:rsidR="00E97D3B" w:rsidRDefault="00E97D3B" w:rsidP="00211FA4">
      <w:pPr>
        <w:keepNext w:val="0"/>
        <w:widowControl w:val="0"/>
        <w:tabs>
          <w:tab w:val="num" w:pos="1080"/>
        </w:tabs>
        <w:jc w:val="left"/>
      </w:pPr>
    </w:p>
    <w:p w:rsidR="003E2019" w:rsidRDefault="003E2019" w:rsidP="00211FA4">
      <w:pPr>
        <w:keepNext w:val="0"/>
        <w:widowControl w:val="0"/>
        <w:tabs>
          <w:tab w:val="num" w:pos="1080"/>
        </w:tabs>
        <w:ind w:right="-32"/>
        <w:jc w:val="right"/>
        <w:rPr>
          <w:bCs/>
        </w:rPr>
      </w:pPr>
    </w:p>
    <w:p w:rsidR="003E2019" w:rsidRDefault="003E2019" w:rsidP="00211FA4">
      <w:pPr>
        <w:keepNext w:val="0"/>
        <w:widowControl w:val="0"/>
        <w:tabs>
          <w:tab w:val="num" w:pos="1080"/>
        </w:tabs>
        <w:ind w:right="-32"/>
        <w:jc w:val="right"/>
        <w:rPr>
          <w:bCs/>
        </w:rPr>
      </w:pPr>
    </w:p>
    <w:p w:rsidR="00211FA4" w:rsidRDefault="00211FA4" w:rsidP="00211FA4">
      <w:pPr>
        <w:keepNext w:val="0"/>
        <w:pageBreakBefore/>
        <w:widowControl w:val="0"/>
        <w:tabs>
          <w:tab w:val="num" w:pos="1080"/>
        </w:tabs>
        <w:ind w:right="-34"/>
        <w:jc w:val="right"/>
        <w:rPr>
          <w:bCs/>
        </w:rPr>
        <w:sectPr w:rsidR="00211FA4" w:rsidSect="00211FA4">
          <w:footerReference w:type="even" r:id="rId15"/>
          <w:footerReference w:type="default" r:id="rId16"/>
          <w:pgSz w:w="16838" w:h="11906" w:orient="landscape"/>
          <w:pgMar w:top="1418" w:right="1418" w:bottom="1418" w:left="1276" w:header="709" w:footer="709" w:gutter="0"/>
          <w:cols w:space="708"/>
          <w:docGrid w:linePitch="360"/>
        </w:sectPr>
      </w:pPr>
    </w:p>
    <w:p w:rsidR="00E97D3B" w:rsidRPr="00EB4ECB" w:rsidRDefault="00E97D3B" w:rsidP="00211FA4">
      <w:pPr>
        <w:keepNext w:val="0"/>
        <w:pageBreakBefore/>
        <w:widowControl w:val="0"/>
        <w:tabs>
          <w:tab w:val="num" w:pos="1080"/>
        </w:tabs>
        <w:ind w:right="-34"/>
        <w:jc w:val="right"/>
        <w:rPr>
          <w:bCs/>
        </w:rPr>
      </w:pPr>
      <w:r w:rsidRPr="00EB4ECB">
        <w:rPr>
          <w:bCs/>
        </w:rPr>
        <w:lastRenderedPageBreak/>
        <w:t xml:space="preserve">Tabuľka č. 4 </w:t>
      </w:r>
    </w:p>
    <w:p w:rsidR="00E97D3B" w:rsidRPr="00EB4ECB" w:rsidRDefault="00E97D3B" w:rsidP="00211FA4">
      <w:pPr>
        <w:keepNext w:val="0"/>
        <w:widowControl w:val="0"/>
        <w:tabs>
          <w:tab w:val="num" w:pos="1080"/>
        </w:tabs>
        <w:rPr>
          <w:bCs/>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E97D3B" w:rsidRPr="00EB4ECB" w:rsidTr="00E97D3B">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rsidR="00E97D3B" w:rsidRPr="00EB4ECB" w:rsidRDefault="00E97D3B" w:rsidP="00211FA4">
            <w:pPr>
              <w:keepNext w:val="0"/>
              <w:widowControl w:val="0"/>
              <w:jc w:val="center"/>
              <w:rPr>
                <w:b/>
                <w:bCs/>
                <w:sz w:val="20"/>
                <w:szCs w:val="20"/>
              </w:rPr>
            </w:pPr>
            <w:r w:rsidRPr="00EB4ECB">
              <w:rPr>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cPr>
          <w:p w:rsidR="00E97D3B" w:rsidRPr="00EB4ECB" w:rsidRDefault="00E97D3B" w:rsidP="00211FA4">
            <w:pPr>
              <w:keepNext w:val="0"/>
              <w:widowControl w:val="0"/>
              <w:jc w:val="center"/>
              <w:rPr>
                <w:b/>
                <w:bCs/>
                <w:sz w:val="20"/>
                <w:szCs w:val="20"/>
              </w:rPr>
            </w:pPr>
            <w:r w:rsidRPr="00EB4ECB">
              <w:rPr>
                <w:b/>
                <w:bCs/>
                <w:sz w:val="20"/>
                <w:szCs w:val="20"/>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E97D3B" w:rsidRPr="00EB4ECB" w:rsidRDefault="00E97D3B" w:rsidP="00211FA4">
            <w:pPr>
              <w:keepNext w:val="0"/>
              <w:widowControl w:val="0"/>
              <w:jc w:val="center"/>
              <w:rPr>
                <w:b/>
                <w:bCs/>
                <w:sz w:val="20"/>
                <w:szCs w:val="20"/>
              </w:rPr>
            </w:pPr>
            <w:r w:rsidRPr="00EB4ECB">
              <w:rPr>
                <w:b/>
                <w:bCs/>
                <w:sz w:val="20"/>
                <w:szCs w:val="20"/>
              </w:rPr>
              <w:t>poznámka</w:t>
            </w:r>
          </w:p>
        </w:tc>
      </w:tr>
      <w:tr w:rsidR="00E97D3B" w:rsidRPr="00EB4ECB" w:rsidTr="00E97D3B">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E97D3B" w:rsidRPr="00EB4ECB" w:rsidRDefault="00E97D3B" w:rsidP="00211FA4">
            <w:pPr>
              <w:keepNext w:val="0"/>
              <w:widowControl w:val="0"/>
              <w:rPr>
                <w:b/>
                <w:bCs/>
                <w:color w:val="FFFFFF"/>
                <w:sz w:val="20"/>
                <w:szCs w:val="20"/>
              </w:rPr>
            </w:pPr>
          </w:p>
        </w:tc>
        <w:tc>
          <w:tcPr>
            <w:tcW w:w="1540" w:type="dxa"/>
            <w:tcBorders>
              <w:top w:val="nil"/>
              <w:left w:val="nil"/>
              <w:bottom w:val="single" w:sz="4" w:space="0" w:color="auto"/>
              <w:right w:val="single" w:sz="4" w:space="0" w:color="auto"/>
            </w:tcBorders>
            <w:shd w:val="clear" w:color="auto" w:fill="BFBFBF"/>
          </w:tcPr>
          <w:p w:rsidR="00E97D3B" w:rsidRPr="00EB4ECB" w:rsidRDefault="00E97D3B" w:rsidP="00211FA4">
            <w:pPr>
              <w:keepNext w:val="0"/>
              <w:widowControl w:val="0"/>
              <w:jc w:val="center"/>
              <w:rPr>
                <w:b/>
                <w:bCs/>
                <w:sz w:val="20"/>
                <w:szCs w:val="20"/>
              </w:rPr>
            </w:pPr>
            <w:r w:rsidRPr="00EB4ECB">
              <w:rPr>
                <w:b/>
                <w:bCs/>
                <w:sz w:val="20"/>
                <w:szCs w:val="20"/>
              </w:rPr>
              <w:t>2018</w:t>
            </w:r>
          </w:p>
        </w:tc>
        <w:tc>
          <w:tcPr>
            <w:tcW w:w="1540" w:type="dxa"/>
            <w:tcBorders>
              <w:top w:val="nil"/>
              <w:left w:val="nil"/>
              <w:bottom w:val="single" w:sz="4" w:space="0" w:color="auto"/>
              <w:right w:val="single" w:sz="4" w:space="0" w:color="auto"/>
            </w:tcBorders>
            <w:shd w:val="clear" w:color="auto" w:fill="BFBFBF"/>
          </w:tcPr>
          <w:p w:rsidR="00E97D3B" w:rsidRPr="00EB4ECB" w:rsidRDefault="00E97D3B" w:rsidP="00211FA4">
            <w:pPr>
              <w:keepNext w:val="0"/>
              <w:widowControl w:val="0"/>
              <w:jc w:val="center"/>
              <w:rPr>
                <w:b/>
                <w:bCs/>
                <w:sz w:val="20"/>
                <w:szCs w:val="20"/>
              </w:rPr>
            </w:pPr>
            <w:r w:rsidRPr="00EB4ECB">
              <w:rPr>
                <w:b/>
                <w:bCs/>
                <w:sz w:val="20"/>
                <w:szCs w:val="20"/>
              </w:rPr>
              <w:t>2019</w:t>
            </w:r>
          </w:p>
        </w:tc>
        <w:tc>
          <w:tcPr>
            <w:tcW w:w="1540" w:type="dxa"/>
            <w:tcBorders>
              <w:top w:val="nil"/>
              <w:left w:val="nil"/>
              <w:bottom w:val="single" w:sz="4" w:space="0" w:color="auto"/>
              <w:right w:val="single" w:sz="4" w:space="0" w:color="auto"/>
            </w:tcBorders>
            <w:shd w:val="clear" w:color="auto" w:fill="BFBFBF"/>
          </w:tcPr>
          <w:p w:rsidR="00E97D3B" w:rsidRPr="00EB4ECB" w:rsidRDefault="00E97D3B" w:rsidP="00211FA4">
            <w:pPr>
              <w:keepNext w:val="0"/>
              <w:widowControl w:val="0"/>
              <w:jc w:val="center"/>
              <w:rPr>
                <w:b/>
                <w:bCs/>
                <w:sz w:val="20"/>
                <w:szCs w:val="20"/>
              </w:rPr>
            </w:pPr>
            <w:r w:rsidRPr="00EB4ECB">
              <w:rPr>
                <w:b/>
                <w:bCs/>
                <w:sz w:val="20"/>
                <w:szCs w:val="20"/>
              </w:rPr>
              <w:t>2020</w:t>
            </w:r>
          </w:p>
        </w:tc>
        <w:tc>
          <w:tcPr>
            <w:tcW w:w="1540" w:type="dxa"/>
            <w:tcBorders>
              <w:top w:val="nil"/>
              <w:left w:val="nil"/>
              <w:bottom w:val="single" w:sz="4" w:space="0" w:color="auto"/>
              <w:right w:val="single" w:sz="4" w:space="0" w:color="auto"/>
            </w:tcBorders>
            <w:shd w:val="clear" w:color="auto" w:fill="BFBFBF"/>
          </w:tcPr>
          <w:p w:rsidR="00E97D3B" w:rsidRPr="00EB4ECB" w:rsidRDefault="00E97D3B" w:rsidP="00211FA4">
            <w:pPr>
              <w:keepNext w:val="0"/>
              <w:widowControl w:val="0"/>
              <w:jc w:val="center"/>
              <w:rPr>
                <w:b/>
                <w:bCs/>
                <w:sz w:val="20"/>
                <w:szCs w:val="20"/>
              </w:rPr>
            </w:pPr>
            <w:r w:rsidRPr="00EB4ECB">
              <w:rPr>
                <w:b/>
                <w:bCs/>
                <w:sz w:val="20"/>
                <w:szCs w:val="20"/>
              </w:rPr>
              <w:t>2021</w:t>
            </w:r>
          </w:p>
        </w:tc>
        <w:tc>
          <w:tcPr>
            <w:tcW w:w="2220" w:type="dxa"/>
            <w:vMerge/>
            <w:tcBorders>
              <w:top w:val="single" w:sz="4" w:space="0" w:color="auto"/>
              <w:left w:val="single" w:sz="4" w:space="0" w:color="auto"/>
              <w:bottom w:val="single" w:sz="4" w:space="0" w:color="auto"/>
              <w:right w:val="single" w:sz="4" w:space="0" w:color="auto"/>
            </w:tcBorders>
            <w:vAlign w:val="center"/>
          </w:tcPr>
          <w:p w:rsidR="00E97D3B" w:rsidRPr="00EB4ECB" w:rsidRDefault="00E97D3B" w:rsidP="00211FA4">
            <w:pPr>
              <w:keepNext w:val="0"/>
              <w:widowControl w:val="0"/>
              <w:rPr>
                <w:b/>
                <w:bCs/>
                <w:color w:val="FFFFFF"/>
                <w:sz w:val="20"/>
                <w:szCs w:val="20"/>
              </w:rPr>
            </w:pPr>
          </w:p>
        </w:tc>
      </w:tr>
      <w:tr w:rsidR="00E97D3B" w:rsidRPr="00EB4ECB" w:rsidTr="00DF357D">
        <w:trPr>
          <w:trHeight w:val="255"/>
        </w:trPr>
        <w:tc>
          <w:tcPr>
            <w:tcW w:w="7070" w:type="dxa"/>
            <w:tcBorders>
              <w:top w:val="nil"/>
              <w:left w:val="single" w:sz="4" w:space="0" w:color="auto"/>
              <w:bottom w:val="single" w:sz="4" w:space="0" w:color="auto"/>
              <w:right w:val="single" w:sz="4" w:space="0" w:color="auto"/>
            </w:tcBorders>
          </w:tcPr>
          <w:p w:rsidR="00E97D3B" w:rsidRPr="00EB4ECB" w:rsidRDefault="00E97D3B" w:rsidP="00211FA4">
            <w:pPr>
              <w:keepNext w:val="0"/>
              <w:widowControl w:val="0"/>
              <w:rPr>
                <w:b/>
                <w:bCs/>
                <w:sz w:val="20"/>
                <w:szCs w:val="20"/>
              </w:rPr>
            </w:pPr>
            <w:r w:rsidRPr="00EB4ECB">
              <w:rPr>
                <w:b/>
                <w:bCs/>
                <w:sz w:val="20"/>
                <w:szCs w:val="20"/>
              </w:rPr>
              <w:t>Bežné výdavky (600)</w:t>
            </w:r>
          </w:p>
        </w:tc>
        <w:tc>
          <w:tcPr>
            <w:tcW w:w="1540" w:type="dxa"/>
            <w:tcBorders>
              <w:top w:val="nil"/>
              <w:left w:val="nil"/>
              <w:bottom w:val="single" w:sz="4" w:space="0" w:color="auto"/>
              <w:right w:val="single" w:sz="4" w:space="0" w:color="auto"/>
            </w:tcBorders>
          </w:tcPr>
          <w:p w:rsidR="00E97D3B" w:rsidRPr="00EB4ECB" w:rsidRDefault="00E97D3B" w:rsidP="00211FA4">
            <w:pPr>
              <w:keepNext w:val="0"/>
              <w:widowControl w:val="0"/>
              <w:jc w:val="center"/>
              <w:rPr>
                <w:b/>
                <w:bCs/>
                <w:sz w:val="20"/>
                <w:szCs w:val="20"/>
              </w:rPr>
            </w:pPr>
          </w:p>
        </w:tc>
        <w:tc>
          <w:tcPr>
            <w:tcW w:w="1540" w:type="dxa"/>
            <w:tcBorders>
              <w:top w:val="nil"/>
              <w:left w:val="nil"/>
              <w:bottom w:val="single" w:sz="4" w:space="0" w:color="auto"/>
              <w:right w:val="single" w:sz="4" w:space="0" w:color="auto"/>
            </w:tcBorders>
          </w:tcPr>
          <w:p w:rsidR="00E97D3B" w:rsidRPr="00EB4ECB" w:rsidRDefault="00E97D3B" w:rsidP="00211FA4">
            <w:pPr>
              <w:keepNext w:val="0"/>
              <w:widowControl w:val="0"/>
              <w:jc w:val="center"/>
              <w:rPr>
                <w:b/>
                <w:bCs/>
                <w:sz w:val="20"/>
                <w:szCs w:val="20"/>
              </w:rPr>
            </w:pPr>
          </w:p>
        </w:tc>
        <w:tc>
          <w:tcPr>
            <w:tcW w:w="1540" w:type="dxa"/>
            <w:tcBorders>
              <w:top w:val="nil"/>
              <w:left w:val="nil"/>
              <w:bottom w:val="single" w:sz="4" w:space="0" w:color="auto"/>
              <w:right w:val="single" w:sz="4" w:space="0" w:color="auto"/>
            </w:tcBorders>
          </w:tcPr>
          <w:p w:rsidR="00E97D3B" w:rsidRPr="00EB4ECB" w:rsidRDefault="00E97D3B" w:rsidP="00211FA4">
            <w:pPr>
              <w:keepNext w:val="0"/>
              <w:widowControl w:val="0"/>
              <w:jc w:val="center"/>
              <w:rPr>
                <w:b/>
                <w:bCs/>
                <w:sz w:val="20"/>
                <w:szCs w:val="20"/>
              </w:rPr>
            </w:pPr>
          </w:p>
        </w:tc>
        <w:tc>
          <w:tcPr>
            <w:tcW w:w="1540" w:type="dxa"/>
            <w:tcBorders>
              <w:top w:val="nil"/>
              <w:left w:val="nil"/>
              <w:bottom w:val="single" w:sz="4" w:space="0" w:color="auto"/>
              <w:right w:val="single" w:sz="4" w:space="0" w:color="auto"/>
            </w:tcBorders>
          </w:tcPr>
          <w:p w:rsidR="00E97D3B" w:rsidRPr="00EB4ECB" w:rsidRDefault="00E97D3B" w:rsidP="00211FA4">
            <w:pPr>
              <w:keepNext w:val="0"/>
              <w:widowControl w:val="0"/>
              <w:jc w:val="center"/>
              <w:rPr>
                <w:b/>
                <w:bCs/>
                <w:sz w:val="20"/>
                <w:szCs w:val="20"/>
              </w:rPr>
            </w:pPr>
          </w:p>
        </w:tc>
        <w:tc>
          <w:tcPr>
            <w:tcW w:w="2220" w:type="dxa"/>
            <w:tcBorders>
              <w:top w:val="nil"/>
              <w:left w:val="nil"/>
              <w:bottom w:val="single" w:sz="4" w:space="0" w:color="auto"/>
              <w:right w:val="single" w:sz="4" w:space="0" w:color="auto"/>
            </w:tcBorders>
            <w:noWrap/>
            <w:vAlign w:val="bottom"/>
          </w:tcPr>
          <w:p w:rsidR="00E97D3B" w:rsidRPr="00EB4ECB" w:rsidRDefault="00E97D3B" w:rsidP="00211FA4">
            <w:pPr>
              <w:keepNext w:val="0"/>
              <w:widowControl w:val="0"/>
              <w:rPr>
                <w:sz w:val="20"/>
                <w:szCs w:val="20"/>
              </w:rPr>
            </w:pPr>
            <w:r w:rsidRPr="00EB4ECB">
              <w:rPr>
                <w:sz w:val="20"/>
                <w:szCs w:val="20"/>
              </w:rPr>
              <w:t> </w:t>
            </w:r>
          </w:p>
        </w:tc>
      </w:tr>
      <w:tr w:rsidR="00E97D3B" w:rsidRPr="00EB4ECB" w:rsidTr="00DF357D">
        <w:trPr>
          <w:trHeight w:val="255"/>
        </w:trPr>
        <w:tc>
          <w:tcPr>
            <w:tcW w:w="7070" w:type="dxa"/>
            <w:tcBorders>
              <w:top w:val="nil"/>
              <w:left w:val="single" w:sz="4" w:space="0" w:color="auto"/>
              <w:bottom w:val="single" w:sz="4" w:space="0" w:color="auto"/>
              <w:right w:val="single" w:sz="4" w:space="0" w:color="auto"/>
            </w:tcBorders>
          </w:tcPr>
          <w:p w:rsidR="00E97D3B" w:rsidRPr="00EB4ECB" w:rsidRDefault="00211FA4" w:rsidP="00211FA4">
            <w:pPr>
              <w:keepNext w:val="0"/>
              <w:widowControl w:val="0"/>
              <w:rPr>
                <w:sz w:val="20"/>
                <w:szCs w:val="20"/>
              </w:rPr>
            </w:pPr>
            <w:r>
              <w:rPr>
                <w:sz w:val="20"/>
                <w:szCs w:val="20"/>
              </w:rPr>
              <w:t xml:space="preserve"> </w:t>
            </w:r>
            <w:r w:rsidR="00E97D3B" w:rsidRPr="00EB4ECB">
              <w:rPr>
                <w:sz w:val="20"/>
                <w:szCs w:val="20"/>
              </w:rPr>
              <w:t>Mzdy, platy, služobné príjmy a ostatné osobné vyrovnania (610)</w:t>
            </w:r>
          </w:p>
        </w:tc>
        <w:tc>
          <w:tcPr>
            <w:tcW w:w="1540" w:type="dxa"/>
            <w:tcBorders>
              <w:top w:val="nil"/>
              <w:left w:val="nil"/>
              <w:bottom w:val="single" w:sz="4" w:space="0" w:color="auto"/>
              <w:right w:val="single" w:sz="4" w:space="0" w:color="auto"/>
            </w:tcBorders>
          </w:tcPr>
          <w:p w:rsidR="00E97D3B" w:rsidRPr="00EB4ECB" w:rsidRDefault="00E97D3B" w:rsidP="00211FA4">
            <w:pPr>
              <w:keepNext w:val="0"/>
              <w:widowControl w:val="0"/>
              <w:jc w:val="center"/>
              <w:rPr>
                <w:sz w:val="20"/>
                <w:szCs w:val="20"/>
              </w:rPr>
            </w:pPr>
          </w:p>
        </w:tc>
        <w:tc>
          <w:tcPr>
            <w:tcW w:w="1540" w:type="dxa"/>
            <w:tcBorders>
              <w:top w:val="nil"/>
              <w:left w:val="nil"/>
              <w:bottom w:val="single" w:sz="4" w:space="0" w:color="auto"/>
              <w:right w:val="single" w:sz="4" w:space="0" w:color="auto"/>
            </w:tcBorders>
          </w:tcPr>
          <w:p w:rsidR="00E97D3B" w:rsidRPr="00EB4ECB" w:rsidRDefault="00E97D3B" w:rsidP="00211FA4">
            <w:pPr>
              <w:keepNext w:val="0"/>
              <w:widowControl w:val="0"/>
              <w:jc w:val="center"/>
              <w:rPr>
                <w:sz w:val="20"/>
                <w:szCs w:val="20"/>
              </w:rPr>
            </w:pPr>
          </w:p>
        </w:tc>
        <w:tc>
          <w:tcPr>
            <w:tcW w:w="1540" w:type="dxa"/>
            <w:tcBorders>
              <w:top w:val="nil"/>
              <w:left w:val="nil"/>
              <w:bottom w:val="single" w:sz="4" w:space="0" w:color="auto"/>
              <w:right w:val="single" w:sz="4" w:space="0" w:color="auto"/>
            </w:tcBorders>
          </w:tcPr>
          <w:p w:rsidR="00E97D3B" w:rsidRPr="00EB4ECB" w:rsidRDefault="00E97D3B" w:rsidP="00211FA4">
            <w:pPr>
              <w:keepNext w:val="0"/>
              <w:widowControl w:val="0"/>
              <w:jc w:val="center"/>
              <w:rPr>
                <w:sz w:val="20"/>
                <w:szCs w:val="20"/>
              </w:rPr>
            </w:pPr>
          </w:p>
        </w:tc>
        <w:tc>
          <w:tcPr>
            <w:tcW w:w="1540" w:type="dxa"/>
            <w:tcBorders>
              <w:top w:val="nil"/>
              <w:left w:val="nil"/>
              <w:bottom w:val="single" w:sz="4" w:space="0" w:color="auto"/>
              <w:right w:val="single" w:sz="4" w:space="0" w:color="auto"/>
            </w:tcBorders>
          </w:tcPr>
          <w:p w:rsidR="00E97D3B" w:rsidRPr="00EB4ECB" w:rsidRDefault="00E97D3B" w:rsidP="00211FA4">
            <w:pPr>
              <w:keepNext w:val="0"/>
              <w:widowControl w:val="0"/>
              <w:jc w:val="center"/>
              <w:rPr>
                <w:sz w:val="20"/>
                <w:szCs w:val="20"/>
              </w:rPr>
            </w:pPr>
          </w:p>
        </w:tc>
        <w:tc>
          <w:tcPr>
            <w:tcW w:w="2220" w:type="dxa"/>
            <w:tcBorders>
              <w:top w:val="nil"/>
              <w:left w:val="nil"/>
              <w:bottom w:val="single" w:sz="4" w:space="0" w:color="auto"/>
              <w:right w:val="single" w:sz="4" w:space="0" w:color="auto"/>
            </w:tcBorders>
            <w:noWrap/>
            <w:vAlign w:val="bottom"/>
          </w:tcPr>
          <w:p w:rsidR="00E97D3B" w:rsidRPr="00EB4ECB" w:rsidRDefault="00E97D3B" w:rsidP="00211FA4">
            <w:pPr>
              <w:keepNext w:val="0"/>
              <w:widowControl w:val="0"/>
              <w:rPr>
                <w:sz w:val="20"/>
                <w:szCs w:val="20"/>
              </w:rPr>
            </w:pPr>
            <w:r w:rsidRPr="00EB4ECB">
              <w:rPr>
                <w:sz w:val="20"/>
                <w:szCs w:val="20"/>
              </w:rPr>
              <w:t> </w:t>
            </w:r>
          </w:p>
        </w:tc>
      </w:tr>
      <w:tr w:rsidR="00E97D3B" w:rsidRPr="00EB4ECB" w:rsidTr="00DF357D">
        <w:trPr>
          <w:trHeight w:val="255"/>
        </w:trPr>
        <w:tc>
          <w:tcPr>
            <w:tcW w:w="7070" w:type="dxa"/>
            <w:tcBorders>
              <w:top w:val="nil"/>
              <w:left w:val="single" w:sz="4" w:space="0" w:color="auto"/>
              <w:bottom w:val="single" w:sz="4" w:space="0" w:color="auto"/>
              <w:right w:val="single" w:sz="4" w:space="0" w:color="auto"/>
            </w:tcBorders>
          </w:tcPr>
          <w:p w:rsidR="00E97D3B" w:rsidRPr="00EB4ECB" w:rsidRDefault="00211FA4" w:rsidP="00211FA4">
            <w:pPr>
              <w:keepNext w:val="0"/>
              <w:widowControl w:val="0"/>
              <w:rPr>
                <w:sz w:val="20"/>
                <w:szCs w:val="20"/>
                <w:vertAlign w:val="superscript"/>
              </w:rPr>
            </w:pPr>
            <w:r>
              <w:rPr>
                <w:sz w:val="20"/>
                <w:szCs w:val="20"/>
              </w:rPr>
              <w:t xml:space="preserve"> </w:t>
            </w:r>
            <w:r w:rsidR="00E97D3B" w:rsidRPr="00EB4ECB">
              <w:rPr>
                <w:sz w:val="20"/>
                <w:szCs w:val="20"/>
              </w:rPr>
              <w:t>Poistné a príspevok do poisťovní (620)</w:t>
            </w:r>
          </w:p>
        </w:tc>
        <w:tc>
          <w:tcPr>
            <w:tcW w:w="1540" w:type="dxa"/>
            <w:tcBorders>
              <w:top w:val="nil"/>
              <w:left w:val="nil"/>
              <w:bottom w:val="single" w:sz="4" w:space="0" w:color="auto"/>
              <w:right w:val="single" w:sz="4" w:space="0" w:color="auto"/>
            </w:tcBorders>
          </w:tcPr>
          <w:p w:rsidR="00E97D3B" w:rsidRPr="00EB4ECB" w:rsidRDefault="00E97D3B" w:rsidP="00211FA4">
            <w:pPr>
              <w:keepNext w:val="0"/>
              <w:widowControl w:val="0"/>
              <w:jc w:val="center"/>
              <w:rPr>
                <w:sz w:val="20"/>
                <w:szCs w:val="20"/>
              </w:rPr>
            </w:pPr>
          </w:p>
        </w:tc>
        <w:tc>
          <w:tcPr>
            <w:tcW w:w="1540" w:type="dxa"/>
            <w:tcBorders>
              <w:top w:val="nil"/>
              <w:left w:val="nil"/>
              <w:bottom w:val="single" w:sz="4" w:space="0" w:color="auto"/>
              <w:right w:val="single" w:sz="4" w:space="0" w:color="auto"/>
            </w:tcBorders>
          </w:tcPr>
          <w:p w:rsidR="00E97D3B" w:rsidRPr="00EB4ECB" w:rsidRDefault="00E97D3B" w:rsidP="00211FA4">
            <w:pPr>
              <w:keepNext w:val="0"/>
              <w:widowControl w:val="0"/>
              <w:jc w:val="center"/>
              <w:rPr>
                <w:sz w:val="20"/>
                <w:szCs w:val="20"/>
              </w:rPr>
            </w:pPr>
          </w:p>
        </w:tc>
        <w:tc>
          <w:tcPr>
            <w:tcW w:w="1540" w:type="dxa"/>
            <w:tcBorders>
              <w:top w:val="nil"/>
              <w:left w:val="nil"/>
              <w:bottom w:val="single" w:sz="4" w:space="0" w:color="auto"/>
              <w:right w:val="single" w:sz="4" w:space="0" w:color="auto"/>
            </w:tcBorders>
          </w:tcPr>
          <w:p w:rsidR="00E97D3B" w:rsidRPr="00EB4ECB" w:rsidRDefault="00E97D3B" w:rsidP="00211FA4">
            <w:pPr>
              <w:keepNext w:val="0"/>
              <w:widowControl w:val="0"/>
              <w:jc w:val="center"/>
              <w:rPr>
                <w:sz w:val="20"/>
                <w:szCs w:val="20"/>
              </w:rPr>
            </w:pPr>
          </w:p>
        </w:tc>
        <w:tc>
          <w:tcPr>
            <w:tcW w:w="1540" w:type="dxa"/>
            <w:tcBorders>
              <w:top w:val="nil"/>
              <w:left w:val="nil"/>
              <w:bottom w:val="single" w:sz="4" w:space="0" w:color="auto"/>
              <w:right w:val="single" w:sz="4" w:space="0" w:color="auto"/>
            </w:tcBorders>
          </w:tcPr>
          <w:p w:rsidR="00E97D3B" w:rsidRPr="00EB4ECB" w:rsidRDefault="00E97D3B" w:rsidP="00211FA4">
            <w:pPr>
              <w:keepNext w:val="0"/>
              <w:widowControl w:val="0"/>
              <w:jc w:val="center"/>
              <w:rPr>
                <w:sz w:val="20"/>
                <w:szCs w:val="20"/>
              </w:rPr>
            </w:pPr>
          </w:p>
        </w:tc>
        <w:tc>
          <w:tcPr>
            <w:tcW w:w="2220" w:type="dxa"/>
            <w:tcBorders>
              <w:top w:val="nil"/>
              <w:left w:val="nil"/>
              <w:bottom w:val="single" w:sz="4" w:space="0" w:color="auto"/>
              <w:right w:val="single" w:sz="4" w:space="0" w:color="auto"/>
            </w:tcBorders>
            <w:noWrap/>
            <w:vAlign w:val="bottom"/>
          </w:tcPr>
          <w:p w:rsidR="00E97D3B" w:rsidRPr="00EB4ECB" w:rsidRDefault="00E97D3B" w:rsidP="00211FA4">
            <w:pPr>
              <w:keepNext w:val="0"/>
              <w:widowControl w:val="0"/>
              <w:rPr>
                <w:sz w:val="20"/>
                <w:szCs w:val="20"/>
              </w:rPr>
            </w:pPr>
            <w:r w:rsidRPr="00EB4ECB">
              <w:rPr>
                <w:sz w:val="20"/>
                <w:szCs w:val="20"/>
              </w:rPr>
              <w:t> </w:t>
            </w:r>
          </w:p>
        </w:tc>
      </w:tr>
      <w:tr w:rsidR="00E97D3B" w:rsidRPr="00EB4ECB" w:rsidTr="00DF357D">
        <w:trPr>
          <w:trHeight w:val="255"/>
        </w:trPr>
        <w:tc>
          <w:tcPr>
            <w:tcW w:w="7070" w:type="dxa"/>
            <w:tcBorders>
              <w:top w:val="nil"/>
              <w:left w:val="single" w:sz="4" w:space="0" w:color="auto"/>
              <w:bottom w:val="single" w:sz="4" w:space="0" w:color="auto"/>
              <w:right w:val="single" w:sz="4" w:space="0" w:color="auto"/>
            </w:tcBorders>
          </w:tcPr>
          <w:p w:rsidR="00E97D3B" w:rsidRPr="00EB4ECB" w:rsidRDefault="00211FA4" w:rsidP="00211FA4">
            <w:pPr>
              <w:keepNext w:val="0"/>
              <w:widowControl w:val="0"/>
              <w:rPr>
                <w:sz w:val="20"/>
                <w:szCs w:val="20"/>
                <w:vertAlign w:val="superscript"/>
              </w:rPr>
            </w:pPr>
            <w:r>
              <w:rPr>
                <w:sz w:val="20"/>
                <w:szCs w:val="20"/>
              </w:rPr>
              <w:t xml:space="preserve"> </w:t>
            </w:r>
            <w:r w:rsidR="00E97D3B" w:rsidRPr="00EB4ECB">
              <w:rPr>
                <w:sz w:val="20"/>
                <w:szCs w:val="20"/>
              </w:rPr>
              <w:t>Tovary a služby (630)</w:t>
            </w:r>
            <w:r w:rsidR="00E97D3B" w:rsidRPr="00EB4ECB">
              <w:rPr>
                <w:sz w:val="20"/>
                <w:szCs w:val="20"/>
                <w:vertAlign w:val="superscript"/>
              </w:rPr>
              <w:t>2</w:t>
            </w:r>
          </w:p>
        </w:tc>
        <w:tc>
          <w:tcPr>
            <w:tcW w:w="1540" w:type="dxa"/>
            <w:tcBorders>
              <w:top w:val="nil"/>
              <w:left w:val="nil"/>
              <w:bottom w:val="single" w:sz="4" w:space="0" w:color="auto"/>
              <w:right w:val="single" w:sz="4" w:space="0" w:color="auto"/>
            </w:tcBorders>
          </w:tcPr>
          <w:p w:rsidR="00E97D3B" w:rsidRPr="00EB4ECB" w:rsidRDefault="00E97D3B" w:rsidP="00211FA4">
            <w:pPr>
              <w:keepNext w:val="0"/>
              <w:widowControl w:val="0"/>
              <w:jc w:val="center"/>
              <w:rPr>
                <w:sz w:val="20"/>
                <w:szCs w:val="20"/>
              </w:rPr>
            </w:pPr>
          </w:p>
        </w:tc>
        <w:tc>
          <w:tcPr>
            <w:tcW w:w="1540" w:type="dxa"/>
            <w:tcBorders>
              <w:top w:val="nil"/>
              <w:left w:val="nil"/>
              <w:bottom w:val="single" w:sz="4" w:space="0" w:color="auto"/>
              <w:right w:val="single" w:sz="4" w:space="0" w:color="auto"/>
            </w:tcBorders>
          </w:tcPr>
          <w:p w:rsidR="00E97D3B" w:rsidRPr="00EB4ECB" w:rsidRDefault="00E97D3B" w:rsidP="00211FA4">
            <w:pPr>
              <w:keepNext w:val="0"/>
              <w:widowControl w:val="0"/>
              <w:jc w:val="center"/>
              <w:rPr>
                <w:sz w:val="20"/>
                <w:szCs w:val="20"/>
              </w:rPr>
            </w:pPr>
          </w:p>
        </w:tc>
        <w:tc>
          <w:tcPr>
            <w:tcW w:w="1540" w:type="dxa"/>
            <w:tcBorders>
              <w:top w:val="nil"/>
              <w:left w:val="nil"/>
              <w:bottom w:val="single" w:sz="4" w:space="0" w:color="auto"/>
              <w:right w:val="single" w:sz="4" w:space="0" w:color="auto"/>
            </w:tcBorders>
          </w:tcPr>
          <w:p w:rsidR="00E97D3B" w:rsidRPr="00EB4ECB" w:rsidRDefault="00E97D3B" w:rsidP="00211FA4">
            <w:pPr>
              <w:keepNext w:val="0"/>
              <w:widowControl w:val="0"/>
              <w:jc w:val="center"/>
              <w:rPr>
                <w:sz w:val="20"/>
                <w:szCs w:val="20"/>
              </w:rPr>
            </w:pPr>
          </w:p>
        </w:tc>
        <w:tc>
          <w:tcPr>
            <w:tcW w:w="1540" w:type="dxa"/>
            <w:tcBorders>
              <w:top w:val="nil"/>
              <w:left w:val="nil"/>
              <w:bottom w:val="single" w:sz="4" w:space="0" w:color="auto"/>
              <w:right w:val="single" w:sz="4" w:space="0" w:color="auto"/>
            </w:tcBorders>
          </w:tcPr>
          <w:p w:rsidR="00E97D3B" w:rsidRPr="00EB4ECB" w:rsidRDefault="00E97D3B" w:rsidP="00211FA4">
            <w:pPr>
              <w:keepNext w:val="0"/>
              <w:widowControl w:val="0"/>
              <w:jc w:val="center"/>
              <w:rPr>
                <w:sz w:val="20"/>
                <w:szCs w:val="20"/>
              </w:rPr>
            </w:pPr>
          </w:p>
        </w:tc>
        <w:tc>
          <w:tcPr>
            <w:tcW w:w="2220" w:type="dxa"/>
            <w:tcBorders>
              <w:top w:val="nil"/>
              <w:left w:val="nil"/>
              <w:bottom w:val="single" w:sz="4" w:space="0" w:color="auto"/>
              <w:right w:val="single" w:sz="4" w:space="0" w:color="auto"/>
            </w:tcBorders>
            <w:noWrap/>
            <w:vAlign w:val="bottom"/>
          </w:tcPr>
          <w:p w:rsidR="00E97D3B" w:rsidRPr="00EB4ECB" w:rsidRDefault="00E97D3B" w:rsidP="00211FA4">
            <w:pPr>
              <w:keepNext w:val="0"/>
              <w:widowControl w:val="0"/>
              <w:rPr>
                <w:sz w:val="20"/>
                <w:szCs w:val="20"/>
              </w:rPr>
            </w:pPr>
            <w:r w:rsidRPr="00EB4ECB">
              <w:rPr>
                <w:sz w:val="20"/>
                <w:szCs w:val="20"/>
              </w:rPr>
              <w:t> </w:t>
            </w:r>
          </w:p>
        </w:tc>
      </w:tr>
      <w:tr w:rsidR="00E97D3B" w:rsidRPr="00EB4ECB" w:rsidTr="00DF357D">
        <w:trPr>
          <w:trHeight w:val="255"/>
        </w:trPr>
        <w:tc>
          <w:tcPr>
            <w:tcW w:w="7070" w:type="dxa"/>
            <w:tcBorders>
              <w:top w:val="nil"/>
              <w:left w:val="single" w:sz="4" w:space="0" w:color="auto"/>
              <w:bottom w:val="single" w:sz="4" w:space="0" w:color="auto"/>
              <w:right w:val="single" w:sz="4" w:space="0" w:color="auto"/>
            </w:tcBorders>
          </w:tcPr>
          <w:p w:rsidR="00E97D3B" w:rsidRPr="00EB4ECB" w:rsidRDefault="00211FA4" w:rsidP="00211FA4">
            <w:pPr>
              <w:keepNext w:val="0"/>
              <w:widowControl w:val="0"/>
              <w:rPr>
                <w:sz w:val="20"/>
                <w:szCs w:val="20"/>
              </w:rPr>
            </w:pPr>
            <w:r>
              <w:rPr>
                <w:sz w:val="20"/>
                <w:szCs w:val="20"/>
              </w:rPr>
              <w:t xml:space="preserve"> </w:t>
            </w:r>
            <w:r w:rsidR="00E97D3B" w:rsidRPr="00EB4ECB">
              <w:rPr>
                <w:sz w:val="20"/>
                <w:szCs w:val="20"/>
              </w:rPr>
              <w:t>Bežné transfery (640)</w:t>
            </w:r>
            <w:r w:rsidR="00E97D3B" w:rsidRPr="00EB4ECB">
              <w:rPr>
                <w:sz w:val="20"/>
                <w:szCs w:val="20"/>
                <w:vertAlign w:val="superscript"/>
              </w:rPr>
              <w:t>2</w:t>
            </w:r>
          </w:p>
        </w:tc>
        <w:tc>
          <w:tcPr>
            <w:tcW w:w="1540" w:type="dxa"/>
            <w:tcBorders>
              <w:top w:val="nil"/>
              <w:left w:val="nil"/>
              <w:bottom w:val="single" w:sz="4" w:space="0" w:color="auto"/>
              <w:right w:val="single" w:sz="4" w:space="0" w:color="auto"/>
            </w:tcBorders>
          </w:tcPr>
          <w:p w:rsidR="00E97D3B" w:rsidRPr="00EB4ECB" w:rsidRDefault="00E97D3B" w:rsidP="00211FA4">
            <w:pPr>
              <w:keepNext w:val="0"/>
              <w:widowControl w:val="0"/>
              <w:jc w:val="center"/>
              <w:rPr>
                <w:sz w:val="20"/>
                <w:szCs w:val="20"/>
              </w:rPr>
            </w:pPr>
          </w:p>
        </w:tc>
        <w:tc>
          <w:tcPr>
            <w:tcW w:w="1540" w:type="dxa"/>
            <w:tcBorders>
              <w:top w:val="nil"/>
              <w:left w:val="nil"/>
              <w:bottom w:val="single" w:sz="4" w:space="0" w:color="auto"/>
              <w:right w:val="single" w:sz="4" w:space="0" w:color="auto"/>
            </w:tcBorders>
          </w:tcPr>
          <w:p w:rsidR="00E97D3B" w:rsidRPr="00EB4ECB" w:rsidRDefault="00E97D3B" w:rsidP="00211FA4">
            <w:pPr>
              <w:keepNext w:val="0"/>
              <w:widowControl w:val="0"/>
              <w:jc w:val="center"/>
              <w:rPr>
                <w:sz w:val="20"/>
                <w:szCs w:val="20"/>
              </w:rPr>
            </w:pPr>
          </w:p>
        </w:tc>
        <w:tc>
          <w:tcPr>
            <w:tcW w:w="1540" w:type="dxa"/>
            <w:tcBorders>
              <w:top w:val="nil"/>
              <w:left w:val="nil"/>
              <w:bottom w:val="single" w:sz="4" w:space="0" w:color="auto"/>
              <w:right w:val="single" w:sz="4" w:space="0" w:color="auto"/>
            </w:tcBorders>
          </w:tcPr>
          <w:p w:rsidR="00E97D3B" w:rsidRPr="00EB4ECB" w:rsidRDefault="00E97D3B" w:rsidP="00211FA4">
            <w:pPr>
              <w:keepNext w:val="0"/>
              <w:widowControl w:val="0"/>
              <w:jc w:val="center"/>
              <w:rPr>
                <w:sz w:val="20"/>
                <w:szCs w:val="20"/>
              </w:rPr>
            </w:pPr>
          </w:p>
        </w:tc>
        <w:tc>
          <w:tcPr>
            <w:tcW w:w="1540" w:type="dxa"/>
            <w:tcBorders>
              <w:top w:val="nil"/>
              <w:left w:val="nil"/>
              <w:bottom w:val="single" w:sz="4" w:space="0" w:color="auto"/>
              <w:right w:val="single" w:sz="4" w:space="0" w:color="auto"/>
            </w:tcBorders>
          </w:tcPr>
          <w:p w:rsidR="00E97D3B" w:rsidRPr="00EB4ECB" w:rsidRDefault="00E97D3B" w:rsidP="00211FA4">
            <w:pPr>
              <w:keepNext w:val="0"/>
              <w:widowControl w:val="0"/>
              <w:jc w:val="center"/>
              <w:rPr>
                <w:sz w:val="20"/>
                <w:szCs w:val="20"/>
              </w:rPr>
            </w:pPr>
          </w:p>
        </w:tc>
        <w:tc>
          <w:tcPr>
            <w:tcW w:w="2220" w:type="dxa"/>
            <w:tcBorders>
              <w:top w:val="nil"/>
              <w:left w:val="nil"/>
              <w:bottom w:val="single" w:sz="4" w:space="0" w:color="auto"/>
              <w:right w:val="single" w:sz="4" w:space="0" w:color="auto"/>
            </w:tcBorders>
            <w:noWrap/>
            <w:vAlign w:val="bottom"/>
          </w:tcPr>
          <w:p w:rsidR="00E97D3B" w:rsidRPr="00EB4ECB" w:rsidRDefault="00E97D3B" w:rsidP="00211FA4">
            <w:pPr>
              <w:keepNext w:val="0"/>
              <w:widowControl w:val="0"/>
              <w:rPr>
                <w:sz w:val="20"/>
                <w:szCs w:val="20"/>
              </w:rPr>
            </w:pPr>
            <w:r w:rsidRPr="00EB4ECB">
              <w:rPr>
                <w:sz w:val="20"/>
                <w:szCs w:val="20"/>
              </w:rPr>
              <w:t> </w:t>
            </w:r>
          </w:p>
        </w:tc>
      </w:tr>
      <w:tr w:rsidR="00E97D3B" w:rsidRPr="00EB4ECB" w:rsidTr="00DF357D">
        <w:trPr>
          <w:trHeight w:val="255"/>
        </w:trPr>
        <w:tc>
          <w:tcPr>
            <w:tcW w:w="7070" w:type="dxa"/>
            <w:tcBorders>
              <w:top w:val="nil"/>
              <w:left w:val="single" w:sz="4" w:space="0" w:color="auto"/>
              <w:bottom w:val="single" w:sz="4" w:space="0" w:color="auto"/>
              <w:right w:val="single" w:sz="4" w:space="0" w:color="auto"/>
            </w:tcBorders>
            <w:vAlign w:val="center"/>
          </w:tcPr>
          <w:p w:rsidR="00E97D3B" w:rsidRPr="00EB4ECB" w:rsidRDefault="00211FA4" w:rsidP="00211FA4">
            <w:pPr>
              <w:keepNext w:val="0"/>
              <w:widowControl w:val="0"/>
              <w:rPr>
                <w:sz w:val="20"/>
                <w:szCs w:val="20"/>
              </w:rPr>
            </w:pPr>
            <w:r>
              <w:rPr>
                <w:sz w:val="20"/>
                <w:szCs w:val="20"/>
              </w:rPr>
              <w:t xml:space="preserve"> </w:t>
            </w:r>
            <w:r w:rsidR="00E97D3B" w:rsidRPr="00EB4ECB">
              <w:rPr>
                <w:sz w:val="20"/>
                <w:szCs w:val="20"/>
              </w:rPr>
              <w:t>Splácanie úrokov a ostatné platby súvisiace s</w:t>
            </w:r>
            <w:r>
              <w:rPr>
                <w:sz w:val="20"/>
                <w:szCs w:val="20"/>
              </w:rPr>
              <w:t xml:space="preserve"> </w:t>
            </w:r>
            <w:r w:rsidR="00E97D3B" w:rsidRPr="00EB4ECB">
              <w:rPr>
                <w:sz w:val="20"/>
                <w:szCs w:val="20"/>
              </w:rPr>
              <w:t>úverom, pôžičkou, návratnou finančnou výpomocou a finančným prenájmom (650)</w:t>
            </w:r>
            <w:r w:rsidR="00E97D3B" w:rsidRPr="00EB4ECB">
              <w:rPr>
                <w:sz w:val="20"/>
                <w:szCs w:val="20"/>
                <w:vertAlign w:val="superscript"/>
              </w:rPr>
              <w:t>2</w:t>
            </w:r>
          </w:p>
        </w:tc>
        <w:tc>
          <w:tcPr>
            <w:tcW w:w="1540" w:type="dxa"/>
            <w:tcBorders>
              <w:top w:val="nil"/>
              <w:left w:val="nil"/>
              <w:bottom w:val="single" w:sz="4" w:space="0" w:color="auto"/>
              <w:right w:val="single" w:sz="4" w:space="0" w:color="auto"/>
            </w:tcBorders>
          </w:tcPr>
          <w:p w:rsidR="00E97D3B" w:rsidRPr="00EB4ECB" w:rsidRDefault="00E97D3B" w:rsidP="00211FA4">
            <w:pPr>
              <w:keepNext w:val="0"/>
              <w:widowControl w:val="0"/>
              <w:jc w:val="center"/>
              <w:rPr>
                <w:sz w:val="20"/>
                <w:szCs w:val="20"/>
              </w:rPr>
            </w:pPr>
          </w:p>
        </w:tc>
        <w:tc>
          <w:tcPr>
            <w:tcW w:w="1540" w:type="dxa"/>
            <w:tcBorders>
              <w:top w:val="nil"/>
              <w:left w:val="nil"/>
              <w:bottom w:val="single" w:sz="4" w:space="0" w:color="auto"/>
              <w:right w:val="single" w:sz="4" w:space="0" w:color="auto"/>
            </w:tcBorders>
          </w:tcPr>
          <w:p w:rsidR="00E97D3B" w:rsidRPr="00EB4ECB" w:rsidRDefault="00E97D3B" w:rsidP="00211FA4">
            <w:pPr>
              <w:keepNext w:val="0"/>
              <w:widowControl w:val="0"/>
              <w:jc w:val="center"/>
              <w:rPr>
                <w:sz w:val="20"/>
                <w:szCs w:val="20"/>
              </w:rPr>
            </w:pPr>
          </w:p>
        </w:tc>
        <w:tc>
          <w:tcPr>
            <w:tcW w:w="1540" w:type="dxa"/>
            <w:tcBorders>
              <w:top w:val="nil"/>
              <w:left w:val="nil"/>
              <w:bottom w:val="single" w:sz="4" w:space="0" w:color="auto"/>
              <w:right w:val="single" w:sz="4" w:space="0" w:color="auto"/>
            </w:tcBorders>
          </w:tcPr>
          <w:p w:rsidR="00E97D3B" w:rsidRPr="00EB4ECB" w:rsidRDefault="00E97D3B" w:rsidP="00211FA4">
            <w:pPr>
              <w:keepNext w:val="0"/>
              <w:widowControl w:val="0"/>
              <w:jc w:val="center"/>
              <w:rPr>
                <w:sz w:val="20"/>
                <w:szCs w:val="20"/>
              </w:rPr>
            </w:pPr>
          </w:p>
        </w:tc>
        <w:tc>
          <w:tcPr>
            <w:tcW w:w="1540" w:type="dxa"/>
            <w:tcBorders>
              <w:top w:val="nil"/>
              <w:left w:val="nil"/>
              <w:bottom w:val="single" w:sz="4" w:space="0" w:color="auto"/>
              <w:right w:val="single" w:sz="4" w:space="0" w:color="auto"/>
            </w:tcBorders>
          </w:tcPr>
          <w:p w:rsidR="00E97D3B" w:rsidRPr="00EB4ECB" w:rsidRDefault="00E97D3B" w:rsidP="00211FA4">
            <w:pPr>
              <w:keepNext w:val="0"/>
              <w:widowControl w:val="0"/>
              <w:jc w:val="center"/>
              <w:rPr>
                <w:sz w:val="20"/>
                <w:szCs w:val="20"/>
              </w:rPr>
            </w:pPr>
          </w:p>
        </w:tc>
        <w:tc>
          <w:tcPr>
            <w:tcW w:w="2220" w:type="dxa"/>
            <w:tcBorders>
              <w:top w:val="nil"/>
              <w:left w:val="nil"/>
              <w:bottom w:val="single" w:sz="4" w:space="0" w:color="auto"/>
              <w:right w:val="single" w:sz="4" w:space="0" w:color="auto"/>
            </w:tcBorders>
            <w:noWrap/>
            <w:vAlign w:val="bottom"/>
          </w:tcPr>
          <w:p w:rsidR="00E97D3B" w:rsidRPr="00EB4ECB" w:rsidRDefault="00E97D3B" w:rsidP="00211FA4">
            <w:pPr>
              <w:keepNext w:val="0"/>
              <w:widowControl w:val="0"/>
              <w:rPr>
                <w:sz w:val="20"/>
                <w:szCs w:val="20"/>
              </w:rPr>
            </w:pPr>
          </w:p>
        </w:tc>
      </w:tr>
      <w:tr w:rsidR="00E97D3B" w:rsidRPr="00EB4ECB" w:rsidTr="00DF357D">
        <w:trPr>
          <w:trHeight w:val="255"/>
        </w:trPr>
        <w:tc>
          <w:tcPr>
            <w:tcW w:w="7070" w:type="dxa"/>
            <w:tcBorders>
              <w:top w:val="nil"/>
              <w:left w:val="single" w:sz="4" w:space="0" w:color="auto"/>
              <w:bottom w:val="single" w:sz="4" w:space="0" w:color="auto"/>
              <w:right w:val="single" w:sz="4" w:space="0" w:color="auto"/>
            </w:tcBorders>
          </w:tcPr>
          <w:p w:rsidR="00E97D3B" w:rsidRPr="00EB4ECB" w:rsidRDefault="00E97D3B" w:rsidP="00211FA4">
            <w:pPr>
              <w:keepNext w:val="0"/>
              <w:widowControl w:val="0"/>
              <w:rPr>
                <w:b/>
                <w:bCs/>
                <w:sz w:val="20"/>
                <w:szCs w:val="20"/>
              </w:rPr>
            </w:pPr>
            <w:r w:rsidRPr="00EB4ECB">
              <w:rPr>
                <w:b/>
                <w:bCs/>
                <w:sz w:val="20"/>
                <w:szCs w:val="20"/>
              </w:rPr>
              <w:t>Kapitálové výdavky (700)</w:t>
            </w:r>
          </w:p>
        </w:tc>
        <w:tc>
          <w:tcPr>
            <w:tcW w:w="1540" w:type="dxa"/>
            <w:tcBorders>
              <w:top w:val="nil"/>
              <w:left w:val="nil"/>
              <w:bottom w:val="single" w:sz="4" w:space="0" w:color="auto"/>
              <w:right w:val="single" w:sz="4" w:space="0" w:color="auto"/>
            </w:tcBorders>
          </w:tcPr>
          <w:p w:rsidR="00E97D3B" w:rsidRPr="00EB4ECB" w:rsidRDefault="00E97D3B" w:rsidP="00211FA4">
            <w:pPr>
              <w:keepNext w:val="0"/>
              <w:widowControl w:val="0"/>
              <w:jc w:val="center"/>
              <w:rPr>
                <w:b/>
                <w:bCs/>
                <w:sz w:val="20"/>
                <w:szCs w:val="20"/>
              </w:rPr>
            </w:pPr>
          </w:p>
        </w:tc>
        <w:tc>
          <w:tcPr>
            <w:tcW w:w="1540" w:type="dxa"/>
            <w:tcBorders>
              <w:top w:val="nil"/>
              <w:left w:val="nil"/>
              <w:bottom w:val="single" w:sz="4" w:space="0" w:color="auto"/>
              <w:right w:val="single" w:sz="4" w:space="0" w:color="auto"/>
            </w:tcBorders>
          </w:tcPr>
          <w:p w:rsidR="00E97D3B" w:rsidRPr="00EB4ECB" w:rsidRDefault="00E97D3B" w:rsidP="00211FA4">
            <w:pPr>
              <w:keepNext w:val="0"/>
              <w:widowControl w:val="0"/>
              <w:jc w:val="center"/>
              <w:rPr>
                <w:b/>
                <w:bCs/>
                <w:sz w:val="20"/>
                <w:szCs w:val="20"/>
              </w:rPr>
            </w:pPr>
          </w:p>
        </w:tc>
        <w:tc>
          <w:tcPr>
            <w:tcW w:w="1540" w:type="dxa"/>
            <w:tcBorders>
              <w:top w:val="nil"/>
              <w:left w:val="nil"/>
              <w:bottom w:val="single" w:sz="4" w:space="0" w:color="auto"/>
              <w:right w:val="single" w:sz="4" w:space="0" w:color="auto"/>
            </w:tcBorders>
          </w:tcPr>
          <w:p w:rsidR="00E97D3B" w:rsidRPr="00EB4ECB" w:rsidRDefault="00E97D3B" w:rsidP="00211FA4">
            <w:pPr>
              <w:keepNext w:val="0"/>
              <w:widowControl w:val="0"/>
              <w:jc w:val="center"/>
              <w:rPr>
                <w:b/>
                <w:bCs/>
                <w:sz w:val="20"/>
                <w:szCs w:val="20"/>
              </w:rPr>
            </w:pPr>
          </w:p>
        </w:tc>
        <w:tc>
          <w:tcPr>
            <w:tcW w:w="1540" w:type="dxa"/>
            <w:tcBorders>
              <w:top w:val="nil"/>
              <w:left w:val="nil"/>
              <w:bottom w:val="single" w:sz="4" w:space="0" w:color="auto"/>
              <w:right w:val="single" w:sz="4" w:space="0" w:color="auto"/>
            </w:tcBorders>
          </w:tcPr>
          <w:p w:rsidR="00E97D3B" w:rsidRPr="00EB4ECB" w:rsidRDefault="00E97D3B" w:rsidP="00211FA4">
            <w:pPr>
              <w:keepNext w:val="0"/>
              <w:widowControl w:val="0"/>
              <w:jc w:val="center"/>
              <w:rPr>
                <w:b/>
                <w:bCs/>
                <w:sz w:val="20"/>
                <w:szCs w:val="20"/>
              </w:rPr>
            </w:pPr>
          </w:p>
        </w:tc>
        <w:tc>
          <w:tcPr>
            <w:tcW w:w="2220" w:type="dxa"/>
            <w:tcBorders>
              <w:top w:val="nil"/>
              <w:left w:val="nil"/>
              <w:bottom w:val="single" w:sz="4" w:space="0" w:color="auto"/>
              <w:right w:val="single" w:sz="4" w:space="0" w:color="auto"/>
            </w:tcBorders>
            <w:noWrap/>
            <w:vAlign w:val="bottom"/>
          </w:tcPr>
          <w:p w:rsidR="00E97D3B" w:rsidRPr="00EB4ECB" w:rsidRDefault="00E97D3B" w:rsidP="00211FA4">
            <w:pPr>
              <w:keepNext w:val="0"/>
              <w:widowControl w:val="0"/>
              <w:rPr>
                <w:sz w:val="20"/>
                <w:szCs w:val="20"/>
              </w:rPr>
            </w:pPr>
            <w:r w:rsidRPr="00EB4ECB">
              <w:rPr>
                <w:sz w:val="20"/>
                <w:szCs w:val="20"/>
              </w:rPr>
              <w:t> </w:t>
            </w:r>
          </w:p>
        </w:tc>
      </w:tr>
      <w:tr w:rsidR="00E97D3B" w:rsidRPr="00EB4ECB" w:rsidTr="00DF357D">
        <w:trPr>
          <w:trHeight w:val="255"/>
        </w:trPr>
        <w:tc>
          <w:tcPr>
            <w:tcW w:w="7070" w:type="dxa"/>
            <w:tcBorders>
              <w:top w:val="nil"/>
              <w:left w:val="single" w:sz="4" w:space="0" w:color="auto"/>
              <w:bottom w:val="single" w:sz="4" w:space="0" w:color="auto"/>
              <w:right w:val="single" w:sz="4" w:space="0" w:color="auto"/>
            </w:tcBorders>
          </w:tcPr>
          <w:p w:rsidR="00E97D3B" w:rsidRPr="00EB4ECB" w:rsidRDefault="00211FA4" w:rsidP="00211FA4">
            <w:pPr>
              <w:keepNext w:val="0"/>
              <w:widowControl w:val="0"/>
              <w:rPr>
                <w:sz w:val="20"/>
                <w:szCs w:val="20"/>
              </w:rPr>
            </w:pPr>
            <w:r>
              <w:rPr>
                <w:sz w:val="20"/>
                <w:szCs w:val="20"/>
              </w:rPr>
              <w:t xml:space="preserve"> </w:t>
            </w:r>
            <w:r w:rsidR="00E97D3B" w:rsidRPr="00EB4ECB">
              <w:rPr>
                <w:sz w:val="20"/>
                <w:szCs w:val="20"/>
              </w:rPr>
              <w:t>Obstarávanie kapitálových aktív (710)</w:t>
            </w:r>
            <w:r w:rsidR="00E97D3B" w:rsidRPr="00EB4ECB">
              <w:rPr>
                <w:sz w:val="20"/>
                <w:szCs w:val="20"/>
                <w:vertAlign w:val="superscript"/>
              </w:rPr>
              <w:t>2</w:t>
            </w:r>
          </w:p>
        </w:tc>
        <w:tc>
          <w:tcPr>
            <w:tcW w:w="1540" w:type="dxa"/>
            <w:tcBorders>
              <w:top w:val="nil"/>
              <w:left w:val="nil"/>
              <w:bottom w:val="single" w:sz="4" w:space="0" w:color="auto"/>
              <w:right w:val="single" w:sz="4" w:space="0" w:color="auto"/>
            </w:tcBorders>
          </w:tcPr>
          <w:p w:rsidR="00E97D3B" w:rsidRPr="00EB4ECB" w:rsidRDefault="00E97D3B" w:rsidP="00211FA4">
            <w:pPr>
              <w:keepNext w:val="0"/>
              <w:widowControl w:val="0"/>
              <w:jc w:val="center"/>
              <w:rPr>
                <w:sz w:val="20"/>
                <w:szCs w:val="20"/>
              </w:rPr>
            </w:pPr>
          </w:p>
        </w:tc>
        <w:tc>
          <w:tcPr>
            <w:tcW w:w="1540" w:type="dxa"/>
            <w:tcBorders>
              <w:top w:val="nil"/>
              <w:left w:val="nil"/>
              <w:bottom w:val="single" w:sz="4" w:space="0" w:color="auto"/>
              <w:right w:val="single" w:sz="4" w:space="0" w:color="auto"/>
            </w:tcBorders>
          </w:tcPr>
          <w:p w:rsidR="00E97D3B" w:rsidRPr="00EB4ECB" w:rsidRDefault="00E97D3B" w:rsidP="00211FA4">
            <w:pPr>
              <w:keepNext w:val="0"/>
              <w:widowControl w:val="0"/>
              <w:jc w:val="center"/>
              <w:rPr>
                <w:sz w:val="20"/>
                <w:szCs w:val="20"/>
              </w:rPr>
            </w:pPr>
          </w:p>
        </w:tc>
        <w:tc>
          <w:tcPr>
            <w:tcW w:w="1540" w:type="dxa"/>
            <w:tcBorders>
              <w:top w:val="nil"/>
              <w:left w:val="nil"/>
              <w:bottom w:val="single" w:sz="4" w:space="0" w:color="auto"/>
              <w:right w:val="single" w:sz="4" w:space="0" w:color="auto"/>
            </w:tcBorders>
          </w:tcPr>
          <w:p w:rsidR="00E97D3B" w:rsidRPr="00EB4ECB" w:rsidRDefault="00E97D3B" w:rsidP="00211FA4">
            <w:pPr>
              <w:keepNext w:val="0"/>
              <w:widowControl w:val="0"/>
              <w:jc w:val="center"/>
              <w:rPr>
                <w:sz w:val="20"/>
                <w:szCs w:val="20"/>
              </w:rPr>
            </w:pPr>
          </w:p>
        </w:tc>
        <w:tc>
          <w:tcPr>
            <w:tcW w:w="1540" w:type="dxa"/>
            <w:tcBorders>
              <w:top w:val="nil"/>
              <w:left w:val="nil"/>
              <w:bottom w:val="single" w:sz="4" w:space="0" w:color="auto"/>
              <w:right w:val="single" w:sz="4" w:space="0" w:color="auto"/>
            </w:tcBorders>
          </w:tcPr>
          <w:p w:rsidR="00E97D3B" w:rsidRPr="00EB4ECB" w:rsidRDefault="00E97D3B" w:rsidP="00211FA4">
            <w:pPr>
              <w:keepNext w:val="0"/>
              <w:widowControl w:val="0"/>
              <w:jc w:val="center"/>
              <w:rPr>
                <w:sz w:val="20"/>
                <w:szCs w:val="20"/>
              </w:rPr>
            </w:pPr>
          </w:p>
        </w:tc>
        <w:tc>
          <w:tcPr>
            <w:tcW w:w="2220" w:type="dxa"/>
            <w:tcBorders>
              <w:top w:val="nil"/>
              <w:left w:val="nil"/>
              <w:bottom w:val="single" w:sz="4" w:space="0" w:color="auto"/>
              <w:right w:val="single" w:sz="4" w:space="0" w:color="auto"/>
            </w:tcBorders>
            <w:noWrap/>
            <w:vAlign w:val="bottom"/>
          </w:tcPr>
          <w:p w:rsidR="00E97D3B" w:rsidRPr="00EB4ECB" w:rsidRDefault="00E97D3B" w:rsidP="00211FA4">
            <w:pPr>
              <w:keepNext w:val="0"/>
              <w:widowControl w:val="0"/>
              <w:rPr>
                <w:sz w:val="20"/>
                <w:szCs w:val="20"/>
              </w:rPr>
            </w:pPr>
            <w:r w:rsidRPr="00EB4ECB">
              <w:rPr>
                <w:sz w:val="20"/>
                <w:szCs w:val="20"/>
              </w:rPr>
              <w:t> </w:t>
            </w:r>
          </w:p>
        </w:tc>
      </w:tr>
      <w:tr w:rsidR="00E97D3B" w:rsidRPr="00EB4ECB" w:rsidTr="00DF357D">
        <w:trPr>
          <w:trHeight w:val="255"/>
        </w:trPr>
        <w:tc>
          <w:tcPr>
            <w:tcW w:w="7070" w:type="dxa"/>
            <w:tcBorders>
              <w:top w:val="nil"/>
              <w:left w:val="single" w:sz="4" w:space="0" w:color="auto"/>
              <w:bottom w:val="single" w:sz="4" w:space="0" w:color="auto"/>
              <w:right w:val="single" w:sz="4" w:space="0" w:color="auto"/>
            </w:tcBorders>
          </w:tcPr>
          <w:p w:rsidR="00E97D3B" w:rsidRPr="00EB4ECB" w:rsidRDefault="00211FA4" w:rsidP="00211FA4">
            <w:pPr>
              <w:keepNext w:val="0"/>
              <w:widowControl w:val="0"/>
              <w:rPr>
                <w:sz w:val="20"/>
                <w:szCs w:val="20"/>
              </w:rPr>
            </w:pPr>
            <w:r>
              <w:rPr>
                <w:sz w:val="20"/>
                <w:szCs w:val="20"/>
              </w:rPr>
              <w:t xml:space="preserve"> </w:t>
            </w:r>
            <w:r w:rsidR="00E97D3B" w:rsidRPr="00EB4ECB">
              <w:rPr>
                <w:sz w:val="20"/>
                <w:szCs w:val="20"/>
              </w:rPr>
              <w:t>Kapitálové transfery (720)</w:t>
            </w:r>
            <w:r w:rsidR="00E97D3B" w:rsidRPr="00EB4ECB">
              <w:rPr>
                <w:sz w:val="20"/>
                <w:szCs w:val="20"/>
                <w:vertAlign w:val="superscript"/>
              </w:rPr>
              <w:t>2</w:t>
            </w:r>
          </w:p>
        </w:tc>
        <w:tc>
          <w:tcPr>
            <w:tcW w:w="1540" w:type="dxa"/>
            <w:tcBorders>
              <w:top w:val="nil"/>
              <w:left w:val="nil"/>
              <w:bottom w:val="single" w:sz="4" w:space="0" w:color="auto"/>
              <w:right w:val="single" w:sz="4" w:space="0" w:color="auto"/>
            </w:tcBorders>
          </w:tcPr>
          <w:p w:rsidR="00E97D3B" w:rsidRPr="00EB4ECB" w:rsidRDefault="00E97D3B" w:rsidP="00211FA4">
            <w:pPr>
              <w:keepNext w:val="0"/>
              <w:widowControl w:val="0"/>
              <w:jc w:val="center"/>
              <w:rPr>
                <w:sz w:val="20"/>
                <w:szCs w:val="20"/>
              </w:rPr>
            </w:pPr>
          </w:p>
        </w:tc>
        <w:tc>
          <w:tcPr>
            <w:tcW w:w="1540" w:type="dxa"/>
            <w:tcBorders>
              <w:top w:val="nil"/>
              <w:left w:val="nil"/>
              <w:bottom w:val="single" w:sz="4" w:space="0" w:color="auto"/>
              <w:right w:val="single" w:sz="4" w:space="0" w:color="auto"/>
            </w:tcBorders>
          </w:tcPr>
          <w:p w:rsidR="00E97D3B" w:rsidRPr="00EB4ECB" w:rsidRDefault="00E97D3B" w:rsidP="00211FA4">
            <w:pPr>
              <w:keepNext w:val="0"/>
              <w:widowControl w:val="0"/>
              <w:jc w:val="center"/>
              <w:rPr>
                <w:sz w:val="20"/>
                <w:szCs w:val="20"/>
              </w:rPr>
            </w:pPr>
          </w:p>
        </w:tc>
        <w:tc>
          <w:tcPr>
            <w:tcW w:w="1540" w:type="dxa"/>
            <w:tcBorders>
              <w:top w:val="nil"/>
              <w:left w:val="nil"/>
              <w:bottom w:val="single" w:sz="4" w:space="0" w:color="auto"/>
              <w:right w:val="single" w:sz="4" w:space="0" w:color="auto"/>
            </w:tcBorders>
          </w:tcPr>
          <w:p w:rsidR="00E97D3B" w:rsidRPr="00EB4ECB" w:rsidRDefault="00E97D3B" w:rsidP="00211FA4">
            <w:pPr>
              <w:keepNext w:val="0"/>
              <w:widowControl w:val="0"/>
              <w:jc w:val="center"/>
              <w:rPr>
                <w:sz w:val="20"/>
                <w:szCs w:val="20"/>
              </w:rPr>
            </w:pPr>
          </w:p>
        </w:tc>
        <w:tc>
          <w:tcPr>
            <w:tcW w:w="1540" w:type="dxa"/>
            <w:tcBorders>
              <w:top w:val="nil"/>
              <w:left w:val="nil"/>
              <w:bottom w:val="single" w:sz="4" w:space="0" w:color="auto"/>
              <w:right w:val="single" w:sz="4" w:space="0" w:color="auto"/>
            </w:tcBorders>
          </w:tcPr>
          <w:p w:rsidR="00E97D3B" w:rsidRPr="00EB4ECB" w:rsidRDefault="00E97D3B" w:rsidP="00211FA4">
            <w:pPr>
              <w:keepNext w:val="0"/>
              <w:widowControl w:val="0"/>
              <w:jc w:val="center"/>
              <w:rPr>
                <w:sz w:val="20"/>
                <w:szCs w:val="20"/>
              </w:rPr>
            </w:pPr>
          </w:p>
        </w:tc>
        <w:tc>
          <w:tcPr>
            <w:tcW w:w="2220" w:type="dxa"/>
            <w:tcBorders>
              <w:top w:val="nil"/>
              <w:left w:val="nil"/>
              <w:bottom w:val="single" w:sz="4" w:space="0" w:color="auto"/>
              <w:right w:val="single" w:sz="4" w:space="0" w:color="auto"/>
            </w:tcBorders>
            <w:noWrap/>
            <w:vAlign w:val="bottom"/>
          </w:tcPr>
          <w:p w:rsidR="00E97D3B" w:rsidRPr="00EB4ECB" w:rsidRDefault="00E97D3B" w:rsidP="00211FA4">
            <w:pPr>
              <w:keepNext w:val="0"/>
              <w:widowControl w:val="0"/>
              <w:rPr>
                <w:sz w:val="20"/>
                <w:szCs w:val="20"/>
              </w:rPr>
            </w:pPr>
            <w:r w:rsidRPr="00EB4ECB">
              <w:rPr>
                <w:sz w:val="20"/>
                <w:szCs w:val="20"/>
              </w:rPr>
              <w:t> </w:t>
            </w:r>
          </w:p>
        </w:tc>
      </w:tr>
      <w:tr w:rsidR="00E97D3B" w:rsidRPr="00EB4ECB" w:rsidTr="00DF357D">
        <w:trPr>
          <w:trHeight w:val="255"/>
        </w:trPr>
        <w:tc>
          <w:tcPr>
            <w:tcW w:w="7070" w:type="dxa"/>
            <w:tcBorders>
              <w:top w:val="nil"/>
              <w:left w:val="single" w:sz="4" w:space="0" w:color="auto"/>
              <w:bottom w:val="single" w:sz="4" w:space="0" w:color="auto"/>
              <w:right w:val="single" w:sz="4" w:space="0" w:color="auto"/>
            </w:tcBorders>
          </w:tcPr>
          <w:p w:rsidR="00E97D3B" w:rsidRPr="00EB4ECB" w:rsidRDefault="00E97D3B" w:rsidP="00211FA4">
            <w:pPr>
              <w:keepNext w:val="0"/>
              <w:widowControl w:val="0"/>
              <w:rPr>
                <w:b/>
                <w:bCs/>
                <w:sz w:val="20"/>
                <w:szCs w:val="20"/>
              </w:rPr>
            </w:pPr>
            <w:r w:rsidRPr="00EB4ECB">
              <w:rPr>
                <w:b/>
                <w:bCs/>
                <w:sz w:val="20"/>
                <w:szCs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E97D3B" w:rsidRPr="00EB4ECB" w:rsidRDefault="00E97D3B" w:rsidP="00211FA4">
            <w:pPr>
              <w:keepNext w:val="0"/>
              <w:widowControl w:val="0"/>
              <w:jc w:val="center"/>
              <w:rPr>
                <w:b/>
                <w:bCs/>
                <w:sz w:val="20"/>
                <w:szCs w:val="20"/>
              </w:rPr>
            </w:pPr>
            <w:r w:rsidRPr="00EB4ECB">
              <w:rPr>
                <w:b/>
                <w:bCs/>
                <w:sz w:val="20"/>
                <w:szCs w:val="20"/>
              </w:rPr>
              <w:t> </w:t>
            </w:r>
          </w:p>
        </w:tc>
        <w:tc>
          <w:tcPr>
            <w:tcW w:w="1540" w:type="dxa"/>
            <w:tcBorders>
              <w:top w:val="nil"/>
              <w:left w:val="nil"/>
              <w:bottom w:val="single" w:sz="4" w:space="0" w:color="auto"/>
              <w:right w:val="single" w:sz="4" w:space="0" w:color="auto"/>
            </w:tcBorders>
            <w:shd w:val="clear" w:color="auto" w:fill="FFFF99"/>
          </w:tcPr>
          <w:p w:rsidR="00E97D3B" w:rsidRPr="00EB4ECB" w:rsidRDefault="00E97D3B" w:rsidP="00211FA4">
            <w:pPr>
              <w:keepNext w:val="0"/>
              <w:widowControl w:val="0"/>
              <w:jc w:val="center"/>
              <w:rPr>
                <w:b/>
                <w:bCs/>
                <w:sz w:val="20"/>
                <w:szCs w:val="20"/>
              </w:rPr>
            </w:pPr>
            <w:r w:rsidRPr="00EB4ECB">
              <w:rPr>
                <w:b/>
                <w:bCs/>
                <w:sz w:val="20"/>
                <w:szCs w:val="20"/>
              </w:rPr>
              <w:t> </w:t>
            </w:r>
          </w:p>
        </w:tc>
        <w:tc>
          <w:tcPr>
            <w:tcW w:w="1540" w:type="dxa"/>
            <w:tcBorders>
              <w:top w:val="nil"/>
              <w:left w:val="nil"/>
              <w:bottom w:val="single" w:sz="4" w:space="0" w:color="auto"/>
              <w:right w:val="single" w:sz="4" w:space="0" w:color="auto"/>
            </w:tcBorders>
            <w:shd w:val="clear" w:color="auto" w:fill="FFFF99"/>
          </w:tcPr>
          <w:p w:rsidR="00E97D3B" w:rsidRPr="00EB4ECB" w:rsidRDefault="00E97D3B" w:rsidP="00211FA4">
            <w:pPr>
              <w:keepNext w:val="0"/>
              <w:widowControl w:val="0"/>
              <w:jc w:val="center"/>
              <w:rPr>
                <w:b/>
                <w:bCs/>
                <w:sz w:val="20"/>
                <w:szCs w:val="20"/>
              </w:rPr>
            </w:pPr>
            <w:r w:rsidRPr="00EB4ECB">
              <w:rPr>
                <w:b/>
                <w:bCs/>
                <w:sz w:val="20"/>
                <w:szCs w:val="20"/>
              </w:rPr>
              <w:t> </w:t>
            </w:r>
          </w:p>
        </w:tc>
        <w:tc>
          <w:tcPr>
            <w:tcW w:w="1540" w:type="dxa"/>
            <w:tcBorders>
              <w:top w:val="nil"/>
              <w:left w:val="nil"/>
              <w:bottom w:val="single" w:sz="4" w:space="0" w:color="auto"/>
              <w:right w:val="single" w:sz="4" w:space="0" w:color="auto"/>
            </w:tcBorders>
            <w:shd w:val="clear" w:color="auto" w:fill="FFFF99"/>
          </w:tcPr>
          <w:p w:rsidR="00E97D3B" w:rsidRPr="00EB4ECB" w:rsidRDefault="00E97D3B" w:rsidP="00211FA4">
            <w:pPr>
              <w:keepNext w:val="0"/>
              <w:widowControl w:val="0"/>
              <w:jc w:val="center"/>
              <w:rPr>
                <w:b/>
                <w:bCs/>
                <w:sz w:val="20"/>
                <w:szCs w:val="20"/>
              </w:rPr>
            </w:pPr>
            <w:r w:rsidRPr="00EB4ECB">
              <w:rPr>
                <w:b/>
                <w:bCs/>
                <w:sz w:val="20"/>
                <w:szCs w:val="20"/>
              </w:rPr>
              <w:t> </w:t>
            </w:r>
          </w:p>
        </w:tc>
        <w:tc>
          <w:tcPr>
            <w:tcW w:w="2220" w:type="dxa"/>
            <w:tcBorders>
              <w:top w:val="nil"/>
              <w:left w:val="nil"/>
              <w:bottom w:val="single" w:sz="4" w:space="0" w:color="auto"/>
              <w:right w:val="single" w:sz="4" w:space="0" w:color="auto"/>
            </w:tcBorders>
            <w:noWrap/>
            <w:vAlign w:val="bottom"/>
          </w:tcPr>
          <w:p w:rsidR="00E97D3B" w:rsidRPr="00EB4ECB" w:rsidRDefault="00E97D3B" w:rsidP="00211FA4">
            <w:pPr>
              <w:keepNext w:val="0"/>
              <w:widowControl w:val="0"/>
              <w:rPr>
                <w:sz w:val="20"/>
                <w:szCs w:val="20"/>
              </w:rPr>
            </w:pPr>
            <w:r w:rsidRPr="00EB4ECB">
              <w:rPr>
                <w:sz w:val="20"/>
                <w:szCs w:val="20"/>
              </w:rPr>
              <w:t> </w:t>
            </w:r>
          </w:p>
        </w:tc>
      </w:tr>
      <w:tr w:rsidR="00E97D3B" w:rsidRPr="00EB4ECB" w:rsidTr="00E97D3B">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cPr>
          <w:p w:rsidR="00E97D3B" w:rsidRPr="00EB4ECB" w:rsidRDefault="00E97D3B" w:rsidP="00211FA4">
            <w:pPr>
              <w:keepNext w:val="0"/>
              <w:widowControl w:val="0"/>
              <w:rPr>
                <w:b/>
                <w:bCs/>
                <w:sz w:val="20"/>
                <w:szCs w:val="20"/>
              </w:rPr>
            </w:pPr>
            <w:r w:rsidRPr="00EB4ECB">
              <w:rPr>
                <w:b/>
                <w:bCs/>
                <w:sz w:val="20"/>
                <w:szCs w:val="20"/>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cPr>
          <w:p w:rsidR="00E97D3B" w:rsidRPr="00EB4ECB" w:rsidRDefault="00E97D3B" w:rsidP="00211FA4">
            <w:pPr>
              <w:keepNext w:val="0"/>
              <w:widowControl w:val="0"/>
              <w:jc w:val="center"/>
              <w:rPr>
                <w:b/>
                <w:bCs/>
                <w:sz w:val="20"/>
                <w:szCs w:val="20"/>
              </w:rPr>
            </w:pPr>
            <w:r w:rsidRPr="00EB4ECB">
              <w:rPr>
                <w:b/>
                <w:b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cPr>
          <w:p w:rsidR="00E97D3B" w:rsidRPr="00EB4ECB" w:rsidRDefault="00E97D3B" w:rsidP="00211FA4">
            <w:pPr>
              <w:keepNext w:val="0"/>
              <w:widowControl w:val="0"/>
              <w:jc w:val="center"/>
              <w:rPr>
                <w:b/>
                <w:bCs/>
                <w:sz w:val="20"/>
                <w:szCs w:val="20"/>
              </w:rPr>
            </w:pPr>
            <w:r w:rsidRPr="00EB4ECB">
              <w:rPr>
                <w:b/>
                <w:b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cPr>
          <w:p w:rsidR="00E97D3B" w:rsidRPr="00EB4ECB" w:rsidRDefault="00E97D3B" w:rsidP="00211FA4">
            <w:pPr>
              <w:keepNext w:val="0"/>
              <w:widowControl w:val="0"/>
              <w:jc w:val="center"/>
              <w:rPr>
                <w:b/>
                <w:bCs/>
                <w:sz w:val="20"/>
                <w:szCs w:val="20"/>
              </w:rPr>
            </w:pPr>
            <w:r w:rsidRPr="00EB4ECB">
              <w:rPr>
                <w:b/>
                <w:b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cPr>
          <w:p w:rsidR="00E97D3B" w:rsidRPr="00EB4ECB" w:rsidRDefault="00E97D3B" w:rsidP="00211FA4">
            <w:pPr>
              <w:keepNext w:val="0"/>
              <w:widowControl w:val="0"/>
              <w:jc w:val="center"/>
              <w:rPr>
                <w:b/>
                <w:bCs/>
                <w:sz w:val="20"/>
                <w:szCs w:val="20"/>
              </w:rPr>
            </w:pPr>
            <w:r w:rsidRPr="00EB4ECB">
              <w:rPr>
                <w:b/>
                <w:bCs/>
                <w:sz w:val="20"/>
                <w:szCs w:val="20"/>
              </w:rPr>
              <w:t>0</w:t>
            </w:r>
          </w:p>
        </w:tc>
        <w:tc>
          <w:tcPr>
            <w:tcW w:w="2220" w:type="dxa"/>
            <w:tcBorders>
              <w:top w:val="single" w:sz="4" w:space="0" w:color="auto"/>
              <w:left w:val="nil"/>
              <w:bottom w:val="single" w:sz="4" w:space="0" w:color="auto"/>
              <w:right w:val="single" w:sz="4" w:space="0" w:color="auto"/>
            </w:tcBorders>
            <w:shd w:val="clear" w:color="auto" w:fill="BFBFBF"/>
            <w:noWrap/>
            <w:vAlign w:val="bottom"/>
          </w:tcPr>
          <w:p w:rsidR="00E97D3B" w:rsidRPr="00EB4ECB" w:rsidRDefault="00E97D3B" w:rsidP="00211FA4">
            <w:pPr>
              <w:keepNext w:val="0"/>
              <w:widowControl w:val="0"/>
              <w:rPr>
                <w:sz w:val="20"/>
                <w:szCs w:val="20"/>
              </w:rPr>
            </w:pPr>
            <w:r w:rsidRPr="00EB4ECB">
              <w:rPr>
                <w:sz w:val="20"/>
                <w:szCs w:val="20"/>
              </w:rPr>
              <w:t> </w:t>
            </w:r>
          </w:p>
        </w:tc>
      </w:tr>
    </w:tbl>
    <w:p w:rsidR="00E97D3B" w:rsidRPr="00EB4ECB" w:rsidRDefault="00E97D3B" w:rsidP="00211FA4">
      <w:pPr>
        <w:keepNext w:val="0"/>
        <w:widowControl w:val="0"/>
        <w:tabs>
          <w:tab w:val="num" w:pos="1080"/>
        </w:tabs>
        <w:ind w:left="-900"/>
        <w:rPr>
          <w:bCs/>
          <w:sz w:val="20"/>
          <w:szCs w:val="20"/>
        </w:rPr>
      </w:pPr>
      <w:r w:rsidRPr="00EB4ECB">
        <w:rPr>
          <w:bCs/>
          <w:sz w:val="20"/>
          <w:szCs w:val="20"/>
        </w:rPr>
        <w:t>2 –</w:t>
      </w:r>
      <w:r w:rsidR="00211FA4">
        <w:rPr>
          <w:bCs/>
          <w:sz w:val="20"/>
          <w:szCs w:val="20"/>
        </w:rPr>
        <w:t xml:space="preserve"> </w:t>
      </w:r>
      <w:r w:rsidRPr="00EB4ECB">
        <w:rPr>
          <w:bCs/>
          <w:sz w:val="20"/>
          <w:szCs w:val="20"/>
        </w:rPr>
        <w:t>výdavky rozpísať až do položiek platnej ekonomickej klasifikácie</w:t>
      </w:r>
    </w:p>
    <w:p w:rsidR="00E97D3B" w:rsidRPr="00EB4ECB" w:rsidRDefault="00E97D3B" w:rsidP="00211FA4">
      <w:pPr>
        <w:keepNext w:val="0"/>
        <w:widowControl w:val="0"/>
        <w:tabs>
          <w:tab w:val="num" w:pos="1080"/>
        </w:tabs>
        <w:ind w:left="-900"/>
        <w:rPr>
          <w:bCs/>
        </w:rPr>
      </w:pPr>
    </w:p>
    <w:p w:rsidR="00E97D3B" w:rsidRPr="00EB4ECB" w:rsidRDefault="00E97D3B" w:rsidP="00211FA4">
      <w:pPr>
        <w:keepNext w:val="0"/>
        <w:widowControl w:val="0"/>
        <w:tabs>
          <w:tab w:val="num" w:pos="1080"/>
        </w:tabs>
        <w:ind w:left="-900"/>
        <w:rPr>
          <w:b/>
          <w:bCs/>
        </w:rPr>
      </w:pPr>
      <w:r w:rsidRPr="00EB4ECB">
        <w:rPr>
          <w:b/>
          <w:bCs/>
        </w:rPr>
        <w:t>Poznámka:</w:t>
      </w:r>
    </w:p>
    <w:p w:rsidR="00E97D3B" w:rsidRDefault="00E97D3B" w:rsidP="00211FA4">
      <w:pPr>
        <w:keepNext w:val="0"/>
        <w:widowControl w:val="0"/>
        <w:tabs>
          <w:tab w:val="num" w:pos="1080"/>
        </w:tabs>
        <w:ind w:left="-900"/>
        <w:rPr>
          <w:bCs/>
        </w:rPr>
      </w:pPr>
      <w:r w:rsidRPr="00EB4ECB">
        <w:rPr>
          <w:bCs/>
        </w:rPr>
        <w:t>Ak sa vplyv týka viacerých subjektov verejnej správy, vypĺňa sa samostatná tabuľka za každý subjekt.</w:t>
      </w:r>
    </w:p>
    <w:p w:rsidR="00E97D3B" w:rsidRDefault="00E97D3B" w:rsidP="00211FA4">
      <w:pPr>
        <w:keepNext w:val="0"/>
        <w:widowControl w:val="0"/>
        <w:tabs>
          <w:tab w:val="num" w:pos="1080"/>
        </w:tabs>
        <w:ind w:left="-900"/>
        <w:rPr>
          <w:bCs/>
        </w:rPr>
      </w:pPr>
    </w:p>
    <w:p w:rsidR="00E97D3B" w:rsidRPr="00EB4ECB" w:rsidRDefault="00211FA4" w:rsidP="00211FA4">
      <w:pPr>
        <w:keepNext w:val="0"/>
        <w:pageBreakBefore/>
        <w:widowControl w:val="0"/>
        <w:tabs>
          <w:tab w:val="num" w:pos="1080"/>
        </w:tabs>
        <w:jc w:val="right"/>
        <w:rPr>
          <w:bCs/>
        </w:rPr>
      </w:pPr>
      <w:r>
        <w:rPr>
          <w:bCs/>
        </w:rPr>
        <w:lastRenderedPageBreak/>
        <w:t xml:space="preserve"> </w:t>
      </w:r>
      <w:r w:rsidR="00E97D3B" w:rsidRPr="00EB4ECB">
        <w:rPr>
          <w:bCs/>
        </w:rPr>
        <w:t xml:space="preserve">Tabuľka č. 5 </w:t>
      </w:r>
    </w:p>
    <w:p w:rsidR="00E97D3B" w:rsidRPr="00EB4ECB" w:rsidRDefault="00E97D3B" w:rsidP="00211FA4">
      <w:pPr>
        <w:keepNext w:val="0"/>
        <w:widowControl w:val="0"/>
        <w:tabs>
          <w:tab w:val="num" w:pos="1080"/>
        </w:tabs>
        <w:rPr>
          <w:bCs/>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E97D3B" w:rsidRPr="00EB4ECB" w:rsidTr="00E97D3B">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E97D3B" w:rsidRPr="00EB4ECB" w:rsidRDefault="00E97D3B" w:rsidP="00211FA4">
            <w:pPr>
              <w:keepNext w:val="0"/>
              <w:widowControl w:val="0"/>
              <w:jc w:val="center"/>
              <w:rPr>
                <w:b/>
                <w:bCs/>
              </w:rPr>
            </w:pPr>
            <w:r w:rsidRPr="00EB4ECB">
              <w:rPr>
                <w:b/>
                <w:bCs/>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cPr>
          <w:p w:rsidR="00E97D3B" w:rsidRPr="00EB4ECB" w:rsidRDefault="00E97D3B" w:rsidP="00211FA4">
            <w:pPr>
              <w:keepNext w:val="0"/>
              <w:widowControl w:val="0"/>
              <w:jc w:val="center"/>
              <w:rPr>
                <w:b/>
                <w:bCs/>
              </w:rPr>
            </w:pPr>
            <w:r w:rsidRPr="00EB4ECB">
              <w:rPr>
                <w:b/>
                <w:bCs/>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E97D3B" w:rsidRPr="00EB4ECB" w:rsidRDefault="00E97D3B" w:rsidP="00211FA4">
            <w:pPr>
              <w:keepNext w:val="0"/>
              <w:widowControl w:val="0"/>
              <w:jc w:val="center"/>
              <w:rPr>
                <w:b/>
                <w:bCs/>
              </w:rPr>
            </w:pPr>
            <w:r w:rsidRPr="00EB4ECB">
              <w:rPr>
                <w:b/>
                <w:bCs/>
              </w:rPr>
              <w:t>poznámka</w:t>
            </w:r>
          </w:p>
        </w:tc>
      </w:tr>
      <w:tr w:rsidR="00E97D3B" w:rsidRPr="00EB4ECB" w:rsidTr="00E97D3B">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E97D3B" w:rsidRPr="00EB4ECB" w:rsidRDefault="00E97D3B" w:rsidP="00211FA4">
            <w:pPr>
              <w:keepNext w:val="0"/>
              <w:widowControl w:val="0"/>
              <w:rPr>
                <w:b/>
                <w:bCs/>
              </w:rPr>
            </w:pPr>
          </w:p>
        </w:tc>
        <w:tc>
          <w:tcPr>
            <w:tcW w:w="1698" w:type="dxa"/>
            <w:tcBorders>
              <w:top w:val="nil"/>
              <w:left w:val="nil"/>
              <w:bottom w:val="single" w:sz="4" w:space="0" w:color="auto"/>
              <w:right w:val="single" w:sz="4" w:space="0" w:color="auto"/>
            </w:tcBorders>
            <w:shd w:val="clear" w:color="auto" w:fill="BFBFBF"/>
          </w:tcPr>
          <w:p w:rsidR="00E97D3B" w:rsidRPr="00EB4ECB" w:rsidRDefault="00E97D3B" w:rsidP="00211FA4">
            <w:pPr>
              <w:keepNext w:val="0"/>
              <w:widowControl w:val="0"/>
              <w:jc w:val="center"/>
              <w:rPr>
                <w:b/>
                <w:bCs/>
              </w:rPr>
            </w:pPr>
            <w:r w:rsidRPr="00EB4ECB">
              <w:rPr>
                <w:b/>
                <w:bCs/>
              </w:rPr>
              <w:t>2018</w:t>
            </w:r>
          </w:p>
        </w:tc>
        <w:tc>
          <w:tcPr>
            <w:tcW w:w="1788" w:type="dxa"/>
            <w:tcBorders>
              <w:top w:val="nil"/>
              <w:left w:val="nil"/>
              <w:bottom w:val="single" w:sz="4" w:space="0" w:color="auto"/>
              <w:right w:val="single" w:sz="4" w:space="0" w:color="auto"/>
            </w:tcBorders>
            <w:shd w:val="clear" w:color="auto" w:fill="BFBFBF"/>
          </w:tcPr>
          <w:p w:rsidR="00E97D3B" w:rsidRPr="00EB4ECB" w:rsidRDefault="00E97D3B" w:rsidP="00211FA4">
            <w:pPr>
              <w:keepNext w:val="0"/>
              <w:widowControl w:val="0"/>
              <w:jc w:val="center"/>
              <w:rPr>
                <w:b/>
                <w:bCs/>
              </w:rPr>
            </w:pPr>
            <w:r w:rsidRPr="00EB4ECB">
              <w:rPr>
                <w:b/>
                <w:bCs/>
              </w:rPr>
              <w:t>2019</w:t>
            </w:r>
          </w:p>
        </w:tc>
        <w:tc>
          <w:tcPr>
            <w:tcW w:w="2418" w:type="dxa"/>
            <w:gridSpan w:val="2"/>
            <w:tcBorders>
              <w:top w:val="nil"/>
              <w:left w:val="nil"/>
              <w:bottom w:val="single" w:sz="4" w:space="0" w:color="auto"/>
              <w:right w:val="single" w:sz="4" w:space="0" w:color="auto"/>
            </w:tcBorders>
            <w:shd w:val="clear" w:color="auto" w:fill="BFBFBF"/>
          </w:tcPr>
          <w:p w:rsidR="00E97D3B" w:rsidRPr="00EB4ECB" w:rsidRDefault="00E97D3B" w:rsidP="00211FA4">
            <w:pPr>
              <w:keepNext w:val="0"/>
              <w:widowControl w:val="0"/>
              <w:jc w:val="center"/>
              <w:rPr>
                <w:b/>
                <w:bCs/>
              </w:rPr>
            </w:pPr>
            <w:r w:rsidRPr="00EB4ECB">
              <w:rPr>
                <w:b/>
                <w:bCs/>
              </w:rPr>
              <w:t>2020</w:t>
            </w:r>
          </w:p>
        </w:tc>
        <w:tc>
          <w:tcPr>
            <w:tcW w:w="1722" w:type="dxa"/>
            <w:tcBorders>
              <w:top w:val="nil"/>
              <w:left w:val="nil"/>
              <w:bottom w:val="single" w:sz="4" w:space="0" w:color="auto"/>
              <w:right w:val="single" w:sz="4" w:space="0" w:color="auto"/>
            </w:tcBorders>
            <w:shd w:val="clear" w:color="auto" w:fill="BFBFBF"/>
          </w:tcPr>
          <w:p w:rsidR="00E97D3B" w:rsidRPr="00EB4ECB" w:rsidRDefault="00E97D3B" w:rsidP="00211FA4">
            <w:pPr>
              <w:keepNext w:val="0"/>
              <w:widowControl w:val="0"/>
              <w:jc w:val="center"/>
              <w:rPr>
                <w:b/>
                <w:bCs/>
              </w:rPr>
            </w:pPr>
            <w:r w:rsidRPr="00EB4ECB">
              <w:rPr>
                <w:b/>
                <w:bCs/>
              </w:rPr>
              <w:t>2021</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vAlign w:val="center"/>
          </w:tcPr>
          <w:p w:rsidR="00E97D3B" w:rsidRPr="00EB4ECB" w:rsidRDefault="00E97D3B" w:rsidP="00211FA4">
            <w:pPr>
              <w:keepNext w:val="0"/>
              <w:widowControl w:val="0"/>
              <w:rPr>
                <w:b/>
                <w:bCs/>
                <w:color w:val="FFFFFF"/>
              </w:rPr>
            </w:pPr>
          </w:p>
        </w:tc>
      </w:tr>
      <w:tr w:rsidR="00E97D3B" w:rsidRPr="00EB4ECB" w:rsidTr="00DF357D">
        <w:trPr>
          <w:trHeight w:val="255"/>
        </w:trPr>
        <w:tc>
          <w:tcPr>
            <w:tcW w:w="6188" w:type="dxa"/>
            <w:tcBorders>
              <w:top w:val="nil"/>
              <w:left w:val="single" w:sz="4" w:space="0" w:color="auto"/>
              <w:bottom w:val="single" w:sz="4" w:space="0" w:color="auto"/>
              <w:right w:val="single" w:sz="4" w:space="0" w:color="auto"/>
            </w:tcBorders>
          </w:tcPr>
          <w:p w:rsidR="00E97D3B" w:rsidRPr="00EB4ECB" w:rsidRDefault="00E97D3B" w:rsidP="00211FA4">
            <w:pPr>
              <w:keepNext w:val="0"/>
              <w:widowControl w:val="0"/>
              <w:rPr>
                <w:b/>
                <w:bCs/>
              </w:rPr>
            </w:pPr>
            <w:r w:rsidRPr="00EB4ECB">
              <w:rPr>
                <w:b/>
                <w:bCs/>
              </w:rPr>
              <w:t>Počet zamestnancov celkom</w:t>
            </w:r>
          </w:p>
        </w:tc>
        <w:tc>
          <w:tcPr>
            <w:tcW w:w="1698" w:type="dxa"/>
            <w:tcBorders>
              <w:top w:val="nil"/>
              <w:left w:val="nil"/>
              <w:bottom w:val="single" w:sz="4" w:space="0" w:color="auto"/>
              <w:right w:val="single" w:sz="4" w:space="0" w:color="auto"/>
            </w:tcBorders>
          </w:tcPr>
          <w:p w:rsidR="00E97D3B" w:rsidRPr="00EB4ECB" w:rsidRDefault="00E97D3B" w:rsidP="00211FA4">
            <w:pPr>
              <w:keepNext w:val="0"/>
              <w:widowControl w:val="0"/>
              <w:jc w:val="center"/>
              <w:rPr>
                <w:b/>
                <w:bCs/>
              </w:rPr>
            </w:pPr>
          </w:p>
        </w:tc>
        <w:tc>
          <w:tcPr>
            <w:tcW w:w="1788" w:type="dxa"/>
            <w:tcBorders>
              <w:top w:val="nil"/>
              <w:left w:val="nil"/>
              <w:bottom w:val="single" w:sz="4" w:space="0" w:color="auto"/>
              <w:right w:val="single" w:sz="4" w:space="0" w:color="auto"/>
            </w:tcBorders>
          </w:tcPr>
          <w:p w:rsidR="00E97D3B" w:rsidRPr="00EB4ECB" w:rsidRDefault="00E97D3B" w:rsidP="00211FA4">
            <w:pPr>
              <w:keepNext w:val="0"/>
              <w:widowControl w:val="0"/>
              <w:jc w:val="center"/>
              <w:rPr>
                <w:b/>
                <w:bCs/>
              </w:rPr>
            </w:pPr>
          </w:p>
        </w:tc>
        <w:tc>
          <w:tcPr>
            <w:tcW w:w="2418" w:type="dxa"/>
            <w:gridSpan w:val="2"/>
            <w:tcBorders>
              <w:top w:val="nil"/>
              <w:left w:val="nil"/>
              <w:bottom w:val="single" w:sz="4" w:space="0" w:color="auto"/>
              <w:right w:val="single" w:sz="4" w:space="0" w:color="auto"/>
            </w:tcBorders>
          </w:tcPr>
          <w:p w:rsidR="00E97D3B" w:rsidRPr="00EB4ECB" w:rsidRDefault="00E97D3B" w:rsidP="00211FA4">
            <w:pPr>
              <w:keepNext w:val="0"/>
              <w:widowControl w:val="0"/>
              <w:jc w:val="center"/>
              <w:rPr>
                <w:b/>
                <w:bCs/>
              </w:rPr>
            </w:pPr>
          </w:p>
        </w:tc>
        <w:tc>
          <w:tcPr>
            <w:tcW w:w="1722" w:type="dxa"/>
            <w:tcBorders>
              <w:top w:val="nil"/>
              <w:left w:val="nil"/>
              <w:bottom w:val="single" w:sz="4" w:space="0" w:color="auto"/>
              <w:right w:val="single" w:sz="4" w:space="0" w:color="auto"/>
            </w:tcBorders>
          </w:tcPr>
          <w:p w:rsidR="00E97D3B" w:rsidRPr="00EB4ECB" w:rsidRDefault="00E97D3B" w:rsidP="00211FA4">
            <w:pPr>
              <w:keepNext w:val="0"/>
              <w:widowControl w:val="0"/>
              <w:jc w:val="center"/>
              <w:rPr>
                <w:b/>
                <w:bCs/>
              </w:rPr>
            </w:pPr>
          </w:p>
        </w:tc>
        <w:tc>
          <w:tcPr>
            <w:tcW w:w="1620" w:type="dxa"/>
            <w:gridSpan w:val="2"/>
            <w:tcBorders>
              <w:top w:val="nil"/>
              <w:left w:val="nil"/>
              <w:bottom w:val="single" w:sz="4" w:space="0" w:color="auto"/>
              <w:right w:val="single" w:sz="4" w:space="0" w:color="auto"/>
            </w:tcBorders>
            <w:noWrap/>
            <w:vAlign w:val="bottom"/>
          </w:tcPr>
          <w:p w:rsidR="00E97D3B" w:rsidRPr="00EB4ECB" w:rsidRDefault="00E97D3B" w:rsidP="00211FA4">
            <w:pPr>
              <w:keepNext w:val="0"/>
              <w:widowControl w:val="0"/>
            </w:pPr>
            <w:r w:rsidRPr="00EB4ECB">
              <w:t> </w:t>
            </w:r>
          </w:p>
        </w:tc>
      </w:tr>
      <w:tr w:rsidR="00E97D3B" w:rsidRPr="00EB4ECB" w:rsidTr="00DF357D">
        <w:trPr>
          <w:trHeight w:val="255"/>
        </w:trPr>
        <w:tc>
          <w:tcPr>
            <w:tcW w:w="6188" w:type="dxa"/>
            <w:tcBorders>
              <w:top w:val="nil"/>
              <w:left w:val="single" w:sz="4" w:space="0" w:color="auto"/>
              <w:bottom w:val="single" w:sz="4" w:space="0" w:color="auto"/>
              <w:right w:val="single" w:sz="4" w:space="0" w:color="auto"/>
            </w:tcBorders>
          </w:tcPr>
          <w:p w:rsidR="00E97D3B" w:rsidRPr="00EB4ECB" w:rsidRDefault="00211FA4" w:rsidP="00211FA4">
            <w:pPr>
              <w:keepNext w:val="0"/>
              <w:widowControl w:val="0"/>
              <w:rPr>
                <w:b/>
                <w:bCs/>
              </w:rPr>
            </w:pPr>
            <w:r>
              <w:rPr>
                <w:b/>
                <w:bCs/>
              </w:rPr>
              <w:t xml:space="preserve"> </w:t>
            </w:r>
            <w:r w:rsidR="00E97D3B" w:rsidRPr="00EB4ECB">
              <w:rPr>
                <w:b/>
                <w:bCs/>
              </w:rPr>
              <w:t>z toho vplyv na ŠR</w:t>
            </w:r>
          </w:p>
        </w:tc>
        <w:tc>
          <w:tcPr>
            <w:tcW w:w="1698" w:type="dxa"/>
            <w:tcBorders>
              <w:top w:val="single" w:sz="4" w:space="0" w:color="auto"/>
              <w:left w:val="nil"/>
              <w:bottom w:val="single" w:sz="4" w:space="0" w:color="auto"/>
              <w:right w:val="single" w:sz="4" w:space="0" w:color="auto"/>
            </w:tcBorders>
          </w:tcPr>
          <w:p w:rsidR="00E97D3B" w:rsidRPr="00EB4ECB" w:rsidRDefault="00E97D3B" w:rsidP="00211FA4">
            <w:pPr>
              <w:keepNext w:val="0"/>
              <w:widowControl w:val="0"/>
              <w:jc w:val="center"/>
              <w:rPr>
                <w:b/>
                <w:bCs/>
              </w:rPr>
            </w:pPr>
          </w:p>
        </w:tc>
        <w:tc>
          <w:tcPr>
            <w:tcW w:w="1788" w:type="dxa"/>
            <w:tcBorders>
              <w:top w:val="single" w:sz="4" w:space="0" w:color="auto"/>
              <w:left w:val="nil"/>
              <w:bottom w:val="single" w:sz="4" w:space="0" w:color="auto"/>
              <w:right w:val="single" w:sz="4" w:space="0" w:color="auto"/>
            </w:tcBorders>
          </w:tcPr>
          <w:p w:rsidR="00E97D3B" w:rsidRPr="00EB4ECB" w:rsidRDefault="00E97D3B" w:rsidP="00211FA4">
            <w:pPr>
              <w:keepNext w:val="0"/>
              <w:widowControl w:val="0"/>
              <w:jc w:val="center"/>
              <w:rPr>
                <w:b/>
                <w:bCs/>
              </w:rPr>
            </w:pPr>
          </w:p>
        </w:tc>
        <w:tc>
          <w:tcPr>
            <w:tcW w:w="2418" w:type="dxa"/>
            <w:gridSpan w:val="2"/>
            <w:tcBorders>
              <w:top w:val="single" w:sz="4" w:space="0" w:color="auto"/>
              <w:left w:val="nil"/>
              <w:bottom w:val="single" w:sz="4" w:space="0" w:color="auto"/>
              <w:right w:val="single" w:sz="4" w:space="0" w:color="auto"/>
            </w:tcBorders>
          </w:tcPr>
          <w:p w:rsidR="00E97D3B" w:rsidRPr="00EB4ECB" w:rsidRDefault="00E97D3B" w:rsidP="00211FA4">
            <w:pPr>
              <w:keepNext w:val="0"/>
              <w:widowControl w:val="0"/>
              <w:jc w:val="center"/>
              <w:rPr>
                <w:b/>
                <w:bCs/>
              </w:rPr>
            </w:pPr>
          </w:p>
        </w:tc>
        <w:tc>
          <w:tcPr>
            <w:tcW w:w="1722" w:type="dxa"/>
            <w:tcBorders>
              <w:top w:val="single" w:sz="4" w:space="0" w:color="auto"/>
              <w:left w:val="nil"/>
              <w:bottom w:val="single" w:sz="4" w:space="0" w:color="auto"/>
              <w:right w:val="single" w:sz="4" w:space="0" w:color="auto"/>
            </w:tcBorders>
          </w:tcPr>
          <w:p w:rsidR="00E97D3B" w:rsidRPr="00EB4ECB" w:rsidRDefault="00E97D3B" w:rsidP="00211FA4">
            <w:pPr>
              <w:keepNext w:val="0"/>
              <w:widowControl w:val="0"/>
              <w:jc w:val="center"/>
              <w:rPr>
                <w:b/>
                <w:bCs/>
              </w:rPr>
            </w:pPr>
          </w:p>
        </w:tc>
        <w:tc>
          <w:tcPr>
            <w:tcW w:w="1620" w:type="dxa"/>
            <w:gridSpan w:val="2"/>
            <w:tcBorders>
              <w:top w:val="nil"/>
              <w:left w:val="nil"/>
              <w:bottom w:val="single" w:sz="4" w:space="0" w:color="auto"/>
              <w:right w:val="single" w:sz="4" w:space="0" w:color="auto"/>
            </w:tcBorders>
            <w:noWrap/>
            <w:vAlign w:val="bottom"/>
          </w:tcPr>
          <w:p w:rsidR="00E97D3B" w:rsidRPr="00EB4ECB" w:rsidRDefault="00E97D3B" w:rsidP="00211FA4">
            <w:pPr>
              <w:keepNext w:val="0"/>
              <w:widowControl w:val="0"/>
            </w:pPr>
          </w:p>
        </w:tc>
      </w:tr>
      <w:tr w:rsidR="00E97D3B" w:rsidRPr="00EB4ECB" w:rsidTr="00DF357D">
        <w:trPr>
          <w:trHeight w:val="255"/>
        </w:trPr>
        <w:tc>
          <w:tcPr>
            <w:tcW w:w="6188" w:type="dxa"/>
            <w:tcBorders>
              <w:top w:val="nil"/>
              <w:left w:val="single" w:sz="4" w:space="0" w:color="auto"/>
              <w:bottom w:val="single" w:sz="4" w:space="0" w:color="auto"/>
              <w:right w:val="single" w:sz="4" w:space="0" w:color="auto"/>
            </w:tcBorders>
          </w:tcPr>
          <w:p w:rsidR="00E97D3B" w:rsidRPr="00EB4ECB" w:rsidRDefault="00E97D3B" w:rsidP="00211FA4">
            <w:pPr>
              <w:keepNext w:val="0"/>
              <w:widowControl w:val="0"/>
              <w:rPr>
                <w:b/>
                <w:bCs/>
              </w:rPr>
            </w:pPr>
            <w:r w:rsidRPr="00EB4ECB">
              <w:rPr>
                <w:b/>
                <w:bCs/>
              </w:rPr>
              <w:t>Priemerný mzdový výdavok (v eurách)</w:t>
            </w:r>
          </w:p>
        </w:tc>
        <w:tc>
          <w:tcPr>
            <w:tcW w:w="1698" w:type="dxa"/>
            <w:tcBorders>
              <w:top w:val="single" w:sz="4" w:space="0" w:color="auto"/>
              <w:left w:val="nil"/>
              <w:bottom w:val="single" w:sz="4" w:space="0" w:color="auto"/>
              <w:right w:val="single" w:sz="4" w:space="0" w:color="auto"/>
            </w:tcBorders>
          </w:tcPr>
          <w:p w:rsidR="00E97D3B" w:rsidRPr="00EB4ECB" w:rsidRDefault="00E97D3B" w:rsidP="00211FA4">
            <w:pPr>
              <w:keepNext w:val="0"/>
              <w:widowControl w:val="0"/>
              <w:jc w:val="center"/>
              <w:rPr>
                <w:b/>
                <w:bCs/>
              </w:rPr>
            </w:pPr>
          </w:p>
        </w:tc>
        <w:tc>
          <w:tcPr>
            <w:tcW w:w="1788" w:type="dxa"/>
            <w:tcBorders>
              <w:top w:val="single" w:sz="4" w:space="0" w:color="auto"/>
              <w:left w:val="nil"/>
              <w:bottom w:val="single" w:sz="4" w:space="0" w:color="auto"/>
              <w:right w:val="single" w:sz="4" w:space="0" w:color="auto"/>
            </w:tcBorders>
          </w:tcPr>
          <w:p w:rsidR="00E97D3B" w:rsidRPr="00EB4ECB" w:rsidRDefault="00E97D3B" w:rsidP="00211FA4">
            <w:pPr>
              <w:keepNext w:val="0"/>
              <w:widowControl w:val="0"/>
              <w:jc w:val="center"/>
              <w:rPr>
                <w:b/>
                <w:bCs/>
              </w:rPr>
            </w:pPr>
          </w:p>
        </w:tc>
        <w:tc>
          <w:tcPr>
            <w:tcW w:w="2418" w:type="dxa"/>
            <w:gridSpan w:val="2"/>
            <w:tcBorders>
              <w:top w:val="single" w:sz="4" w:space="0" w:color="auto"/>
              <w:left w:val="nil"/>
              <w:bottom w:val="single" w:sz="4" w:space="0" w:color="auto"/>
              <w:right w:val="single" w:sz="4" w:space="0" w:color="auto"/>
            </w:tcBorders>
          </w:tcPr>
          <w:p w:rsidR="00E97D3B" w:rsidRPr="00EB4ECB" w:rsidRDefault="00E97D3B" w:rsidP="00211FA4">
            <w:pPr>
              <w:keepNext w:val="0"/>
              <w:widowControl w:val="0"/>
              <w:jc w:val="center"/>
              <w:rPr>
                <w:b/>
                <w:bCs/>
              </w:rPr>
            </w:pPr>
          </w:p>
        </w:tc>
        <w:tc>
          <w:tcPr>
            <w:tcW w:w="1722" w:type="dxa"/>
            <w:tcBorders>
              <w:top w:val="single" w:sz="4" w:space="0" w:color="auto"/>
              <w:left w:val="nil"/>
              <w:bottom w:val="single" w:sz="4" w:space="0" w:color="auto"/>
              <w:right w:val="single" w:sz="4" w:space="0" w:color="auto"/>
            </w:tcBorders>
          </w:tcPr>
          <w:p w:rsidR="00E97D3B" w:rsidRPr="00EB4ECB" w:rsidRDefault="00E97D3B" w:rsidP="00211FA4">
            <w:pPr>
              <w:keepNext w:val="0"/>
              <w:widowControl w:val="0"/>
              <w:jc w:val="center"/>
              <w:rPr>
                <w:b/>
                <w:bCs/>
              </w:rPr>
            </w:pPr>
          </w:p>
        </w:tc>
        <w:tc>
          <w:tcPr>
            <w:tcW w:w="1620" w:type="dxa"/>
            <w:gridSpan w:val="2"/>
            <w:tcBorders>
              <w:top w:val="nil"/>
              <w:left w:val="nil"/>
              <w:bottom w:val="single" w:sz="4" w:space="0" w:color="auto"/>
              <w:right w:val="single" w:sz="4" w:space="0" w:color="auto"/>
            </w:tcBorders>
            <w:noWrap/>
            <w:vAlign w:val="bottom"/>
          </w:tcPr>
          <w:p w:rsidR="00E97D3B" w:rsidRPr="00EB4ECB" w:rsidRDefault="00E97D3B" w:rsidP="00211FA4">
            <w:pPr>
              <w:keepNext w:val="0"/>
              <w:widowControl w:val="0"/>
            </w:pPr>
            <w:r w:rsidRPr="00EB4ECB">
              <w:t> </w:t>
            </w:r>
          </w:p>
        </w:tc>
      </w:tr>
      <w:tr w:rsidR="00E97D3B" w:rsidRPr="00EB4ECB" w:rsidTr="00DF357D">
        <w:trPr>
          <w:trHeight w:val="255"/>
        </w:trPr>
        <w:tc>
          <w:tcPr>
            <w:tcW w:w="6188" w:type="dxa"/>
            <w:tcBorders>
              <w:top w:val="nil"/>
              <w:left w:val="single" w:sz="4" w:space="0" w:color="auto"/>
              <w:bottom w:val="single" w:sz="4" w:space="0" w:color="auto"/>
              <w:right w:val="single" w:sz="4" w:space="0" w:color="auto"/>
            </w:tcBorders>
          </w:tcPr>
          <w:p w:rsidR="00E97D3B" w:rsidRPr="00EB4ECB" w:rsidRDefault="00211FA4" w:rsidP="00211FA4">
            <w:pPr>
              <w:keepNext w:val="0"/>
              <w:widowControl w:val="0"/>
            </w:pPr>
            <w:r>
              <w:rPr>
                <w:b/>
                <w:bCs/>
              </w:rPr>
              <w:t xml:space="preserve"> </w:t>
            </w:r>
            <w:r w:rsidR="00E97D3B" w:rsidRPr="00EB4ECB">
              <w:rPr>
                <w:b/>
                <w:bCs/>
              </w:rPr>
              <w:t>z toho vplyv na ŠR</w:t>
            </w:r>
          </w:p>
        </w:tc>
        <w:tc>
          <w:tcPr>
            <w:tcW w:w="1698" w:type="dxa"/>
            <w:tcBorders>
              <w:top w:val="single" w:sz="4" w:space="0" w:color="auto"/>
              <w:left w:val="nil"/>
              <w:bottom w:val="single" w:sz="4" w:space="0" w:color="auto"/>
              <w:right w:val="single" w:sz="4" w:space="0" w:color="auto"/>
            </w:tcBorders>
          </w:tcPr>
          <w:p w:rsidR="00E97D3B" w:rsidRPr="00EB4ECB" w:rsidRDefault="00E97D3B" w:rsidP="00211FA4">
            <w:pPr>
              <w:keepNext w:val="0"/>
              <w:widowControl w:val="0"/>
              <w:jc w:val="center"/>
            </w:pPr>
            <w:r w:rsidRPr="00EB4ECB">
              <w:t> </w:t>
            </w:r>
          </w:p>
        </w:tc>
        <w:tc>
          <w:tcPr>
            <w:tcW w:w="1788" w:type="dxa"/>
            <w:tcBorders>
              <w:top w:val="single" w:sz="4" w:space="0" w:color="auto"/>
              <w:left w:val="nil"/>
              <w:bottom w:val="single" w:sz="4" w:space="0" w:color="auto"/>
              <w:right w:val="single" w:sz="4" w:space="0" w:color="auto"/>
            </w:tcBorders>
          </w:tcPr>
          <w:p w:rsidR="00E97D3B" w:rsidRPr="00EB4ECB" w:rsidRDefault="00E97D3B" w:rsidP="00211FA4">
            <w:pPr>
              <w:keepNext w:val="0"/>
              <w:widowControl w:val="0"/>
              <w:jc w:val="center"/>
            </w:pPr>
            <w:r w:rsidRPr="00EB4ECB">
              <w:t> </w:t>
            </w:r>
          </w:p>
        </w:tc>
        <w:tc>
          <w:tcPr>
            <w:tcW w:w="2418" w:type="dxa"/>
            <w:gridSpan w:val="2"/>
            <w:tcBorders>
              <w:top w:val="single" w:sz="4" w:space="0" w:color="auto"/>
              <w:left w:val="nil"/>
              <w:bottom w:val="single" w:sz="4" w:space="0" w:color="auto"/>
              <w:right w:val="single" w:sz="4" w:space="0" w:color="auto"/>
            </w:tcBorders>
          </w:tcPr>
          <w:p w:rsidR="00E97D3B" w:rsidRPr="00EB4ECB" w:rsidRDefault="00E97D3B" w:rsidP="00211FA4">
            <w:pPr>
              <w:keepNext w:val="0"/>
              <w:widowControl w:val="0"/>
              <w:jc w:val="center"/>
            </w:pPr>
            <w:r w:rsidRPr="00EB4ECB">
              <w:t> </w:t>
            </w:r>
          </w:p>
        </w:tc>
        <w:tc>
          <w:tcPr>
            <w:tcW w:w="1722" w:type="dxa"/>
            <w:tcBorders>
              <w:top w:val="single" w:sz="4" w:space="0" w:color="auto"/>
              <w:left w:val="nil"/>
              <w:bottom w:val="single" w:sz="4" w:space="0" w:color="auto"/>
              <w:right w:val="single" w:sz="4" w:space="0" w:color="auto"/>
            </w:tcBorders>
          </w:tcPr>
          <w:p w:rsidR="00E97D3B" w:rsidRPr="00EB4ECB" w:rsidRDefault="00E97D3B" w:rsidP="00211FA4">
            <w:pPr>
              <w:keepNext w:val="0"/>
              <w:widowControl w:val="0"/>
              <w:jc w:val="center"/>
            </w:pPr>
            <w:r w:rsidRPr="00EB4ECB">
              <w:t> </w:t>
            </w:r>
          </w:p>
        </w:tc>
        <w:tc>
          <w:tcPr>
            <w:tcW w:w="1620" w:type="dxa"/>
            <w:gridSpan w:val="2"/>
            <w:tcBorders>
              <w:top w:val="nil"/>
              <w:left w:val="nil"/>
              <w:bottom w:val="single" w:sz="4" w:space="0" w:color="auto"/>
              <w:right w:val="single" w:sz="4" w:space="0" w:color="auto"/>
            </w:tcBorders>
            <w:noWrap/>
            <w:vAlign w:val="bottom"/>
          </w:tcPr>
          <w:p w:rsidR="00E97D3B" w:rsidRPr="00EB4ECB" w:rsidRDefault="00E97D3B" w:rsidP="00211FA4">
            <w:pPr>
              <w:keepNext w:val="0"/>
              <w:widowControl w:val="0"/>
            </w:pPr>
            <w:r w:rsidRPr="00EB4ECB">
              <w:t> </w:t>
            </w:r>
          </w:p>
        </w:tc>
      </w:tr>
      <w:tr w:rsidR="00E97D3B" w:rsidRPr="00EB4ECB" w:rsidTr="00E97D3B">
        <w:trPr>
          <w:trHeight w:val="255"/>
        </w:trPr>
        <w:tc>
          <w:tcPr>
            <w:tcW w:w="6188" w:type="dxa"/>
            <w:tcBorders>
              <w:top w:val="nil"/>
              <w:left w:val="single" w:sz="4" w:space="0" w:color="auto"/>
              <w:bottom w:val="single" w:sz="4" w:space="0" w:color="auto"/>
              <w:right w:val="single" w:sz="4" w:space="0" w:color="auto"/>
            </w:tcBorders>
            <w:shd w:val="clear" w:color="auto" w:fill="BFBFBF"/>
          </w:tcPr>
          <w:p w:rsidR="00E97D3B" w:rsidRPr="00EB4ECB" w:rsidRDefault="00E97D3B" w:rsidP="00211FA4">
            <w:pPr>
              <w:keepNext w:val="0"/>
              <w:widowControl w:val="0"/>
              <w:rPr>
                <w:b/>
                <w:bCs/>
              </w:rPr>
            </w:pPr>
            <w:r w:rsidRPr="00EB4ECB">
              <w:rPr>
                <w:b/>
                <w:bCs/>
              </w:rPr>
              <w:t>Osobné výdavky celkom (v eurách)</w:t>
            </w:r>
          </w:p>
        </w:tc>
        <w:tc>
          <w:tcPr>
            <w:tcW w:w="1698" w:type="dxa"/>
            <w:tcBorders>
              <w:top w:val="nil"/>
              <w:left w:val="nil"/>
              <w:bottom w:val="single" w:sz="4" w:space="0" w:color="auto"/>
              <w:right w:val="single" w:sz="4" w:space="0" w:color="auto"/>
            </w:tcBorders>
            <w:shd w:val="clear" w:color="auto" w:fill="BFBFBF"/>
          </w:tcPr>
          <w:p w:rsidR="00E97D3B" w:rsidRPr="00EB4ECB" w:rsidRDefault="00E97D3B" w:rsidP="00211FA4">
            <w:pPr>
              <w:keepNext w:val="0"/>
              <w:widowControl w:val="0"/>
              <w:jc w:val="center"/>
              <w:rPr>
                <w:b/>
                <w:bCs/>
              </w:rPr>
            </w:pPr>
            <w:r w:rsidRPr="00EB4ECB">
              <w:rPr>
                <w:b/>
                <w:bCs/>
              </w:rPr>
              <w:t>0</w:t>
            </w:r>
          </w:p>
        </w:tc>
        <w:tc>
          <w:tcPr>
            <w:tcW w:w="1788" w:type="dxa"/>
            <w:tcBorders>
              <w:top w:val="nil"/>
              <w:left w:val="nil"/>
              <w:bottom w:val="single" w:sz="4" w:space="0" w:color="auto"/>
              <w:right w:val="single" w:sz="4" w:space="0" w:color="auto"/>
            </w:tcBorders>
            <w:shd w:val="clear" w:color="auto" w:fill="BFBFBF"/>
          </w:tcPr>
          <w:p w:rsidR="00E97D3B" w:rsidRPr="00EB4ECB" w:rsidRDefault="00E97D3B" w:rsidP="00211FA4">
            <w:pPr>
              <w:keepNext w:val="0"/>
              <w:widowControl w:val="0"/>
              <w:jc w:val="center"/>
              <w:rPr>
                <w:b/>
                <w:bCs/>
              </w:rPr>
            </w:pPr>
            <w:r w:rsidRPr="00EB4ECB">
              <w:rPr>
                <w:b/>
                <w:bCs/>
              </w:rPr>
              <w:t>0</w:t>
            </w:r>
          </w:p>
        </w:tc>
        <w:tc>
          <w:tcPr>
            <w:tcW w:w="2418" w:type="dxa"/>
            <w:gridSpan w:val="2"/>
            <w:tcBorders>
              <w:top w:val="nil"/>
              <w:left w:val="nil"/>
              <w:bottom w:val="single" w:sz="4" w:space="0" w:color="auto"/>
              <w:right w:val="single" w:sz="4" w:space="0" w:color="auto"/>
            </w:tcBorders>
            <w:shd w:val="clear" w:color="auto" w:fill="BFBFBF"/>
          </w:tcPr>
          <w:p w:rsidR="00E97D3B" w:rsidRPr="00EB4ECB" w:rsidRDefault="00E97D3B" w:rsidP="00211FA4">
            <w:pPr>
              <w:keepNext w:val="0"/>
              <w:widowControl w:val="0"/>
              <w:jc w:val="center"/>
              <w:rPr>
                <w:b/>
                <w:bCs/>
              </w:rPr>
            </w:pPr>
            <w:r w:rsidRPr="00EB4ECB">
              <w:rPr>
                <w:b/>
                <w:bCs/>
              </w:rPr>
              <w:t>0</w:t>
            </w:r>
          </w:p>
        </w:tc>
        <w:tc>
          <w:tcPr>
            <w:tcW w:w="1722" w:type="dxa"/>
            <w:tcBorders>
              <w:top w:val="nil"/>
              <w:left w:val="nil"/>
              <w:bottom w:val="single" w:sz="4" w:space="0" w:color="auto"/>
              <w:right w:val="single" w:sz="4" w:space="0" w:color="auto"/>
            </w:tcBorders>
            <w:shd w:val="clear" w:color="auto" w:fill="BFBFBF"/>
          </w:tcPr>
          <w:p w:rsidR="00E97D3B" w:rsidRPr="00EB4ECB" w:rsidRDefault="00E97D3B" w:rsidP="00211FA4">
            <w:pPr>
              <w:keepNext w:val="0"/>
              <w:widowControl w:val="0"/>
              <w:jc w:val="center"/>
              <w:rPr>
                <w:b/>
                <w:bCs/>
              </w:rPr>
            </w:pPr>
            <w:r w:rsidRPr="00EB4ECB">
              <w:rPr>
                <w:b/>
                <w:bCs/>
              </w:rPr>
              <w:t>0</w:t>
            </w:r>
          </w:p>
        </w:tc>
        <w:tc>
          <w:tcPr>
            <w:tcW w:w="1620" w:type="dxa"/>
            <w:gridSpan w:val="2"/>
            <w:tcBorders>
              <w:top w:val="nil"/>
              <w:left w:val="nil"/>
              <w:bottom w:val="single" w:sz="4" w:space="0" w:color="auto"/>
              <w:right w:val="single" w:sz="4" w:space="0" w:color="auto"/>
            </w:tcBorders>
            <w:shd w:val="clear" w:color="auto" w:fill="BFBFBF"/>
            <w:noWrap/>
            <w:vAlign w:val="bottom"/>
          </w:tcPr>
          <w:p w:rsidR="00E97D3B" w:rsidRPr="00EB4ECB" w:rsidRDefault="00E97D3B" w:rsidP="00211FA4">
            <w:pPr>
              <w:keepNext w:val="0"/>
              <w:widowControl w:val="0"/>
              <w:rPr>
                <w:b/>
                <w:bCs/>
              </w:rPr>
            </w:pPr>
            <w:r w:rsidRPr="00EB4ECB">
              <w:rPr>
                <w:b/>
                <w:bCs/>
              </w:rPr>
              <w:t> </w:t>
            </w:r>
          </w:p>
        </w:tc>
      </w:tr>
      <w:tr w:rsidR="00E97D3B" w:rsidRPr="00EB4ECB" w:rsidTr="00DF357D">
        <w:trPr>
          <w:trHeight w:val="255"/>
        </w:trPr>
        <w:tc>
          <w:tcPr>
            <w:tcW w:w="6188" w:type="dxa"/>
            <w:tcBorders>
              <w:top w:val="nil"/>
              <w:left w:val="single" w:sz="4" w:space="0" w:color="auto"/>
              <w:bottom w:val="single" w:sz="4" w:space="0" w:color="auto"/>
              <w:right w:val="single" w:sz="4" w:space="0" w:color="auto"/>
            </w:tcBorders>
          </w:tcPr>
          <w:p w:rsidR="00E97D3B" w:rsidRPr="00EB4ECB" w:rsidRDefault="00E97D3B" w:rsidP="00211FA4">
            <w:pPr>
              <w:keepNext w:val="0"/>
              <w:widowControl w:val="0"/>
              <w:rPr>
                <w:b/>
                <w:bCs/>
              </w:rPr>
            </w:pPr>
            <w:r w:rsidRPr="00EB4ECB">
              <w:rPr>
                <w:b/>
                <w:bCs/>
              </w:rPr>
              <w:t>Mzdy, platy, služobné príjmy a ostatné osobné vyrovnania (610)</w:t>
            </w:r>
          </w:p>
        </w:tc>
        <w:tc>
          <w:tcPr>
            <w:tcW w:w="1698" w:type="dxa"/>
            <w:tcBorders>
              <w:top w:val="nil"/>
              <w:left w:val="nil"/>
              <w:bottom w:val="single" w:sz="4" w:space="0" w:color="auto"/>
              <w:right w:val="single" w:sz="4" w:space="0" w:color="auto"/>
            </w:tcBorders>
          </w:tcPr>
          <w:p w:rsidR="00E97D3B" w:rsidRPr="00EB4ECB" w:rsidRDefault="00E97D3B" w:rsidP="00211FA4">
            <w:pPr>
              <w:keepNext w:val="0"/>
              <w:widowControl w:val="0"/>
              <w:jc w:val="center"/>
              <w:rPr>
                <w:b/>
                <w:bCs/>
              </w:rPr>
            </w:pPr>
          </w:p>
        </w:tc>
        <w:tc>
          <w:tcPr>
            <w:tcW w:w="1788" w:type="dxa"/>
            <w:tcBorders>
              <w:top w:val="nil"/>
              <w:left w:val="nil"/>
              <w:bottom w:val="single" w:sz="4" w:space="0" w:color="auto"/>
              <w:right w:val="single" w:sz="4" w:space="0" w:color="auto"/>
            </w:tcBorders>
          </w:tcPr>
          <w:p w:rsidR="00E97D3B" w:rsidRPr="00EB4ECB" w:rsidRDefault="00E97D3B" w:rsidP="00211FA4">
            <w:pPr>
              <w:keepNext w:val="0"/>
              <w:widowControl w:val="0"/>
              <w:jc w:val="center"/>
              <w:rPr>
                <w:b/>
                <w:bCs/>
              </w:rPr>
            </w:pPr>
          </w:p>
        </w:tc>
        <w:tc>
          <w:tcPr>
            <w:tcW w:w="2418" w:type="dxa"/>
            <w:gridSpan w:val="2"/>
            <w:tcBorders>
              <w:top w:val="nil"/>
              <w:left w:val="nil"/>
              <w:bottom w:val="single" w:sz="4" w:space="0" w:color="auto"/>
              <w:right w:val="single" w:sz="4" w:space="0" w:color="auto"/>
            </w:tcBorders>
          </w:tcPr>
          <w:p w:rsidR="00E97D3B" w:rsidRPr="00EB4ECB" w:rsidRDefault="00E97D3B" w:rsidP="00211FA4">
            <w:pPr>
              <w:keepNext w:val="0"/>
              <w:widowControl w:val="0"/>
              <w:jc w:val="center"/>
              <w:rPr>
                <w:b/>
                <w:bCs/>
              </w:rPr>
            </w:pPr>
          </w:p>
        </w:tc>
        <w:tc>
          <w:tcPr>
            <w:tcW w:w="1722" w:type="dxa"/>
            <w:tcBorders>
              <w:top w:val="nil"/>
              <w:left w:val="nil"/>
              <w:bottom w:val="single" w:sz="4" w:space="0" w:color="auto"/>
              <w:right w:val="single" w:sz="4" w:space="0" w:color="auto"/>
            </w:tcBorders>
          </w:tcPr>
          <w:p w:rsidR="00E97D3B" w:rsidRPr="00EB4ECB" w:rsidRDefault="00E97D3B" w:rsidP="00211FA4">
            <w:pPr>
              <w:keepNext w:val="0"/>
              <w:widowControl w:val="0"/>
              <w:jc w:val="center"/>
              <w:rPr>
                <w:b/>
                <w:bCs/>
              </w:rPr>
            </w:pPr>
          </w:p>
        </w:tc>
        <w:tc>
          <w:tcPr>
            <w:tcW w:w="1620" w:type="dxa"/>
            <w:gridSpan w:val="2"/>
            <w:tcBorders>
              <w:top w:val="nil"/>
              <w:left w:val="nil"/>
              <w:bottom w:val="single" w:sz="4" w:space="0" w:color="auto"/>
              <w:right w:val="single" w:sz="4" w:space="0" w:color="auto"/>
            </w:tcBorders>
            <w:noWrap/>
            <w:vAlign w:val="bottom"/>
          </w:tcPr>
          <w:p w:rsidR="00E97D3B" w:rsidRPr="00EB4ECB" w:rsidRDefault="00E97D3B" w:rsidP="00211FA4">
            <w:pPr>
              <w:keepNext w:val="0"/>
              <w:widowControl w:val="0"/>
              <w:rPr>
                <w:b/>
                <w:bCs/>
              </w:rPr>
            </w:pPr>
            <w:r w:rsidRPr="00EB4ECB">
              <w:rPr>
                <w:b/>
                <w:bCs/>
              </w:rPr>
              <w:t> </w:t>
            </w:r>
          </w:p>
        </w:tc>
      </w:tr>
      <w:tr w:rsidR="00E97D3B" w:rsidRPr="00EB4ECB" w:rsidTr="00DF357D">
        <w:trPr>
          <w:trHeight w:val="255"/>
        </w:trPr>
        <w:tc>
          <w:tcPr>
            <w:tcW w:w="6188" w:type="dxa"/>
            <w:tcBorders>
              <w:top w:val="nil"/>
              <w:left w:val="single" w:sz="4" w:space="0" w:color="auto"/>
              <w:bottom w:val="single" w:sz="4" w:space="0" w:color="auto"/>
              <w:right w:val="single" w:sz="4" w:space="0" w:color="auto"/>
            </w:tcBorders>
          </w:tcPr>
          <w:p w:rsidR="00E97D3B" w:rsidRPr="00EB4ECB" w:rsidRDefault="00211FA4" w:rsidP="00211FA4">
            <w:pPr>
              <w:keepNext w:val="0"/>
              <w:widowControl w:val="0"/>
            </w:pPr>
            <w:r>
              <w:rPr>
                <w:b/>
                <w:bCs/>
              </w:rPr>
              <w:t xml:space="preserve"> </w:t>
            </w:r>
            <w:r w:rsidR="00E97D3B" w:rsidRPr="00EB4ECB">
              <w:rPr>
                <w:b/>
                <w:bCs/>
              </w:rPr>
              <w:t>z toho vplyv na ŠR</w:t>
            </w:r>
          </w:p>
        </w:tc>
        <w:tc>
          <w:tcPr>
            <w:tcW w:w="1698" w:type="dxa"/>
            <w:tcBorders>
              <w:top w:val="nil"/>
              <w:left w:val="nil"/>
              <w:bottom w:val="single" w:sz="4" w:space="0" w:color="auto"/>
              <w:right w:val="single" w:sz="4" w:space="0" w:color="auto"/>
            </w:tcBorders>
          </w:tcPr>
          <w:p w:rsidR="00E97D3B" w:rsidRPr="00EB4ECB" w:rsidRDefault="00E97D3B" w:rsidP="00211FA4">
            <w:pPr>
              <w:keepNext w:val="0"/>
              <w:widowControl w:val="0"/>
              <w:jc w:val="center"/>
            </w:pPr>
          </w:p>
        </w:tc>
        <w:tc>
          <w:tcPr>
            <w:tcW w:w="1788" w:type="dxa"/>
            <w:tcBorders>
              <w:top w:val="nil"/>
              <w:left w:val="nil"/>
              <w:bottom w:val="single" w:sz="4" w:space="0" w:color="auto"/>
              <w:right w:val="single" w:sz="4" w:space="0" w:color="auto"/>
            </w:tcBorders>
          </w:tcPr>
          <w:p w:rsidR="00E97D3B" w:rsidRPr="00EB4ECB" w:rsidRDefault="00E97D3B" w:rsidP="00211FA4">
            <w:pPr>
              <w:keepNext w:val="0"/>
              <w:widowControl w:val="0"/>
              <w:jc w:val="center"/>
            </w:pPr>
          </w:p>
        </w:tc>
        <w:tc>
          <w:tcPr>
            <w:tcW w:w="2418" w:type="dxa"/>
            <w:gridSpan w:val="2"/>
            <w:tcBorders>
              <w:top w:val="nil"/>
              <w:left w:val="nil"/>
              <w:bottom w:val="single" w:sz="4" w:space="0" w:color="auto"/>
              <w:right w:val="single" w:sz="4" w:space="0" w:color="auto"/>
            </w:tcBorders>
          </w:tcPr>
          <w:p w:rsidR="00E97D3B" w:rsidRPr="00EB4ECB" w:rsidRDefault="00E97D3B" w:rsidP="00211FA4">
            <w:pPr>
              <w:keepNext w:val="0"/>
              <w:widowControl w:val="0"/>
              <w:jc w:val="center"/>
            </w:pPr>
          </w:p>
        </w:tc>
        <w:tc>
          <w:tcPr>
            <w:tcW w:w="1722" w:type="dxa"/>
            <w:tcBorders>
              <w:top w:val="nil"/>
              <w:left w:val="nil"/>
              <w:bottom w:val="single" w:sz="4" w:space="0" w:color="auto"/>
              <w:right w:val="single" w:sz="4" w:space="0" w:color="auto"/>
            </w:tcBorders>
          </w:tcPr>
          <w:p w:rsidR="00E97D3B" w:rsidRPr="00EB4ECB" w:rsidRDefault="00E97D3B" w:rsidP="00211FA4">
            <w:pPr>
              <w:keepNext w:val="0"/>
              <w:widowControl w:val="0"/>
              <w:jc w:val="center"/>
            </w:pPr>
          </w:p>
        </w:tc>
        <w:tc>
          <w:tcPr>
            <w:tcW w:w="1620" w:type="dxa"/>
            <w:gridSpan w:val="2"/>
            <w:tcBorders>
              <w:top w:val="nil"/>
              <w:left w:val="nil"/>
              <w:bottom w:val="single" w:sz="4" w:space="0" w:color="auto"/>
              <w:right w:val="single" w:sz="4" w:space="0" w:color="auto"/>
            </w:tcBorders>
            <w:noWrap/>
            <w:vAlign w:val="bottom"/>
          </w:tcPr>
          <w:p w:rsidR="00E97D3B" w:rsidRPr="00EB4ECB" w:rsidRDefault="00E97D3B" w:rsidP="00211FA4">
            <w:pPr>
              <w:keepNext w:val="0"/>
              <w:widowControl w:val="0"/>
            </w:pPr>
            <w:r w:rsidRPr="00EB4ECB">
              <w:t> </w:t>
            </w:r>
          </w:p>
        </w:tc>
      </w:tr>
      <w:tr w:rsidR="00E97D3B" w:rsidRPr="00EB4ECB" w:rsidTr="00DF357D">
        <w:trPr>
          <w:trHeight w:val="255"/>
        </w:trPr>
        <w:tc>
          <w:tcPr>
            <w:tcW w:w="6188" w:type="dxa"/>
            <w:tcBorders>
              <w:top w:val="nil"/>
              <w:left w:val="single" w:sz="4" w:space="0" w:color="auto"/>
              <w:bottom w:val="single" w:sz="4" w:space="0" w:color="auto"/>
              <w:right w:val="single" w:sz="4" w:space="0" w:color="auto"/>
            </w:tcBorders>
          </w:tcPr>
          <w:p w:rsidR="00E97D3B" w:rsidRPr="00EB4ECB" w:rsidRDefault="00E97D3B" w:rsidP="00211FA4">
            <w:pPr>
              <w:keepNext w:val="0"/>
              <w:widowControl w:val="0"/>
              <w:rPr>
                <w:b/>
                <w:bCs/>
              </w:rPr>
            </w:pPr>
            <w:r w:rsidRPr="00EB4ECB">
              <w:rPr>
                <w:b/>
                <w:bCs/>
              </w:rPr>
              <w:t>Poistné a príspevok do poisťovní (620)</w:t>
            </w:r>
          </w:p>
        </w:tc>
        <w:tc>
          <w:tcPr>
            <w:tcW w:w="1698" w:type="dxa"/>
            <w:tcBorders>
              <w:top w:val="nil"/>
              <w:left w:val="nil"/>
              <w:bottom w:val="single" w:sz="4" w:space="0" w:color="auto"/>
              <w:right w:val="single" w:sz="4" w:space="0" w:color="auto"/>
            </w:tcBorders>
          </w:tcPr>
          <w:p w:rsidR="00E97D3B" w:rsidRPr="00EB4ECB" w:rsidRDefault="00E97D3B" w:rsidP="00211FA4">
            <w:pPr>
              <w:keepNext w:val="0"/>
              <w:widowControl w:val="0"/>
              <w:jc w:val="center"/>
              <w:rPr>
                <w:b/>
                <w:bCs/>
              </w:rPr>
            </w:pPr>
          </w:p>
        </w:tc>
        <w:tc>
          <w:tcPr>
            <w:tcW w:w="1788" w:type="dxa"/>
            <w:tcBorders>
              <w:top w:val="nil"/>
              <w:left w:val="nil"/>
              <w:bottom w:val="single" w:sz="4" w:space="0" w:color="auto"/>
              <w:right w:val="single" w:sz="4" w:space="0" w:color="auto"/>
            </w:tcBorders>
          </w:tcPr>
          <w:p w:rsidR="00E97D3B" w:rsidRPr="00EB4ECB" w:rsidRDefault="00E97D3B" w:rsidP="00211FA4">
            <w:pPr>
              <w:keepNext w:val="0"/>
              <w:widowControl w:val="0"/>
              <w:jc w:val="center"/>
              <w:rPr>
                <w:b/>
                <w:bCs/>
              </w:rPr>
            </w:pPr>
          </w:p>
        </w:tc>
        <w:tc>
          <w:tcPr>
            <w:tcW w:w="2418" w:type="dxa"/>
            <w:gridSpan w:val="2"/>
            <w:tcBorders>
              <w:top w:val="nil"/>
              <w:left w:val="nil"/>
              <w:bottom w:val="single" w:sz="4" w:space="0" w:color="auto"/>
              <w:right w:val="single" w:sz="4" w:space="0" w:color="auto"/>
            </w:tcBorders>
          </w:tcPr>
          <w:p w:rsidR="00E97D3B" w:rsidRPr="00EB4ECB" w:rsidRDefault="00E97D3B" w:rsidP="00211FA4">
            <w:pPr>
              <w:keepNext w:val="0"/>
              <w:widowControl w:val="0"/>
              <w:jc w:val="center"/>
              <w:rPr>
                <w:b/>
                <w:bCs/>
              </w:rPr>
            </w:pPr>
          </w:p>
        </w:tc>
        <w:tc>
          <w:tcPr>
            <w:tcW w:w="1722" w:type="dxa"/>
            <w:tcBorders>
              <w:top w:val="nil"/>
              <w:left w:val="nil"/>
              <w:bottom w:val="single" w:sz="4" w:space="0" w:color="auto"/>
              <w:right w:val="single" w:sz="4" w:space="0" w:color="auto"/>
            </w:tcBorders>
          </w:tcPr>
          <w:p w:rsidR="00E97D3B" w:rsidRPr="00EB4ECB" w:rsidRDefault="00E97D3B" w:rsidP="00211FA4">
            <w:pPr>
              <w:keepNext w:val="0"/>
              <w:widowControl w:val="0"/>
              <w:jc w:val="center"/>
              <w:rPr>
                <w:b/>
                <w:bCs/>
              </w:rPr>
            </w:pPr>
          </w:p>
        </w:tc>
        <w:tc>
          <w:tcPr>
            <w:tcW w:w="1620" w:type="dxa"/>
            <w:gridSpan w:val="2"/>
            <w:tcBorders>
              <w:top w:val="nil"/>
              <w:left w:val="nil"/>
              <w:bottom w:val="single" w:sz="4" w:space="0" w:color="auto"/>
              <w:right w:val="single" w:sz="4" w:space="0" w:color="auto"/>
            </w:tcBorders>
            <w:noWrap/>
            <w:vAlign w:val="bottom"/>
          </w:tcPr>
          <w:p w:rsidR="00E97D3B" w:rsidRPr="00EB4ECB" w:rsidRDefault="00E97D3B" w:rsidP="00211FA4">
            <w:pPr>
              <w:keepNext w:val="0"/>
              <w:widowControl w:val="0"/>
              <w:rPr>
                <w:b/>
                <w:bCs/>
              </w:rPr>
            </w:pPr>
            <w:r w:rsidRPr="00EB4ECB">
              <w:rPr>
                <w:b/>
                <w:bCs/>
              </w:rPr>
              <w:t> </w:t>
            </w:r>
          </w:p>
        </w:tc>
      </w:tr>
      <w:tr w:rsidR="00E97D3B" w:rsidRPr="00EB4ECB" w:rsidTr="00DF357D">
        <w:trPr>
          <w:trHeight w:val="255"/>
        </w:trPr>
        <w:tc>
          <w:tcPr>
            <w:tcW w:w="6188" w:type="dxa"/>
            <w:tcBorders>
              <w:top w:val="nil"/>
              <w:left w:val="single" w:sz="4" w:space="0" w:color="auto"/>
              <w:bottom w:val="single" w:sz="4" w:space="0" w:color="auto"/>
              <w:right w:val="single" w:sz="4" w:space="0" w:color="auto"/>
            </w:tcBorders>
          </w:tcPr>
          <w:p w:rsidR="00E97D3B" w:rsidRPr="00EB4ECB" w:rsidRDefault="00211FA4" w:rsidP="00211FA4">
            <w:pPr>
              <w:keepNext w:val="0"/>
              <w:widowControl w:val="0"/>
            </w:pPr>
            <w:r>
              <w:rPr>
                <w:b/>
                <w:bCs/>
              </w:rPr>
              <w:t xml:space="preserve"> </w:t>
            </w:r>
            <w:r w:rsidR="00E97D3B" w:rsidRPr="00EB4ECB">
              <w:rPr>
                <w:b/>
                <w:bCs/>
              </w:rPr>
              <w:t>z toho vplyv na ŠR</w:t>
            </w:r>
          </w:p>
        </w:tc>
        <w:tc>
          <w:tcPr>
            <w:tcW w:w="1698" w:type="dxa"/>
            <w:tcBorders>
              <w:top w:val="nil"/>
              <w:left w:val="nil"/>
              <w:bottom w:val="single" w:sz="4" w:space="0" w:color="auto"/>
              <w:right w:val="single" w:sz="4" w:space="0" w:color="auto"/>
            </w:tcBorders>
          </w:tcPr>
          <w:p w:rsidR="00E97D3B" w:rsidRPr="00EB4ECB" w:rsidRDefault="00E97D3B" w:rsidP="00211FA4">
            <w:pPr>
              <w:keepNext w:val="0"/>
              <w:widowControl w:val="0"/>
              <w:jc w:val="center"/>
            </w:pPr>
          </w:p>
        </w:tc>
        <w:tc>
          <w:tcPr>
            <w:tcW w:w="1788" w:type="dxa"/>
            <w:tcBorders>
              <w:top w:val="nil"/>
              <w:left w:val="nil"/>
              <w:bottom w:val="single" w:sz="4" w:space="0" w:color="auto"/>
              <w:right w:val="single" w:sz="4" w:space="0" w:color="auto"/>
            </w:tcBorders>
          </w:tcPr>
          <w:p w:rsidR="00E97D3B" w:rsidRPr="00EB4ECB" w:rsidRDefault="00E97D3B" w:rsidP="00211FA4">
            <w:pPr>
              <w:keepNext w:val="0"/>
              <w:widowControl w:val="0"/>
              <w:jc w:val="center"/>
            </w:pPr>
          </w:p>
        </w:tc>
        <w:tc>
          <w:tcPr>
            <w:tcW w:w="2418" w:type="dxa"/>
            <w:gridSpan w:val="2"/>
            <w:tcBorders>
              <w:top w:val="nil"/>
              <w:left w:val="nil"/>
              <w:bottom w:val="single" w:sz="4" w:space="0" w:color="auto"/>
              <w:right w:val="single" w:sz="4" w:space="0" w:color="auto"/>
            </w:tcBorders>
          </w:tcPr>
          <w:p w:rsidR="00E97D3B" w:rsidRPr="00EB4ECB" w:rsidRDefault="00E97D3B" w:rsidP="00211FA4">
            <w:pPr>
              <w:keepNext w:val="0"/>
              <w:widowControl w:val="0"/>
              <w:jc w:val="center"/>
            </w:pPr>
          </w:p>
        </w:tc>
        <w:tc>
          <w:tcPr>
            <w:tcW w:w="1722" w:type="dxa"/>
            <w:tcBorders>
              <w:top w:val="nil"/>
              <w:left w:val="nil"/>
              <w:bottom w:val="single" w:sz="4" w:space="0" w:color="auto"/>
              <w:right w:val="single" w:sz="4" w:space="0" w:color="auto"/>
            </w:tcBorders>
          </w:tcPr>
          <w:p w:rsidR="00E97D3B" w:rsidRPr="00EB4ECB" w:rsidRDefault="00E97D3B" w:rsidP="00211FA4">
            <w:pPr>
              <w:keepNext w:val="0"/>
              <w:widowControl w:val="0"/>
              <w:jc w:val="center"/>
            </w:pPr>
          </w:p>
        </w:tc>
        <w:tc>
          <w:tcPr>
            <w:tcW w:w="1620" w:type="dxa"/>
            <w:gridSpan w:val="2"/>
            <w:tcBorders>
              <w:top w:val="nil"/>
              <w:left w:val="nil"/>
              <w:bottom w:val="single" w:sz="4" w:space="0" w:color="auto"/>
              <w:right w:val="single" w:sz="4" w:space="0" w:color="auto"/>
            </w:tcBorders>
            <w:noWrap/>
            <w:vAlign w:val="bottom"/>
          </w:tcPr>
          <w:p w:rsidR="00E97D3B" w:rsidRPr="00EB4ECB" w:rsidRDefault="00E97D3B" w:rsidP="00211FA4">
            <w:pPr>
              <w:keepNext w:val="0"/>
              <w:widowControl w:val="0"/>
            </w:pPr>
            <w:r w:rsidRPr="00EB4ECB">
              <w:t> </w:t>
            </w:r>
          </w:p>
        </w:tc>
      </w:tr>
      <w:tr w:rsidR="00E97D3B" w:rsidRPr="00EB4ECB" w:rsidTr="00DF357D">
        <w:trPr>
          <w:trHeight w:val="255"/>
        </w:trPr>
        <w:tc>
          <w:tcPr>
            <w:tcW w:w="6188" w:type="dxa"/>
            <w:tcBorders>
              <w:top w:val="nil"/>
              <w:left w:val="nil"/>
              <w:bottom w:val="nil"/>
              <w:right w:val="nil"/>
            </w:tcBorders>
            <w:noWrap/>
            <w:vAlign w:val="bottom"/>
          </w:tcPr>
          <w:p w:rsidR="00E97D3B" w:rsidRPr="00EB4ECB" w:rsidRDefault="00E97D3B" w:rsidP="00211FA4">
            <w:pPr>
              <w:keepNext w:val="0"/>
              <w:widowControl w:val="0"/>
            </w:pPr>
          </w:p>
        </w:tc>
        <w:tc>
          <w:tcPr>
            <w:tcW w:w="1698" w:type="dxa"/>
            <w:tcBorders>
              <w:top w:val="nil"/>
              <w:left w:val="nil"/>
              <w:bottom w:val="nil"/>
              <w:right w:val="nil"/>
            </w:tcBorders>
            <w:noWrap/>
            <w:vAlign w:val="bottom"/>
          </w:tcPr>
          <w:p w:rsidR="00E97D3B" w:rsidRPr="00EB4ECB" w:rsidRDefault="00E97D3B" w:rsidP="00211FA4">
            <w:pPr>
              <w:keepNext w:val="0"/>
              <w:widowControl w:val="0"/>
            </w:pPr>
          </w:p>
        </w:tc>
        <w:tc>
          <w:tcPr>
            <w:tcW w:w="1788" w:type="dxa"/>
            <w:tcBorders>
              <w:top w:val="nil"/>
              <w:left w:val="nil"/>
              <w:bottom w:val="nil"/>
              <w:right w:val="nil"/>
            </w:tcBorders>
            <w:noWrap/>
            <w:vAlign w:val="bottom"/>
          </w:tcPr>
          <w:p w:rsidR="00E97D3B" w:rsidRPr="00EB4ECB" w:rsidRDefault="00E97D3B" w:rsidP="00211FA4">
            <w:pPr>
              <w:keepNext w:val="0"/>
              <w:widowControl w:val="0"/>
            </w:pPr>
          </w:p>
        </w:tc>
        <w:tc>
          <w:tcPr>
            <w:tcW w:w="2418" w:type="dxa"/>
            <w:gridSpan w:val="2"/>
            <w:tcBorders>
              <w:top w:val="nil"/>
              <w:left w:val="nil"/>
              <w:bottom w:val="nil"/>
              <w:right w:val="nil"/>
            </w:tcBorders>
            <w:noWrap/>
            <w:vAlign w:val="bottom"/>
          </w:tcPr>
          <w:p w:rsidR="00E97D3B" w:rsidRPr="00EB4ECB" w:rsidRDefault="00E97D3B" w:rsidP="00211FA4">
            <w:pPr>
              <w:keepNext w:val="0"/>
              <w:widowControl w:val="0"/>
            </w:pPr>
          </w:p>
        </w:tc>
        <w:tc>
          <w:tcPr>
            <w:tcW w:w="1722" w:type="dxa"/>
            <w:tcBorders>
              <w:top w:val="nil"/>
              <w:left w:val="nil"/>
              <w:bottom w:val="nil"/>
              <w:right w:val="nil"/>
            </w:tcBorders>
            <w:noWrap/>
            <w:vAlign w:val="bottom"/>
          </w:tcPr>
          <w:p w:rsidR="00E97D3B" w:rsidRPr="00EB4ECB" w:rsidRDefault="00E97D3B" w:rsidP="00211FA4">
            <w:pPr>
              <w:keepNext w:val="0"/>
              <w:widowControl w:val="0"/>
            </w:pPr>
          </w:p>
        </w:tc>
        <w:tc>
          <w:tcPr>
            <w:tcW w:w="1620" w:type="dxa"/>
            <w:gridSpan w:val="2"/>
            <w:tcBorders>
              <w:top w:val="nil"/>
              <w:left w:val="nil"/>
              <w:bottom w:val="nil"/>
              <w:right w:val="nil"/>
            </w:tcBorders>
            <w:noWrap/>
            <w:vAlign w:val="bottom"/>
          </w:tcPr>
          <w:p w:rsidR="00E97D3B" w:rsidRPr="00EB4ECB" w:rsidRDefault="00E97D3B" w:rsidP="00211FA4">
            <w:pPr>
              <w:keepNext w:val="0"/>
              <w:widowControl w:val="0"/>
            </w:pPr>
          </w:p>
        </w:tc>
      </w:tr>
      <w:tr w:rsidR="00E97D3B" w:rsidRPr="00EB4ECB" w:rsidTr="00DF357D">
        <w:trPr>
          <w:trHeight w:val="255"/>
        </w:trPr>
        <w:tc>
          <w:tcPr>
            <w:tcW w:w="6188" w:type="dxa"/>
            <w:tcBorders>
              <w:top w:val="nil"/>
              <w:left w:val="nil"/>
              <w:bottom w:val="nil"/>
              <w:right w:val="nil"/>
            </w:tcBorders>
          </w:tcPr>
          <w:p w:rsidR="00E97D3B" w:rsidRPr="00EB4ECB" w:rsidRDefault="00E97D3B" w:rsidP="00211FA4">
            <w:pPr>
              <w:keepNext w:val="0"/>
              <w:widowControl w:val="0"/>
              <w:rPr>
                <w:b/>
                <w:bCs/>
              </w:rPr>
            </w:pPr>
            <w:r w:rsidRPr="00EB4ECB">
              <w:rPr>
                <w:b/>
                <w:bCs/>
              </w:rPr>
              <w:t>Poznámky:</w:t>
            </w:r>
          </w:p>
        </w:tc>
        <w:tc>
          <w:tcPr>
            <w:tcW w:w="1698" w:type="dxa"/>
            <w:tcBorders>
              <w:top w:val="nil"/>
              <w:left w:val="nil"/>
              <w:bottom w:val="nil"/>
              <w:right w:val="nil"/>
            </w:tcBorders>
            <w:noWrap/>
            <w:vAlign w:val="bottom"/>
          </w:tcPr>
          <w:p w:rsidR="00E97D3B" w:rsidRPr="00EB4ECB" w:rsidRDefault="00E97D3B" w:rsidP="00211FA4">
            <w:pPr>
              <w:keepNext w:val="0"/>
              <w:widowControl w:val="0"/>
            </w:pPr>
          </w:p>
        </w:tc>
        <w:tc>
          <w:tcPr>
            <w:tcW w:w="1788" w:type="dxa"/>
            <w:tcBorders>
              <w:top w:val="nil"/>
              <w:left w:val="nil"/>
              <w:bottom w:val="nil"/>
              <w:right w:val="nil"/>
            </w:tcBorders>
            <w:noWrap/>
            <w:vAlign w:val="bottom"/>
          </w:tcPr>
          <w:p w:rsidR="00E97D3B" w:rsidRPr="00EB4ECB" w:rsidRDefault="00E97D3B" w:rsidP="00211FA4">
            <w:pPr>
              <w:keepNext w:val="0"/>
              <w:widowControl w:val="0"/>
            </w:pPr>
          </w:p>
        </w:tc>
        <w:tc>
          <w:tcPr>
            <w:tcW w:w="2418" w:type="dxa"/>
            <w:gridSpan w:val="2"/>
            <w:tcBorders>
              <w:top w:val="nil"/>
              <w:left w:val="nil"/>
              <w:bottom w:val="nil"/>
              <w:right w:val="nil"/>
            </w:tcBorders>
            <w:noWrap/>
            <w:vAlign w:val="bottom"/>
          </w:tcPr>
          <w:p w:rsidR="00E97D3B" w:rsidRPr="00EB4ECB" w:rsidRDefault="00E97D3B" w:rsidP="00211FA4">
            <w:pPr>
              <w:keepNext w:val="0"/>
              <w:widowControl w:val="0"/>
            </w:pPr>
          </w:p>
        </w:tc>
        <w:tc>
          <w:tcPr>
            <w:tcW w:w="1722" w:type="dxa"/>
            <w:tcBorders>
              <w:top w:val="nil"/>
              <w:left w:val="nil"/>
              <w:bottom w:val="nil"/>
              <w:right w:val="nil"/>
            </w:tcBorders>
            <w:noWrap/>
            <w:vAlign w:val="bottom"/>
          </w:tcPr>
          <w:p w:rsidR="00E97D3B" w:rsidRPr="00EB4ECB" w:rsidRDefault="00E97D3B" w:rsidP="00211FA4">
            <w:pPr>
              <w:keepNext w:val="0"/>
              <w:widowControl w:val="0"/>
            </w:pPr>
          </w:p>
        </w:tc>
        <w:tc>
          <w:tcPr>
            <w:tcW w:w="1620" w:type="dxa"/>
            <w:gridSpan w:val="2"/>
            <w:tcBorders>
              <w:top w:val="nil"/>
              <w:left w:val="nil"/>
              <w:bottom w:val="nil"/>
              <w:right w:val="nil"/>
            </w:tcBorders>
            <w:noWrap/>
            <w:vAlign w:val="bottom"/>
          </w:tcPr>
          <w:p w:rsidR="00E97D3B" w:rsidRPr="00EB4ECB" w:rsidRDefault="00E97D3B" w:rsidP="00211FA4">
            <w:pPr>
              <w:keepNext w:val="0"/>
              <w:widowControl w:val="0"/>
            </w:pPr>
          </w:p>
        </w:tc>
      </w:tr>
      <w:tr w:rsidR="00E97D3B" w:rsidRPr="00EB4ECB" w:rsidTr="00DF357D">
        <w:trPr>
          <w:trHeight w:val="255"/>
        </w:trPr>
        <w:tc>
          <w:tcPr>
            <w:tcW w:w="13814" w:type="dxa"/>
            <w:gridSpan w:val="6"/>
            <w:tcBorders>
              <w:top w:val="nil"/>
              <w:left w:val="nil"/>
              <w:bottom w:val="nil"/>
              <w:right w:val="nil"/>
            </w:tcBorders>
            <w:noWrap/>
          </w:tcPr>
          <w:p w:rsidR="00E97D3B" w:rsidRPr="00EB4ECB" w:rsidRDefault="00E97D3B" w:rsidP="00211FA4">
            <w:pPr>
              <w:keepNext w:val="0"/>
              <w:widowControl w:val="0"/>
              <w:tabs>
                <w:tab w:val="num" w:pos="1080"/>
              </w:tabs>
              <w:rPr>
                <w:bCs/>
              </w:rPr>
            </w:pPr>
            <w:r w:rsidRPr="00EB4ECB">
              <w:rPr>
                <w:bCs/>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E97D3B" w:rsidRPr="00EB4ECB" w:rsidRDefault="00E97D3B" w:rsidP="00211FA4">
            <w:pPr>
              <w:keepNext w:val="0"/>
              <w:widowControl w:val="0"/>
            </w:pPr>
            <w:r w:rsidRPr="00EB4ECB">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E97D3B" w:rsidRPr="00EB4ECB" w:rsidRDefault="00E97D3B" w:rsidP="00211FA4">
            <w:pPr>
              <w:keepNext w:val="0"/>
              <w:widowControl w:val="0"/>
            </w:pPr>
          </w:p>
        </w:tc>
      </w:tr>
      <w:tr w:rsidR="00E97D3B" w:rsidRPr="00EB4ECB" w:rsidTr="00DF357D">
        <w:trPr>
          <w:trHeight w:val="255"/>
        </w:trPr>
        <w:tc>
          <w:tcPr>
            <w:tcW w:w="10394" w:type="dxa"/>
            <w:gridSpan w:val="4"/>
            <w:tcBorders>
              <w:top w:val="nil"/>
              <w:left w:val="nil"/>
              <w:bottom w:val="nil"/>
              <w:right w:val="nil"/>
            </w:tcBorders>
            <w:noWrap/>
            <w:vAlign w:val="bottom"/>
          </w:tcPr>
          <w:p w:rsidR="00E97D3B" w:rsidRPr="00EB4ECB" w:rsidRDefault="00E97D3B" w:rsidP="00211FA4">
            <w:pPr>
              <w:keepNext w:val="0"/>
              <w:widowControl w:val="0"/>
            </w:pPr>
            <w:r w:rsidRPr="00EB4ECB">
              <w:t>Kategórie 610 a 620 sú z tejto prílohy prenášané do príslušných kategórií prílohy „výdavky“.</w:t>
            </w:r>
          </w:p>
        </w:tc>
        <w:tc>
          <w:tcPr>
            <w:tcW w:w="1698" w:type="dxa"/>
            <w:tcBorders>
              <w:top w:val="nil"/>
              <w:left w:val="nil"/>
              <w:bottom w:val="nil"/>
              <w:right w:val="nil"/>
            </w:tcBorders>
            <w:noWrap/>
            <w:vAlign w:val="bottom"/>
          </w:tcPr>
          <w:p w:rsidR="00E97D3B" w:rsidRPr="00EB4ECB" w:rsidRDefault="00E97D3B" w:rsidP="00211FA4">
            <w:pPr>
              <w:keepNext w:val="0"/>
              <w:widowControl w:val="0"/>
            </w:pPr>
          </w:p>
        </w:tc>
        <w:tc>
          <w:tcPr>
            <w:tcW w:w="2352" w:type="dxa"/>
            <w:gridSpan w:val="2"/>
            <w:tcBorders>
              <w:top w:val="nil"/>
              <w:left w:val="nil"/>
              <w:bottom w:val="nil"/>
              <w:right w:val="nil"/>
            </w:tcBorders>
            <w:noWrap/>
            <w:vAlign w:val="bottom"/>
          </w:tcPr>
          <w:p w:rsidR="00E97D3B" w:rsidRPr="00EB4ECB" w:rsidRDefault="00E97D3B" w:rsidP="00211FA4">
            <w:pPr>
              <w:keepNext w:val="0"/>
              <w:widowControl w:val="0"/>
            </w:pPr>
          </w:p>
        </w:tc>
        <w:tc>
          <w:tcPr>
            <w:tcW w:w="990" w:type="dxa"/>
            <w:tcBorders>
              <w:top w:val="nil"/>
              <w:left w:val="nil"/>
              <w:bottom w:val="nil"/>
              <w:right w:val="nil"/>
            </w:tcBorders>
            <w:noWrap/>
            <w:vAlign w:val="bottom"/>
          </w:tcPr>
          <w:p w:rsidR="00E97D3B" w:rsidRPr="00EB4ECB" w:rsidRDefault="00E97D3B" w:rsidP="00211FA4">
            <w:pPr>
              <w:keepNext w:val="0"/>
              <w:widowControl w:val="0"/>
            </w:pPr>
          </w:p>
        </w:tc>
      </w:tr>
    </w:tbl>
    <w:p w:rsidR="00E97D3B" w:rsidRPr="00EB4ECB" w:rsidRDefault="00E97D3B" w:rsidP="00211FA4">
      <w:pPr>
        <w:keepNext w:val="0"/>
        <w:widowControl w:val="0"/>
        <w:tabs>
          <w:tab w:val="num" w:pos="1080"/>
        </w:tabs>
        <w:ind w:left="-900"/>
        <w:rPr>
          <w:bCs/>
        </w:rPr>
      </w:pPr>
    </w:p>
    <w:p w:rsidR="007236E4" w:rsidRDefault="007236E4" w:rsidP="00211FA4">
      <w:pPr>
        <w:keepNext w:val="0"/>
        <w:widowControl w:val="0"/>
        <w:tabs>
          <w:tab w:val="num" w:pos="1080"/>
        </w:tabs>
        <w:jc w:val="left"/>
      </w:pPr>
    </w:p>
    <w:p w:rsidR="00211FA4" w:rsidRDefault="00211FA4" w:rsidP="00211FA4">
      <w:pPr>
        <w:keepNext w:val="0"/>
        <w:widowControl w:val="0"/>
        <w:tabs>
          <w:tab w:val="num" w:pos="1080"/>
        </w:tabs>
        <w:jc w:val="left"/>
      </w:pPr>
    </w:p>
    <w:p w:rsidR="00211FA4" w:rsidRDefault="00211FA4" w:rsidP="00211FA4">
      <w:pPr>
        <w:keepNext w:val="0"/>
        <w:widowControl w:val="0"/>
        <w:tabs>
          <w:tab w:val="num" w:pos="1080"/>
        </w:tabs>
        <w:jc w:val="left"/>
      </w:pPr>
    </w:p>
    <w:p w:rsidR="00211FA4" w:rsidRDefault="00211FA4" w:rsidP="00211FA4">
      <w:pPr>
        <w:keepNext w:val="0"/>
        <w:widowControl w:val="0"/>
        <w:tabs>
          <w:tab w:val="num" w:pos="1080"/>
        </w:tabs>
        <w:jc w:val="left"/>
      </w:pPr>
    </w:p>
    <w:p w:rsidR="00211FA4" w:rsidRDefault="00211FA4" w:rsidP="00211FA4">
      <w:pPr>
        <w:keepNext w:val="0"/>
        <w:widowControl w:val="0"/>
        <w:tabs>
          <w:tab w:val="num" w:pos="1080"/>
        </w:tabs>
        <w:jc w:val="left"/>
      </w:pPr>
    </w:p>
    <w:p w:rsidR="00211FA4" w:rsidRDefault="00211FA4" w:rsidP="00211FA4">
      <w:pPr>
        <w:keepNext w:val="0"/>
        <w:widowControl w:val="0"/>
        <w:tabs>
          <w:tab w:val="num" w:pos="1080"/>
        </w:tabs>
        <w:jc w:val="left"/>
      </w:pPr>
    </w:p>
    <w:p w:rsidR="00211FA4" w:rsidRDefault="00211FA4" w:rsidP="00211FA4">
      <w:pPr>
        <w:keepNext w:val="0"/>
        <w:widowControl w:val="0"/>
        <w:tabs>
          <w:tab w:val="num" w:pos="1080"/>
        </w:tabs>
        <w:jc w:val="left"/>
      </w:pPr>
    </w:p>
    <w:p w:rsidR="00211FA4" w:rsidRDefault="00211FA4" w:rsidP="00211FA4">
      <w:pPr>
        <w:keepNext w:val="0"/>
        <w:widowControl w:val="0"/>
        <w:tabs>
          <w:tab w:val="num" w:pos="1080"/>
        </w:tabs>
        <w:jc w:val="left"/>
      </w:pPr>
    </w:p>
    <w:p w:rsidR="00211FA4" w:rsidRDefault="00211FA4" w:rsidP="00211FA4">
      <w:pPr>
        <w:keepNext w:val="0"/>
        <w:widowControl w:val="0"/>
        <w:tabs>
          <w:tab w:val="num" w:pos="1080"/>
        </w:tabs>
        <w:jc w:val="left"/>
      </w:pPr>
    </w:p>
    <w:p w:rsidR="00211FA4" w:rsidRDefault="00211FA4" w:rsidP="00211FA4">
      <w:pPr>
        <w:keepNext w:val="0"/>
        <w:widowControl w:val="0"/>
        <w:tabs>
          <w:tab w:val="num" w:pos="1080"/>
        </w:tabs>
        <w:jc w:val="left"/>
      </w:pPr>
    </w:p>
    <w:p w:rsidR="00211FA4" w:rsidRDefault="00211FA4" w:rsidP="00211FA4">
      <w:pPr>
        <w:keepNext w:val="0"/>
        <w:widowControl w:val="0"/>
        <w:tabs>
          <w:tab w:val="num" w:pos="1080"/>
        </w:tabs>
        <w:jc w:val="left"/>
      </w:pPr>
    </w:p>
    <w:p w:rsidR="00211FA4" w:rsidRDefault="00211FA4" w:rsidP="00211FA4">
      <w:pPr>
        <w:keepNext w:val="0"/>
        <w:widowControl w:val="0"/>
        <w:tabs>
          <w:tab w:val="num" w:pos="1080"/>
        </w:tabs>
        <w:jc w:val="left"/>
        <w:sectPr w:rsidR="00211FA4" w:rsidSect="00211FA4">
          <w:pgSz w:w="16838" w:h="11906" w:orient="landscape"/>
          <w:pgMar w:top="1418" w:right="1418" w:bottom="1418" w:left="1276"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E97D3B" w:rsidRPr="007A7A18" w:rsidTr="00DF357D">
        <w:trPr>
          <w:trHeight w:val="567"/>
        </w:trPr>
        <w:tc>
          <w:tcPr>
            <w:tcW w:w="9212" w:type="dxa"/>
            <w:shd w:val="clear" w:color="auto" w:fill="D9D9D9"/>
          </w:tcPr>
          <w:p w:rsidR="00E97D3B" w:rsidRPr="00DF357D" w:rsidRDefault="00E97D3B" w:rsidP="00DF357D">
            <w:pPr>
              <w:jc w:val="center"/>
              <w:rPr>
                <w:b/>
                <w:sz w:val="28"/>
                <w:szCs w:val="28"/>
              </w:rPr>
            </w:pPr>
            <w:r w:rsidRPr="00DF357D">
              <w:rPr>
                <w:b/>
                <w:sz w:val="28"/>
                <w:szCs w:val="28"/>
              </w:rPr>
              <w:lastRenderedPageBreak/>
              <w:t xml:space="preserve">Analýza vplyvov na podnikateľské prostredie </w:t>
            </w:r>
          </w:p>
          <w:p w:rsidR="00E97D3B" w:rsidRPr="00DF357D" w:rsidRDefault="00E97D3B" w:rsidP="00DF357D">
            <w:pPr>
              <w:jc w:val="center"/>
              <w:rPr>
                <w:b/>
              </w:rPr>
            </w:pPr>
            <w:r w:rsidRPr="00DF357D">
              <w:rPr>
                <w:b/>
              </w:rPr>
              <w:t>(vrátane testu MSP)</w:t>
            </w:r>
          </w:p>
        </w:tc>
      </w:tr>
      <w:tr w:rsidR="00E97D3B" w:rsidRPr="007A7A18" w:rsidTr="00DF357D">
        <w:trPr>
          <w:trHeight w:val="567"/>
        </w:trPr>
        <w:tc>
          <w:tcPr>
            <w:tcW w:w="9212" w:type="dxa"/>
            <w:shd w:val="clear" w:color="auto" w:fill="D9D9D9"/>
          </w:tcPr>
          <w:p w:rsidR="00E97D3B" w:rsidRPr="00DF357D" w:rsidRDefault="00E97D3B" w:rsidP="00DF357D">
            <w:pPr>
              <w:rPr>
                <w:b/>
              </w:rPr>
            </w:pPr>
            <w:r w:rsidRPr="00DF357D">
              <w:rPr>
                <w:b/>
              </w:rPr>
              <w:t>Materiál bude mať vplyv s ohľadom na veľkostnú kategóriu podnikov:</w:t>
            </w:r>
          </w:p>
        </w:tc>
      </w:tr>
      <w:tr w:rsidR="00E97D3B" w:rsidRPr="007A7A18" w:rsidTr="00DF357D">
        <w:trPr>
          <w:trHeight w:val="567"/>
        </w:trPr>
        <w:tc>
          <w:tcPr>
            <w:tcW w:w="9212" w:type="dxa"/>
          </w:tcPr>
          <w:tbl>
            <w:tblPr>
              <w:tblW w:w="0" w:type="auto"/>
              <w:tblLook w:val="04A0" w:firstRow="1" w:lastRow="0" w:firstColumn="1" w:lastColumn="0" w:noHBand="0" w:noVBand="1"/>
            </w:tblPr>
            <w:tblGrid>
              <w:gridCol w:w="436"/>
              <w:gridCol w:w="8545"/>
            </w:tblGrid>
            <w:tr w:rsidR="00E97D3B" w:rsidRPr="007A7A18" w:rsidTr="00DF357D">
              <w:tc>
                <w:tcPr>
                  <w:tcW w:w="436" w:type="dxa"/>
                  <w:tcBorders>
                    <w:top w:val="nil"/>
                    <w:left w:val="nil"/>
                    <w:bottom w:val="nil"/>
                    <w:right w:val="nil"/>
                  </w:tcBorders>
                </w:tcPr>
                <w:p w:rsidR="00E97D3B" w:rsidRPr="00DF357D" w:rsidRDefault="00E97D3B" w:rsidP="00DF357D">
                  <w:pPr>
                    <w:jc w:val="center"/>
                    <w:rPr>
                      <w:sz w:val="22"/>
                      <w:szCs w:val="22"/>
                    </w:rPr>
                  </w:pPr>
                  <w:r w:rsidRPr="00DF357D">
                    <w:rPr>
                      <w:rFonts w:ascii="Segoe UI Symbol" w:eastAsia="MS Mincho" w:hAnsi="Segoe UI Symbol" w:cs="Segoe UI Symbol"/>
                      <w:sz w:val="22"/>
                      <w:szCs w:val="22"/>
                    </w:rPr>
                    <w:t>☐</w:t>
                  </w:r>
                </w:p>
              </w:tc>
              <w:tc>
                <w:tcPr>
                  <w:tcW w:w="8545" w:type="dxa"/>
                  <w:tcBorders>
                    <w:top w:val="nil"/>
                    <w:left w:val="nil"/>
                    <w:bottom w:val="nil"/>
                    <w:right w:val="nil"/>
                  </w:tcBorders>
                </w:tcPr>
                <w:p w:rsidR="00E97D3B" w:rsidRPr="00DF357D" w:rsidRDefault="00E97D3B" w:rsidP="00DF357D">
                  <w:pPr>
                    <w:rPr>
                      <w:b/>
                      <w:sz w:val="22"/>
                      <w:szCs w:val="22"/>
                    </w:rPr>
                  </w:pPr>
                  <w:r w:rsidRPr="00DF357D">
                    <w:rPr>
                      <w:b/>
                      <w:sz w:val="22"/>
                      <w:szCs w:val="22"/>
                    </w:rPr>
                    <w:t xml:space="preserve">iba na MSP (0 - 249 zamestnancov) </w:t>
                  </w:r>
                </w:p>
              </w:tc>
            </w:tr>
            <w:tr w:rsidR="00E97D3B" w:rsidRPr="007A7A18" w:rsidTr="00DF357D">
              <w:tc>
                <w:tcPr>
                  <w:tcW w:w="436" w:type="dxa"/>
                  <w:tcBorders>
                    <w:top w:val="nil"/>
                    <w:left w:val="nil"/>
                    <w:bottom w:val="nil"/>
                    <w:right w:val="nil"/>
                  </w:tcBorders>
                </w:tcPr>
                <w:p w:rsidR="00E97D3B" w:rsidRPr="00DF357D" w:rsidRDefault="00E97D3B" w:rsidP="00DF357D">
                  <w:pPr>
                    <w:jc w:val="center"/>
                    <w:rPr>
                      <w:sz w:val="22"/>
                      <w:szCs w:val="22"/>
                    </w:rPr>
                  </w:pPr>
                  <w:r w:rsidRPr="00DF357D">
                    <w:rPr>
                      <w:rFonts w:ascii="Segoe UI Symbol" w:eastAsia="MS Mincho" w:hAnsi="Segoe UI Symbol" w:cs="Segoe UI Symbol"/>
                      <w:sz w:val="22"/>
                      <w:szCs w:val="22"/>
                    </w:rPr>
                    <w:t>☐</w:t>
                  </w:r>
                </w:p>
              </w:tc>
              <w:tc>
                <w:tcPr>
                  <w:tcW w:w="8545" w:type="dxa"/>
                  <w:tcBorders>
                    <w:top w:val="nil"/>
                    <w:left w:val="nil"/>
                    <w:bottom w:val="nil"/>
                    <w:right w:val="nil"/>
                  </w:tcBorders>
                </w:tcPr>
                <w:p w:rsidR="00E97D3B" w:rsidRPr="00DF357D" w:rsidRDefault="00E97D3B" w:rsidP="00DF357D">
                  <w:pPr>
                    <w:rPr>
                      <w:b/>
                      <w:sz w:val="22"/>
                      <w:szCs w:val="22"/>
                    </w:rPr>
                  </w:pPr>
                  <w:r w:rsidRPr="00DF357D">
                    <w:rPr>
                      <w:b/>
                      <w:sz w:val="22"/>
                      <w:szCs w:val="22"/>
                    </w:rPr>
                    <w:t>iba na veľké podniky (250 a viac zamestnancov)</w:t>
                  </w:r>
                </w:p>
              </w:tc>
            </w:tr>
            <w:tr w:rsidR="00E97D3B" w:rsidRPr="007A7A18" w:rsidTr="00DF357D">
              <w:tc>
                <w:tcPr>
                  <w:tcW w:w="436" w:type="dxa"/>
                  <w:tcBorders>
                    <w:top w:val="nil"/>
                    <w:left w:val="nil"/>
                    <w:bottom w:val="nil"/>
                    <w:right w:val="nil"/>
                  </w:tcBorders>
                </w:tcPr>
                <w:p w:rsidR="00E97D3B" w:rsidRPr="00DF357D" w:rsidRDefault="00E97D3B" w:rsidP="00DF357D">
                  <w:pPr>
                    <w:jc w:val="center"/>
                    <w:rPr>
                      <w:sz w:val="22"/>
                      <w:szCs w:val="22"/>
                    </w:rPr>
                  </w:pPr>
                  <w:r w:rsidRPr="00DF357D">
                    <w:rPr>
                      <w:rFonts w:ascii="Segoe UI Symbol" w:eastAsia="MS Mincho" w:hAnsi="Segoe UI Symbol" w:cs="Segoe UI Symbol"/>
                      <w:sz w:val="22"/>
                      <w:szCs w:val="22"/>
                    </w:rPr>
                    <w:t>☒</w:t>
                  </w:r>
                </w:p>
              </w:tc>
              <w:tc>
                <w:tcPr>
                  <w:tcW w:w="8545" w:type="dxa"/>
                  <w:tcBorders>
                    <w:top w:val="nil"/>
                    <w:left w:val="nil"/>
                    <w:bottom w:val="nil"/>
                    <w:right w:val="nil"/>
                  </w:tcBorders>
                </w:tcPr>
                <w:p w:rsidR="00E97D3B" w:rsidRPr="00DF357D" w:rsidRDefault="00E97D3B" w:rsidP="00DF357D">
                  <w:pPr>
                    <w:rPr>
                      <w:sz w:val="22"/>
                      <w:szCs w:val="22"/>
                    </w:rPr>
                  </w:pPr>
                  <w:r w:rsidRPr="00DF357D">
                    <w:rPr>
                      <w:b/>
                      <w:sz w:val="22"/>
                      <w:szCs w:val="22"/>
                    </w:rPr>
                    <w:t>na všetky kategórie podnikov</w:t>
                  </w:r>
                </w:p>
              </w:tc>
            </w:tr>
          </w:tbl>
          <w:p w:rsidR="00E97D3B" w:rsidRPr="00DF357D" w:rsidRDefault="00E97D3B" w:rsidP="00DF357D">
            <w:pPr>
              <w:rPr>
                <w:b/>
                <w:sz w:val="22"/>
                <w:szCs w:val="22"/>
              </w:rPr>
            </w:pPr>
          </w:p>
        </w:tc>
      </w:tr>
      <w:tr w:rsidR="00E97D3B" w:rsidRPr="007A7A18" w:rsidTr="00DF357D">
        <w:tc>
          <w:tcPr>
            <w:tcW w:w="9212" w:type="dxa"/>
            <w:shd w:val="clear" w:color="auto" w:fill="D9D9D9"/>
          </w:tcPr>
          <w:p w:rsidR="00E97D3B" w:rsidRPr="00DF357D" w:rsidRDefault="00E97D3B" w:rsidP="00DF357D">
            <w:pPr>
              <w:rPr>
                <w:b/>
              </w:rPr>
            </w:pPr>
            <w:r w:rsidRPr="00DF357D">
              <w:rPr>
                <w:b/>
              </w:rPr>
              <w:t>3.1 Dotknuté podnikateľské subjekty</w:t>
            </w:r>
          </w:p>
          <w:p w:rsidR="00E97D3B" w:rsidRPr="00DF357D" w:rsidRDefault="00E97D3B" w:rsidP="00DF357D">
            <w:pPr>
              <w:ind w:left="284"/>
              <w:rPr>
                <w:b/>
                <w:sz w:val="22"/>
                <w:szCs w:val="22"/>
              </w:rPr>
            </w:pPr>
            <w:r w:rsidRPr="00DF357D">
              <w:t xml:space="preserve"> - </w:t>
            </w:r>
            <w:r w:rsidRPr="00DF357D">
              <w:rPr>
                <w:b/>
              </w:rPr>
              <w:t>z toho MSP</w:t>
            </w:r>
          </w:p>
        </w:tc>
      </w:tr>
      <w:tr w:rsidR="00E97D3B" w:rsidRPr="007A7A18" w:rsidTr="00DF357D">
        <w:tc>
          <w:tcPr>
            <w:tcW w:w="9212" w:type="dxa"/>
          </w:tcPr>
          <w:p w:rsidR="00E97D3B" w:rsidRPr="00DF357D" w:rsidRDefault="00E97D3B" w:rsidP="00DF357D">
            <w:pPr>
              <w:rPr>
                <w:i/>
                <w:sz w:val="22"/>
                <w:szCs w:val="22"/>
              </w:rPr>
            </w:pPr>
            <w:r w:rsidRPr="00DF357D">
              <w:rPr>
                <w:i/>
                <w:sz w:val="22"/>
                <w:szCs w:val="22"/>
              </w:rPr>
              <w:t>Uveďte, aké podnikateľské subjekty budú predkladaným návrhom ovplyvnené.</w:t>
            </w:r>
          </w:p>
          <w:p w:rsidR="00E97D3B" w:rsidRPr="00DF357D" w:rsidRDefault="00E97D3B" w:rsidP="00DF357D">
            <w:pPr>
              <w:rPr>
                <w:i/>
                <w:sz w:val="22"/>
                <w:szCs w:val="22"/>
              </w:rPr>
            </w:pPr>
            <w:r w:rsidRPr="00DF357D">
              <w:rPr>
                <w:i/>
                <w:sz w:val="22"/>
                <w:szCs w:val="22"/>
              </w:rPr>
              <w:t>Aký je ich počet?</w:t>
            </w:r>
          </w:p>
        </w:tc>
      </w:tr>
      <w:tr w:rsidR="00E97D3B" w:rsidRPr="007A7A18" w:rsidTr="00DF357D">
        <w:trPr>
          <w:trHeight w:val="992"/>
        </w:trPr>
        <w:tc>
          <w:tcPr>
            <w:tcW w:w="9212" w:type="dxa"/>
          </w:tcPr>
          <w:p w:rsidR="00E97D3B" w:rsidRPr="00DF357D" w:rsidRDefault="00E97D3B" w:rsidP="00DF357D">
            <w:pPr>
              <w:ind w:firstLine="284"/>
              <w:rPr>
                <w:sz w:val="22"/>
                <w:szCs w:val="22"/>
              </w:rPr>
            </w:pPr>
            <w:r w:rsidRPr="00DF357D">
              <w:rPr>
                <w:sz w:val="22"/>
                <w:szCs w:val="22"/>
              </w:rPr>
              <w:t>30 908 (zahŕňa výrobcov, baliarne, distribúciu a maloobchodné prevádzky; zdroj: Výročná správa z úradnej kontroly za rok 2016, MPRV SR).</w:t>
            </w:r>
          </w:p>
          <w:p w:rsidR="00E97D3B" w:rsidRPr="00DF357D" w:rsidRDefault="00E97D3B" w:rsidP="00DF357D">
            <w:pPr>
              <w:ind w:firstLine="284"/>
              <w:rPr>
                <w:i/>
                <w:sz w:val="22"/>
                <w:szCs w:val="22"/>
              </w:rPr>
            </w:pPr>
            <w:r w:rsidRPr="00DF357D">
              <w:rPr>
                <w:sz w:val="22"/>
                <w:szCs w:val="22"/>
              </w:rPr>
              <w:t>Najväčší dopad bude mať návrh pravdepodobne na veľké obchodné reťazce, ktoré vzhľadom na svoju ekonomickú silu aplikujú neprimerané obchodné podmienky najčastejšie (CBA Slovakia, a.s., TESCO STORES SR, a.s., Lidl Slovenská republika, v.o.s., BILLA s.r.o., COOP Jednota, Kaufland Slovenská republika v.o.s.).</w:t>
            </w:r>
          </w:p>
        </w:tc>
      </w:tr>
      <w:tr w:rsidR="00E97D3B" w:rsidRPr="007A7A18" w:rsidTr="00DF357D">
        <w:trPr>
          <w:trHeight w:val="339"/>
        </w:trPr>
        <w:tc>
          <w:tcPr>
            <w:tcW w:w="9212" w:type="dxa"/>
            <w:shd w:val="clear" w:color="auto" w:fill="D9D9D9"/>
          </w:tcPr>
          <w:p w:rsidR="00E97D3B" w:rsidRPr="00DF357D" w:rsidRDefault="00E97D3B" w:rsidP="00DF357D">
            <w:pPr>
              <w:rPr>
                <w:b/>
              </w:rPr>
            </w:pPr>
            <w:r w:rsidRPr="00DF357D">
              <w:rPr>
                <w:b/>
              </w:rPr>
              <w:t>3.2 Vyhodnotenie konzultácií</w:t>
            </w:r>
          </w:p>
          <w:p w:rsidR="00E97D3B" w:rsidRPr="00DF357D" w:rsidRDefault="00211FA4" w:rsidP="00DF357D">
            <w:pPr>
              <w:rPr>
                <w:b/>
                <w:sz w:val="22"/>
                <w:szCs w:val="22"/>
              </w:rPr>
            </w:pPr>
            <w:r>
              <w:t xml:space="preserve"> </w:t>
            </w:r>
            <w:r w:rsidR="00E97D3B" w:rsidRPr="00DF357D">
              <w:t xml:space="preserve">- </w:t>
            </w:r>
            <w:r w:rsidR="00E97D3B" w:rsidRPr="00DF357D">
              <w:rPr>
                <w:b/>
              </w:rPr>
              <w:t>z toho MSP</w:t>
            </w:r>
          </w:p>
        </w:tc>
      </w:tr>
      <w:tr w:rsidR="00E97D3B" w:rsidRPr="007A7A18" w:rsidTr="00DF357D">
        <w:trPr>
          <w:trHeight w:val="557"/>
        </w:trPr>
        <w:tc>
          <w:tcPr>
            <w:tcW w:w="9212" w:type="dxa"/>
          </w:tcPr>
          <w:p w:rsidR="00E97D3B" w:rsidRPr="00DF357D" w:rsidRDefault="00E97D3B" w:rsidP="00DF357D">
            <w:pPr>
              <w:rPr>
                <w:i/>
                <w:sz w:val="22"/>
                <w:szCs w:val="22"/>
              </w:rPr>
            </w:pPr>
            <w:r w:rsidRPr="00DF357D">
              <w:rPr>
                <w:i/>
                <w:sz w:val="22"/>
                <w:szCs w:val="22"/>
              </w:rPr>
              <w:t>Uveďte, akou formou (verejné alebo cielené konzultácie a prečo) a s kým bol návrh konzultovaný.</w:t>
            </w:r>
          </w:p>
          <w:p w:rsidR="00E97D3B" w:rsidRPr="00DF357D" w:rsidRDefault="00E97D3B" w:rsidP="00DF357D">
            <w:pPr>
              <w:rPr>
                <w:i/>
                <w:sz w:val="22"/>
                <w:szCs w:val="22"/>
              </w:rPr>
            </w:pPr>
            <w:r w:rsidRPr="00DF357D">
              <w:rPr>
                <w:i/>
                <w:sz w:val="22"/>
                <w:szCs w:val="22"/>
              </w:rPr>
              <w:t>Ako dlho trvali konzultácie?</w:t>
            </w:r>
          </w:p>
          <w:p w:rsidR="00E97D3B" w:rsidRPr="00DF357D" w:rsidRDefault="00E97D3B" w:rsidP="00DF357D">
            <w:pPr>
              <w:rPr>
                <w:i/>
                <w:sz w:val="22"/>
                <w:szCs w:val="22"/>
              </w:rPr>
            </w:pPr>
            <w:r w:rsidRPr="00DF357D">
              <w:rPr>
                <w:i/>
                <w:sz w:val="22"/>
                <w:szCs w:val="22"/>
              </w:rPr>
              <w:t xml:space="preserve">Uveďte hlavné body konzultácií a výsledky konzultácií. </w:t>
            </w:r>
          </w:p>
        </w:tc>
      </w:tr>
      <w:tr w:rsidR="00E97D3B" w:rsidRPr="007A7A18" w:rsidTr="00DF357D">
        <w:trPr>
          <w:trHeight w:val="1440"/>
        </w:trPr>
        <w:tc>
          <w:tcPr>
            <w:tcW w:w="9212" w:type="dxa"/>
          </w:tcPr>
          <w:p w:rsidR="00E97D3B" w:rsidRPr="00DF357D" w:rsidRDefault="00E97D3B" w:rsidP="00DF357D">
            <w:pPr>
              <w:ind w:firstLine="284"/>
              <w:contextualSpacing/>
              <w:rPr>
                <w:sz w:val="22"/>
                <w:szCs w:val="22"/>
              </w:rPr>
            </w:pPr>
            <w:r w:rsidRPr="00DF357D">
              <w:rPr>
                <w:sz w:val="22"/>
                <w:szCs w:val="22"/>
              </w:rPr>
              <w:t>Návrh bol konzultovaný s týmito subjektmi: SPPK, PKS, Slovenské združenie pre značkové výrobky, CBA Slovakia, a.s., SAMO, TESCO STORES SR, a.s.,</w:t>
            </w:r>
            <w:r w:rsidR="00211FA4">
              <w:rPr>
                <w:sz w:val="22"/>
                <w:szCs w:val="22"/>
              </w:rPr>
              <w:t xml:space="preserve"> </w:t>
            </w:r>
            <w:r w:rsidRPr="00DF357D">
              <w:rPr>
                <w:sz w:val="22"/>
                <w:szCs w:val="22"/>
              </w:rPr>
              <w:t>Lidl Slovenská republika, v.o.s., BILLA s.r.o., Zväz obchodu SR, zástupcovia družstiev COOP Jednota.</w:t>
            </w:r>
          </w:p>
          <w:p w:rsidR="00E97D3B" w:rsidRPr="00DF357D" w:rsidRDefault="00E97D3B" w:rsidP="00DF357D">
            <w:pPr>
              <w:ind w:firstLine="284"/>
              <w:contextualSpacing/>
              <w:rPr>
                <w:sz w:val="22"/>
                <w:szCs w:val="22"/>
              </w:rPr>
            </w:pPr>
            <w:r w:rsidRPr="00DF357D">
              <w:rPr>
                <w:sz w:val="22"/>
                <w:szCs w:val="22"/>
              </w:rPr>
              <w:t>Všetky konzultácie prebehli ústne počas osobných stretnutí v mesiacoch jún, júl a august 2017. Niektoré zo subjektov zaslali svoje pripomienky aj písomne.</w:t>
            </w:r>
          </w:p>
          <w:p w:rsidR="00E97D3B" w:rsidRPr="00DF357D" w:rsidRDefault="00E97D3B" w:rsidP="00DF357D">
            <w:pPr>
              <w:ind w:firstLine="284"/>
              <w:contextualSpacing/>
              <w:rPr>
                <w:i/>
                <w:sz w:val="22"/>
                <w:szCs w:val="22"/>
              </w:rPr>
            </w:pPr>
            <w:r w:rsidRPr="00DF357D">
              <w:rPr>
                <w:sz w:val="22"/>
                <w:szCs w:val="22"/>
              </w:rPr>
              <w:t>Všetky pripomienky boli vyhodnotené a z časti akceptované a zapracované (najmä problematika kontroly dodávateľa odberateľom, problematika precizovania formulácií jednotlivých neprimeraných podmienok, ako aj formulačné pripomienky). Avšak zásadné pripomienky týkajúce sa vypustenia generálnej klauzuly, splatnosti faktúr, subsidiarity správneho poriadku a fixovania aplikácie návrhu na trhovú silu akceptované neboli.</w:t>
            </w:r>
            <w:r w:rsidRPr="00DF357D">
              <w:rPr>
                <w:i/>
                <w:sz w:val="22"/>
                <w:szCs w:val="22"/>
              </w:rPr>
              <w:t xml:space="preserve"> </w:t>
            </w:r>
          </w:p>
        </w:tc>
      </w:tr>
      <w:tr w:rsidR="00E97D3B" w:rsidRPr="007A7A18" w:rsidTr="00DF357D">
        <w:tc>
          <w:tcPr>
            <w:tcW w:w="9212" w:type="dxa"/>
            <w:shd w:val="clear" w:color="auto" w:fill="D9D9D9"/>
          </w:tcPr>
          <w:p w:rsidR="00E97D3B" w:rsidRPr="00DF357D" w:rsidRDefault="00E97D3B" w:rsidP="00DF357D">
            <w:pPr>
              <w:rPr>
                <w:b/>
              </w:rPr>
            </w:pPr>
            <w:r w:rsidRPr="00DF357D">
              <w:rPr>
                <w:b/>
              </w:rPr>
              <w:t>3.3 Náklady regulácie</w:t>
            </w:r>
          </w:p>
          <w:p w:rsidR="00E97D3B" w:rsidRPr="00DF357D" w:rsidRDefault="00211FA4" w:rsidP="00DF357D">
            <w:pPr>
              <w:rPr>
                <w:b/>
                <w:sz w:val="22"/>
                <w:szCs w:val="22"/>
              </w:rPr>
            </w:pPr>
            <w:r>
              <w:t xml:space="preserve"> </w:t>
            </w:r>
            <w:r w:rsidR="00E97D3B" w:rsidRPr="00DF357D">
              <w:t xml:space="preserve">- </w:t>
            </w:r>
            <w:r w:rsidR="00E97D3B" w:rsidRPr="00DF357D">
              <w:rPr>
                <w:b/>
              </w:rPr>
              <w:t>z toho MSP</w:t>
            </w:r>
          </w:p>
        </w:tc>
      </w:tr>
      <w:tr w:rsidR="00E97D3B" w:rsidRPr="007A7A18" w:rsidTr="00DF357D">
        <w:tc>
          <w:tcPr>
            <w:tcW w:w="9212" w:type="dxa"/>
          </w:tcPr>
          <w:p w:rsidR="00E97D3B" w:rsidRPr="00DF357D" w:rsidRDefault="00E97D3B" w:rsidP="00DF357D">
            <w:pPr>
              <w:rPr>
                <w:b/>
                <w:i/>
                <w:sz w:val="22"/>
                <w:szCs w:val="22"/>
              </w:rPr>
            </w:pPr>
            <w:r w:rsidRPr="00DF357D">
              <w:rPr>
                <w:b/>
                <w:i/>
                <w:sz w:val="22"/>
                <w:szCs w:val="22"/>
              </w:rPr>
              <w:t>3.3.1 Priame finančné náklady</w:t>
            </w:r>
          </w:p>
          <w:p w:rsidR="00E97D3B" w:rsidRPr="00DF357D" w:rsidRDefault="00E97D3B" w:rsidP="00DF357D">
            <w:pPr>
              <w:rPr>
                <w:i/>
                <w:sz w:val="22"/>
                <w:szCs w:val="22"/>
              </w:rPr>
            </w:pPr>
            <w:r w:rsidRPr="00DF357D">
              <w:rPr>
                <w:i/>
                <w:sz w:val="22"/>
                <w:szCs w:val="22"/>
              </w:rPr>
              <w:t xml:space="preserve">Dochádza k zvýšeniu/zníženiu priamych finančných nákladov (poplatky, odvody, dane clá...)? Ak áno, popíšte a vyčíslite ich. Uveďte tiež spôsob ich výpočtu. </w:t>
            </w:r>
          </w:p>
        </w:tc>
      </w:tr>
      <w:tr w:rsidR="00E97D3B" w:rsidRPr="007A7A18" w:rsidTr="00DF357D">
        <w:tc>
          <w:tcPr>
            <w:tcW w:w="9212" w:type="dxa"/>
          </w:tcPr>
          <w:p w:rsidR="00E97D3B" w:rsidRPr="00DF357D" w:rsidRDefault="00E97D3B" w:rsidP="00DF357D">
            <w:pPr>
              <w:rPr>
                <w:b/>
                <w:i/>
                <w:sz w:val="22"/>
                <w:szCs w:val="22"/>
              </w:rPr>
            </w:pPr>
          </w:p>
        </w:tc>
      </w:tr>
      <w:tr w:rsidR="00E97D3B" w:rsidRPr="007A7A18" w:rsidTr="00DF357D">
        <w:tc>
          <w:tcPr>
            <w:tcW w:w="9212" w:type="dxa"/>
          </w:tcPr>
          <w:p w:rsidR="00E97D3B" w:rsidRPr="00DF357D" w:rsidRDefault="00E97D3B" w:rsidP="00DF357D">
            <w:pPr>
              <w:rPr>
                <w:b/>
                <w:i/>
                <w:sz w:val="22"/>
                <w:szCs w:val="22"/>
              </w:rPr>
            </w:pPr>
            <w:r w:rsidRPr="00DF357D">
              <w:rPr>
                <w:b/>
                <w:i/>
                <w:sz w:val="22"/>
                <w:szCs w:val="22"/>
              </w:rPr>
              <w:t>3.3.2 Nepriame finančné náklady</w:t>
            </w:r>
          </w:p>
          <w:p w:rsidR="00E97D3B" w:rsidRPr="00DF357D" w:rsidRDefault="00E97D3B" w:rsidP="00DF357D">
            <w:pPr>
              <w:rPr>
                <w:i/>
                <w:sz w:val="22"/>
                <w:szCs w:val="22"/>
              </w:rPr>
            </w:pPr>
            <w:r w:rsidRPr="00DF357D">
              <w:rPr>
                <w:i/>
                <w:sz w:val="22"/>
                <w:szCs w:val="22"/>
              </w:rPr>
              <w:t>Vyžaduje si predkladaný návrh dodatočné náklady na nákup tovarov alebo služieb? Zvyšuje predkladaný návrh náklady súvisiace so zamestnávaním? Ak áno, popíšte a vyčíslite ich. Uveďte tiež spôsob ich výpočtu.</w:t>
            </w:r>
          </w:p>
        </w:tc>
      </w:tr>
      <w:tr w:rsidR="00E97D3B" w:rsidRPr="007A7A18" w:rsidTr="00DF357D">
        <w:tc>
          <w:tcPr>
            <w:tcW w:w="9212" w:type="dxa"/>
          </w:tcPr>
          <w:p w:rsidR="00E97D3B" w:rsidRPr="00DF357D" w:rsidRDefault="00E97D3B" w:rsidP="00DF357D">
            <w:pPr>
              <w:rPr>
                <w:b/>
                <w:i/>
                <w:sz w:val="22"/>
                <w:szCs w:val="22"/>
              </w:rPr>
            </w:pPr>
          </w:p>
        </w:tc>
      </w:tr>
      <w:tr w:rsidR="00E97D3B" w:rsidRPr="007A7A18" w:rsidTr="00DF357D">
        <w:tc>
          <w:tcPr>
            <w:tcW w:w="9212" w:type="dxa"/>
          </w:tcPr>
          <w:p w:rsidR="00E97D3B" w:rsidRPr="00DF357D" w:rsidRDefault="00E97D3B" w:rsidP="00DF357D">
            <w:pPr>
              <w:rPr>
                <w:b/>
                <w:i/>
                <w:sz w:val="22"/>
                <w:szCs w:val="22"/>
              </w:rPr>
            </w:pPr>
            <w:r w:rsidRPr="00DF357D">
              <w:rPr>
                <w:b/>
                <w:i/>
                <w:sz w:val="22"/>
                <w:szCs w:val="22"/>
              </w:rPr>
              <w:t>3.3.3 Administratívne náklady</w:t>
            </w:r>
          </w:p>
          <w:p w:rsidR="00E97D3B" w:rsidRPr="00DF357D" w:rsidRDefault="00E97D3B" w:rsidP="00DF357D">
            <w:pPr>
              <w:rPr>
                <w:i/>
                <w:sz w:val="22"/>
                <w:szCs w:val="22"/>
              </w:rPr>
            </w:pPr>
            <w:r w:rsidRPr="00DF357D">
              <w:rPr>
                <w:i/>
                <w:sz w:val="22"/>
                <w:szCs w:val="22"/>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E97D3B" w:rsidRPr="007A7A18" w:rsidTr="00CA601C">
        <w:trPr>
          <w:trHeight w:val="207"/>
        </w:trPr>
        <w:tc>
          <w:tcPr>
            <w:tcW w:w="9212" w:type="dxa"/>
          </w:tcPr>
          <w:p w:rsidR="00E97D3B" w:rsidRPr="00DF357D" w:rsidRDefault="00E97D3B" w:rsidP="00DF357D">
            <w:pPr>
              <w:rPr>
                <w:b/>
                <w:i/>
                <w:sz w:val="22"/>
                <w:szCs w:val="22"/>
              </w:rPr>
            </w:pPr>
          </w:p>
        </w:tc>
      </w:tr>
      <w:tr w:rsidR="00E97D3B" w:rsidRPr="007A7A18" w:rsidTr="00DF357D">
        <w:trPr>
          <w:trHeight w:val="2318"/>
        </w:trPr>
        <w:tc>
          <w:tcPr>
            <w:tcW w:w="9212" w:type="dxa"/>
          </w:tcPr>
          <w:p w:rsidR="00E97D3B" w:rsidRPr="00DF357D" w:rsidRDefault="00E97D3B" w:rsidP="00DF357D">
            <w:pPr>
              <w:rPr>
                <w:i/>
                <w:sz w:val="22"/>
                <w:szCs w:val="22"/>
              </w:rPr>
            </w:pPr>
            <w:r w:rsidRPr="00DF357D">
              <w:rPr>
                <w:b/>
                <w:i/>
                <w:sz w:val="22"/>
                <w:szCs w:val="22"/>
              </w:rPr>
              <w:lastRenderedPageBreak/>
              <w:t>3.3.4 Súhrnná tabuľka nákladov regulácie</w:t>
            </w:r>
          </w:p>
          <w:p w:rsidR="00E97D3B" w:rsidRPr="00DF357D" w:rsidRDefault="00E97D3B" w:rsidP="00DF357D">
            <w:pPr>
              <w:rPr>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2994"/>
              <w:gridCol w:w="2994"/>
            </w:tblGrid>
            <w:tr w:rsidR="00E97D3B" w:rsidRPr="007A7A18" w:rsidTr="00DF357D">
              <w:tc>
                <w:tcPr>
                  <w:tcW w:w="2993" w:type="dxa"/>
                  <w:tcBorders>
                    <w:top w:val="single" w:sz="4" w:space="0" w:color="auto"/>
                    <w:left w:val="single" w:sz="4" w:space="0" w:color="auto"/>
                    <w:bottom w:val="single" w:sz="4" w:space="0" w:color="auto"/>
                    <w:right w:val="single" w:sz="4" w:space="0" w:color="auto"/>
                  </w:tcBorders>
                </w:tcPr>
                <w:p w:rsidR="00E97D3B" w:rsidRPr="00DF357D" w:rsidRDefault="00E97D3B" w:rsidP="00DF357D">
                  <w:pPr>
                    <w:rPr>
                      <w:i/>
                      <w:sz w:val="22"/>
                      <w:szCs w:val="22"/>
                    </w:rPr>
                  </w:pPr>
                </w:p>
              </w:tc>
              <w:tc>
                <w:tcPr>
                  <w:tcW w:w="2994" w:type="dxa"/>
                  <w:tcBorders>
                    <w:top w:val="single" w:sz="4" w:space="0" w:color="auto"/>
                    <w:left w:val="single" w:sz="4" w:space="0" w:color="auto"/>
                    <w:bottom w:val="single" w:sz="4" w:space="0" w:color="auto"/>
                    <w:right w:val="single" w:sz="4" w:space="0" w:color="auto"/>
                  </w:tcBorders>
                </w:tcPr>
                <w:p w:rsidR="00E97D3B" w:rsidRPr="00DF357D" w:rsidRDefault="00E97D3B" w:rsidP="00DF357D">
                  <w:pPr>
                    <w:jc w:val="center"/>
                    <w:rPr>
                      <w:i/>
                      <w:sz w:val="22"/>
                      <w:szCs w:val="22"/>
                    </w:rPr>
                  </w:pPr>
                  <w:r w:rsidRPr="00DF357D">
                    <w:rPr>
                      <w:i/>
                      <w:sz w:val="22"/>
                      <w:szCs w:val="22"/>
                    </w:rPr>
                    <w:t>Náklady na 1 podnikateľa</w:t>
                  </w:r>
                </w:p>
              </w:tc>
              <w:tc>
                <w:tcPr>
                  <w:tcW w:w="2994" w:type="dxa"/>
                  <w:tcBorders>
                    <w:top w:val="single" w:sz="4" w:space="0" w:color="auto"/>
                    <w:left w:val="single" w:sz="4" w:space="0" w:color="auto"/>
                    <w:bottom w:val="single" w:sz="4" w:space="0" w:color="auto"/>
                    <w:right w:val="single" w:sz="4" w:space="0" w:color="auto"/>
                  </w:tcBorders>
                </w:tcPr>
                <w:p w:rsidR="00E97D3B" w:rsidRPr="00DF357D" w:rsidRDefault="00E97D3B" w:rsidP="00DF357D">
                  <w:pPr>
                    <w:jc w:val="center"/>
                    <w:rPr>
                      <w:i/>
                      <w:sz w:val="22"/>
                      <w:szCs w:val="22"/>
                    </w:rPr>
                  </w:pPr>
                  <w:r w:rsidRPr="00DF357D">
                    <w:rPr>
                      <w:i/>
                      <w:sz w:val="22"/>
                      <w:szCs w:val="22"/>
                    </w:rPr>
                    <w:t>Náklady na celé podnikateľské prostredie</w:t>
                  </w:r>
                </w:p>
              </w:tc>
            </w:tr>
            <w:tr w:rsidR="00E97D3B" w:rsidRPr="007A7A18" w:rsidTr="00DF357D">
              <w:tc>
                <w:tcPr>
                  <w:tcW w:w="2993" w:type="dxa"/>
                  <w:tcBorders>
                    <w:top w:val="single" w:sz="4" w:space="0" w:color="auto"/>
                    <w:left w:val="single" w:sz="4" w:space="0" w:color="auto"/>
                    <w:bottom w:val="single" w:sz="4" w:space="0" w:color="auto"/>
                    <w:right w:val="single" w:sz="4" w:space="0" w:color="auto"/>
                  </w:tcBorders>
                </w:tcPr>
                <w:p w:rsidR="00E97D3B" w:rsidRPr="00DF357D" w:rsidRDefault="00E97D3B" w:rsidP="00DF357D">
                  <w:pPr>
                    <w:rPr>
                      <w:i/>
                      <w:sz w:val="22"/>
                      <w:szCs w:val="22"/>
                    </w:rPr>
                  </w:pPr>
                  <w:r w:rsidRPr="00DF357D">
                    <w:rPr>
                      <w:i/>
                      <w:sz w:val="22"/>
                      <w:szCs w:val="22"/>
                    </w:rPr>
                    <w:t>Priame finančné náklady</w:t>
                  </w:r>
                </w:p>
              </w:tc>
              <w:tc>
                <w:tcPr>
                  <w:tcW w:w="2994" w:type="dxa"/>
                  <w:tcBorders>
                    <w:top w:val="single" w:sz="4" w:space="0" w:color="auto"/>
                    <w:left w:val="single" w:sz="4" w:space="0" w:color="auto"/>
                    <w:bottom w:val="single" w:sz="4" w:space="0" w:color="auto"/>
                    <w:right w:val="single" w:sz="4" w:space="0" w:color="auto"/>
                  </w:tcBorders>
                </w:tcPr>
                <w:p w:rsidR="00E97D3B" w:rsidRPr="00DF357D" w:rsidRDefault="00E97D3B" w:rsidP="00DF357D">
                  <w:pPr>
                    <w:jc w:val="center"/>
                    <w:rPr>
                      <w:i/>
                      <w:sz w:val="22"/>
                      <w:szCs w:val="22"/>
                    </w:rPr>
                  </w:pPr>
                  <w:r w:rsidRPr="00DF357D">
                    <w:rPr>
                      <w:i/>
                      <w:sz w:val="22"/>
                      <w:szCs w:val="22"/>
                    </w:rPr>
                    <w:t>0</w:t>
                  </w:r>
                </w:p>
              </w:tc>
              <w:tc>
                <w:tcPr>
                  <w:tcW w:w="2994" w:type="dxa"/>
                  <w:tcBorders>
                    <w:top w:val="single" w:sz="4" w:space="0" w:color="auto"/>
                    <w:left w:val="single" w:sz="4" w:space="0" w:color="auto"/>
                    <w:bottom w:val="single" w:sz="4" w:space="0" w:color="auto"/>
                    <w:right w:val="single" w:sz="4" w:space="0" w:color="auto"/>
                  </w:tcBorders>
                </w:tcPr>
                <w:p w:rsidR="00E97D3B" w:rsidRPr="00DF357D" w:rsidRDefault="00E97D3B" w:rsidP="00DF357D">
                  <w:pPr>
                    <w:jc w:val="center"/>
                    <w:rPr>
                      <w:i/>
                      <w:sz w:val="22"/>
                      <w:szCs w:val="22"/>
                    </w:rPr>
                  </w:pPr>
                  <w:r w:rsidRPr="00DF357D">
                    <w:rPr>
                      <w:i/>
                      <w:sz w:val="22"/>
                      <w:szCs w:val="22"/>
                    </w:rPr>
                    <w:t>0</w:t>
                  </w:r>
                </w:p>
              </w:tc>
            </w:tr>
            <w:tr w:rsidR="00E97D3B" w:rsidRPr="007A7A18" w:rsidTr="00DF357D">
              <w:tc>
                <w:tcPr>
                  <w:tcW w:w="2993" w:type="dxa"/>
                  <w:tcBorders>
                    <w:top w:val="single" w:sz="4" w:space="0" w:color="auto"/>
                    <w:left w:val="single" w:sz="4" w:space="0" w:color="auto"/>
                    <w:bottom w:val="single" w:sz="4" w:space="0" w:color="auto"/>
                    <w:right w:val="single" w:sz="4" w:space="0" w:color="auto"/>
                  </w:tcBorders>
                </w:tcPr>
                <w:p w:rsidR="00E97D3B" w:rsidRPr="00DF357D" w:rsidRDefault="00E97D3B" w:rsidP="00DF357D">
                  <w:pPr>
                    <w:rPr>
                      <w:i/>
                      <w:sz w:val="22"/>
                      <w:szCs w:val="22"/>
                    </w:rPr>
                  </w:pPr>
                  <w:r w:rsidRPr="00DF357D">
                    <w:rPr>
                      <w:i/>
                      <w:sz w:val="22"/>
                      <w:szCs w:val="22"/>
                    </w:rPr>
                    <w:t>Nepriame finančné náklady</w:t>
                  </w:r>
                </w:p>
              </w:tc>
              <w:tc>
                <w:tcPr>
                  <w:tcW w:w="2994" w:type="dxa"/>
                  <w:tcBorders>
                    <w:top w:val="single" w:sz="4" w:space="0" w:color="auto"/>
                    <w:left w:val="single" w:sz="4" w:space="0" w:color="auto"/>
                    <w:bottom w:val="single" w:sz="4" w:space="0" w:color="auto"/>
                    <w:right w:val="single" w:sz="4" w:space="0" w:color="auto"/>
                  </w:tcBorders>
                </w:tcPr>
                <w:p w:rsidR="00E97D3B" w:rsidRPr="00DF357D" w:rsidRDefault="00E97D3B" w:rsidP="00DF357D">
                  <w:pPr>
                    <w:jc w:val="center"/>
                    <w:rPr>
                      <w:i/>
                      <w:sz w:val="22"/>
                      <w:szCs w:val="22"/>
                    </w:rPr>
                  </w:pPr>
                  <w:r w:rsidRPr="00DF357D">
                    <w:rPr>
                      <w:i/>
                      <w:sz w:val="22"/>
                      <w:szCs w:val="22"/>
                    </w:rPr>
                    <w:t>0</w:t>
                  </w:r>
                </w:p>
              </w:tc>
              <w:tc>
                <w:tcPr>
                  <w:tcW w:w="2994" w:type="dxa"/>
                  <w:tcBorders>
                    <w:top w:val="single" w:sz="4" w:space="0" w:color="auto"/>
                    <w:left w:val="single" w:sz="4" w:space="0" w:color="auto"/>
                    <w:bottom w:val="single" w:sz="4" w:space="0" w:color="auto"/>
                    <w:right w:val="single" w:sz="4" w:space="0" w:color="auto"/>
                  </w:tcBorders>
                </w:tcPr>
                <w:p w:rsidR="00E97D3B" w:rsidRPr="00DF357D" w:rsidRDefault="00E97D3B" w:rsidP="00DF357D">
                  <w:pPr>
                    <w:jc w:val="center"/>
                    <w:rPr>
                      <w:i/>
                      <w:sz w:val="22"/>
                      <w:szCs w:val="22"/>
                    </w:rPr>
                  </w:pPr>
                  <w:r w:rsidRPr="00DF357D">
                    <w:rPr>
                      <w:i/>
                      <w:sz w:val="22"/>
                      <w:szCs w:val="22"/>
                    </w:rPr>
                    <w:t>0</w:t>
                  </w:r>
                </w:p>
              </w:tc>
            </w:tr>
            <w:tr w:rsidR="00E97D3B" w:rsidRPr="007A7A18" w:rsidTr="00DF357D">
              <w:tc>
                <w:tcPr>
                  <w:tcW w:w="2993" w:type="dxa"/>
                  <w:tcBorders>
                    <w:top w:val="single" w:sz="4" w:space="0" w:color="auto"/>
                    <w:left w:val="single" w:sz="4" w:space="0" w:color="auto"/>
                    <w:bottom w:val="single" w:sz="4" w:space="0" w:color="auto"/>
                    <w:right w:val="single" w:sz="4" w:space="0" w:color="auto"/>
                  </w:tcBorders>
                </w:tcPr>
                <w:p w:rsidR="00E97D3B" w:rsidRPr="00DF357D" w:rsidRDefault="00E97D3B" w:rsidP="00DF357D">
                  <w:pPr>
                    <w:rPr>
                      <w:i/>
                      <w:sz w:val="22"/>
                      <w:szCs w:val="22"/>
                    </w:rPr>
                  </w:pPr>
                  <w:r w:rsidRPr="00DF357D">
                    <w:rPr>
                      <w:i/>
                      <w:sz w:val="22"/>
                      <w:szCs w:val="22"/>
                    </w:rPr>
                    <w:t>Administratívne náklady</w:t>
                  </w:r>
                </w:p>
              </w:tc>
              <w:tc>
                <w:tcPr>
                  <w:tcW w:w="2994" w:type="dxa"/>
                  <w:tcBorders>
                    <w:top w:val="single" w:sz="4" w:space="0" w:color="auto"/>
                    <w:left w:val="single" w:sz="4" w:space="0" w:color="auto"/>
                    <w:bottom w:val="single" w:sz="4" w:space="0" w:color="auto"/>
                    <w:right w:val="single" w:sz="4" w:space="0" w:color="auto"/>
                  </w:tcBorders>
                </w:tcPr>
                <w:p w:rsidR="00E97D3B" w:rsidRPr="00DF357D" w:rsidRDefault="00E97D3B" w:rsidP="00DF357D">
                  <w:pPr>
                    <w:jc w:val="center"/>
                    <w:rPr>
                      <w:i/>
                      <w:sz w:val="22"/>
                      <w:szCs w:val="22"/>
                    </w:rPr>
                  </w:pPr>
                  <w:r w:rsidRPr="00DF357D">
                    <w:rPr>
                      <w:i/>
                      <w:sz w:val="22"/>
                      <w:szCs w:val="22"/>
                    </w:rPr>
                    <w:t>0</w:t>
                  </w:r>
                </w:p>
              </w:tc>
              <w:tc>
                <w:tcPr>
                  <w:tcW w:w="2994" w:type="dxa"/>
                  <w:tcBorders>
                    <w:top w:val="single" w:sz="4" w:space="0" w:color="auto"/>
                    <w:left w:val="single" w:sz="4" w:space="0" w:color="auto"/>
                    <w:bottom w:val="single" w:sz="4" w:space="0" w:color="auto"/>
                    <w:right w:val="single" w:sz="4" w:space="0" w:color="auto"/>
                  </w:tcBorders>
                </w:tcPr>
                <w:p w:rsidR="00E97D3B" w:rsidRPr="00DF357D" w:rsidRDefault="00E97D3B" w:rsidP="00DF357D">
                  <w:pPr>
                    <w:jc w:val="center"/>
                    <w:rPr>
                      <w:i/>
                      <w:sz w:val="22"/>
                      <w:szCs w:val="22"/>
                    </w:rPr>
                  </w:pPr>
                  <w:r w:rsidRPr="00DF357D">
                    <w:rPr>
                      <w:i/>
                      <w:sz w:val="22"/>
                      <w:szCs w:val="22"/>
                    </w:rPr>
                    <w:t>0</w:t>
                  </w:r>
                </w:p>
              </w:tc>
            </w:tr>
            <w:tr w:rsidR="00E97D3B" w:rsidRPr="007A7A18" w:rsidTr="00DF357D">
              <w:tc>
                <w:tcPr>
                  <w:tcW w:w="2993" w:type="dxa"/>
                  <w:tcBorders>
                    <w:top w:val="single" w:sz="4" w:space="0" w:color="auto"/>
                    <w:left w:val="single" w:sz="4" w:space="0" w:color="auto"/>
                    <w:bottom w:val="single" w:sz="4" w:space="0" w:color="auto"/>
                    <w:right w:val="single" w:sz="4" w:space="0" w:color="auto"/>
                  </w:tcBorders>
                </w:tcPr>
                <w:p w:rsidR="00E97D3B" w:rsidRPr="00DF357D" w:rsidRDefault="00E97D3B" w:rsidP="00DF357D">
                  <w:pPr>
                    <w:rPr>
                      <w:b/>
                      <w:i/>
                      <w:sz w:val="22"/>
                      <w:szCs w:val="22"/>
                    </w:rPr>
                  </w:pPr>
                  <w:r w:rsidRPr="00DF357D">
                    <w:rPr>
                      <w:b/>
                      <w:i/>
                      <w:sz w:val="22"/>
                      <w:szCs w:val="22"/>
                    </w:rPr>
                    <w:t>Celkové náklady regulácie</w:t>
                  </w:r>
                </w:p>
              </w:tc>
              <w:tc>
                <w:tcPr>
                  <w:tcW w:w="2994" w:type="dxa"/>
                  <w:tcBorders>
                    <w:top w:val="single" w:sz="4" w:space="0" w:color="auto"/>
                    <w:left w:val="single" w:sz="4" w:space="0" w:color="auto"/>
                    <w:bottom w:val="single" w:sz="4" w:space="0" w:color="auto"/>
                    <w:right w:val="single" w:sz="4" w:space="0" w:color="auto"/>
                  </w:tcBorders>
                </w:tcPr>
                <w:p w:rsidR="00E97D3B" w:rsidRPr="00DF357D" w:rsidRDefault="00E97D3B" w:rsidP="00DF357D">
                  <w:pPr>
                    <w:jc w:val="center"/>
                    <w:rPr>
                      <w:b/>
                      <w:i/>
                      <w:sz w:val="22"/>
                      <w:szCs w:val="22"/>
                    </w:rPr>
                  </w:pPr>
                  <w:r w:rsidRPr="00DF357D">
                    <w:rPr>
                      <w:b/>
                      <w:i/>
                      <w:sz w:val="22"/>
                      <w:szCs w:val="22"/>
                    </w:rPr>
                    <w:t>0</w:t>
                  </w:r>
                </w:p>
              </w:tc>
              <w:tc>
                <w:tcPr>
                  <w:tcW w:w="2994" w:type="dxa"/>
                  <w:tcBorders>
                    <w:top w:val="single" w:sz="4" w:space="0" w:color="auto"/>
                    <w:left w:val="single" w:sz="4" w:space="0" w:color="auto"/>
                    <w:bottom w:val="single" w:sz="4" w:space="0" w:color="auto"/>
                    <w:right w:val="single" w:sz="4" w:space="0" w:color="auto"/>
                  </w:tcBorders>
                </w:tcPr>
                <w:p w:rsidR="00E97D3B" w:rsidRPr="00DF357D" w:rsidRDefault="00E97D3B" w:rsidP="00DF357D">
                  <w:pPr>
                    <w:jc w:val="center"/>
                    <w:rPr>
                      <w:b/>
                      <w:i/>
                      <w:sz w:val="22"/>
                      <w:szCs w:val="22"/>
                    </w:rPr>
                  </w:pPr>
                  <w:r w:rsidRPr="00DF357D">
                    <w:rPr>
                      <w:b/>
                      <w:i/>
                      <w:sz w:val="22"/>
                      <w:szCs w:val="22"/>
                    </w:rPr>
                    <w:t>0</w:t>
                  </w:r>
                </w:p>
              </w:tc>
            </w:tr>
          </w:tbl>
          <w:p w:rsidR="00E97D3B" w:rsidRPr="00DF357D" w:rsidRDefault="00E97D3B" w:rsidP="00DF357D">
            <w:pPr>
              <w:rPr>
                <w:i/>
                <w:sz w:val="22"/>
                <w:szCs w:val="22"/>
              </w:rPr>
            </w:pPr>
          </w:p>
        </w:tc>
      </w:tr>
      <w:tr w:rsidR="00E97D3B" w:rsidRPr="007A7A18" w:rsidTr="00DF357D">
        <w:tc>
          <w:tcPr>
            <w:tcW w:w="9212" w:type="dxa"/>
            <w:shd w:val="clear" w:color="auto" w:fill="D9D9D9"/>
          </w:tcPr>
          <w:p w:rsidR="00E97D3B" w:rsidRPr="00DF357D" w:rsidRDefault="00E97D3B" w:rsidP="00DF357D">
            <w:pPr>
              <w:rPr>
                <w:b/>
              </w:rPr>
            </w:pPr>
            <w:r w:rsidRPr="00DF357D">
              <w:rPr>
                <w:b/>
              </w:rPr>
              <w:t>3.4 Konkurencieschopnosť a správanie sa podnikov na trhu</w:t>
            </w:r>
          </w:p>
          <w:p w:rsidR="00E97D3B" w:rsidRPr="00DF357D" w:rsidRDefault="00211FA4" w:rsidP="00DF357D">
            <w:pPr>
              <w:rPr>
                <w:sz w:val="22"/>
                <w:szCs w:val="22"/>
              </w:rPr>
            </w:pPr>
            <w:r>
              <w:rPr>
                <w:b/>
              </w:rPr>
              <w:t xml:space="preserve"> </w:t>
            </w:r>
            <w:r w:rsidR="00E97D3B" w:rsidRPr="00DF357D">
              <w:t xml:space="preserve">- </w:t>
            </w:r>
            <w:r w:rsidR="00E97D3B" w:rsidRPr="00DF357D">
              <w:rPr>
                <w:b/>
              </w:rPr>
              <w:t>z toho MSP</w:t>
            </w:r>
          </w:p>
        </w:tc>
      </w:tr>
      <w:tr w:rsidR="00E97D3B" w:rsidRPr="007A7A18" w:rsidTr="00DF357D">
        <w:tc>
          <w:tcPr>
            <w:tcW w:w="9212" w:type="dxa"/>
          </w:tcPr>
          <w:p w:rsidR="00E97D3B" w:rsidRPr="00DF357D" w:rsidRDefault="00E97D3B" w:rsidP="00DF357D">
            <w:pPr>
              <w:rPr>
                <w:i/>
                <w:sz w:val="22"/>
                <w:szCs w:val="22"/>
              </w:rPr>
            </w:pPr>
            <w:r w:rsidRPr="00DF357D">
              <w:rPr>
                <w:i/>
                <w:sz w:val="22"/>
                <w:szCs w:val="22"/>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E97D3B" w:rsidRPr="00DF357D" w:rsidRDefault="00E97D3B" w:rsidP="00DF357D">
            <w:pPr>
              <w:rPr>
                <w:i/>
                <w:sz w:val="22"/>
                <w:szCs w:val="22"/>
              </w:rPr>
            </w:pPr>
            <w:r w:rsidRPr="00DF357D">
              <w:rPr>
                <w:i/>
                <w:sz w:val="22"/>
                <w:szCs w:val="22"/>
              </w:rPr>
              <w:t>Aký vplyv bude mať navrhovaná zmena na obchodné bariéry? Bude mať vplyv na vyvolanie cezhraničných investícií (príliv /odliv zahraničných investícií resp. uplatnenie slovenských podnikov na zahraničných trhoch)? Ak áno, popíšte.</w:t>
            </w:r>
          </w:p>
          <w:p w:rsidR="00E97D3B" w:rsidRPr="00DF357D" w:rsidRDefault="00E97D3B" w:rsidP="00DF357D">
            <w:pPr>
              <w:rPr>
                <w:i/>
                <w:sz w:val="22"/>
                <w:szCs w:val="22"/>
              </w:rPr>
            </w:pPr>
            <w:r w:rsidRPr="00DF357D">
              <w:rPr>
                <w:i/>
                <w:sz w:val="22"/>
                <w:szCs w:val="22"/>
              </w:rPr>
              <w:t>Ako ovplyvní cenu alebo dostupnosť základných zdrojov (suroviny, mechanizmy, pracovná sila, energie atď.)?</w:t>
            </w:r>
          </w:p>
          <w:p w:rsidR="00E97D3B" w:rsidRPr="00DF357D" w:rsidRDefault="00E97D3B" w:rsidP="00DF357D">
            <w:pPr>
              <w:rPr>
                <w:i/>
                <w:sz w:val="22"/>
                <w:szCs w:val="22"/>
              </w:rPr>
            </w:pPr>
            <w:r w:rsidRPr="00DF357D">
              <w:rPr>
                <w:i/>
                <w:sz w:val="22"/>
                <w:szCs w:val="22"/>
              </w:rPr>
              <w:t>Ovplyvňuje prístup k financiám? Ak áno, ako?</w:t>
            </w:r>
          </w:p>
        </w:tc>
      </w:tr>
      <w:tr w:rsidR="00E97D3B" w:rsidRPr="007A7A18" w:rsidTr="00DF357D">
        <w:trPr>
          <w:trHeight w:val="1282"/>
        </w:trPr>
        <w:tc>
          <w:tcPr>
            <w:tcW w:w="9212" w:type="dxa"/>
          </w:tcPr>
          <w:p w:rsidR="00E97D3B" w:rsidRPr="00DF357D" w:rsidRDefault="00E97D3B" w:rsidP="00DF357D">
            <w:pPr>
              <w:ind w:firstLine="284"/>
              <w:rPr>
                <w:sz w:val="22"/>
                <w:szCs w:val="22"/>
              </w:rPr>
            </w:pPr>
            <w:r w:rsidRPr="00DF357D">
              <w:rPr>
                <w:sz w:val="22"/>
                <w:szCs w:val="22"/>
              </w:rPr>
              <w:t>Návrh bude mať vplyv na vybalansovanie vzťahov medzi dodávateľmi potravín a odberateľmi potravín (najmä s veľkou ekonomickou silou) a na zlepšenie resp. na zabezpeče</w:t>
            </w:r>
            <w:r w:rsidR="00CA601C">
              <w:rPr>
                <w:sz w:val="22"/>
                <w:szCs w:val="22"/>
              </w:rPr>
              <w:t xml:space="preserve">nie nediskriminačných podmienok </w:t>
            </w:r>
            <w:r w:rsidRPr="00DF357D">
              <w:rPr>
                <w:sz w:val="22"/>
                <w:szCs w:val="22"/>
              </w:rPr>
              <w:t>pre všetkých na trhu obchodu s potravinami.</w:t>
            </w:r>
          </w:p>
          <w:p w:rsidR="00E97D3B" w:rsidRPr="00DF357D" w:rsidRDefault="00E97D3B" w:rsidP="00DF357D">
            <w:pPr>
              <w:ind w:firstLine="284"/>
              <w:rPr>
                <w:sz w:val="22"/>
                <w:szCs w:val="22"/>
              </w:rPr>
            </w:pPr>
            <w:r w:rsidRPr="00DF357D">
              <w:rPr>
                <w:sz w:val="22"/>
                <w:szCs w:val="22"/>
              </w:rPr>
              <w:t>V súčasnosti taxatívny výpočet skutkových podstát spôsobuje, že potenciálny porušiteľ ma široké spektrum možností ako sa vyhnúť pokute (napríklad postačuje, ak realizáciu spotrebiteľského prieskumu, ktorú spoplatní odberateľ dodávateľovi – čo je inak zakázané – označí ako „počítačové spracovanie údajov“ a už nenapĺňa skutkovú podstatu neprimeranej obchodnej podmienky). Je preto potrebné pristúpiť k precizovaniu jednotlivých skutkových podstát, aby sa dali pod ne subsumovať v súčasnosti známe a uplatňované neprimerané obchodné podmienky.</w:t>
            </w:r>
          </w:p>
          <w:p w:rsidR="00E97D3B" w:rsidRPr="00DF357D" w:rsidRDefault="00E97D3B" w:rsidP="00DF357D">
            <w:pPr>
              <w:ind w:firstLine="284"/>
              <w:rPr>
                <w:sz w:val="22"/>
                <w:szCs w:val="22"/>
              </w:rPr>
            </w:pPr>
            <w:r w:rsidRPr="00DF357D">
              <w:rPr>
                <w:sz w:val="22"/>
                <w:szCs w:val="22"/>
              </w:rPr>
              <w:t>V budúcnosti je vzhľadom na dynamiku odvetvia a tendenciu porušovateľov hľadať najsofistikovanejšie metódy obchádzania zákona predpoklad, že orgán kontroly bude prichádzať do styku aj s „novými“ neprimeranými obchodnými podmienkami, ktoré doteraz nepoznal. Je preto nevyhnutné použiť systém generálnej klauzuly, ktorý sa v praxi osvedčil (využívaný napríklad vo Veľkej Británii), doplnený o</w:t>
            </w:r>
            <w:r w:rsidR="00211FA4">
              <w:rPr>
                <w:sz w:val="22"/>
                <w:szCs w:val="22"/>
              </w:rPr>
              <w:t xml:space="preserve"> </w:t>
            </w:r>
            <w:r w:rsidRPr="00DF357D">
              <w:rPr>
                <w:sz w:val="22"/>
                <w:szCs w:val="22"/>
              </w:rPr>
              <w:t>výpočet v súčasnosti známych skutkových podstát.</w:t>
            </w:r>
          </w:p>
          <w:p w:rsidR="00E97D3B" w:rsidRPr="00DF357D" w:rsidRDefault="00E97D3B" w:rsidP="00DF357D">
            <w:pPr>
              <w:ind w:firstLine="284"/>
              <w:rPr>
                <w:sz w:val="22"/>
                <w:szCs w:val="22"/>
              </w:rPr>
            </w:pPr>
            <w:r w:rsidRPr="00DF357D">
              <w:rPr>
                <w:sz w:val="22"/>
                <w:szCs w:val="22"/>
              </w:rPr>
              <w:t>Možnosť anonymného podania podnetu je nevyhnutná z dôvodu, že subjekty poškodené neprimeranými obchodnými podmienkami pod hrozbou ukončenia obchodnej spolupráce, od ktorej sú často existenčne závislý („faktor strachu“) spravidla podnet nedajú (v súčasnosti je 90% kontrol vykonávaných z vlastného podnetu). Momentálne sa kontrola spravuje zákonom Národnej rady Slovenskej republiky č. 10/1996 Z. z. o kontrole v štátnej správe v znení neskorších predpisov, ktorý je pre kontrolu súkromných subjektov absolútne nevyhovujúci. Je teda potrebné samostatne upraviť proces kontroly s posilnením postavenia kontrolórov.</w:t>
            </w:r>
          </w:p>
          <w:p w:rsidR="00E97D3B" w:rsidRPr="00DF357D" w:rsidRDefault="00E97D3B" w:rsidP="00CA601C">
            <w:pPr>
              <w:ind w:firstLine="284"/>
              <w:rPr>
                <w:i/>
                <w:sz w:val="22"/>
                <w:szCs w:val="22"/>
              </w:rPr>
            </w:pPr>
            <w:r w:rsidRPr="00DF357D">
              <w:rPr>
                <w:sz w:val="22"/>
                <w:szCs w:val="22"/>
              </w:rPr>
              <w:t>Čo sa týka zvýšenia pokút, ide o reakciu na ekonomickú silu (obraty, tržby, marže), ktoré sú pri niektorých potenciálnych porušiteľoch niekoľko násobne vyššie ako v ostatných krajinách Európskej únie. Ide o</w:t>
            </w:r>
            <w:r w:rsidR="00211FA4">
              <w:rPr>
                <w:sz w:val="22"/>
                <w:szCs w:val="22"/>
              </w:rPr>
              <w:t xml:space="preserve"> </w:t>
            </w:r>
            <w:r w:rsidRPr="00DF357D">
              <w:rPr>
                <w:sz w:val="22"/>
                <w:szCs w:val="22"/>
              </w:rPr>
              <w:t>ekonomicky silné subjekty, pri ktorých horná hranica pokuty tvorí zlomok percenta obratu (pri ochrane hospodárskej súťaže je napríklad horná hranica až 10% obratu).</w:t>
            </w:r>
            <w:r w:rsidRPr="00DF357D">
              <w:rPr>
                <w:i/>
                <w:sz w:val="22"/>
                <w:szCs w:val="22"/>
              </w:rPr>
              <w:t xml:space="preserve"> </w:t>
            </w:r>
          </w:p>
        </w:tc>
      </w:tr>
      <w:tr w:rsidR="00E97D3B" w:rsidRPr="007A7A18" w:rsidTr="00DF357D">
        <w:tc>
          <w:tcPr>
            <w:tcW w:w="9212" w:type="dxa"/>
            <w:shd w:val="clear" w:color="auto" w:fill="D9D9D9"/>
          </w:tcPr>
          <w:p w:rsidR="00E97D3B" w:rsidRPr="00DF357D" w:rsidRDefault="00E97D3B" w:rsidP="00DF357D">
            <w:pPr>
              <w:rPr>
                <w:b/>
              </w:rPr>
            </w:pPr>
            <w:r w:rsidRPr="00DF357D">
              <w:rPr>
                <w:b/>
              </w:rPr>
              <w:t xml:space="preserve">3.5 Inovácie </w:t>
            </w:r>
          </w:p>
          <w:p w:rsidR="00E97D3B" w:rsidRPr="00DF357D" w:rsidRDefault="00211FA4" w:rsidP="00DF357D">
            <w:pPr>
              <w:rPr>
                <w:b/>
                <w:sz w:val="22"/>
                <w:szCs w:val="22"/>
              </w:rPr>
            </w:pPr>
            <w:r>
              <w:t xml:space="preserve"> </w:t>
            </w:r>
            <w:r w:rsidR="00E97D3B" w:rsidRPr="00DF357D">
              <w:t xml:space="preserve">- </w:t>
            </w:r>
            <w:r w:rsidR="00E97D3B" w:rsidRPr="00DF357D">
              <w:rPr>
                <w:b/>
              </w:rPr>
              <w:t>z toho MSP</w:t>
            </w:r>
          </w:p>
        </w:tc>
      </w:tr>
      <w:tr w:rsidR="00E97D3B" w:rsidRPr="007A7A18" w:rsidTr="00DF357D">
        <w:tc>
          <w:tcPr>
            <w:tcW w:w="9212" w:type="dxa"/>
          </w:tcPr>
          <w:p w:rsidR="00E97D3B" w:rsidRPr="00DF357D" w:rsidRDefault="00E97D3B" w:rsidP="00DF357D">
            <w:pPr>
              <w:rPr>
                <w:i/>
                <w:sz w:val="22"/>
                <w:szCs w:val="22"/>
              </w:rPr>
            </w:pPr>
            <w:r w:rsidRPr="00DF357D">
              <w:rPr>
                <w:i/>
                <w:sz w:val="22"/>
                <w:szCs w:val="22"/>
              </w:rPr>
              <w:t>Uveďte, ako podporuje navrhovaná zmena inovácie.</w:t>
            </w:r>
          </w:p>
          <w:p w:rsidR="00E97D3B" w:rsidRPr="00DF357D" w:rsidRDefault="00E97D3B" w:rsidP="00DF357D">
            <w:pPr>
              <w:rPr>
                <w:i/>
                <w:sz w:val="22"/>
                <w:szCs w:val="22"/>
              </w:rPr>
            </w:pPr>
            <w:r w:rsidRPr="00DF357D">
              <w:rPr>
                <w:i/>
                <w:sz w:val="22"/>
                <w:szCs w:val="22"/>
              </w:rPr>
              <w:t>Zjednodušuje uvedenie alebo rozšírenie nových výrobných metód, technológií a výrobkov na trh?</w:t>
            </w:r>
          </w:p>
          <w:p w:rsidR="00E97D3B" w:rsidRPr="00DF357D" w:rsidRDefault="00E97D3B" w:rsidP="00DF357D">
            <w:pPr>
              <w:rPr>
                <w:i/>
                <w:sz w:val="22"/>
                <w:szCs w:val="22"/>
              </w:rPr>
            </w:pPr>
            <w:r w:rsidRPr="00DF357D">
              <w:rPr>
                <w:i/>
                <w:sz w:val="22"/>
                <w:szCs w:val="22"/>
              </w:rPr>
              <w:t>Uveďte, ako vplýva navrhovaná zmena na jednotlivé práva duševného vlastníctva (napr. patenty, ochranné známky, autorské práva, vlastníctvo know-how).</w:t>
            </w:r>
          </w:p>
          <w:p w:rsidR="00E97D3B" w:rsidRPr="00DF357D" w:rsidRDefault="00E97D3B" w:rsidP="00DF357D">
            <w:pPr>
              <w:rPr>
                <w:i/>
                <w:sz w:val="22"/>
                <w:szCs w:val="22"/>
              </w:rPr>
            </w:pPr>
            <w:r w:rsidRPr="00DF357D">
              <w:rPr>
                <w:i/>
                <w:sz w:val="22"/>
                <w:szCs w:val="22"/>
              </w:rPr>
              <w:t>Podporuje vyššiu efektivitu výroby/využívania zdrojov? Ak áno, ako?</w:t>
            </w:r>
          </w:p>
          <w:p w:rsidR="00E97D3B" w:rsidRPr="00DF357D" w:rsidRDefault="00E97D3B" w:rsidP="00DF357D">
            <w:pPr>
              <w:rPr>
                <w:sz w:val="22"/>
                <w:szCs w:val="22"/>
              </w:rPr>
            </w:pPr>
            <w:r w:rsidRPr="00DF357D">
              <w:rPr>
                <w:i/>
                <w:sz w:val="22"/>
                <w:szCs w:val="22"/>
              </w:rPr>
              <w:t>Vytvorí zmena nové pracovné miesta pre zamestnancov výskumu a vývoja v SR?</w:t>
            </w:r>
          </w:p>
        </w:tc>
      </w:tr>
      <w:tr w:rsidR="00E97D3B" w:rsidRPr="00B0013D" w:rsidTr="00CA601C">
        <w:trPr>
          <w:trHeight w:val="58"/>
        </w:trPr>
        <w:tc>
          <w:tcPr>
            <w:tcW w:w="9212" w:type="dxa"/>
          </w:tcPr>
          <w:p w:rsidR="00E97D3B" w:rsidRPr="00DF357D" w:rsidRDefault="00E97D3B" w:rsidP="00DF357D">
            <w:pPr>
              <w:rPr>
                <w:b/>
                <w:i/>
                <w:sz w:val="22"/>
                <w:szCs w:val="22"/>
              </w:rPr>
            </w:pPr>
          </w:p>
        </w:tc>
      </w:tr>
    </w:tbl>
    <w:p w:rsidR="00E97D3B" w:rsidRDefault="0060336C" w:rsidP="00CA601C">
      <w:pPr>
        <w:pStyle w:val="Nadpis1"/>
        <w:pageBreakBefore/>
        <w:spacing w:before="0"/>
        <w:rPr>
          <w:szCs w:val="24"/>
          <w:lang w:eastAsia="x-none"/>
        </w:rPr>
      </w:pPr>
      <w:r>
        <w:rPr>
          <w:szCs w:val="24"/>
          <w:lang w:eastAsia="x-none"/>
        </w:rPr>
        <w:lastRenderedPageBreak/>
        <w:t>Dôvodová správa</w:t>
      </w:r>
    </w:p>
    <w:p w:rsidR="00E97D3B" w:rsidRPr="00C03E3E" w:rsidRDefault="00E97D3B" w:rsidP="00E97D3B">
      <w:pPr>
        <w:rPr>
          <w:lang w:eastAsia="x-none"/>
        </w:rPr>
      </w:pPr>
    </w:p>
    <w:p w:rsidR="00E97D3B" w:rsidRPr="00254A56" w:rsidRDefault="00E97D3B" w:rsidP="00E97D3B">
      <w:pPr>
        <w:pStyle w:val="Nadpis1"/>
        <w:spacing w:before="0" w:after="0"/>
        <w:jc w:val="both"/>
        <w:rPr>
          <w:szCs w:val="24"/>
          <w:lang w:eastAsia="x-none"/>
        </w:rPr>
      </w:pPr>
      <w:r>
        <w:rPr>
          <w:szCs w:val="24"/>
          <w:lang w:eastAsia="x-none"/>
        </w:rPr>
        <w:t>Osobitná časť</w:t>
      </w:r>
    </w:p>
    <w:p w:rsidR="00E97D3B" w:rsidRPr="005106EF" w:rsidRDefault="00E97D3B" w:rsidP="00E97D3B">
      <w:pPr>
        <w:pStyle w:val="Nadpis3"/>
        <w:spacing w:before="0" w:after="0"/>
        <w:rPr>
          <w:szCs w:val="24"/>
          <w:lang w:eastAsia="x-none"/>
        </w:rPr>
      </w:pPr>
    </w:p>
    <w:p w:rsidR="00E97D3B" w:rsidRPr="00254A56" w:rsidRDefault="00E97D3B" w:rsidP="00E97D3B">
      <w:pPr>
        <w:pStyle w:val="Nadpis3"/>
        <w:spacing w:before="0" w:after="0"/>
        <w:rPr>
          <w:szCs w:val="24"/>
          <w:lang w:eastAsia="x-none"/>
        </w:rPr>
      </w:pPr>
      <w:r w:rsidRPr="005106EF">
        <w:rPr>
          <w:szCs w:val="24"/>
          <w:lang w:eastAsia="x-none"/>
        </w:rPr>
        <w:t>K</w:t>
      </w:r>
      <w:r w:rsidR="00211FA4">
        <w:rPr>
          <w:szCs w:val="24"/>
          <w:lang w:eastAsia="x-none"/>
        </w:rPr>
        <w:t xml:space="preserve"> </w:t>
      </w:r>
      <w:r w:rsidRPr="005106EF">
        <w:rPr>
          <w:szCs w:val="24"/>
          <w:lang w:eastAsia="x-none"/>
        </w:rPr>
        <w:t xml:space="preserve">§ 1 </w:t>
      </w:r>
    </w:p>
    <w:p w:rsidR="00E97D3B" w:rsidRPr="005106EF" w:rsidRDefault="00E97D3B" w:rsidP="00E97D3B">
      <w:pPr>
        <w:pStyle w:val="odsek"/>
        <w:ind w:firstLine="708"/>
      </w:pPr>
      <w:r>
        <w:t xml:space="preserve">Ustanovenie vymedzuje predmet úpravy. Návrh zákona sa dotýka vymedzenia neprimeraných podmienok, úpravy procesu kontroly dodržiavania zákazu neprimeraných podmienok, ktorá na rozdiel od súčasne platnej právnej úpravy podľa zákona </w:t>
      </w:r>
      <w:r>
        <w:br/>
        <w:t>č. 362/2012 Z. z. nerecipuje pravidlá kontroly ustanovené v zákone Národnej rady Slovenskej republiky</w:t>
      </w:r>
      <w:r w:rsidRPr="00F76323">
        <w:t xml:space="preserve"> č. 10/1996 Z. z.</w:t>
      </w:r>
      <w:r>
        <w:t xml:space="preserve"> v znení neskorších predpisov. Návrh zákona súčasne ustanovuje podmienky deliktuálnej zodpovednosti účastníkov obchodných vzťahov za porušenie zákazu požadovať, dohodnúť alebo uplatniť neprimeranú podmienku.</w:t>
      </w:r>
      <w:r w:rsidR="00211FA4">
        <w:t xml:space="preserve"> </w:t>
      </w:r>
    </w:p>
    <w:p w:rsidR="00E97D3B" w:rsidRPr="005106EF" w:rsidRDefault="00E97D3B" w:rsidP="00E97D3B">
      <w:pPr>
        <w:pStyle w:val="Nadpis3"/>
        <w:spacing w:before="0" w:after="0"/>
        <w:rPr>
          <w:szCs w:val="24"/>
          <w:lang w:eastAsia="x-none"/>
        </w:rPr>
      </w:pPr>
    </w:p>
    <w:p w:rsidR="00E97D3B" w:rsidRPr="00254A56" w:rsidRDefault="00E97D3B" w:rsidP="00E97D3B">
      <w:pPr>
        <w:pStyle w:val="Nadpis3"/>
        <w:spacing w:before="0" w:after="0"/>
        <w:rPr>
          <w:szCs w:val="24"/>
          <w:lang w:eastAsia="x-none"/>
        </w:rPr>
      </w:pPr>
      <w:r w:rsidRPr="005106EF">
        <w:rPr>
          <w:szCs w:val="24"/>
          <w:lang w:eastAsia="x-none"/>
        </w:rPr>
        <w:t>K</w:t>
      </w:r>
      <w:r w:rsidR="00211FA4">
        <w:rPr>
          <w:szCs w:val="24"/>
          <w:lang w:eastAsia="x-none"/>
        </w:rPr>
        <w:t xml:space="preserve"> </w:t>
      </w:r>
      <w:r w:rsidRPr="005106EF">
        <w:rPr>
          <w:szCs w:val="24"/>
          <w:lang w:eastAsia="x-none"/>
        </w:rPr>
        <w:t xml:space="preserve">§ 2 </w:t>
      </w:r>
    </w:p>
    <w:p w:rsidR="00E97D3B" w:rsidRDefault="00E97D3B" w:rsidP="00E97D3B">
      <w:pPr>
        <w:rPr>
          <w:lang w:eastAsia="x-none"/>
        </w:rPr>
      </w:pPr>
      <w:r w:rsidRPr="005106EF">
        <w:rPr>
          <w:lang w:eastAsia="x-none"/>
        </w:rPr>
        <w:tab/>
      </w:r>
      <w:r>
        <w:rPr>
          <w:lang w:eastAsia="x-none"/>
        </w:rPr>
        <w:t xml:space="preserve">Ustanovením sa precizuje a rozširuje doterajší súbor legálnych definícií. </w:t>
      </w:r>
      <w:r>
        <w:rPr>
          <w:lang w:eastAsia="x-none"/>
        </w:rPr>
        <w:br/>
        <w:t>Vzhľadom na</w:t>
      </w:r>
      <w:r w:rsidR="00211FA4">
        <w:rPr>
          <w:lang w:eastAsia="x-none"/>
        </w:rPr>
        <w:t xml:space="preserve"> </w:t>
      </w:r>
      <w:r>
        <w:rPr>
          <w:lang w:eastAsia="x-none"/>
        </w:rPr>
        <w:t>skúsenosti z aplikačnej praxe dochádza k úprave legálnych definícií obsiahnutých v zákone č. 362/2012 Z. z., ako aj k zavedeniu nových, pre kontrolnú a rozhodovaciu činnosť potrebných, legálnych definícií.</w:t>
      </w:r>
    </w:p>
    <w:p w:rsidR="00E97D3B" w:rsidRDefault="00E97D3B" w:rsidP="00E97D3B">
      <w:pPr>
        <w:pStyle w:val="odsek"/>
      </w:pPr>
      <w:r>
        <w:rPr>
          <w:lang w:eastAsia="x-none"/>
        </w:rPr>
        <w:t xml:space="preserve">Za osobitne dôležitú legálnu definíciu možno považovať legálnu definíciu služby. </w:t>
      </w:r>
      <w:r>
        <w:rPr>
          <w:lang w:eastAsia="x-none"/>
        </w:rPr>
        <w:br/>
        <w:t xml:space="preserve">V zmysle písmena f) sa za </w:t>
      </w:r>
      <w:r w:rsidRPr="005106EF">
        <w:t>služb</w:t>
      </w:r>
      <w:r>
        <w:t>u</w:t>
      </w:r>
      <w:r w:rsidRPr="005106EF">
        <w:t xml:space="preserve"> budú považovať najmä marketingové aktivity a techniky </w:t>
      </w:r>
      <w:r>
        <w:br/>
      </w:r>
      <w:r w:rsidRPr="005106EF">
        <w:t>na zvýšenie informovanosti spotrebiteľa o</w:t>
      </w:r>
      <w:r>
        <w:t> </w:t>
      </w:r>
      <w:r w:rsidRPr="005106EF">
        <w:t>potravine</w:t>
      </w:r>
      <w:r>
        <w:t>,</w:t>
      </w:r>
      <w:r w:rsidRPr="005106EF">
        <w:t xml:space="preserve"> ako</w:t>
      </w:r>
      <w:r>
        <w:t xml:space="preserve"> sú</w:t>
      </w:r>
      <w:r w:rsidRPr="005106EF">
        <w:t xml:space="preserve"> reklamné akcie a letákové akcie, vrátane tlače, spotrebiteľské súťaže</w:t>
      </w:r>
      <w:r w:rsidRPr="005106EF">
        <w:t/>
      </w:r>
      <w:r w:rsidRPr="005106EF">
        <w:t xml:space="preserve">, rozhlasová produkcia v prevádzkarni, vystavenie potraviny v prevádzkarni, </w:t>
      </w:r>
      <w:r w:rsidRPr="005106EF">
        <w:t/>
      </w:r>
      <w:r w:rsidRPr="005106EF">
        <w:t>ochutnávky</w:t>
      </w:r>
      <w:r w:rsidRPr="005106EF">
        <w:t/>
      </w:r>
      <w:r w:rsidRPr="005106EF">
        <w:t>,</w:t>
      </w:r>
      <w:r>
        <w:t xml:space="preserve"> logistika vrátane skladovania,</w:t>
      </w:r>
      <w:r w:rsidRPr="005106EF">
        <w:t xml:space="preserve"> poradenský manažment, administratívne a finančné služby, poskytovanie in</w:t>
      </w:r>
      <w:r>
        <w:t xml:space="preserve">formácií o trhu. Spoločné pre všetky takto </w:t>
      </w:r>
      <w:r w:rsidRPr="005106EF">
        <w:t>poskytované služby je ich</w:t>
      </w:r>
      <w:r>
        <w:t xml:space="preserve"> súvislosť s dodávkou potraviny</w:t>
      </w:r>
      <w:r w:rsidRPr="005106EF">
        <w:t xml:space="preserve">. </w:t>
      </w:r>
    </w:p>
    <w:p w:rsidR="00E97D3B" w:rsidRPr="005106EF" w:rsidRDefault="00E97D3B" w:rsidP="00E97D3B">
      <w:pPr>
        <w:pStyle w:val="odsek"/>
        <w:ind w:firstLine="708"/>
      </w:pPr>
      <w:r>
        <w:t>Návrh z</w:t>
      </w:r>
      <w:r w:rsidRPr="005106EF">
        <w:t>ákon</w:t>
      </w:r>
      <w:r>
        <w:t>a</w:t>
      </w:r>
      <w:r w:rsidRPr="005106EF">
        <w:t xml:space="preserve"> špecifikuje, že do pojmu služba patrí aj pojem distribúcia, </w:t>
      </w:r>
      <w:r>
        <w:br/>
      </w:r>
      <w:r w:rsidRPr="005106EF">
        <w:t xml:space="preserve">ktorý je na účely zákona bližšie definovaný v </w:t>
      </w:r>
      <w:r>
        <w:t>písmene</w:t>
      </w:r>
      <w:r w:rsidRPr="005106EF">
        <w:t xml:space="preserve"> </w:t>
      </w:r>
      <w:r>
        <w:t>g</w:t>
      </w:r>
      <w:r w:rsidRPr="005106EF">
        <w:t>).</w:t>
      </w:r>
      <w:r>
        <w:t xml:space="preserve"> Potreba definovať</w:t>
      </w:r>
      <w:r w:rsidRPr="005106EF">
        <w:t xml:space="preserve"> poj</w:t>
      </w:r>
      <w:r>
        <w:t>e</w:t>
      </w:r>
      <w:r w:rsidRPr="005106EF">
        <w:t>m distribúcia súvisí s</w:t>
      </w:r>
      <w:r>
        <w:t>o súčasnou praxou faktu</w:t>
      </w:r>
      <w:r w:rsidRPr="005106EF">
        <w:t>rovania tzv. logistických bonusov, ktoré neúmerne prekračujú r</w:t>
      </w:r>
      <w:r>
        <w:t>eálnu cenu prepravy potraviny.</w:t>
      </w:r>
      <w:r w:rsidR="00211FA4">
        <w:t xml:space="preserve"> </w:t>
      </w:r>
    </w:p>
    <w:p w:rsidR="00E97D3B" w:rsidRPr="00254A56" w:rsidRDefault="00E97D3B" w:rsidP="00E97D3B">
      <w:pPr>
        <w:ind w:firstLine="708"/>
        <w:rPr>
          <w:lang w:eastAsia="x-none"/>
        </w:rPr>
      </w:pPr>
      <w:r>
        <w:rPr>
          <w:lang w:eastAsia="x-none"/>
        </w:rPr>
        <w:t xml:space="preserve"> </w:t>
      </w:r>
    </w:p>
    <w:p w:rsidR="00E97D3B" w:rsidRPr="007B725C" w:rsidRDefault="00E97D3B" w:rsidP="00E97D3B">
      <w:pPr>
        <w:pStyle w:val="Nadpis3"/>
        <w:spacing w:before="0" w:after="0"/>
        <w:rPr>
          <w:szCs w:val="24"/>
          <w:lang w:eastAsia="x-none"/>
        </w:rPr>
      </w:pPr>
      <w:r w:rsidRPr="005106EF">
        <w:rPr>
          <w:szCs w:val="24"/>
          <w:lang w:eastAsia="x-none"/>
        </w:rPr>
        <w:t>K</w:t>
      </w:r>
      <w:r w:rsidR="00211FA4">
        <w:rPr>
          <w:szCs w:val="24"/>
          <w:lang w:eastAsia="x-none"/>
        </w:rPr>
        <w:t xml:space="preserve"> </w:t>
      </w:r>
      <w:r w:rsidRPr="005106EF">
        <w:rPr>
          <w:szCs w:val="24"/>
          <w:lang w:eastAsia="x-none"/>
        </w:rPr>
        <w:t xml:space="preserve">§ </w:t>
      </w:r>
      <w:r>
        <w:rPr>
          <w:szCs w:val="24"/>
          <w:lang w:eastAsia="x-none"/>
        </w:rPr>
        <w:t>3</w:t>
      </w:r>
      <w:r w:rsidRPr="005106EF">
        <w:rPr>
          <w:szCs w:val="24"/>
          <w:lang w:eastAsia="x-none"/>
        </w:rPr>
        <w:t xml:space="preserve"> ods. 1</w:t>
      </w:r>
    </w:p>
    <w:p w:rsidR="00E97D3B" w:rsidRPr="00B42A19" w:rsidRDefault="00E97D3B" w:rsidP="00E97D3B">
      <w:pPr>
        <w:ind w:firstLine="708"/>
      </w:pPr>
      <w:r w:rsidRPr="005106EF">
        <w:t>Návrh zákona</w:t>
      </w:r>
      <w:r>
        <w:t xml:space="preserve"> v odseku 1</w:t>
      </w:r>
      <w:r w:rsidRPr="005106EF">
        <w:t xml:space="preserve"> zakazuje neprimerané podmienky, a to vo fáze požadovania (jednostrann</w:t>
      </w:r>
      <w:r>
        <w:t>ý</w:t>
      </w:r>
      <w:r w:rsidRPr="005106EF">
        <w:t xml:space="preserve"> úkon), dohodnutia (dvojstrann</w:t>
      </w:r>
      <w:r>
        <w:t>ý</w:t>
      </w:r>
      <w:r w:rsidRPr="005106EF">
        <w:t xml:space="preserve"> úkon) alebo uplatňovania (jednostrann</w:t>
      </w:r>
      <w:r>
        <w:t>ý</w:t>
      </w:r>
      <w:r w:rsidRPr="005106EF">
        <w:t xml:space="preserve"> úkon). </w:t>
      </w:r>
      <w:r>
        <w:t>Týmto</w:t>
      </w:r>
      <w:r w:rsidRPr="005106EF">
        <w:t xml:space="preserve"> ustanoven</w:t>
      </w:r>
      <w:r>
        <w:t>ím sa výraznejšie precizuje ochrana poskytovaná dodávateľsko-odberateľským vzťahom podľa § 4 ods. 1 zákona č. 362/2012 Z. z., ktoré dodávateľovi a odberateľovi zakazuje dohodnúť neprimeranú podmienku, avšak nepokrýva štádium konania smerujúce k dohodnutiu neprimeranej podmienky, ani štádium realizácie neprimeranej podmienky.</w:t>
      </w:r>
    </w:p>
    <w:p w:rsidR="00E97D3B" w:rsidRPr="000E60E1" w:rsidRDefault="00E97D3B" w:rsidP="00E97D3B">
      <w:pPr>
        <w:rPr>
          <w:lang w:eastAsia="x-none"/>
        </w:rPr>
      </w:pPr>
    </w:p>
    <w:p w:rsidR="00E97D3B" w:rsidRDefault="00E97D3B" w:rsidP="00E97D3B">
      <w:pPr>
        <w:pStyle w:val="odsek"/>
        <w:ind w:firstLine="0"/>
        <w:rPr>
          <w:b/>
        </w:rPr>
      </w:pPr>
      <w:r>
        <w:rPr>
          <w:b/>
        </w:rPr>
        <w:t>K</w:t>
      </w:r>
      <w:r w:rsidR="00211FA4">
        <w:rPr>
          <w:b/>
        </w:rPr>
        <w:t xml:space="preserve"> </w:t>
      </w:r>
      <w:r>
        <w:rPr>
          <w:b/>
        </w:rPr>
        <w:t xml:space="preserve">§ 3 ods. 2 </w:t>
      </w:r>
    </w:p>
    <w:p w:rsidR="00E97D3B" w:rsidRPr="00E71ED8" w:rsidRDefault="00E97D3B" w:rsidP="00E97D3B">
      <w:pPr>
        <w:pStyle w:val="odsek"/>
        <w:ind w:firstLine="0"/>
      </w:pPr>
      <w:r>
        <w:rPr>
          <w:b/>
        </w:rPr>
        <w:tab/>
      </w:r>
      <w:r>
        <w:t>Ustanovenie odseku 2 sa dotýka neprimeraných podmienok, ktoré sa viažu na peňažné plnenie alebo nepeňažné plnenie medzi účastníkmi obchodných vzťahov:</w:t>
      </w:r>
    </w:p>
    <w:p w:rsidR="00E97D3B" w:rsidRPr="006B5895" w:rsidRDefault="00E97D3B" w:rsidP="00E97D3B">
      <w:pPr>
        <w:pStyle w:val="odsek"/>
        <w:ind w:firstLine="0"/>
        <w:rPr>
          <w:b/>
        </w:rPr>
      </w:pPr>
      <w:r>
        <w:rPr>
          <w:b/>
        </w:rPr>
        <w:t xml:space="preserve">- </w:t>
      </w:r>
      <w:r w:rsidRPr="002376A0">
        <w:t>písmeno a):</w:t>
      </w:r>
      <w:r>
        <w:rPr>
          <w:b/>
        </w:rPr>
        <w:t xml:space="preserve"> </w:t>
      </w:r>
      <w:r w:rsidRPr="006B5895">
        <w:t>z</w:t>
      </w:r>
      <w:r w:rsidRPr="005106EF">
        <w:t>a neprimeranú podmienku bude považované peňažné</w:t>
      </w:r>
      <w:r>
        <w:t xml:space="preserve"> plnenie</w:t>
      </w:r>
      <w:r w:rsidRPr="005106EF">
        <w:t xml:space="preserve"> </w:t>
      </w:r>
      <w:r>
        <w:br/>
      </w:r>
      <w:r w:rsidRPr="005106EF">
        <w:t>alebo nepeňažné plnenie nielen za zaradenie dodávateľa do registra vedeného odberateľom, ale aj za následne vykonané zmeny</w:t>
      </w:r>
      <w:r>
        <w:t xml:space="preserve"> v takomto registri.</w:t>
      </w:r>
    </w:p>
    <w:p w:rsidR="00E97D3B" w:rsidRPr="006B5895" w:rsidRDefault="00E97D3B" w:rsidP="00E97D3B">
      <w:pPr>
        <w:pStyle w:val="odsek"/>
        <w:ind w:firstLine="0"/>
        <w:rPr>
          <w:b/>
        </w:rPr>
      </w:pPr>
      <w:r>
        <w:rPr>
          <w:b/>
        </w:rPr>
        <w:t xml:space="preserve">- </w:t>
      </w:r>
      <w:r w:rsidRPr="002376A0">
        <w:t>písmeno b):</w:t>
      </w:r>
      <w:r>
        <w:rPr>
          <w:b/>
        </w:rPr>
        <w:t xml:space="preserve"> </w:t>
      </w:r>
      <w:r>
        <w:t>z</w:t>
      </w:r>
      <w:r w:rsidRPr="005106EF">
        <w:t>a neprimeranú podmienku bude považované peňažné</w:t>
      </w:r>
      <w:r>
        <w:t xml:space="preserve"> plnenie</w:t>
      </w:r>
      <w:r w:rsidRPr="005106EF">
        <w:t xml:space="preserve"> </w:t>
      </w:r>
      <w:r>
        <w:br/>
      </w:r>
      <w:r w:rsidRPr="005106EF">
        <w:t xml:space="preserve">alebo nepeňažné plnenie nielen za zaradenie potraviny do evidencie odberateľa, </w:t>
      </w:r>
      <w:r>
        <w:br/>
      </w:r>
      <w:r w:rsidRPr="005106EF">
        <w:t xml:space="preserve">ale aj za zmeny v takejto evidencii. V praxi sa predmetné plnenia označujú ako tzv. listing </w:t>
      </w:r>
      <w:r>
        <w:t>(</w:t>
      </w:r>
      <w:r w:rsidRPr="005106EF">
        <w:t>zalistovacie poplatky</w:t>
      </w:r>
      <w:r>
        <w:t>)</w:t>
      </w:r>
      <w:r w:rsidRPr="005106EF">
        <w:t>.</w:t>
      </w:r>
    </w:p>
    <w:p w:rsidR="00E97D3B" w:rsidRPr="002376A0" w:rsidRDefault="00E97D3B" w:rsidP="00E97D3B">
      <w:pPr>
        <w:pStyle w:val="odsek"/>
        <w:ind w:firstLine="0"/>
        <w:rPr>
          <w:b/>
        </w:rPr>
      </w:pPr>
      <w:r>
        <w:rPr>
          <w:b/>
        </w:rPr>
        <w:lastRenderedPageBreak/>
        <w:t xml:space="preserve">- </w:t>
      </w:r>
      <w:r w:rsidRPr="002376A0">
        <w:t>písmeno c):</w:t>
      </w:r>
      <w:r>
        <w:rPr>
          <w:b/>
        </w:rPr>
        <w:t xml:space="preserve"> </w:t>
      </w:r>
      <w:r w:rsidRPr="006B5895">
        <w:t>jedná sa o ustanovenie zakazujúce peňažné plnenie alebo nepeňažné plnenie za obnovovanie alebo rozširovanie obchodnej siete účastníka obchodného vzťahu (odberateľ alebo dodávateľ); za obchodnú sieť účastníka obchodného vzťahu je možné považovať najmä výrobné alebo administratívne priestory, prevádzkarne, infraštruktúru súvisiacu so zabezpečením logistiky vrátane dopravných prostriedkov, infraštruktúru súvisiacu so zabezpečením finančných operácií.</w:t>
      </w:r>
      <w:r w:rsidR="00211FA4">
        <w:t xml:space="preserve"> </w:t>
      </w:r>
    </w:p>
    <w:p w:rsidR="00E97D3B" w:rsidRPr="00D7189A" w:rsidRDefault="00E97D3B" w:rsidP="00E97D3B">
      <w:pPr>
        <w:pStyle w:val="odsek"/>
        <w:ind w:firstLine="0"/>
        <w:rPr>
          <w:b/>
        </w:rPr>
      </w:pPr>
      <w:r w:rsidRPr="002376A0">
        <w:t>- písmeno d):</w:t>
      </w:r>
      <w:r>
        <w:rPr>
          <w:b/>
        </w:rPr>
        <w:t xml:space="preserve"> </w:t>
      </w:r>
      <w:r w:rsidRPr="00577D07">
        <w:t>u</w:t>
      </w:r>
      <w:r w:rsidRPr="005106EF">
        <w:rPr>
          <w:lang w:eastAsia="x-none"/>
        </w:rPr>
        <w:t>stanovenie zakazujúce peňažné</w:t>
      </w:r>
      <w:r>
        <w:rPr>
          <w:lang w:eastAsia="x-none"/>
        </w:rPr>
        <w:t xml:space="preserve"> </w:t>
      </w:r>
      <w:r>
        <w:t>plnenie</w:t>
      </w:r>
      <w:r w:rsidRPr="005106EF">
        <w:rPr>
          <w:lang w:eastAsia="x-none"/>
        </w:rPr>
        <w:t xml:space="preserve"> alebo nepeňažné plnenie </w:t>
      </w:r>
      <w:r>
        <w:rPr>
          <w:lang w:eastAsia="x-none"/>
        </w:rPr>
        <w:br/>
      </w:r>
      <w:r w:rsidRPr="005106EF">
        <w:rPr>
          <w:lang w:eastAsia="x-none"/>
        </w:rPr>
        <w:t>za nižší zisk alebo maržu odberateľa ako kompenzáciu za predaj potraviny, ktorý neprebieha podľa očakávaní.</w:t>
      </w:r>
    </w:p>
    <w:p w:rsidR="00E97D3B" w:rsidRPr="00577D07" w:rsidRDefault="00E97D3B" w:rsidP="00E97D3B">
      <w:pPr>
        <w:pStyle w:val="odsek"/>
        <w:ind w:firstLine="0"/>
        <w:rPr>
          <w:b/>
        </w:rPr>
      </w:pPr>
      <w:r w:rsidRPr="002376A0">
        <w:t>- písmeno e):</w:t>
      </w:r>
      <w:r>
        <w:rPr>
          <w:b/>
        </w:rPr>
        <w:t xml:space="preserve"> </w:t>
      </w:r>
      <w:r w:rsidRPr="00CE2704">
        <w:t>p</w:t>
      </w:r>
      <w:r w:rsidRPr="005106EF">
        <w:rPr>
          <w:lang w:eastAsia="x-none"/>
        </w:rPr>
        <w:t>eňažné</w:t>
      </w:r>
      <w:r>
        <w:rPr>
          <w:lang w:eastAsia="x-none"/>
        </w:rPr>
        <w:t xml:space="preserve"> </w:t>
      </w:r>
      <w:r>
        <w:t>plnenie</w:t>
      </w:r>
      <w:r w:rsidRPr="005106EF">
        <w:rPr>
          <w:lang w:eastAsia="x-none"/>
        </w:rPr>
        <w:t xml:space="preserve"> alebo nepeňažné plnenie dodávateľa za propagáciu </w:t>
      </w:r>
      <w:r>
        <w:rPr>
          <w:lang w:eastAsia="x-none"/>
        </w:rPr>
        <w:br/>
      </w:r>
      <w:r w:rsidRPr="005106EF">
        <w:rPr>
          <w:lang w:eastAsia="x-none"/>
        </w:rPr>
        <w:t xml:space="preserve">len odberateľa je zakázané úplne. </w:t>
      </w:r>
      <w:r>
        <w:rPr>
          <w:lang w:eastAsia="x-none"/>
        </w:rPr>
        <w:t>A</w:t>
      </w:r>
      <w:r w:rsidRPr="005106EF">
        <w:rPr>
          <w:lang w:eastAsia="x-none"/>
        </w:rPr>
        <w:t>k je služba zameraná na propagáciu oboch účastníkov, napríklad</w:t>
      </w:r>
      <w:r>
        <w:rPr>
          <w:lang w:eastAsia="x-none"/>
        </w:rPr>
        <w:t>,</w:t>
      </w:r>
      <w:r w:rsidRPr="005106EF">
        <w:rPr>
          <w:lang w:eastAsia="x-none"/>
        </w:rPr>
        <w:t xml:space="preserve"> </w:t>
      </w:r>
      <w:r>
        <w:rPr>
          <w:lang w:eastAsia="x-none"/>
        </w:rPr>
        <w:t xml:space="preserve">ak </w:t>
      </w:r>
      <w:r w:rsidRPr="005106EF">
        <w:rPr>
          <w:lang w:eastAsia="x-none"/>
        </w:rPr>
        <w:t xml:space="preserve">sa v rámci jednej reklamy propaguje aj odberateľ aj dodávateľ, uplatní sa postup podľa § </w:t>
      </w:r>
      <w:r>
        <w:rPr>
          <w:lang w:eastAsia="x-none"/>
        </w:rPr>
        <w:t>3</w:t>
      </w:r>
      <w:r w:rsidRPr="005106EF">
        <w:rPr>
          <w:lang w:eastAsia="x-none"/>
        </w:rPr>
        <w:t xml:space="preserve"> ods. 3 písm. a), tzn. </w:t>
      </w:r>
      <w:r>
        <w:rPr>
          <w:lang w:eastAsia="x-none"/>
        </w:rPr>
        <w:t>p</w:t>
      </w:r>
      <w:r w:rsidRPr="005106EF">
        <w:rPr>
          <w:lang w:eastAsia="x-none"/>
        </w:rPr>
        <w:t>eňažné</w:t>
      </w:r>
      <w:r>
        <w:rPr>
          <w:lang w:eastAsia="x-none"/>
        </w:rPr>
        <w:t xml:space="preserve"> </w:t>
      </w:r>
      <w:r>
        <w:t>plnenie</w:t>
      </w:r>
      <w:r w:rsidRPr="005106EF">
        <w:rPr>
          <w:lang w:eastAsia="x-none"/>
        </w:rPr>
        <w:t xml:space="preserve"> alebo nepeňažné plnenie bude povolené </w:t>
      </w:r>
      <w:r>
        <w:rPr>
          <w:lang w:eastAsia="x-none"/>
        </w:rPr>
        <w:br/>
      </w:r>
      <w:r w:rsidRPr="005106EF">
        <w:rPr>
          <w:lang w:eastAsia="x-none"/>
        </w:rPr>
        <w:t>do maximálnej výšky 3% z obratu dodávateľa za potraviny dodané jednotlivému odberateľovi v</w:t>
      </w:r>
      <w:r>
        <w:rPr>
          <w:lang w:eastAsia="x-none"/>
        </w:rPr>
        <w:t xml:space="preserve"> príslušnom</w:t>
      </w:r>
      <w:r w:rsidRPr="005106EF">
        <w:rPr>
          <w:lang w:eastAsia="x-none"/>
        </w:rPr>
        <w:t xml:space="preserve"> kalendárnom roku. </w:t>
      </w:r>
    </w:p>
    <w:p w:rsidR="00E97D3B" w:rsidRPr="00577D07" w:rsidRDefault="00E97D3B" w:rsidP="00E97D3B">
      <w:pPr>
        <w:pStyle w:val="odsek"/>
        <w:ind w:firstLine="0"/>
        <w:rPr>
          <w:b/>
        </w:rPr>
      </w:pPr>
      <w:r w:rsidRPr="002376A0">
        <w:t>- písmeno f):</w:t>
      </w:r>
      <w:r>
        <w:rPr>
          <w:b/>
        </w:rPr>
        <w:t xml:space="preserve"> </w:t>
      </w:r>
      <w:r>
        <w:rPr>
          <w:lang w:eastAsia="x-none"/>
        </w:rPr>
        <w:t>p</w:t>
      </w:r>
      <w:r w:rsidRPr="005106EF">
        <w:rPr>
          <w:lang w:eastAsia="x-none"/>
        </w:rPr>
        <w:t>eňažné</w:t>
      </w:r>
      <w:r>
        <w:rPr>
          <w:lang w:eastAsia="x-none"/>
        </w:rPr>
        <w:t xml:space="preserve"> </w:t>
      </w:r>
      <w:r>
        <w:t>plnenie</w:t>
      </w:r>
      <w:r w:rsidRPr="005106EF">
        <w:rPr>
          <w:lang w:eastAsia="x-none"/>
        </w:rPr>
        <w:t xml:space="preserve"> alebo nepeňažné plnenie za návštevy a preverovanie </w:t>
      </w:r>
      <w:r>
        <w:rPr>
          <w:lang w:eastAsia="x-none"/>
        </w:rPr>
        <w:br/>
      </w:r>
      <w:r w:rsidRPr="005106EF">
        <w:rPr>
          <w:lang w:eastAsia="x-none"/>
        </w:rPr>
        <w:t>si perspektívnych obchodných partnerov je predmetným ustanovením zakázané</w:t>
      </w:r>
      <w:r w:rsidRPr="005106EF">
        <w:t>.</w:t>
      </w:r>
      <w:r>
        <w:t xml:space="preserve"> </w:t>
      </w:r>
      <w:r w:rsidRPr="00F70E71">
        <w:t xml:space="preserve">Je potrebné zdôrazniť, že návrh zákona žiadnym spôsobom nezakazuje vyvíjať </w:t>
      </w:r>
      <w:r>
        <w:t>uvedenú</w:t>
      </w:r>
      <w:r w:rsidRPr="00F70E71">
        <w:t xml:space="preserve"> aktivitu, </w:t>
      </w:r>
      <w:r>
        <w:br/>
      </w:r>
      <w:r w:rsidRPr="00F70E71">
        <w:t>teda stretávať sa za účelom možného uzatvorenia obchodného vzťahu. Návrh zákona zakazuje len s</w:t>
      </w:r>
      <w:r>
        <w:t>poplatňovanie takejto aktivity.</w:t>
      </w:r>
    </w:p>
    <w:p w:rsidR="00E97D3B" w:rsidRPr="00577D07" w:rsidRDefault="00E97D3B" w:rsidP="00E97D3B">
      <w:pPr>
        <w:pStyle w:val="odsek"/>
        <w:ind w:firstLine="0"/>
        <w:rPr>
          <w:b/>
        </w:rPr>
      </w:pPr>
      <w:r w:rsidRPr="002376A0">
        <w:t>- písmeno g):</w:t>
      </w:r>
      <w:r>
        <w:rPr>
          <w:b/>
        </w:rPr>
        <w:t xml:space="preserve"> </w:t>
      </w:r>
      <w:r w:rsidRPr="00577D07">
        <w:t>n</w:t>
      </w:r>
      <w:r w:rsidRPr="005106EF">
        <w:t>eprimeraná podmienka spočíva v zákaze peňažného</w:t>
      </w:r>
      <w:r>
        <w:t xml:space="preserve"> plnenia</w:t>
      </w:r>
      <w:r w:rsidRPr="005106EF">
        <w:t xml:space="preserve"> </w:t>
      </w:r>
      <w:r>
        <w:br/>
      </w:r>
      <w:r w:rsidRPr="005106EF">
        <w:t>alebo nepeňažného plnenia za dodávanie potraviny do obchodnej siete odberateľa i mimo územia S</w:t>
      </w:r>
      <w:r>
        <w:t>lovenskej republiky</w:t>
      </w:r>
      <w:r w:rsidRPr="005106EF">
        <w:t>. V praxi pôjde o</w:t>
      </w:r>
      <w:r>
        <w:t> </w:t>
      </w:r>
      <w:r w:rsidRPr="005106EF">
        <w:t>peňažné</w:t>
      </w:r>
      <w:r>
        <w:t xml:space="preserve"> plnenie</w:t>
      </w:r>
      <w:r w:rsidRPr="005106EF">
        <w:t xml:space="preserve"> alebo nepeňažné plnenie </w:t>
      </w:r>
      <w:r>
        <w:br/>
      </w:r>
      <w:r w:rsidRPr="005106EF">
        <w:t>za dodávanie potraviny do prevádzok jedného odberateľa, a to</w:t>
      </w:r>
      <w:r>
        <w:t xml:space="preserve"> aj v prípade, ak</w:t>
      </w:r>
      <w:r w:rsidRPr="005106EF">
        <w:t xml:space="preserve"> sa prevádzka nachádza mimo územia S</w:t>
      </w:r>
      <w:r>
        <w:t>lovenskej republiky.</w:t>
      </w:r>
      <w:r w:rsidRPr="005106EF">
        <w:t xml:space="preserve"> </w:t>
      </w:r>
      <w:r>
        <w:t>P</w:t>
      </w:r>
      <w:r w:rsidRPr="005106EF">
        <w:t>redmetné plnenie môže byť v praxi označované ako medzinárodný bonus.</w:t>
      </w:r>
    </w:p>
    <w:p w:rsidR="00E97D3B" w:rsidRPr="00577D07" w:rsidRDefault="00E97D3B" w:rsidP="00E97D3B">
      <w:pPr>
        <w:pStyle w:val="odsek"/>
        <w:ind w:firstLine="0"/>
        <w:rPr>
          <w:b/>
        </w:rPr>
      </w:pPr>
      <w:r w:rsidRPr="002376A0">
        <w:t>- písmeno h):</w:t>
      </w:r>
      <w:r>
        <w:rPr>
          <w:b/>
        </w:rPr>
        <w:t xml:space="preserve"> </w:t>
      </w:r>
      <w:r w:rsidRPr="00577D07">
        <w:t>a</w:t>
      </w:r>
      <w:r w:rsidRPr="005106EF">
        <w:rPr>
          <w:lang w:eastAsia="x-none"/>
        </w:rPr>
        <w:t>kékoľvek peňažné</w:t>
      </w:r>
      <w:r>
        <w:rPr>
          <w:lang w:eastAsia="x-none"/>
        </w:rPr>
        <w:t xml:space="preserve"> </w:t>
      </w:r>
      <w:r>
        <w:t>plnenie</w:t>
      </w:r>
      <w:r w:rsidRPr="005106EF">
        <w:rPr>
          <w:lang w:eastAsia="x-none"/>
        </w:rPr>
        <w:t xml:space="preserve"> alebo nepeňažné plnenie za dizajn súvisiaci s vonkajšou prezentáciou a zabalením potraviny bude považované za neprimeranú podmienku. Výnimku tvorí peňažné plnenie odberateľa</w:t>
      </w:r>
      <w:r>
        <w:rPr>
          <w:lang w:eastAsia="x-none"/>
        </w:rPr>
        <w:t>,</w:t>
      </w:r>
      <w:r w:rsidRPr="005106EF">
        <w:rPr>
          <w:lang w:eastAsia="x-none"/>
        </w:rPr>
        <w:t xml:space="preserve"> ak dôjde medzi účastníkmi obchodného vzťahu k dohode o osobitnom dizajne.</w:t>
      </w:r>
    </w:p>
    <w:p w:rsidR="00E97D3B" w:rsidRPr="00577D07" w:rsidRDefault="00E97D3B" w:rsidP="00E97D3B">
      <w:pPr>
        <w:pStyle w:val="odsek"/>
        <w:ind w:firstLine="0"/>
        <w:rPr>
          <w:b/>
        </w:rPr>
      </w:pPr>
      <w:r w:rsidRPr="002376A0">
        <w:t>- písmeno i):</w:t>
      </w:r>
      <w:r>
        <w:rPr>
          <w:b/>
        </w:rPr>
        <w:t xml:space="preserve"> </w:t>
      </w:r>
      <w:r>
        <w:t>n</w:t>
      </w:r>
      <w:r w:rsidRPr="005106EF">
        <w:t>eprimeraná podmienka, ktorou je peňažné</w:t>
      </w:r>
      <w:r>
        <w:t xml:space="preserve"> plnenie</w:t>
      </w:r>
      <w:r w:rsidRPr="005106EF">
        <w:t xml:space="preserve"> alebo nepeňažné plnenie za zisťovanie a spracovanie údajov o účastníkoch obchodného vzťahu. V praxi často dochádza k situácii, že odberateľ štatisticky zisťuje počet</w:t>
      </w:r>
      <w:r>
        <w:t xml:space="preserve"> alebo</w:t>
      </w:r>
      <w:r w:rsidRPr="005106EF">
        <w:t xml:space="preserve"> objem predaných výrobkov dodávateľa, tieto údaje spracuje a činnosti so zisťovaním údajov spojené následne fakturuje dodávateľovi. </w:t>
      </w:r>
    </w:p>
    <w:p w:rsidR="00E97D3B" w:rsidRPr="006F32FE" w:rsidRDefault="00E97D3B" w:rsidP="00E97D3B">
      <w:pPr>
        <w:pStyle w:val="odsek"/>
        <w:ind w:firstLine="0"/>
        <w:rPr>
          <w:b/>
        </w:rPr>
      </w:pPr>
      <w:r>
        <w:t>-</w:t>
      </w:r>
      <w:r>
        <w:rPr>
          <w:b/>
        </w:rPr>
        <w:t xml:space="preserve"> </w:t>
      </w:r>
      <w:r w:rsidRPr="002376A0">
        <w:t>písmeno j):</w:t>
      </w:r>
      <w:r>
        <w:rPr>
          <w:b/>
        </w:rPr>
        <w:t xml:space="preserve"> </w:t>
      </w:r>
      <w:r>
        <w:t>n</w:t>
      </w:r>
      <w:r w:rsidRPr="005106EF">
        <w:t>eprimeraná podmienka spočívajúca v zákaze peňažného</w:t>
      </w:r>
      <w:r>
        <w:t xml:space="preserve"> plnenia</w:t>
      </w:r>
      <w:r w:rsidRPr="005106EF">
        <w:t xml:space="preserve"> </w:t>
      </w:r>
      <w:r>
        <w:br/>
      </w:r>
      <w:r w:rsidRPr="005106EF">
        <w:t xml:space="preserve">alebo nepeňažného plnenia za spotrebiteľský a trhový prieskum (v praxi často subsumovaný pod tzv. počítačové spracovanie údajov) vykonávaný odberateľom. </w:t>
      </w:r>
    </w:p>
    <w:p w:rsidR="00E97D3B" w:rsidRPr="005106EF" w:rsidRDefault="00E97D3B" w:rsidP="00E97D3B">
      <w:pPr>
        <w:rPr>
          <w:lang w:eastAsia="x-none"/>
        </w:rPr>
      </w:pPr>
    </w:p>
    <w:p w:rsidR="00E97D3B" w:rsidRPr="005106EF" w:rsidRDefault="00E97D3B" w:rsidP="00E97D3B">
      <w:pPr>
        <w:rPr>
          <w:b/>
        </w:rPr>
      </w:pPr>
      <w:r w:rsidRPr="005106EF">
        <w:rPr>
          <w:b/>
        </w:rPr>
        <w:t>K</w:t>
      </w:r>
      <w:r w:rsidR="00211FA4">
        <w:rPr>
          <w:b/>
        </w:rPr>
        <w:t xml:space="preserve"> </w:t>
      </w:r>
      <w:r w:rsidRPr="005106EF">
        <w:rPr>
          <w:b/>
        </w:rPr>
        <w:t xml:space="preserve">§ </w:t>
      </w:r>
      <w:r>
        <w:rPr>
          <w:b/>
        </w:rPr>
        <w:t>3</w:t>
      </w:r>
      <w:r w:rsidRPr="005106EF">
        <w:rPr>
          <w:b/>
        </w:rPr>
        <w:t xml:space="preserve"> ods. 3 </w:t>
      </w:r>
      <w:r>
        <w:rPr>
          <w:b/>
        </w:rPr>
        <w:t>a 4</w:t>
      </w:r>
    </w:p>
    <w:p w:rsidR="00E97D3B" w:rsidRPr="005106EF" w:rsidRDefault="00E97D3B" w:rsidP="00E97D3B">
      <w:pPr>
        <w:pStyle w:val="odsek"/>
        <w:ind w:firstLine="0"/>
        <w:rPr>
          <w:lang w:eastAsia="x-none"/>
        </w:rPr>
      </w:pPr>
      <w:r w:rsidRPr="005106EF">
        <w:tab/>
      </w:r>
      <w:r w:rsidRPr="005106EF">
        <w:rPr>
          <w:lang w:eastAsia="x-none"/>
        </w:rPr>
        <w:t xml:space="preserve">Filozofiou </w:t>
      </w:r>
      <w:r>
        <w:rPr>
          <w:lang w:eastAsia="x-none"/>
        </w:rPr>
        <w:t>odsekov 3 a 4</w:t>
      </w:r>
      <w:r w:rsidRPr="005106EF">
        <w:rPr>
          <w:lang w:eastAsia="x-none"/>
        </w:rPr>
        <w:t xml:space="preserve"> je umožniť peňažné</w:t>
      </w:r>
      <w:r>
        <w:rPr>
          <w:lang w:eastAsia="x-none"/>
        </w:rPr>
        <w:t xml:space="preserve"> plnenie</w:t>
      </w:r>
      <w:r w:rsidRPr="005106EF">
        <w:rPr>
          <w:lang w:eastAsia="x-none"/>
        </w:rPr>
        <w:t xml:space="preserve"> alebo nepeňažné plnenie </w:t>
      </w:r>
      <w:r>
        <w:rPr>
          <w:lang w:eastAsia="x-none"/>
        </w:rPr>
        <w:br/>
      </w:r>
      <w:r w:rsidRPr="005106EF">
        <w:rPr>
          <w:lang w:eastAsia="x-none"/>
        </w:rPr>
        <w:t xml:space="preserve">za služby, ktoré môžu objektívne prispieť k zlepšeniu predaja potraviny dodávateľa. </w:t>
      </w:r>
      <w:r w:rsidRPr="005106EF">
        <w:t>Z dôvodu presnejšieho výkladu sa oproti doterajšiemu zneniu zavádza výnimka pre peňažné</w:t>
      </w:r>
      <w:r>
        <w:t xml:space="preserve"> plnenie</w:t>
      </w:r>
      <w:r w:rsidRPr="005106EF">
        <w:t xml:space="preserve"> a</w:t>
      </w:r>
      <w:r>
        <w:t>lebo</w:t>
      </w:r>
      <w:r w:rsidRPr="005106EF">
        <w:t> nepeňažné plnenie, ktoré nebude považované za neprimeranú podmienku</w:t>
      </w:r>
      <w:r w:rsidRPr="005106EF">
        <w:rPr>
          <w:lang w:eastAsia="x-none"/>
        </w:rPr>
        <w:t>. V tejto súvislosti je potrebné poukázať na skutočnosť, že na to</w:t>
      </w:r>
      <w:r>
        <w:rPr>
          <w:lang w:eastAsia="x-none"/>
        </w:rPr>
        <w:t>,</w:t>
      </w:r>
      <w:r w:rsidRPr="005106EF">
        <w:rPr>
          <w:lang w:eastAsia="x-none"/>
        </w:rPr>
        <w:t xml:space="preserve"> aby nebolo</w:t>
      </w:r>
      <w:r>
        <w:rPr>
          <w:lang w:eastAsia="x-none"/>
        </w:rPr>
        <w:t xml:space="preserve"> peňažné</w:t>
      </w:r>
      <w:r w:rsidRPr="005106EF">
        <w:rPr>
          <w:lang w:eastAsia="x-none"/>
        </w:rPr>
        <w:t xml:space="preserve"> plnenie</w:t>
      </w:r>
      <w:r>
        <w:rPr>
          <w:lang w:eastAsia="x-none"/>
        </w:rPr>
        <w:t xml:space="preserve"> alebo nepeňažné plnenie</w:t>
      </w:r>
      <w:r w:rsidRPr="005106EF">
        <w:rPr>
          <w:lang w:eastAsia="x-none"/>
        </w:rPr>
        <w:t xml:space="preserve"> považované za neprimeranú podmienku</w:t>
      </w:r>
      <w:r>
        <w:rPr>
          <w:lang w:eastAsia="x-none"/>
        </w:rPr>
        <w:t>,</w:t>
      </w:r>
      <w:r w:rsidRPr="005106EF">
        <w:rPr>
          <w:lang w:eastAsia="x-none"/>
        </w:rPr>
        <w:t xml:space="preserve"> musia byť kumulatívne splnené všetky zákonom </w:t>
      </w:r>
      <w:r>
        <w:rPr>
          <w:lang w:eastAsia="x-none"/>
        </w:rPr>
        <w:t>ustanovené</w:t>
      </w:r>
      <w:r w:rsidRPr="005106EF">
        <w:rPr>
          <w:lang w:eastAsia="x-none"/>
        </w:rPr>
        <w:t xml:space="preserve"> skutočnosti</w:t>
      </w:r>
      <w:r>
        <w:rPr>
          <w:lang w:eastAsia="x-none"/>
        </w:rPr>
        <w:t>, t.j.</w:t>
      </w:r>
      <w:r w:rsidRPr="005106EF">
        <w:rPr>
          <w:lang w:eastAsia="x-none"/>
        </w:rPr>
        <w:t xml:space="preserve"> </w:t>
      </w:r>
      <w:r>
        <w:rPr>
          <w:lang w:eastAsia="x-none"/>
        </w:rPr>
        <w:t>m</w:t>
      </w:r>
      <w:r w:rsidRPr="005106EF">
        <w:rPr>
          <w:lang w:eastAsia="x-none"/>
        </w:rPr>
        <w:t>usí ísť o plnenia v</w:t>
      </w:r>
      <w:r>
        <w:rPr>
          <w:lang w:eastAsia="x-none"/>
        </w:rPr>
        <w:t xml:space="preserve"> zákonom povolenej</w:t>
      </w:r>
      <w:r w:rsidRPr="005106EF">
        <w:rPr>
          <w:lang w:eastAsia="x-none"/>
        </w:rPr>
        <w:t xml:space="preserve"> výške</w:t>
      </w:r>
      <w:r>
        <w:rPr>
          <w:lang w:eastAsia="x-none"/>
        </w:rPr>
        <w:t xml:space="preserve"> počítanej</w:t>
      </w:r>
      <w:r w:rsidRPr="005106EF">
        <w:rPr>
          <w:lang w:eastAsia="x-none"/>
        </w:rPr>
        <w:t xml:space="preserve"> z obratu dodávateľa za potraviny dodané jednotlivému odberateľovi v</w:t>
      </w:r>
      <w:r>
        <w:rPr>
          <w:lang w:eastAsia="x-none"/>
        </w:rPr>
        <w:t> príslušnom</w:t>
      </w:r>
      <w:r w:rsidRPr="005106EF">
        <w:rPr>
          <w:lang w:eastAsia="x-none"/>
        </w:rPr>
        <w:t xml:space="preserve"> kalendárnom roku,</w:t>
      </w:r>
      <w:r>
        <w:rPr>
          <w:lang w:eastAsia="x-none"/>
        </w:rPr>
        <w:t xml:space="preserve"> v ktorom sa poskytuje služba resp. v ktorom dôjde k splneniu dohodnutej podmienky,</w:t>
      </w:r>
      <w:r w:rsidRPr="005106EF">
        <w:rPr>
          <w:lang w:eastAsia="x-none"/>
        </w:rPr>
        <w:t xml:space="preserve"> musí ísť o plnenie za konkrétne vymedzené </w:t>
      </w:r>
      <w:r>
        <w:rPr>
          <w:lang w:eastAsia="x-none"/>
        </w:rPr>
        <w:t>špecifické služby</w:t>
      </w:r>
      <w:r w:rsidRPr="005106EF">
        <w:rPr>
          <w:lang w:eastAsia="x-none"/>
        </w:rPr>
        <w:t xml:space="preserve"> a plnenie musí byť vopred písomne dohodnuté. Z písomnej dohody musí byť zrejmé</w:t>
      </w:r>
      <w:r>
        <w:rPr>
          <w:lang w:eastAsia="x-none"/>
        </w:rPr>
        <w:t>,</w:t>
      </w:r>
      <w:r w:rsidRPr="005106EF">
        <w:rPr>
          <w:lang w:eastAsia="x-none"/>
        </w:rPr>
        <w:t xml:space="preserve"> v akej výške a akou formou bude plnenie uplatnené.</w:t>
      </w:r>
    </w:p>
    <w:p w:rsidR="00E97D3B" w:rsidRPr="005106EF" w:rsidRDefault="00E97D3B" w:rsidP="00E97D3B">
      <w:pPr>
        <w:pStyle w:val="odsek"/>
        <w:ind w:firstLine="0"/>
        <w:rPr>
          <w:lang w:eastAsia="x-none"/>
        </w:rPr>
      </w:pPr>
    </w:p>
    <w:p w:rsidR="00E97D3B" w:rsidRPr="005106EF" w:rsidRDefault="00E97D3B" w:rsidP="00E97D3B">
      <w:pPr>
        <w:pStyle w:val="odsek"/>
        <w:ind w:firstLine="0"/>
        <w:rPr>
          <w:lang w:eastAsia="x-none"/>
        </w:rPr>
      </w:pPr>
      <w:r w:rsidRPr="005106EF">
        <w:rPr>
          <w:lang w:eastAsia="x-none"/>
        </w:rPr>
        <w:tab/>
        <w:t xml:space="preserve">Konkrétne špecifické </w:t>
      </w:r>
      <w:r>
        <w:rPr>
          <w:lang w:eastAsia="x-none"/>
        </w:rPr>
        <w:t>služby</w:t>
      </w:r>
      <w:r w:rsidRPr="005106EF">
        <w:rPr>
          <w:lang w:eastAsia="x-none"/>
        </w:rPr>
        <w:t>, na ktoré sa vzťahuje výnimka sú:</w:t>
      </w:r>
    </w:p>
    <w:p w:rsidR="00E97D3B" w:rsidRPr="005106EF" w:rsidRDefault="00E97D3B" w:rsidP="00E97D3B">
      <w:pPr>
        <w:pStyle w:val="odsek"/>
        <w:ind w:firstLine="0"/>
        <w:rPr>
          <w:lang w:eastAsia="x-none"/>
        </w:rPr>
      </w:pPr>
    </w:p>
    <w:p w:rsidR="00E97D3B" w:rsidRPr="005106EF" w:rsidRDefault="00E97D3B" w:rsidP="00E97D3B">
      <w:pPr>
        <w:pStyle w:val="odsek"/>
        <w:numPr>
          <w:ilvl w:val="0"/>
          <w:numId w:val="15"/>
        </w:numPr>
        <w:rPr>
          <w:lang w:eastAsia="x-none"/>
        </w:rPr>
      </w:pPr>
      <w:r w:rsidRPr="005106EF">
        <w:rPr>
          <w:lang w:eastAsia="x-none"/>
        </w:rPr>
        <w:t>Služba odberateľa zameraná na propagáciu dodávateľa alebo jeho potraviny (</w:t>
      </w:r>
      <w:r>
        <w:t>s</w:t>
      </w:r>
      <w:r w:rsidRPr="005106EF">
        <w:t>lužby slúžiace na propagáciu dodávateľa, ako napr</w:t>
      </w:r>
      <w:r>
        <w:t>íklad</w:t>
      </w:r>
      <w:r w:rsidRPr="005106EF">
        <w:t xml:space="preserve"> reklamné a letákové akcie, vrátane tlače a distribúcie, spotrebiteľské súťaže</w:t>
      </w:r>
      <w:r w:rsidRPr="005106EF">
        <w:t/>
      </w:r>
      <w:r w:rsidRPr="005106EF">
        <w:t xml:space="preserve">, rozhlasová produkcia v prevádzkarni, vystavenie potraviny v prevádzkarni, </w:t>
      </w:r>
      <w:r w:rsidRPr="005106EF">
        <w:t/>
      </w:r>
      <w:r w:rsidRPr="005106EF">
        <w:t>ochutnávky</w:t>
      </w:r>
      <w:r w:rsidRPr="005106EF">
        <w:t/>
      </w:r>
      <w:r w:rsidRPr="005106EF">
        <w:t>, poradenský manažment, administratívne a finančné služby, poskytovanie informácií o trhu</w:t>
      </w:r>
      <w:r w:rsidRPr="005106EF">
        <w:rPr>
          <w:lang w:eastAsia="x-none"/>
        </w:rPr>
        <w:t>)</w:t>
      </w:r>
      <w:r>
        <w:rPr>
          <w:lang w:eastAsia="x-none"/>
        </w:rPr>
        <w:t>.</w:t>
      </w:r>
    </w:p>
    <w:p w:rsidR="00E97D3B" w:rsidRPr="005106EF" w:rsidRDefault="00E97D3B" w:rsidP="00E97D3B">
      <w:pPr>
        <w:pStyle w:val="odsek"/>
        <w:numPr>
          <w:ilvl w:val="0"/>
          <w:numId w:val="15"/>
        </w:numPr>
        <w:rPr>
          <w:lang w:eastAsia="x-none"/>
        </w:rPr>
      </w:pPr>
      <w:r w:rsidRPr="005106EF">
        <w:rPr>
          <w:lang w:eastAsia="x-none"/>
        </w:rPr>
        <w:t>Využitie distribúcie odberateľa</w:t>
      </w:r>
      <w:r>
        <w:rPr>
          <w:lang w:eastAsia="x-none"/>
        </w:rPr>
        <w:t>,</w:t>
      </w:r>
      <w:r w:rsidRPr="005106EF">
        <w:rPr>
          <w:lang w:eastAsia="x-none"/>
        </w:rPr>
        <w:t xml:space="preserve"> ak dodávateľ nemá možnosť dodať odberateľovi potravinu</w:t>
      </w:r>
      <w:r>
        <w:rPr>
          <w:lang w:eastAsia="x-none"/>
        </w:rPr>
        <w:t>.</w:t>
      </w:r>
      <w:r w:rsidRPr="005106EF">
        <w:rPr>
          <w:lang w:eastAsia="x-none"/>
        </w:rPr>
        <w:t xml:space="preserve"> </w:t>
      </w:r>
    </w:p>
    <w:p w:rsidR="00E97D3B" w:rsidRPr="005106EF" w:rsidRDefault="00E97D3B" w:rsidP="00E97D3B">
      <w:pPr>
        <w:pStyle w:val="odsek"/>
        <w:numPr>
          <w:ilvl w:val="0"/>
          <w:numId w:val="15"/>
        </w:numPr>
        <w:rPr>
          <w:lang w:eastAsia="x-none"/>
        </w:rPr>
      </w:pPr>
      <w:r w:rsidRPr="005106EF">
        <w:rPr>
          <w:lang w:eastAsia="x-none"/>
        </w:rPr>
        <w:t>Splnenie podmienky dohodnutej</w:t>
      </w:r>
      <w:r w:rsidR="00211FA4">
        <w:rPr>
          <w:lang w:eastAsia="x-none"/>
        </w:rPr>
        <w:t xml:space="preserve"> </w:t>
      </w:r>
      <w:r w:rsidRPr="005106EF">
        <w:rPr>
          <w:lang w:eastAsia="x-none"/>
        </w:rPr>
        <w:t>účastníkmi obchodného vzťahu týkajúcej sa odberu (</w:t>
      </w:r>
      <w:r>
        <w:t>i</w:t>
      </w:r>
      <w:r w:rsidRPr="005106EF">
        <w:t>de o plnenia, ktoré je z ich povahy možné vyúčtovať až spätne po dosiahnutí určitého cieľa a sú účtované samostatne</w:t>
      </w:r>
      <w:r w:rsidRPr="005106EF">
        <w:rPr>
          <w:lang w:eastAsia="x-none"/>
        </w:rPr>
        <w:t xml:space="preserve">) určitého množstva alebo objemu potraviny, </w:t>
      </w:r>
      <w:r>
        <w:rPr>
          <w:lang w:eastAsia="x-none"/>
        </w:rPr>
        <w:br/>
      </w:r>
      <w:r w:rsidRPr="005106EF">
        <w:rPr>
          <w:lang w:eastAsia="x-none"/>
        </w:rPr>
        <w:t>ktoré je účtované samostatne</w:t>
      </w:r>
      <w:r>
        <w:rPr>
          <w:lang w:eastAsia="x-none"/>
        </w:rPr>
        <w:t>.</w:t>
      </w:r>
    </w:p>
    <w:p w:rsidR="00E97D3B" w:rsidRPr="005106EF" w:rsidRDefault="00E97D3B" w:rsidP="00E97D3B">
      <w:pPr>
        <w:pStyle w:val="odsek"/>
        <w:numPr>
          <w:ilvl w:val="0"/>
          <w:numId w:val="15"/>
        </w:numPr>
        <w:rPr>
          <w:lang w:eastAsia="x-none"/>
        </w:rPr>
      </w:pPr>
      <w:r w:rsidRPr="005106EF">
        <w:rPr>
          <w:lang w:eastAsia="x-none"/>
        </w:rPr>
        <w:t>Umiestnenie potraviny na určitom mieste v prevádzkarni odberateľa (</w:t>
      </w:r>
      <w:r w:rsidRPr="005106EF">
        <w:t>aktivity odberateľa smerujúce k zvyšovaniu predajnosti potraviny alebo jej lepšej propagácie, a to jej umiestením na konkrétne miesto v prevádzkarni</w:t>
      </w:r>
      <w:r w:rsidRPr="005106EF">
        <w:rPr>
          <w:lang w:eastAsia="x-none"/>
        </w:rPr>
        <w:t>)</w:t>
      </w:r>
      <w:r>
        <w:rPr>
          <w:lang w:eastAsia="x-none"/>
        </w:rPr>
        <w:t>.</w:t>
      </w:r>
    </w:p>
    <w:p w:rsidR="00E97D3B" w:rsidRPr="005106EF" w:rsidRDefault="00E97D3B" w:rsidP="00E97D3B">
      <w:pPr>
        <w:pStyle w:val="odsek"/>
        <w:ind w:firstLine="0"/>
        <w:rPr>
          <w:lang w:eastAsia="x-none"/>
        </w:rPr>
      </w:pPr>
    </w:p>
    <w:p w:rsidR="00E97D3B" w:rsidRDefault="00E97D3B" w:rsidP="00E97D3B">
      <w:pPr>
        <w:pStyle w:val="odsek"/>
        <w:ind w:firstLine="708"/>
      </w:pPr>
      <w:r w:rsidRPr="009B0631">
        <w:t>V</w:t>
      </w:r>
      <w:r>
        <w:t> odseku 4 písm. d) sa ustanovuje hodnota povoleného peňažného plnenia a nepeňažného plnenia vo výške 6 % z obratu dodávateľa za potraviny dodané jednotlivému odberateľovi v príslušnom kalendárnom roku. Návrh zákona ustanovuje výšku 3 %</w:t>
      </w:r>
      <w:r w:rsidR="00211FA4">
        <w:t xml:space="preserve"> </w:t>
      </w:r>
      <w:r>
        <w:t>z uvedeného obratu pre využitie distribúcie odberateľa dodávateľom, ktorý nemá možnosť dodať potravinu odberateľovi,</w:t>
      </w:r>
      <w:r w:rsidRPr="00932917">
        <w:t xml:space="preserve"> </w:t>
      </w:r>
      <w:r>
        <w:t>podľa odseku 3 písm. b).</w:t>
      </w:r>
      <w:r w:rsidR="00211FA4">
        <w:t xml:space="preserve"> </w:t>
      </w:r>
    </w:p>
    <w:p w:rsidR="00E97D3B" w:rsidRPr="009B0631" w:rsidRDefault="00E97D3B" w:rsidP="00E97D3B">
      <w:pPr>
        <w:pStyle w:val="odsek"/>
        <w:ind w:firstLine="708"/>
      </w:pPr>
      <w:r>
        <w:t>Pre propagačné služby odberateľa podľa odseku 3 písm. a), pre množstevný bonus podľa odseku 3 písm. c) a pre umiestnenie potraviny dodávateľa podľa odseku 3 písm. d) sa ustanovuje taktiež hodnota vo výške 3 %</w:t>
      </w:r>
      <w:r w:rsidR="00211FA4">
        <w:t xml:space="preserve"> </w:t>
      </w:r>
      <w:r>
        <w:t xml:space="preserve">z obratu dodávateľa za potraviny dodané jednotlivému odberateľovi v príslušnom kalendárnom roku. Čo sa týka hodnoty plnenia za služby podľa odseku 3 písm. a), c) a d), platí, že ak je súčasťou obchodných záväzkových vzťahov medzi dodávateľom a odberateľom len jedna z ostatných uvedených služieb, môže dosiahnuť hodnotu 3 % z obratu dodávateľa za potraviny dodané jednotlivému odberateľovi v príslušnom kalendárnom roku. Ak je však súčasťou obchodných záväzkových vzťahov medzi dodávateľom a odberateľom viac ako jedna zo služieb podľa odseku 3 písm. a), c) a d), súčet hodnôt plnení poskytovaných za tieto služby, nesmie presiahnuť hodnotu </w:t>
      </w:r>
      <w:r>
        <w:br/>
        <w:t>3 % z obratu dodávateľa za potraviny dodané jednotlivému odberateľovi v príslušnom kalendárnom roku.</w:t>
      </w:r>
    </w:p>
    <w:p w:rsidR="00E97D3B" w:rsidRDefault="00E97D3B" w:rsidP="00E97D3B">
      <w:pPr>
        <w:pStyle w:val="odsek"/>
        <w:ind w:firstLine="0"/>
        <w:rPr>
          <w:b/>
        </w:rPr>
      </w:pPr>
    </w:p>
    <w:p w:rsidR="00E97D3B" w:rsidRPr="005106EF" w:rsidRDefault="00E97D3B" w:rsidP="00E97D3B">
      <w:pPr>
        <w:pStyle w:val="odsek"/>
        <w:ind w:firstLine="0"/>
        <w:rPr>
          <w:b/>
        </w:rPr>
      </w:pPr>
      <w:r w:rsidRPr="005106EF">
        <w:rPr>
          <w:b/>
        </w:rPr>
        <w:t>K</w:t>
      </w:r>
      <w:r w:rsidR="00211FA4">
        <w:rPr>
          <w:b/>
        </w:rPr>
        <w:t xml:space="preserve"> </w:t>
      </w:r>
      <w:r w:rsidRPr="005106EF">
        <w:rPr>
          <w:b/>
        </w:rPr>
        <w:t xml:space="preserve">§ </w:t>
      </w:r>
      <w:r>
        <w:rPr>
          <w:b/>
        </w:rPr>
        <w:t>3</w:t>
      </w:r>
      <w:r w:rsidRPr="005106EF">
        <w:rPr>
          <w:b/>
        </w:rPr>
        <w:t xml:space="preserve"> ods. </w:t>
      </w:r>
      <w:r>
        <w:rPr>
          <w:b/>
        </w:rPr>
        <w:t xml:space="preserve">5 </w:t>
      </w:r>
    </w:p>
    <w:p w:rsidR="00E97D3B" w:rsidRDefault="00E97D3B" w:rsidP="00E97D3B">
      <w:pPr>
        <w:pStyle w:val="odsek"/>
        <w:ind w:firstLine="708"/>
      </w:pPr>
      <w:r>
        <w:t>V nadväznosti na odseky 2 a 3 sa ustanovujú ďalšie známe konania a opomenutia konania, ktoré je potrebné zaradiť do katalógu neprimeraných podmienok:</w:t>
      </w:r>
    </w:p>
    <w:p w:rsidR="00E97D3B" w:rsidRPr="005106EF" w:rsidRDefault="00E97D3B" w:rsidP="00E97D3B">
      <w:pPr>
        <w:pStyle w:val="odsek"/>
        <w:ind w:firstLine="0"/>
        <w:rPr>
          <w:b/>
        </w:rPr>
      </w:pPr>
      <w:r>
        <w:t>- písmeno a): ustanovenie sa týka obsahu zmluvy, na základe ktorej sa dodáva potravina. Ak niektorá z ustanovených náležitostí bude v zmluve absentovať, pôjde o neprimeranú podmienku. Na druhej je potrebné dodať, že ustanovenie žiadnym spôsobom nezasahuje do obligatórnych náležitostí ustanovených v Obchodnom zákonníku pre jednotlivé zmluvné typy.</w:t>
      </w:r>
      <w:r w:rsidR="00211FA4">
        <w:t xml:space="preserve"> </w:t>
      </w:r>
    </w:p>
    <w:p w:rsidR="00E97D3B" w:rsidRPr="00380A75" w:rsidRDefault="00E97D3B" w:rsidP="00E97D3B">
      <w:pPr>
        <w:pStyle w:val="odsek"/>
        <w:ind w:firstLine="0"/>
        <w:rPr>
          <w:b/>
        </w:rPr>
      </w:pPr>
      <w:r>
        <w:t>-</w:t>
      </w:r>
      <w:r>
        <w:rPr>
          <w:b/>
        </w:rPr>
        <w:t xml:space="preserve"> </w:t>
      </w:r>
      <w:r w:rsidRPr="007350D3">
        <w:t>písmeno</w:t>
      </w:r>
      <w:r>
        <w:rPr>
          <w:b/>
        </w:rPr>
        <w:t xml:space="preserve"> </w:t>
      </w:r>
      <w:r>
        <w:t>b</w:t>
      </w:r>
      <w:r w:rsidRPr="007350D3">
        <w:t xml:space="preserve">): </w:t>
      </w:r>
      <w:r>
        <w:t>z</w:t>
      </w:r>
      <w:r w:rsidRPr="005106EF">
        <w:t>ákon zakazuje vykonať kontrolu priestorov dodávateľa alebo rozborov a skúšok potraviny odberateľom, okrem prípadov</w:t>
      </w:r>
      <w:r>
        <w:t>,</w:t>
      </w:r>
      <w:r w:rsidRPr="005106EF">
        <w:t xml:space="preserve"> ak kontrola bude vykonávaná v primeranom rozsahu, so súhlasom dodávateľa a na náklady odberateľa. Primeraným rozsahom sa rozumie frekvencia kontrol, ktorá nesmie presiahnuť mieru, ktorá by ovplyvnila výrobu alebo chod prevádzky dodávateľa, rovnako sa ním rozumie zákaz vykonávania </w:t>
      </w:r>
      <w:r>
        <w:br/>
      </w:r>
      <w:r w:rsidRPr="005106EF">
        <w:t xml:space="preserve">tzv. šikanóznych kontrol, ktoré spočívajú v nútení dodávateľa, aby prijal opatrenia, </w:t>
      </w:r>
      <w:r>
        <w:br/>
      </w:r>
      <w:r w:rsidRPr="005106EF">
        <w:t>ktoré nemajú žiadny vplyv na výrobu a kvalitu potraviny (napr</w:t>
      </w:r>
      <w:r>
        <w:t>íklad</w:t>
      </w:r>
      <w:r w:rsidRPr="005106EF">
        <w:t xml:space="preserve"> zmena farby ochranných pomôcok alebo zariadení, ktoré inak spĺňajú všetky technické požiadavky)</w:t>
      </w:r>
      <w:r>
        <w:t>.</w:t>
      </w:r>
    </w:p>
    <w:p w:rsidR="00E97D3B" w:rsidRPr="00380A75" w:rsidRDefault="00E97D3B" w:rsidP="00E97D3B">
      <w:pPr>
        <w:pStyle w:val="odsek"/>
        <w:ind w:firstLine="0"/>
        <w:rPr>
          <w:b/>
        </w:rPr>
      </w:pPr>
      <w:r>
        <w:rPr>
          <w:b/>
        </w:rPr>
        <w:lastRenderedPageBreak/>
        <w:t xml:space="preserve">- </w:t>
      </w:r>
      <w:r w:rsidRPr="007350D3">
        <w:t>písmeno</w:t>
      </w:r>
      <w:r>
        <w:rPr>
          <w:b/>
        </w:rPr>
        <w:t xml:space="preserve"> </w:t>
      </w:r>
      <w:r>
        <w:t>c</w:t>
      </w:r>
      <w:r w:rsidRPr="007350D3">
        <w:t>):</w:t>
      </w:r>
      <w:r>
        <w:rPr>
          <w:b/>
        </w:rPr>
        <w:t xml:space="preserve"> </w:t>
      </w:r>
      <w:r>
        <w:t>v</w:t>
      </w:r>
      <w:r w:rsidRPr="005106EF">
        <w:t> prípade, že orgán štátnej správy vykoná kontrolu, ku ktorej je oprávnený podľa zákona</w:t>
      </w:r>
      <w:r>
        <w:t xml:space="preserve"> Národnej rady Slovenskej republiky</w:t>
      </w:r>
      <w:r w:rsidRPr="005106EF">
        <w:t xml:space="preserve"> č. 152/1995 Z. z. o</w:t>
      </w:r>
      <w:r>
        <w:t> </w:t>
      </w:r>
      <w:r w:rsidRPr="005106EF">
        <w:t>potravinách</w:t>
      </w:r>
      <w:r>
        <w:t xml:space="preserve"> v znení neskorších predpisov</w:t>
      </w:r>
      <w:r w:rsidRPr="005106EF">
        <w:t xml:space="preserve"> a odberateľ na základe záverov inej kontroly uplatní zmluvnú pokutu alebo vyvodí akýkoľvek dôsledok s negatívnym dopadom na dodávateľa,</w:t>
      </w:r>
      <w:r>
        <w:t xml:space="preserve"> pôjde </w:t>
      </w:r>
      <w:r>
        <w:br/>
        <w:t>o</w:t>
      </w:r>
      <w:r w:rsidRPr="005106EF">
        <w:t xml:space="preserve"> neprimeranú podmienku. Výnimkou je iba situácia, v ktorej by u dodávateľa došlo k zásadnej zmene okolností oproti stavu, pri ktorom prebehla tzv. štátna kontrola.</w:t>
      </w:r>
    </w:p>
    <w:p w:rsidR="00E97D3B" w:rsidRPr="005106EF" w:rsidRDefault="00E97D3B" w:rsidP="00E97D3B">
      <w:pPr>
        <w:rPr>
          <w:lang w:eastAsia="x-none"/>
        </w:rPr>
      </w:pPr>
      <w:r w:rsidRPr="007350D3">
        <w:t xml:space="preserve">- písmeno </w:t>
      </w:r>
      <w:r>
        <w:t>d</w:t>
      </w:r>
      <w:r w:rsidRPr="007350D3">
        <w:t>):</w:t>
      </w:r>
      <w:r>
        <w:t xml:space="preserve"> </w:t>
      </w:r>
      <w:r>
        <w:rPr>
          <w:lang w:eastAsia="x-none"/>
        </w:rPr>
        <w:t>o</w:t>
      </w:r>
      <w:r w:rsidRPr="005106EF">
        <w:rPr>
          <w:lang w:eastAsia="x-none"/>
        </w:rPr>
        <w:t xml:space="preserve">dberateľ môže vrátiť potravinu dodávateľovi len v prípadoch </w:t>
      </w:r>
      <w:r>
        <w:rPr>
          <w:lang w:eastAsia="x-none"/>
        </w:rPr>
        <w:t>u</w:t>
      </w:r>
      <w:r w:rsidRPr="005106EF">
        <w:rPr>
          <w:lang w:eastAsia="x-none"/>
        </w:rPr>
        <w:t>stanovených všeobecnými ustanoveniami o kúpnej zmluve, a to podľa § 422 a</w:t>
      </w:r>
      <w:r>
        <w:rPr>
          <w:lang w:eastAsia="x-none"/>
        </w:rPr>
        <w:t>ž</w:t>
      </w:r>
      <w:r w:rsidRPr="005106EF">
        <w:rPr>
          <w:lang w:eastAsia="x-none"/>
        </w:rPr>
        <w:t> </w:t>
      </w:r>
      <w:r>
        <w:rPr>
          <w:lang w:eastAsia="x-none"/>
        </w:rPr>
        <w:t>428</w:t>
      </w:r>
      <w:r w:rsidRPr="005106EF">
        <w:rPr>
          <w:lang w:eastAsia="x-none"/>
        </w:rPr>
        <w:t xml:space="preserve"> </w:t>
      </w:r>
      <w:r>
        <w:rPr>
          <w:lang w:eastAsia="x-none"/>
        </w:rPr>
        <w:t>Obchodného zákonníka</w:t>
      </w:r>
      <w:r w:rsidRPr="005106EF">
        <w:rPr>
          <w:lang w:eastAsia="x-none"/>
        </w:rPr>
        <w:t>, teda v prípade existencie vád</w:t>
      </w:r>
      <w:r>
        <w:rPr>
          <w:lang w:eastAsia="x-none"/>
        </w:rPr>
        <w:t>, pričom táto neprimeraná podmienka zahŕňa aj prípady, keď odberateľ potravinu vráti subjektu, ktorý dodávateľovi poskytuje logistické služby.</w:t>
      </w:r>
      <w:r w:rsidR="00211FA4">
        <w:rPr>
          <w:lang w:eastAsia="x-none"/>
        </w:rPr>
        <w:t xml:space="preserve"> </w:t>
      </w:r>
    </w:p>
    <w:p w:rsidR="00E97D3B" w:rsidRPr="002E2F3F" w:rsidRDefault="00E97D3B" w:rsidP="00E97D3B">
      <w:pPr>
        <w:pStyle w:val="odsek"/>
        <w:ind w:firstLine="0"/>
        <w:rPr>
          <w:b/>
        </w:rPr>
      </w:pPr>
      <w:r>
        <w:rPr>
          <w:b/>
        </w:rPr>
        <w:t xml:space="preserve">- </w:t>
      </w:r>
      <w:r w:rsidRPr="007350D3">
        <w:t xml:space="preserve">písmeno </w:t>
      </w:r>
      <w:r>
        <w:t>e</w:t>
      </w:r>
      <w:r w:rsidRPr="007350D3">
        <w:t>):</w:t>
      </w:r>
      <w:r w:rsidRPr="005106EF">
        <w:rPr>
          <w:b/>
        </w:rPr>
        <w:t xml:space="preserve"> </w:t>
      </w:r>
      <w:r>
        <w:t>o</w:t>
      </w:r>
      <w:r w:rsidRPr="005106EF">
        <w:t>dberateľ bude oprávnený požadovať výmenu potraviny len</w:t>
      </w:r>
      <w:r>
        <w:t>,</w:t>
      </w:r>
      <w:r w:rsidRPr="005106EF">
        <w:t xml:space="preserve"> ak pôjde o dodanie potraviny, ktorá má vady. Ustanovenie odkazuje na všeobecné ustanovenia o vad</w:t>
      </w:r>
      <w:r>
        <w:t xml:space="preserve">ách tovaru upravených v § 422 až 428 </w:t>
      </w:r>
      <w:r w:rsidRPr="005106EF">
        <w:t>O</w:t>
      </w:r>
      <w:r>
        <w:t>bchodného zákonníka</w:t>
      </w:r>
      <w:r w:rsidRPr="005106EF">
        <w:t>.</w:t>
      </w:r>
    </w:p>
    <w:p w:rsidR="00E97D3B" w:rsidRPr="007B725C" w:rsidRDefault="00E97D3B" w:rsidP="00E97D3B">
      <w:pPr>
        <w:pStyle w:val="odsek1"/>
        <w:numPr>
          <w:ilvl w:val="0"/>
          <w:numId w:val="0"/>
        </w:numPr>
        <w:spacing w:before="0" w:after="0"/>
      </w:pPr>
      <w:r>
        <w:rPr>
          <w:b/>
        </w:rPr>
        <w:t xml:space="preserve">- </w:t>
      </w:r>
      <w:r w:rsidRPr="007350D3">
        <w:t xml:space="preserve">písmeno </w:t>
      </w:r>
      <w:r>
        <w:t>f</w:t>
      </w:r>
      <w:r w:rsidRPr="007350D3">
        <w:t>):</w:t>
      </w:r>
      <w:r>
        <w:rPr>
          <w:b/>
        </w:rPr>
        <w:t xml:space="preserve"> </w:t>
      </w:r>
      <w:r>
        <w:t>u</w:t>
      </w:r>
      <w:r w:rsidRPr="005106EF">
        <w:t>stanovenie</w:t>
      </w:r>
      <w:r>
        <w:t xml:space="preserve"> je</w:t>
      </w:r>
      <w:r w:rsidRPr="005106EF">
        <w:t xml:space="preserve"> rea</w:t>
      </w:r>
      <w:r>
        <w:t>kciou</w:t>
      </w:r>
      <w:r w:rsidRPr="005106EF">
        <w:t xml:space="preserve"> na prax v dodávateľsko-odberateľských vzťahoch s</w:t>
      </w:r>
      <w:r>
        <w:t> </w:t>
      </w:r>
      <w:r w:rsidRPr="005106EF">
        <w:t>potravinami</w:t>
      </w:r>
      <w:r>
        <w:t>.</w:t>
      </w:r>
      <w:r w:rsidRPr="005106EF">
        <w:t xml:space="preserve"> </w:t>
      </w:r>
      <w:r>
        <w:t>P</w:t>
      </w:r>
      <w:r w:rsidRPr="005106EF">
        <w:t>odľa zákona č. 362/2012</w:t>
      </w:r>
      <w:r w:rsidRPr="006D7175">
        <w:t xml:space="preserve"> </w:t>
      </w:r>
      <w:r>
        <w:t>Z. z.</w:t>
      </w:r>
      <w:r w:rsidRPr="005106EF">
        <w:t xml:space="preserve"> bola na úhradu kúpnej ceny často využívaná maximáln</w:t>
      </w:r>
      <w:r>
        <w:t>a</w:t>
      </w:r>
      <w:r w:rsidRPr="005106EF">
        <w:t xml:space="preserve"> možná lehota</w:t>
      </w:r>
      <w:r>
        <w:t>, a to</w:t>
      </w:r>
      <w:r w:rsidRPr="005106EF">
        <w:t xml:space="preserve"> 45 dní odo dňa dodania potraviny. Predovšetkým </w:t>
      </w:r>
      <w:r>
        <w:br/>
      </w:r>
      <w:r w:rsidRPr="005106EF">
        <w:t xml:space="preserve">pre dodávateľov rýchlo sa kaziacich potravín, potravín s krátkou dobou spotreby </w:t>
      </w:r>
      <w:r>
        <w:br/>
      </w:r>
      <w:r w:rsidRPr="005106EF">
        <w:t xml:space="preserve">alebo takých, ktoré sa dodávajú na veľmi frekventovanej báze je </w:t>
      </w:r>
      <w:r>
        <w:t>taká</w:t>
      </w:r>
      <w:r w:rsidRPr="005106EF">
        <w:t xml:space="preserve"> lehota neúmerne dlhá. </w:t>
      </w:r>
      <w:r>
        <w:t>U</w:t>
      </w:r>
      <w:r w:rsidRPr="005106EF">
        <w:t>stanoven</w:t>
      </w:r>
      <w:r>
        <w:t xml:space="preserve">ie </w:t>
      </w:r>
      <w:r w:rsidRPr="005106EF">
        <w:t xml:space="preserve">zároveň reaguje na výzvy na skracovanie doby splatnosti </w:t>
      </w:r>
      <w:r>
        <w:br/>
      </w:r>
      <w:r w:rsidRPr="005106EF">
        <w:t>aj na európskej úrovni. Lehota na úhradu kúpnej ceny</w:t>
      </w:r>
      <w:r>
        <w:t xml:space="preserve"> vyplýva zo s</w:t>
      </w:r>
      <w:r w:rsidRPr="005106EF">
        <w:t>mernice E</w:t>
      </w:r>
      <w:r>
        <w:t>urópskeho parlamentu</w:t>
      </w:r>
      <w:r w:rsidRPr="005106EF">
        <w:t xml:space="preserve"> a Rady</w:t>
      </w:r>
      <w:r w:rsidR="00211FA4">
        <w:t xml:space="preserve"> </w:t>
      </w:r>
      <w:r w:rsidRPr="005106EF">
        <w:t>2011/7/EÚ</w:t>
      </w:r>
      <w:r>
        <w:t xml:space="preserve"> zo 16. februára 2011</w:t>
      </w:r>
      <w:r w:rsidRPr="005106EF">
        <w:t xml:space="preserve"> o boji proti oneskoreným platbám v obchodných transakciách</w:t>
      </w:r>
      <w:r>
        <w:t xml:space="preserve"> (prepracované znenie) (Ú. v. EÚ L 48, 23.2.2011)</w:t>
      </w:r>
      <w:r w:rsidRPr="005106EF">
        <w:t xml:space="preserve">, ktorá bola transponovaná do slovenského právneho poriadku novelou </w:t>
      </w:r>
      <w:r>
        <w:t xml:space="preserve">Obchodného zákonníka </w:t>
      </w:r>
      <w:r>
        <w:br/>
        <w:t>(zákon č. 9/2013 Z. z., ktorým sa mení a dopĺňa zákona č. 513/1991 Zb. Obchodný zákonník v znení neskorších predpisov a ktorým sa menia a dopĺňajú niektoré zákony).</w:t>
      </w:r>
      <w:r w:rsidRPr="005106EF">
        <w:t xml:space="preserve"> V zmysle </w:t>
      </w:r>
      <w:r>
        <w:br/>
      </w:r>
      <w:r w:rsidRPr="005106EF">
        <w:t xml:space="preserve">§ 340a </w:t>
      </w:r>
      <w:r>
        <w:t>Obchodného zákonníka</w:t>
      </w:r>
      <w:r w:rsidRPr="005106EF">
        <w:t xml:space="preserve"> zmluvne určená lehota na splnenie peňažného záväzku dlžníka z dodania tovaru alebo poskytnutia služby nesmie presiahnuť 60 dní odo dňa doručenia faktúry alebo inej výzvy veriteľa</w:t>
      </w:r>
      <w:r>
        <w:t>. O</w:t>
      </w:r>
      <w:r w:rsidRPr="005106EF">
        <w:t>sobitný zákon</w:t>
      </w:r>
      <w:r>
        <w:t xml:space="preserve"> však</w:t>
      </w:r>
      <w:r w:rsidRPr="005106EF">
        <w:t xml:space="preserve"> môže ustanoviť kratšiu lehotu splatnosti</w:t>
      </w:r>
      <w:r>
        <w:t>.</w:t>
      </w:r>
    </w:p>
    <w:p w:rsidR="00E97D3B" w:rsidRPr="002E2F3F" w:rsidRDefault="00E97D3B" w:rsidP="00E97D3B">
      <w:pPr>
        <w:pStyle w:val="odsek"/>
        <w:ind w:firstLine="0"/>
        <w:rPr>
          <w:b/>
        </w:rPr>
      </w:pPr>
      <w:r>
        <w:rPr>
          <w:b/>
        </w:rPr>
        <w:t xml:space="preserve">- </w:t>
      </w:r>
      <w:r w:rsidRPr="007350D3">
        <w:t xml:space="preserve">písmeno </w:t>
      </w:r>
      <w:r>
        <w:t>g</w:t>
      </w:r>
      <w:r w:rsidRPr="007350D3">
        <w:t>):</w:t>
      </w:r>
      <w:r>
        <w:rPr>
          <w:b/>
        </w:rPr>
        <w:t xml:space="preserve"> </w:t>
      </w:r>
      <w:r>
        <w:t>d</w:t>
      </w:r>
      <w:r w:rsidRPr="005106EF">
        <w:t>ohodnutie, uplatnenie alebo požadovanie kratšej lehoty splatnosti peňažného záväzku ako je dohodnutá lehota na úhradu kúpnej ceny bude považované za neprimeranú podmienku. Dôvodom úpravy neprimeranej podmienky je vytvoriť proporcionalitu lehôt splatnosti pohľadávok dodávateľa oproti pohľadávkam odberateľa. Lehota na úhradu peňažného plnenia dodávateľa, napr</w:t>
      </w:r>
      <w:r>
        <w:t>íklad</w:t>
      </w:r>
      <w:r w:rsidRPr="005106EF">
        <w:t xml:space="preserve"> platba za reklamu alebo zmluvná pokuta nesmie byť kratšia ako je dohodnutá lehota na úhradu kúpnej ceny (upravená v maximálnej výške </w:t>
      </w:r>
      <w:r>
        <w:br/>
      </w:r>
      <w:r w:rsidRPr="005106EF">
        <w:t xml:space="preserve">v </w:t>
      </w:r>
      <w:r>
        <w:t>písmene f</w:t>
      </w:r>
      <w:r w:rsidRPr="005106EF">
        <w:t xml:space="preserve">). </w:t>
      </w:r>
    </w:p>
    <w:p w:rsidR="00E97D3B" w:rsidRPr="002E2F3F" w:rsidRDefault="00E97D3B" w:rsidP="00E97D3B">
      <w:pPr>
        <w:pStyle w:val="odsek"/>
        <w:ind w:firstLine="0"/>
        <w:rPr>
          <w:b/>
        </w:rPr>
      </w:pPr>
      <w:r>
        <w:rPr>
          <w:b/>
        </w:rPr>
        <w:t xml:space="preserve">- </w:t>
      </w:r>
      <w:r w:rsidRPr="007350D3">
        <w:t xml:space="preserve">písmeno </w:t>
      </w:r>
      <w:r>
        <w:t>h</w:t>
      </w:r>
      <w:r w:rsidRPr="007350D3">
        <w:t>):</w:t>
      </w:r>
      <w:r>
        <w:t xml:space="preserve"> </w:t>
      </w:r>
      <w:r>
        <w:rPr>
          <w:lang w:eastAsia="x-none"/>
        </w:rPr>
        <w:t>p</w:t>
      </w:r>
      <w:r w:rsidRPr="005106EF">
        <w:rPr>
          <w:lang w:eastAsia="x-none"/>
        </w:rPr>
        <w:t>o prevzatí potraviny odberateľom nie je možné od dodávateľa požadovať akékoľvek dodatočné peňažné</w:t>
      </w:r>
      <w:r>
        <w:rPr>
          <w:lang w:eastAsia="x-none"/>
        </w:rPr>
        <w:t xml:space="preserve"> </w:t>
      </w:r>
      <w:r>
        <w:t>plnenie</w:t>
      </w:r>
      <w:r w:rsidRPr="005106EF">
        <w:rPr>
          <w:lang w:eastAsia="x-none"/>
        </w:rPr>
        <w:t xml:space="preserve"> alebo nepeňažné plnenie</w:t>
      </w:r>
      <w:r w:rsidRPr="005106EF">
        <w:t>.</w:t>
      </w:r>
    </w:p>
    <w:p w:rsidR="00E97D3B" w:rsidRPr="002E2F3F" w:rsidRDefault="00E97D3B" w:rsidP="00E97D3B">
      <w:pPr>
        <w:pStyle w:val="odsek"/>
        <w:ind w:firstLine="0"/>
        <w:rPr>
          <w:b/>
        </w:rPr>
      </w:pPr>
      <w:r>
        <w:rPr>
          <w:b/>
        </w:rPr>
        <w:t xml:space="preserve">- </w:t>
      </w:r>
      <w:r w:rsidRPr="007350D3">
        <w:t xml:space="preserve">písmeno </w:t>
      </w:r>
      <w:r>
        <w:t>i)</w:t>
      </w:r>
      <w:r w:rsidRPr="007350D3">
        <w:t>:</w:t>
      </w:r>
      <w:r>
        <w:rPr>
          <w:b/>
        </w:rPr>
        <w:t xml:space="preserve"> </w:t>
      </w:r>
      <w:r>
        <w:t>o</w:t>
      </w:r>
      <w:r w:rsidRPr="005106EF">
        <w:t>dberateľ môže o</w:t>
      </w:r>
      <w:r>
        <w:t>d</w:t>
      </w:r>
      <w:r w:rsidRPr="005106EF">
        <w:t xml:space="preserve"> dodávateľ</w:t>
      </w:r>
      <w:r>
        <w:t>a</w:t>
      </w:r>
      <w:r w:rsidRPr="005106EF">
        <w:t xml:space="preserve"> požadovať náhradu sankcie, ktorú mu udelí kontro</w:t>
      </w:r>
      <w:r>
        <w:t>lný orgán, len</w:t>
      </w:r>
      <w:r w:rsidRPr="005106EF">
        <w:t xml:space="preserve"> ak dôvodom udelenia sankcie bolo preukázané zavinenie na strane dodávateľa.</w:t>
      </w:r>
    </w:p>
    <w:p w:rsidR="00E97D3B" w:rsidRPr="002E2F3F" w:rsidRDefault="00E97D3B" w:rsidP="00E97D3B">
      <w:pPr>
        <w:pStyle w:val="odsek"/>
        <w:ind w:firstLine="0"/>
        <w:rPr>
          <w:b/>
        </w:rPr>
      </w:pPr>
      <w:r>
        <w:rPr>
          <w:b/>
        </w:rPr>
        <w:t xml:space="preserve">- </w:t>
      </w:r>
      <w:r w:rsidRPr="007350D3">
        <w:t xml:space="preserve">písmeno </w:t>
      </w:r>
      <w:r>
        <w:t>j</w:t>
      </w:r>
      <w:r w:rsidRPr="007350D3">
        <w:t>):</w:t>
      </w:r>
      <w:r>
        <w:rPr>
          <w:b/>
        </w:rPr>
        <w:t xml:space="preserve"> </w:t>
      </w:r>
      <w:r>
        <w:t>o</w:t>
      </w:r>
      <w:r w:rsidRPr="005106EF">
        <w:t>dberateľ nebude oprávnený požadovať od dodávateľa náhradu peňažného</w:t>
      </w:r>
      <w:r>
        <w:t xml:space="preserve"> plnenia</w:t>
      </w:r>
      <w:r w:rsidRPr="005106EF">
        <w:t xml:space="preserve"> alebo nepeňažného plnenia, ktoré poskytol spotrebiteľovi postupujúcemu </w:t>
      </w:r>
      <w:r>
        <w:br/>
      </w:r>
      <w:r w:rsidRPr="005106EF">
        <w:t xml:space="preserve">pri reklamácii tovaru podľa </w:t>
      </w:r>
      <w:r>
        <w:t>príslušných ustanovení Občianskeho zákonníka</w:t>
      </w:r>
      <w:r w:rsidRPr="005106EF">
        <w:t xml:space="preserve">, </w:t>
      </w:r>
      <w:r>
        <w:br/>
      </w:r>
      <w:r w:rsidRPr="005106EF">
        <w:t>a to v tých prípadoch</w:t>
      </w:r>
      <w:r>
        <w:t>,</w:t>
      </w:r>
      <w:r w:rsidRPr="005106EF">
        <w:t xml:space="preserve"> kde neexistuje preukázané zavinenie zo strany dodávateľa.</w:t>
      </w:r>
    </w:p>
    <w:p w:rsidR="00E97D3B" w:rsidRPr="002E2F3F" w:rsidRDefault="00E97D3B" w:rsidP="00E97D3B">
      <w:pPr>
        <w:pStyle w:val="odsek"/>
        <w:ind w:firstLine="0"/>
        <w:rPr>
          <w:b/>
        </w:rPr>
      </w:pPr>
      <w:r>
        <w:rPr>
          <w:b/>
        </w:rPr>
        <w:t xml:space="preserve">- </w:t>
      </w:r>
      <w:r w:rsidRPr="007350D3">
        <w:t xml:space="preserve">písmeno </w:t>
      </w:r>
      <w:r>
        <w:t>k</w:t>
      </w:r>
      <w:r w:rsidRPr="007350D3">
        <w:t>):</w:t>
      </w:r>
      <w:r>
        <w:rPr>
          <w:b/>
        </w:rPr>
        <w:t xml:space="preserve"> </w:t>
      </w:r>
      <w:r>
        <w:t>u</w:t>
      </w:r>
      <w:r w:rsidRPr="005106EF">
        <w:t>stanovenie je mierené na situácie, keď si odberateľ neplní svoje záväzky vyplývajúce zo zmluvy súvisiace s objednávaním alebo prevzatím potraviny od dodávateľa, tzn. prestane alebo značne obmedzí objednávky potraviny (napr</w:t>
      </w:r>
      <w:r>
        <w:t>íklad</w:t>
      </w:r>
      <w:r w:rsidRPr="005106EF">
        <w:t xml:space="preserve"> neodoberá potravinu v dohodnutom množstve) alebo si neplní záväzky na odobratie</w:t>
      </w:r>
      <w:r>
        <w:t xml:space="preserve"> alebo </w:t>
      </w:r>
      <w:r w:rsidRPr="005106EF">
        <w:t>prevzatie dohodnutého množstva alebo druhu potraviny.</w:t>
      </w:r>
    </w:p>
    <w:p w:rsidR="00E97D3B" w:rsidRPr="005827DB" w:rsidRDefault="00E97D3B" w:rsidP="00E97D3B">
      <w:pPr>
        <w:pStyle w:val="odsek"/>
        <w:ind w:firstLine="0"/>
        <w:rPr>
          <w:b/>
        </w:rPr>
      </w:pPr>
      <w:r>
        <w:rPr>
          <w:b/>
        </w:rPr>
        <w:lastRenderedPageBreak/>
        <w:t xml:space="preserve">- </w:t>
      </w:r>
      <w:r w:rsidRPr="007350D3">
        <w:t xml:space="preserve">písmeno </w:t>
      </w:r>
      <w:r>
        <w:t>l</w:t>
      </w:r>
      <w:r w:rsidRPr="007350D3">
        <w:t>):</w:t>
      </w:r>
      <w:r>
        <w:rPr>
          <w:b/>
        </w:rPr>
        <w:t xml:space="preserve"> </w:t>
      </w:r>
      <w:r w:rsidRPr="006E5D29">
        <w:t>u</w:t>
      </w:r>
      <w:r w:rsidRPr="00BD6D6A">
        <w:t>stanovenie zabezpečuje, aby nebola svojvoľne znižovaná nákupná cena potraviny počas trvania dohody o nákupnej cene.</w:t>
      </w:r>
    </w:p>
    <w:p w:rsidR="00E97D3B" w:rsidRPr="005106EF" w:rsidRDefault="00E97D3B" w:rsidP="00E97D3B">
      <w:pPr>
        <w:pStyle w:val="odsek"/>
        <w:ind w:firstLine="0"/>
        <w:rPr>
          <w:b/>
        </w:rPr>
      </w:pPr>
      <w:r>
        <w:rPr>
          <w:b/>
        </w:rPr>
        <w:t xml:space="preserve">- </w:t>
      </w:r>
      <w:r w:rsidRPr="007350D3">
        <w:t xml:space="preserve">písmeno </w:t>
      </w:r>
      <w:r>
        <w:t>m</w:t>
      </w:r>
      <w:r w:rsidRPr="007350D3">
        <w:t>):</w:t>
      </w:r>
      <w:r>
        <w:rPr>
          <w:b/>
        </w:rPr>
        <w:t xml:space="preserve"> </w:t>
      </w:r>
      <w:r>
        <w:t>u</w:t>
      </w:r>
      <w:r w:rsidRPr="005106EF">
        <w:t xml:space="preserve">stanovenie upravuje zákaz odobratia potraviny odberateľom od dodávateľa </w:t>
      </w:r>
      <w:r>
        <w:br/>
      </w:r>
      <w:r w:rsidRPr="005106EF">
        <w:t xml:space="preserve">za nižšiu kúpnu cenu ako sú ekonomicky oprávnené náklady dodávateľa. Slabšia vyjednávacia pozícia prevažne malých dodávateľov sa odráža práve v oblasti cenotvorby a pri deľbe marže v potravinovom dodávateľskom reťazci, kedy sú dodávatelia nútení realizovať svoju produkciu za podmienok, ktoré často krát nepokrývajú ich oprávnené náklady. Z týchto dôvodov, ako aj na základe kontrolných zistení, kedy v niektorých prípadoch bola zistená kúpna cena potraviny vo výške 1 cent, zavádza predmetné ustanovenie hranicu, </w:t>
      </w:r>
      <w:r>
        <w:br/>
      </w:r>
      <w:r w:rsidRPr="005106EF">
        <w:t>pod ktorú nie je možné kúpnu cenu dohodnúť.</w:t>
      </w:r>
    </w:p>
    <w:p w:rsidR="00E97D3B" w:rsidRPr="0073659E" w:rsidRDefault="00E97D3B" w:rsidP="00E97D3B">
      <w:pPr>
        <w:pStyle w:val="odsek"/>
        <w:ind w:firstLine="0"/>
        <w:rPr>
          <w:b/>
        </w:rPr>
      </w:pPr>
      <w:r>
        <w:rPr>
          <w:b/>
        </w:rPr>
        <w:t xml:space="preserve">- </w:t>
      </w:r>
      <w:r w:rsidRPr="007350D3">
        <w:t xml:space="preserve">písmeno </w:t>
      </w:r>
      <w:r>
        <w:t>n</w:t>
      </w:r>
      <w:r w:rsidRPr="007350D3">
        <w:t>):</w:t>
      </w:r>
      <w:r>
        <w:t xml:space="preserve"> u</w:t>
      </w:r>
      <w:r w:rsidRPr="005106EF">
        <w:t xml:space="preserve">stanovenie upravuje zákaz </w:t>
      </w:r>
      <w:r>
        <w:t>preddavkov</w:t>
      </w:r>
      <w:r w:rsidRPr="005106EF">
        <w:t xml:space="preserve"> na zmluvné pokuty, </w:t>
      </w:r>
      <w:r>
        <w:br/>
      </w:r>
      <w:r w:rsidRPr="005106EF">
        <w:t>ktoré sú v praxi často účelovo ukladané</w:t>
      </w:r>
      <w:r>
        <w:t>,</w:t>
      </w:r>
      <w:r w:rsidRPr="005106EF">
        <w:t xml:space="preserve"> a pohľadávky na ne účelovo započítané s pohľadávkami dodávateľa (prevažne na zaplatenie kúpnej ceny).</w:t>
      </w:r>
      <w:r w:rsidR="00211FA4">
        <w:t xml:space="preserve"> </w:t>
      </w:r>
    </w:p>
    <w:p w:rsidR="00E97D3B" w:rsidRPr="0073659E" w:rsidRDefault="00E97D3B" w:rsidP="00E97D3B">
      <w:pPr>
        <w:pStyle w:val="odsek"/>
        <w:ind w:firstLine="0"/>
        <w:rPr>
          <w:b/>
        </w:rPr>
      </w:pPr>
      <w:r>
        <w:rPr>
          <w:b/>
        </w:rPr>
        <w:t xml:space="preserve">- </w:t>
      </w:r>
      <w:r w:rsidRPr="007350D3">
        <w:t xml:space="preserve">písmeno </w:t>
      </w:r>
      <w:r>
        <w:t>o</w:t>
      </w:r>
      <w:r w:rsidRPr="007350D3">
        <w:t>):</w:t>
      </w:r>
      <w:r>
        <w:t xml:space="preserve"> </w:t>
      </w:r>
      <w:r>
        <w:rPr>
          <w:lang w:eastAsia="x-none"/>
        </w:rPr>
        <w:t>z</w:t>
      </w:r>
      <w:r w:rsidRPr="005106EF">
        <w:rPr>
          <w:lang w:eastAsia="x-none"/>
        </w:rPr>
        <w:t>a neprimeranú podmienku bude považované, ak odberateľ bude podmieňovať dodávanie potraviny dodávateľa tým, že mu bude dodávateľ súčasne vyrábať a dodávať potraviny, ktoré sa následne predávajú pod obchodnou značkou odberateľa.</w:t>
      </w:r>
    </w:p>
    <w:p w:rsidR="00E97D3B" w:rsidRPr="0073659E" w:rsidRDefault="00E97D3B" w:rsidP="00E97D3B">
      <w:pPr>
        <w:pStyle w:val="odsek"/>
        <w:ind w:firstLine="0"/>
        <w:rPr>
          <w:b/>
        </w:rPr>
      </w:pPr>
      <w:r>
        <w:rPr>
          <w:b/>
        </w:rPr>
        <w:t xml:space="preserve">- </w:t>
      </w:r>
      <w:r w:rsidRPr="007350D3">
        <w:t xml:space="preserve">písmeno </w:t>
      </w:r>
      <w:r>
        <w:t>p</w:t>
      </w:r>
      <w:r w:rsidRPr="007350D3">
        <w:t>):</w:t>
      </w:r>
      <w:r w:rsidRPr="007350D3">
        <w:rPr>
          <w:lang w:eastAsia="x-none"/>
        </w:rPr>
        <w:tab/>
      </w:r>
      <w:r>
        <w:rPr>
          <w:lang w:eastAsia="x-none"/>
        </w:rPr>
        <w:t>z</w:t>
      </w:r>
      <w:r w:rsidRPr="005106EF">
        <w:rPr>
          <w:lang w:eastAsia="x-none"/>
        </w:rPr>
        <w:t xml:space="preserve">a neprimeranú podmienku bude považované odmietnutie zo strany odberateľa uviesť na obale obchodné meno a sídlo dodávateľa ako výrobcu potraviny, </w:t>
      </w:r>
      <w:r>
        <w:rPr>
          <w:lang w:eastAsia="x-none"/>
        </w:rPr>
        <w:br/>
      </w:r>
      <w:r w:rsidRPr="005106EF">
        <w:rPr>
          <w:lang w:eastAsia="x-none"/>
        </w:rPr>
        <w:t>a to pri tzv. privátnych značkách a v</w:t>
      </w:r>
      <w:r>
        <w:rPr>
          <w:lang w:eastAsia="x-none"/>
        </w:rPr>
        <w:t> </w:t>
      </w:r>
      <w:r w:rsidRPr="005106EF">
        <w:rPr>
          <w:lang w:eastAsia="x-none"/>
        </w:rPr>
        <w:t>prípade</w:t>
      </w:r>
      <w:r>
        <w:rPr>
          <w:lang w:eastAsia="x-none"/>
        </w:rPr>
        <w:t>,</w:t>
      </w:r>
      <w:r w:rsidRPr="005106EF">
        <w:rPr>
          <w:lang w:eastAsia="x-none"/>
        </w:rPr>
        <w:t xml:space="preserve"> ak o to dodávateľ odberateľa požiada. </w:t>
      </w:r>
      <w:r>
        <w:rPr>
          <w:lang w:eastAsia="x-none"/>
        </w:rPr>
        <w:br/>
      </w:r>
      <w:r w:rsidRPr="005106EF">
        <w:rPr>
          <w:lang w:eastAsia="x-none"/>
        </w:rPr>
        <w:t>Pre výrobcu je často kľúčové, aby mal spotrebiteľ možnosť sa oboznámiť</w:t>
      </w:r>
      <w:r>
        <w:rPr>
          <w:lang w:eastAsia="x-none"/>
        </w:rPr>
        <w:t>,</w:t>
      </w:r>
      <w:r w:rsidRPr="005106EF">
        <w:rPr>
          <w:lang w:eastAsia="x-none"/>
        </w:rPr>
        <w:t xml:space="preserve"> kto daný výrobok (uvedený na pult pod privátnou značkou) vyrába. Spotrebiteľ tak bude môcť ohodnotiť kvalitu potraviny od konkrétneho výrobcu.</w:t>
      </w:r>
    </w:p>
    <w:p w:rsidR="00E97D3B" w:rsidRPr="0073659E" w:rsidRDefault="00E97D3B" w:rsidP="00E97D3B">
      <w:pPr>
        <w:pStyle w:val="odsek"/>
        <w:ind w:firstLine="0"/>
        <w:rPr>
          <w:b/>
        </w:rPr>
      </w:pPr>
      <w:r>
        <w:rPr>
          <w:b/>
        </w:rPr>
        <w:t xml:space="preserve">- </w:t>
      </w:r>
      <w:r w:rsidRPr="007350D3">
        <w:t xml:space="preserve">písmeno </w:t>
      </w:r>
      <w:r>
        <w:t>q</w:t>
      </w:r>
      <w:r w:rsidRPr="007350D3">
        <w:t>):</w:t>
      </w:r>
      <w:r>
        <w:t xml:space="preserve"> </w:t>
      </w:r>
      <w:r>
        <w:rPr>
          <w:lang w:eastAsia="x-none"/>
        </w:rPr>
        <w:t>z</w:t>
      </w:r>
      <w:r w:rsidRPr="005106EF">
        <w:rPr>
          <w:lang w:eastAsia="x-none"/>
        </w:rPr>
        <w:t>ákon týmto ustanovením reaguje na často sa vyskytujúcu prax v obchodných vzťahoch s potravinami, kedy sú jednostranne započítavané pohľadávky odberateľa</w:t>
      </w:r>
      <w:r>
        <w:rPr>
          <w:lang w:eastAsia="x-none"/>
        </w:rPr>
        <w:t>,</w:t>
      </w:r>
      <w:r w:rsidRPr="005106EF">
        <w:rPr>
          <w:lang w:eastAsia="x-none"/>
        </w:rPr>
        <w:t xml:space="preserve"> napr</w:t>
      </w:r>
      <w:r>
        <w:rPr>
          <w:lang w:eastAsia="x-none"/>
        </w:rPr>
        <w:t>íklad</w:t>
      </w:r>
      <w:r w:rsidRPr="005106EF">
        <w:rPr>
          <w:lang w:eastAsia="x-none"/>
        </w:rPr>
        <w:t xml:space="preserve"> na zmluvnú pokutu s pohľadávkami dodáva</w:t>
      </w:r>
      <w:r>
        <w:rPr>
          <w:lang w:eastAsia="x-none"/>
        </w:rPr>
        <w:t xml:space="preserve">teľa na zaplatenie kúpnej ceny, bez toho, </w:t>
      </w:r>
      <w:r>
        <w:rPr>
          <w:lang w:eastAsia="x-none"/>
        </w:rPr>
        <w:br/>
        <w:t>aby boli splnené podmienky na započítanie ustanovené súkromnoprávnymi predpismi</w:t>
      </w:r>
      <w:r w:rsidRPr="005106EF">
        <w:rPr>
          <w:lang w:eastAsia="x-none"/>
        </w:rPr>
        <w:t xml:space="preserve">. </w:t>
      </w:r>
      <w:r>
        <w:rPr>
          <w:lang w:eastAsia="x-none"/>
        </w:rPr>
        <w:t>Osobitne závažnými prípadmi sú</w:t>
      </w:r>
      <w:r w:rsidRPr="005106EF">
        <w:rPr>
          <w:lang w:eastAsia="x-none"/>
        </w:rPr>
        <w:t xml:space="preserve"> prípady tzv. vyfabrikovania fiktívnej pohľadávky odberateľom a jej následného započítania, pričom sa predpokladá nedostatočné personálne a kapitálové zabezpečenie dodávateľa, resp. predpokladá sa, že sa dodávateľ nebude domáhať svojich práv na súde.</w:t>
      </w:r>
    </w:p>
    <w:p w:rsidR="00E97D3B" w:rsidRPr="0073659E" w:rsidRDefault="00E97D3B" w:rsidP="00E97D3B">
      <w:pPr>
        <w:pStyle w:val="odsek"/>
        <w:ind w:firstLine="0"/>
        <w:rPr>
          <w:b/>
        </w:rPr>
      </w:pPr>
      <w:r>
        <w:rPr>
          <w:b/>
        </w:rPr>
        <w:t xml:space="preserve">- </w:t>
      </w:r>
      <w:r w:rsidRPr="007350D3">
        <w:t xml:space="preserve">písmeno </w:t>
      </w:r>
      <w:r>
        <w:t>r</w:t>
      </w:r>
      <w:r w:rsidRPr="007350D3">
        <w:t>):</w:t>
      </w:r>
      <w:r>
        <w:t xml:space="preserve"> </w:t>
      </w:r>
      <w:r>
        <w:rPr>
          <w:lang w:eastAsia="x-none"/>
        </w:rPr>
        <w:t>z</w:t>
      </w:r>
      <w:r w:rsidRPr="005106EF">
        <w:rPr>
          <w:lang w:eastAsia="x-none"/>
        </w:rPr>
        <w:t xml:space="preserve">a neprimeranú podmienku bude považované dohodnutie si iného okamihu prechodu vlastníckeho práva na odberateľa ako je dátum (okamih) prevzatia potraviny </w:t>
      </w:r>
      <w:r>
        <w:rPr>
          <w:lang w:eastAsia="x-none"/>
        </w:rPr>
        <w:br/>
      </w:r>
      <w:r w:rsidRPr="005106EF">
        <w:rPr>
          <w:lang w:eastAsia="x-none"/>
        </w:rPr>
        <w:t>od dodávateľa.</w:t>
      </w:r>
    </w:p>
    <w:p w:rsidR="00E97D3B" w:rsidRPr="0073659E" w:rsidRDefault="00E97D3B" w:rsidP="00E97D3B">
      <w:pPr>
        <w:pStyle w:val="odsek"/>
        <w:ind w:firstLine="0"/>
        <w:rPr>
          <w:b/>
        </w:rPr>
      </w:pPr>
      <w:r>
        <w:rPr>
          <w:b/>
        </w:rPr>
        <w:t xml:space="preserve">- </w:t>
      </w:r>
      <w:r w:rsidRPr="007350D3">
        <w:t xml:space="preserve">písmeno </w:t>
      </w:r>
      <w:r>
        <w:t>s</w:t>
      </w:r>
      <w:r w:rsidRPr="007350D3">
        <w:t>):</w:t>
      </w:r>
      <w:r>
        <w:t xml:space="preserve"> </w:t>
      </w:r>
      <w:r>
        <w:rPr>
          <w:lang w:eastAsia="x-none"/>
        </w:rPr>
        <w:t>z</w:t>
      </w:r>
      <w:r w:rsidRPr="005106EF">
        <w:rPr>
          <w:lang w:eastAsia="x-none"/>
        </w:rPr>
        <w:t xml:space="preserve">a porušenie určitej zmluvnej povinnosti účastníkom obchodného vzťahu </w:t>
      </w:r>
      <w:r>
        <w:rPr>
          <w:lang w:eastAsia="x-none"/>
        </w:rPr>
        <w:br/>
      </w:r>
      <w:r w:rsidRPr="005106EF">
        <w:rPr>
          <w:lang w:eastAsia="x-none"/>
        </w:rPr>
        <w:t>je možné dohod</w:t>
      </w:r>
      <w:r>
        <w:rPr>
          <w:lang w:eastAsia="x-none"/>
        </w:rPr>
        <w:t>núť si len jednu zmluvnú pokutu;</w:t>
      </w:r>
      <w:r w:rsidRPr="005106EF">
        <w:rPr>
          <w:lang w:eastAsia="x-none"/>
        </w:rPr>
        <w:t xml:space="preserve"> pokiaľ ich bude dohodnutých viac, bude </w:t>
      </w:r>
      <w:r>
        <w:rPr>
          <w:lang w:eastAsia="x-none"/>
        </w:rPr>
        <w:br/>
      </w:r>
      <w:r w:rsidRPr="005106EF">
        <w:rPr>
          <w:lang w:eastAsia="x-none"/>
        </w:rPr>
        <w:t>to považované za neprimeranú podmienku.</w:t>
      </w:r>
    </w:p>
    <w:p w:rsidR="00E97D3B" w:rsidRPr="0073659E" w:rsidRDefault="00E97D3B" w:rsidP="00E97D3B">
      <w:pPr>
        <w:pStyle w:val="odsek"/>
        <w:ind w:firstLine="0"/>
        <w:rPr>
          <w:b/>
        </w:rPr>
      </w:pPr>
      <w:r>
        <w:rPr>
          <w:b/>
        </w:rPr>
        <w:t xml:space="preserve">- </w:t>
      </w:r>
      <w:r w:rsidRPr="007350D3">
        <w:t xml:space="preserve">písmeno </w:t>
      </w:r>
      <w:r>
        <w:t>t</w:t>
      </w:r>
      <w:r w:rsidRPr="007350D3">
        <w:t>):</w:t>
      </w:r>
      <w:r>
        <w:t xml:space="preserve"> </w:t>
      </w:r>
      <w:r>
        <w:rPr>
          <w:lang w:eastAsia="x-none"/>
        </w:rPr>
        <w:t>n</w:t>
      </w:r>
      <w:r w:rsidRPr="005106EF">
        <w:rPr>
          <w:lang w:eastAsia="x-none"/>
        </w:rPr>
        <w:t>eprimerane vysoké výšky zmluvných pokút s prihliadnutím na hodnotu a význam zabezpečovanej povinnosti bude možné vyhodnotiť ako neprimeranú podmienku.</w:t>
      </w:r>
    </w:p>
    <w:p w:rsidR="00E97D3B" w:rsidRPr="0073659E" w:rsidRDefault="00E97D3B" w:rsidP="00E97D3B">
      <w:pPr>
        <w:pStyle w:val="odsek"/>
        <w:ind w:firstLine="0"/>
        <w:rPr>
          <w:b/>
        </w:rPr>
      </w:pPr>
      <w:r>
        <w:rPr>
          <w:b/>
        </w:rPr>
        <w:t xml:space="preserve">- </w:t>
      </w:r>
      <w:r w:rsidRPr="007350D3">
        <w:t xml:space="preserve">písmeno </w:t>
      </w:r>
      <w:r>
        <w:t>u</w:t>
      </w:r>
      <w:r w:rsidRPr="007350D3">
        <w:t>):</w:t>
      </w:r>
      <w:r>
        <w:rPr>
          <w:b/>
        </w:rPr>
        <w:t xml:space="preserve"> </w:t>
      </w:r>
      <w:r>
        <w:t>u</w:t>
      </w:r>
      <w:r w:rsidRPr="005106EF">
        <w:t xml:space="preserve">stanovenie zakotvuje tzv. výluky pri znižovaní ceny potraviny pod kúpnu cenu, za ktorú bola potravina odobratá od dodávateľa; takéto znižovanie je v prípadoch neupravených zákonom zakázané. Za neprimeranú podmienku sa bude považovať, </w:t>
      </w:r>
      <w:r>
        <w:br/>
      </w:r>
      <w:r w:rsidRPr="005106EF">
        <w:t xml:space="preserve">ak odberateľ zaplatí dodávateľovi za dodanú potravinu dohodnutú kúpnu cenu a potravinu následne predá vo svojej prevádzke za nižšiu cenu. Výnimkou z predmetného zákazu </w:t>
      </w:r>
      <w:r>
        <w:br/>
      </w:r>
      <w:r w:rsidRPr="005106EF">
        <w:t>sú v ustanovení definované štyri okruhy situácií.</w:t>
      </w:r>
    </w:p>
    <w:p w:rsidR="00E97D3B" w:rsidRPr="0073659E" w:rsidRDefault="00E97D3B" w:rsidP="00E97D3B">
      <w:pPr>
        <w:pStyle w:val="odsek"/>
        <w:ind w:firstLine="0"/>
        <w:rPr>
          <w:b/>
        </w:rPr>
      </w:pPr>
      <w:r>
        <w:rPr>
          <w:b/>
        </w:rPr>
        <w:t xml:space="preserve">- </w:t>
      </w:r>
      <w:r w:rsidRPr="007350D3">
        <w:t xml:space="preserve">písmeno </w:t>
      </w:r>
      <w:r>
        <w:t>v</w:t>
      </w:r>
      <w:r w:rsidRPr="007350D3">
        <w:t>):</w:t>
      </w:r>
      <w:r>
        <w:t xml:space="preserve"> </w:t>
      </w:r>
      <w:r>
        <w:rPr>
          <w:lang w:eastAsia="x-none"/>
        </w:rPr>
        <w:t>v</w:t>
      </w:r>
      <w:r w:rsidRPr="005106EF">
        <w:rPr>
          <w:lang w:eastAsia="x-none"/>
        </w:rPr>
        <w:t xml:space="preserve"> praxi často dochádza k požiadavkám na peňažné</w:t>
      </w:r>
      <w:r>
        <w:rPr>
          <w:lang w:eastAsia="x-none"/>
        </w:rPr>
        <w:t xml:space="preserve"> </w:t>
      </w:r>
      <w:r>
        <w:t>plnenie</w:t>
      </w:r>
      <w:r w:rsidRPr="005106EF">
        <w:rPr>
          <w:lang w:eastAsia="x-none"/>
        </w:rPr>
        <w:t xml:space="preserve"> alebo nepeňažné plnenia zo strany odberateľov, ktoré so samotným predmetom zmluvy nesúvisia, </w:t>
      </w:r>
      <w:r>
        <w:rPr>
          <w:lang w:eastAsia="x-none"/>
        </w:rPr>
        <w:br/>
      </w:r>
      <w:r w:rsidRPr="005106EF">
        <w:rPr>
          <w:lang w:eastAsia="x-none"/>
        </w:rPr>
        <w:t>ako napr</w:t>
      </w:r>
      <w:r>
        <w:rPr>
          <w:lang w:eastAsia="x-none"/>
        </w:rPr>
        <w:t>íklad</w:t>
      </w:r>
      <w:r w:rsidRPr="005106EF">
        <w:rPr>
          <w:lang w:eastAsia="x-none"/>
        </w:rPr>
        <w:t xml:space="preserve"> požiadavky na finančné príspevky na firemné akcie</w:t>
      </w:r>
      <w:r>
        <w:rPr>
          <w:lang w:eastAsia="x-none"/>
        </w:rPr>
        <w:t xml:space="preserve"> alebo</w:t>
      </w:r>
      <w:r w:rsidR="00211FA4">
        <w:rPr>
          <w:lang w:eastAsia="x-none"/>
        </w:rPr>
        <w:t xml:space="preserve"> </w:t>
      </w:r>
      <w:r w:rsidRPr="005106EF">
        <w:rPr>
          <w:lang w:eastAsia="x-none"/>
        </w:rPr>
        <w:t xml:space="preserve">výročia odberateľa a jeho zamestnancov, na rekonštrukcie prevádzok odberateľa, vykladanie tovaru do regálov dodávateľom. </w:t>
      </w:r>
    </w:p>
    <w:p w:rsidR="00E97D3B" w:rsidRPr="0073659E" w:rsidRDefault="00E97D3B" w:rsidP="00E97D3B">
      <w:pPr>
        <w:pStyle w:val="odsek"/>
        <w:ind w:firstLine="0"/>
        <w:rPr>
          <w:b/>
        </w:rPr>
      </w:pPr>
      <w:r>
        <w:rPr>
          <w:b/>
        </w:rPr>
        <w:lastRenderedPageBreak/>
        <w:t xml:space="preserve">- </w:t>
      </w:r>
      <w:r w:rsidRPr="007350D3">
        <w:t xml:space="preserve">písmeno </w:t>
      </w:r>
      <w:r>
        <w:t>w</w:t>
      </w:r>
      <w:r w:rsidRPr="007350D3">
        <w:t>):</w:t>
      </w:r>
      <w:r>
        <w:rPr>
          <w:b/>
        </w:rPr>
        <w:t xml:space="preserve"> </w:t>
      </w:r>
      <w:r>
        <w:t>n</w:t>
      </w:r>
      <w:r w:rsidRPr="005106EF">
        <w:t xml:space="preserve">eprimeraná podmienka, cieľom ktorej je zakazovať praktiky spočívajúce v postihovaní dodávateľa za zastavenie dodávok potraviny v prípade, ak má dodávateľ </w:t>
      </w:r>
      <w:r>
        <w:br/>
      </w:r>
      <w:r w:rsidRPr="005106EF">
        <w:t xml:space="preserve">voči odberateľovi pohľadávky na zaplatenie kúpnej ceny po lehote splatnosti. </w:t>
      </w:r>
    </w:p>
    <w:p w:rsidR="00E97D3B" w:rsidRPr="0073659E" w:rsidRDefault="00E97D3B" w:rsidP="00E97D3B">
      <w:pPr>
        <w:pStyle w:val="odsek"/>
        <w:ind w:firstLine="0"/>
        <w:rPr>
          <w:b/>
        </w:rPr>
      </w:pPr>
      <w:r>
        <w:rPr>
          <w:b/>
        </w:rPr>
        <w:t xml:space="preserve">- </w:t>
      </w:r>
      <w:r w:rsidRPr="007350D3">
        <w:t xml:space="preserve">písmeno </w:t>
      </w:r>
      <w:r>
        <w:t>x</w:t>
      </w:r>
      <w:r w:rsidRPr="007350D3">
        <w:t>):</w:t>
      </w:r>
      <w:r>
        <w:rPr>
          <w:b/>
        </w:rPr>
        <w:t xml:space="preserve"> </w:t>
      </w:r>
      <w:r>
        <w:t>n</w:t>
      </w:r>
      <w:r w:rsidRPr="005106EF">
        <w:rPr>
          <w:lang w:eastAsia="x-none"/>
        </w:rPr>
        <w:t>eprimeraná podmienka, cieľom ktorej je zak</w:t>
      </w:r>
      <w:r>
        <w:rPr>
          <w:lang w:eastAsia="x-none"/>
        </w:rPr>
        <w:t>á</w:t>
      </w:r>
      <w:r w:rsidRPr="005106EF">
        <w:rPr>
          <w:lang w:eastAsia="x-none"/>
        </w:rPr>
        <w:t>z</w:t>
      </w:r>
      <w:r>
        <w:rPr>
          <w:lang w:eastAsia="x-none"/>
        </w:rPr>
        <w:t>ať</w:t>
      </w:r>
      <w:r w:rsidRPr="005106EF">
        <w:rPr>
          <w:lang w:eastAsia="x-none"/>
        </w:rPr>
        <w:t xml:space="preserve"> praktiky spočívajúce </w:t>
      </w:r>
      <w:r>
        <w:rPr>
          <w:lang w:eastAsia="x-none"/>
        </w:rPr>
        <w:br/>
      </w:r>
      <w:r w:rsidRPr="005106EF">
        <w:rPr>
          <w:lang w:eastAsia="x-none"/>
        </w:rPr>
        <w:t>v postihovaní dodávateľa za zastavenie dodávok potraviny v prípade, ak medzi dodávateľom a odberateľom nedôjde k dohode o kúpnej cene. Pokiaľ sa odberateľ s dodávateľom nedohodnú na novej kúpnej cene do dvoch mesiacov odo dňa doručenia písomného návrhu odberateľovi</w:t>
      </w:r>
      <w:r>
        <w:rPr>
          <w:lang w:eastAsia="x-none"/>
        </w:rPr>
        <w:t>,</w:t>
      </w:r>
      <w:r w:rsidRPr="005106EF">
        <w:rPr>
          <w:lang w:eastAsia="x-none"/>
        </w:rPr>
        <w:t xml:space="preserve"> má dodávateľ právo bez rizika zmluvnej sankcie dodávku prerušiť </w:t>
      </w:r>
      <w:r>
        <w:rPr>
          <w:lang w:eastAsia="x-none"/>
        </w:rPr>
        <w:br/>
      </w:r>
      <w:r w:rsidRPr="005106EF">
        <w:rPr>
          <w:lang w:eastAsia="x-none"/>
        </w:rPr>
        <w:t>alebo zastaviť. Ide o nástroj, ktorý pomôže nastaviť korektné nastavovanie cien potra</w:t>
      </w:r>
      <w:r>
        <w:rPr>
          <w:lang w:eastAsia="x-none"/>
        </w:rPr>
        <w:t>vín, keďže dnes v praxi často ma</w:t>
      </w:r>
      <w:r w:rsidRPr="005106EF">
        <w:rPr>
          <w:lang w:eastAsia="x-none"/>
        </w:rPr>
        <w:t>loobchodné siete rokujú bezodkladne o znížení kúpnej ceny a ignorujú rokovania o zvýšení kúpnej ceny, ktoré je často oprávnené.</w:t>
      </w:r>
    </w:p>
    <w:p w:rsidR="00E97D3B" w:rsidRPr="007350D3" w:rsidRDefault="00E97D3B" w:rsidP="00E97D3B">
      <w:pPr>
        <w:pStyle w:val="odsek"/>
        <w:ind w:firstLine="0"/>
        <w:rPr>
          <w:b/>
        </w:rPr>
      </w:pPr>
      <w:r>
        <w:rPr>
          <w:b/>
        </w:rPr>
        <w:t xml:space="preserve">- </w:t>
      </w:r>
      <w:r w:rsidRPr="007350D3">
        <w:t xml:space="preserve">písmeno </w:t>
      </w:r>
      <w:r>
        <w:t>y</w:t>
      </w:r>
      <w:r w:rsidRPr="007350D3">
        <w:t>):</w:t>
      </w:r>
      <w:r>
        <w:rPr>
          <w:b/>
        </w:rPr>
        <w:t xml:space="preserve"> </w:t>
      </w:r>
      <w:r>
        <w:t>p</w:t>
      </w:r>
      <w:r w:rsidRPr="005106EF">
        <w:t xml:space="preserve">od lehotou viazanosti kúpnou cenou sa rozumie záväzok účastníka obchodného vzťahu nemeniť po </w:t>
      </w:r>
      <w:r>
        <w:t>u</w:t>
      </w:r>
      <w:r w:rsidRPr="005106EF">
        <w:t xml:space="preserve">stanovené obdobie kúpnu cenu potraviny, </w:t>
      </w:r>
      <w:r>
        <w:br/>
      </w:r>
      <w:r w:rsidRPr="005106EF">
        <w:t xml:space="preserve">pričom za neprimeranú podmienku sa považuje, ak jeden z účastníkov obchodného vzťahu požaduje dlhšiu lehotu viazanosti ako sú zákonom </w:t>
      </w:r>
      <w:r>
        <w:t>u</w:t>
      </w:r>
      <w:r w:rsidRPr="005106EF">
        <w:t xml:space="preserve">stanovené dva mesiace. </w:t>
      </w:r>
    </w:p>
    <w:p w:rsidR="00E97D3B" w:rsidRDefault="00E97D3B" w:rsidP="00E97D3B">
      <w:pPr>
        <w:pStyle w:val="odsek"/>
        <w:ind w:firstLine="0"/>
      </w:pPr>
      <w:r>
        <w:rPr>
          <w:b/>
        </w:rPr>
        <w:t xml:space="preserve">- </w:t>
      </w:r>
      <w:r w:rsidRPr="007350D3">
        <w:t xml:space="preserve">písmeno </w:t>
      </w:r>
      <w:r>
        <w:t>z</w:t>
      </w:r>
      <w:r w:rsidRPr="007350D3">
        <w:t>):</w:t>
      </w:r>
      <w:r>
        <w:rPr>
          <w:b/>
        </w:rPr>
        <w:t xml:space="preserve"> </w:t>
      </w:r>
      <w:r w:rsidRPr="00167033">
        <w:t>návrh</w:t>
      </w:r>
      <w:r>
        <w:rPr>
          <w:b/>
        </w:rPr>
        <w:t xml:space="preserve"> </w:t>
      </w:r>
      <w:r>
        <w:t>z</w:t>
      </w:r>
      <w:r w:rsidRPr="005106EF">
        <w:t>ákon</w:t>
      </w:r>
      <w:r>
        <w:t>a</w:t>
      </w:r>
      <w:r w:rsidRPr="005106EF">
        <w:t xml:space="preserve"> zakazuje obmedziť dohodou možnosť postúpenia pohľadávky, </w:t>
      </w:r>
      <w:r>
        <w:br/>
      </w:r>
      <w:r w:rsidRPr="005106EF">
        <w:t>a to z dôvodu, že v</w:t>
      </w:r>
      <w:r>
        <w:t> </w:t>
      </w:r>
      <w:r w:rsidRPr="005106EF">
        <w:t>prípade</w:t>
      </w:r>
      <w:r>
        <w:t>,</w:t>
      </w:r>
      <w:r w:rsidRPr="005106EF">
        <w:t xml:space="preserve"> ak napr</w:t>
      </w:r>
      <w:r>
        <w:t>íklad</w:t>
      </w:r>
      <w:r w:rsidRPr="005106EF">
        <w:t xml:space="preserve"> menší dodávateľ nevie svoju pohľadávku vymôcť a nemá kapacity na súdne vymáhanie, dostáva sa do patovej situácie a znižuje </w:t>
      </w:r>
      <w:r>
        <w:br/>
        <w:t>svoju</w:t>
      </w:r>
      <w:r w:rsidRPr="005106EF">
        <w:t xml:space="preserve"> likviditu</w:t>
      </w:r>
      <w:r>
        <w:t>,</w:t>
      </w:r>
    </w:p>
    <w:p w:rsidR="00E97D3B" w:rsidRPr="007B725C" w:rsidRDefault="00E97D3B" w:rsidP="00E97D3B">
      <w:r>
        <w:t xml:space="preserve">- písmeno aa): ustanovenie poskytuje ochranu poctivému obchodnému styku medzi účastníkmi obchodného vzťahu. Pojem poctivý obchodný styk používa Obchodný zákonník, ktorý nepriznáva ochranu výkonu práva, ktorý je v rozpore so zásadami poctivého obchodného styku. </w:t>
      </w:r>
      <w:r w:rsidRPr="00F70E71">
        <w:t>Zachovávanie z</w:t>
      </w:r>
      <w:r w:rsidRPr="00F70E71">
        <w:rPr>
          <w:shd w:val="clear" w:color="auto" w:fill="FFFFFF"/>
        </w:rPr>
        <w:t>ásady poctivého obchodného styku je vyjadrením rešpektovania všeobecne daných morálnych pravidiel. Podľa rozhodnutia Najvyššieho súdu Slovenskej republiky 6 MObdo 3/2006</w:t>
      </w:r>
      <w:r w:rsidRPr="00F70E71">
        <w:t xml:space="preserve"> sú z</w:t>
      </w:r>
      <w:r w:rsidRPr="00F70E71">
        <w:rPr>
          <w:shd w:val="clear" w:color="auto" w:fill="FFFFFF"/>
        </w:rPr>
        <w:t xml:space="preserve">ásady poctivého obchodného styku výrazom konkretizácie všeobecnejších morálnych zásad či noriem vyjadrených v pojme dobré mravy. Tvoria ucelený súbor zásad správania, ktorých dodržiavanie v obchodnom styku tento styk kvalifikuje ako poctivý. Vzhľadom na účel návrhu zákona nie je dôvod neposkytnúť verejnoprávnu ochranu zásadám poctivého obchodného styku vo vzťahu medzi dodávateľom a odberateľom, a to nielen zákazom konania alebo opomenutia konania, ktoré sa týmto zásadám prieči (§ </w:t>
      </w:r>
      <w:r>
        <w:rPr>
          <w:shd w:val="clear" w:color="auto" w:fill="FFFFFF"/>
        </w:rPr>
        <w:t>3</w:t>
      </w:r>
      <w:r w:rsidRPr="00F70E71">
        <w:rPr>
          <w:shd w:val="clear" w:color="auto" w:fill="FFFFFF"/>
        </w:rPr>
        <w:t xml:space="preserve"> ods. </w:t>
      </w:r>
      <w:r>
        <w:rPr>
          <w:shd w:val="clear" w:color="auto" w:fill="FFFFFF"/>
        </w:rPr>
        <w:t>1</w:t>
      </w:r>
      <w:r w:rsidRPr="00F70E71">
        <w:rPr>
          <w:shd w:val="clear" w:color="auto" w:fill="FFFFFF"/>
        </w:rPr>
        <w:t xml:space="preserve">), ale aj ich sankcionovaním, ak majú pre jedného z účastníkov obchodného vzťahu znevýhodňujúce účinky (§ 14 ods. </w:t>
      </w:r>
      <w:r>
        <w:rPr>
          <w:shd w:val="clear" w:color="auto" w:fill="FFFFFF"/>
        </w:rPr>
        <w:t>1</w:t>
      </w:r>
      <w:r w:rsidRPr="00F70E71">
        <w:rPr>
          <w:shd w:val="clear" w:color="auto" w:fill="FFFFFF"/>
        </w:rPr>
        <w:t>).</w:t>
      </w:r>
    </w:p>
    <w:p w:rsidR="00E97D3B" w:rsidRPr="00B42A19" w:rsidRDefault="00E97D3B" w:rsidP="00E97D3B">
      <w:pPr>
        <w:ind w:firstLine="708"/>
      </w:pPr>
    </w:p>
    <w:p w:rsidR="00E97D3B" w:rsidRPr="005106EF" w:rsidRDefault="00E97D3B" w:rsidP="00E97D3B">
      <w:pPr>
        <w:pStyle w:val="odsek"/>
        <w:ind w:firstLine="0"/>
        <w:rPr>
          <w:b/>
        </w:rPr>
      </w:pPr>
      <w:r>
        <w:rPr>
          <w:b/>
        </w:rPr>
        <w:t>K</w:t>
      </w:r>
      <w:r w:rsidR="00211FA4">
        <w:rPr>
          <w:b/>
        </w:rPr>
        <w:t xml:space="preserve"> </w:t>
      </w:r>
      <w:r>
        <w:rPr>
          <w:b/>
        </w:rPr>
        <w:t xml:space="preserve">§ 4 až 12 </w:t>
      </w:r>
    </w:p>
    <w:p w:rsidR="00E97D3B" w:rsidRPr="005106EF" w:rsidRDefault="00E97D3B" w:rsidP="00E97D3B">
      <w:pPr>
        <w:pStyle w:val="odsek"/>
        <w:ind w:firstLine="708"/>
      </w:pPr>
      <w:r w:rsidRPr="005106EF">
        <w:t>Oproti doterajšej právnej úprave (zákon č. 362/2012 Z. z.), ktorá</w:t>
      </w:r>
      <w:r>
        <w:t xml:space="preserve"> recipovala proces kontroly podľa</w:t>
      </w:r>
      <w:r w:rsidRPr="005106EF">
        <w:t xml:space="preserve"> zákon</w:t>
      </w:r>
      <w:r>
        <w:t>a Národnej rady Slovenskej republiky</w:t>
      </w:r>
      <w:r w:rsidRPr="005106EF">
        <w:t xml:space="preserve"> č. 10/1996 Z. z.</w:t>
      </w:r>
      <w:r>
        <w:t xml:space="preserve"> v znení neskorších predpisov,</w:t>
      </w:r>
      <w:r w:rsidRPr="005106EF">
        <w:t xml:space="preserve"> </w:t>
      </w:r>
      <w:r>
        <w:t>návrh zákona</w:t>
      </w:r>
      <w:r w:rsidRPr="005106EF">
        <w:t xml:space="preserve"> ustanovuje samostatný kontrolný proces pre kontrolu neprimeraných podmienok. </w:t>
      </w:r>
    </w:p>
    <w:p w:rsidR="00E97D3B" w:rsidRPr="005F50B0" w:rsidRDefault="00E97D3B" w:rsidP="00E97D3B">
      <w:pPr>
        <w:pStyle w:val="odsek"/>
        <w:ind w:firstLine="708"/>
      </w:pPr>
      <w:r w:rsidRPr="005106EF">
        <w:t xml:space="preserve">Vzhľadom na skúsenosti z aplikačnej praxe a závery kontrolnej činnosti ministerstva </w:t>
      </w:r>
      <w:r>
        <w:t xml:space="preserve">pôdohospodárstva </w:t>
      </w:r>
      <w:r w:rsidRPr="005106EF">
        <w:t>možno konštatovať, že proces upravený v</w:t>
      </w:r>
      <w:r>
        <w:t> </w:t>
      </w:r>
      <w:r w:rsidRPr="005106EF">
        <w:t>zákone</w:t>
      </w:r>
      <w:r>
        <w:t xml:space="preserve"> Národnej rady Slovenskej republiky</w:t>
      </w:r>
      <w:r w:rsidRPr="005106EF">
        <w:t xml:space="preserve"> č. 10/1996 Z. z.</w:t>
      </w:r>
      <w:r>
        <w:t xml:space="preserve"> v znení neskorších predpisov</w:t>
      </w:r>
      <w:r w:rsidRPr="005106EF">
        <w:t xml:space="preserve">, primárne určený </w:t>
      </w:r>
      <w:r>
        <w:br/>
      </w:r>
      <w:r w:rsidRPr="005106EF">
        <w:t xml:space="preserve">pre kontrolu v štátnej správe, nie je postačujúci. Samostatný kontrolný proces sa zavádza </w:t>
      </w:r>
      <w:r>
        <w:br/>
      </w:r>
      <w:r w:rsidRPr="005106EF">
        <w:t>za účelom zefektívnenia</w:t>
      </w:r>
      <w:r>
        <w:t xml:space="preserve"> kontrol a posilnenia postavenia</w:t>
      </w:r>
      <w:r w:rsidRPr="005106EF">
        <w:t xml:space="preserve"> ministerstva</w:t>
      </w:r>
      <w:r>
        <w:t xml:space="preserve"> pôdohospodárstva</w:t>
      </w:r>
      <w:r w:rsidRPr="005106EF">
        <w:t xml:space="preserve"> </w:t>
      </w:r>
      <w:r>
        <w:br/>
      </w:r>
      <w:r w:rsidRPr="005106EF">
        <w:t xml:space="preserve">pri ich </w:t>
      </w:r>
      <w:r>
        <w:t>výkone s prihliadnutím na</w:t>
      </w:r>
      <w:r w:rsidRPr="005106EF">
        <w:t xml:space="preserve"> špecifick</w:t>
      </w:r>
      <w:r>
        <w:t>osť</w:t>
      </w:r>
      <w:r w:rsidRPr="005106EF">
        <w:t xml:space="preserve"> obchodn</w:t>
      </w:r>
      <w:r>
        <w:t>ých</w:t>
      </w:r>
      <w:r w:rsidRPr="005106EF">
        <w:t xml:space="preserve"> vzťah</w:t>
      </w:r>
      <w:r>
        <w:t>ov</w:t>
      </w:r>
      <w:r w:rsidRPr="005106EF">
        <w:t xml:space="preserve"> medzi odbera</w:t>
      </w:r>
      <w:r>
        <w:t>teľmi a dodávateľmi potravín.</w:t>
      </w:r>
      <w:r w:rsidR="00211FA4">
        <w:t xml:space="preserve"> </w:t>
      </w:r>
    </w:p>
    <w:p w:rsidR="00E97D3B" w:rsidRDefault="00E97D3B" w:rsidP="00E97D3B">
      <w:pPr>
        <w:pStyle w:val="odsek"/>
        <w:ind w:firstLine="0"/>
        <w:rPr>
          <w:b/>
        </w:rPr>
      </w:pPr>
    </w:p>
    <w:p w:rsidR="00E97D3B" w:rsidRPr="00254A56" w:rsidRDefault="00E97D3B" w:rsidP="00E97D3B">
      <w:pPr>
        <w:pStyle w:val="odsek"/>
        <w:ind w:firstLine="0"/>
        <w:rPr>
          <w:b/>
        </w:rPr>
      </w:pPr>
      <w:r>
        <w:rPr>
          <w:b/>
        </w:rPr>
        <w:t>K</w:t>
      </w:r>
      <w:r w:rsidR="00211FA4">
        <w:rPr>
          <w:b/>
        </w:rPr>
        <w:t xml:space="preserve"> </w:t>
      </w:r>
      <w:r>
        <w:rPr>
          <w:b/>
        </w:rPr>
        <w:t>§ 4</w:t>
      </w:r>
    </w:p>
    <w:p w:rsidR="00E97D3B" w:rsidRPr="005106EF" w:rsidRDefault="00E97D3B" w:rsidP="00E97D3B">
      <w:pPr>
        <w:pStyle w:val="odsek"/>
        <w:ind w:firstLine="708"/>
      </w:pPr>
      <w:r>
        <w:t xml:space="preserve">Návrh zákona </w:t>
      </w:r>
      <w:r w:rsidRPr="005106EF">
        <w:t xml:space="preserve">zavádza možnosť začať kontrolu neprimeraných podmienok </w:t>
      </w:r>
      <w:r>
        <w:br/>
      </w:r>
      <w:r w:rsidRPr="005106EF">
        <w:t xml:space="preserve">aj na základe anonymného podnetu, keďže </w:t>
      </w:r>
      <w:r>
        <w:t xml:space="preserve">medzi </w:t>
      </w:r>
      <w:r w:rsidRPr="005106EF">
        <w:t>povinn</w:t>
      </w:r>
      <w:r>
        <w:t>é</w:t>
      </w:r>
      <w:r w:rsidRPr="005106EF">
        <w:t xml:space="preserve"> náležitos</w:t>
      </w:r>
      <w:r>
        <w:t>ti</w:t>
      </w:r>
      <w:r w:rsidRPr="005106EF">
        <w:t xml:space="preserve"> podnetu </w:t>
      </w:r>
      <w:r>
        <w:t xml:space="preserve">nezaraďuje </w:t>
      </w:r>
      <w:r w:rsidRPr="005106EF">
        <w:t xml:space="preserve">identifikačné údaje predkladateľa podnetu. Vzhľadom na skúsenosti z aplikačnej praxe možno vyvodiť záver, že povinnosť uvádzať v rámci podnetu identifikačné údaje predkladateľa </w:t>
      </w:r>
      <w:r w:rsidRPr="005106EF">
        <w:lastRenderedPageBreak/>
        <w:t xml:space="preserve">upravená v predchádzajúcej právnej úprave odrádzala subjekty od nahlasovania podozrení z možného porušenia zákona. S poukazom na cieľ zákona, ktorým je chrániť účastníka obchodného vzťahu s menšou ekonomickou silou, je v rámci celého kontrolného procesu a prípadného následného správneho konania nevyhnutné </w:t>
      </w:r>
      <w:r>
        <w:t>umožniť</w:t>
      </w:r>
      <w:r w:rsidRPr="005106EF">
        <w:t xml:space="preserve"> anonymitu predkladateľov podnetu. </w:t>
      </w:r>
    </w:p>
    <w:p w:rsidR="00E97D3B" w:rsidRPr="005106EF" w:rsidRDefault="00E97D3B" w:rsidP="00E97D3B">
      <w:pPr>
        <w:pStyle w:val="odsek"/>
        <w:ind w:firstLine="708"/>
      </w:pPr>
      <w:r w:rsidRPr="005106EF">
        <w:t>V rámci podnetu musia byť uvedené identifikačné údaje toho proti komu je podaný tak, aby nebolo možné zameniť ho s iným subjektom. Podnet by mal predovšetkým obsahovať obchodné meno, sídlo, IČO</w:t>
      </w:r>
      <w:r>
        <w:t>,</w:t>
      </w:r>
      <w:r w:rsidR="00211FA4">
        <w:t xml:space="preserve"> </w:t>
      </w:r>
      <w:r w:rsidRPr="005106EF">
        <w:t>ak je pridelené. Zároveň je v rámci podnetu potrebné opísať skutočnosť, z ktorej možno vyvodiť porušenie zákona.</w:t>
      </w:r>
    </w:p>
    <w:p w:rsidR="00E97D3B" w:rsidRPr="005106EF" w:rsidRDefault="00E97D3B" w:rsidP="00E97D3B">
      <w:pPr>
        <w:pStyle w:val="odsek"/>
        <w:ind w:firstLine="708"/>
      </w:pPr>
      <w:r>
        <w:t>Návrh zákona recipuje ustanovenia § 24 až 25a správneho poriadku o doručovaní písomností.</w:t>
      </w:r>
    </w:p>
    <w:p w:rsidR="00E97D3B" w:rsidRPr="005106EF" w:rsidRDefault="00E97D3B" w:rsidP="00E97D3B">
      <w:pPr>
        <w:pStyle w:val="odsek"/>
        <w:ind w:firstLine="708"/>
      </w:pPr>
      <w:r w:rsidRPr="005106EF">
        <w:t>Vzhľadom na princíp štyroch očí, ktorý je všeobecne zaužívaný aj v iných kontrolných procesoch, sa v</w:t>
      </w:r>
      <w:r>
        <w:t xml:space="preserve"> návrhu</w:t>
      </w:r>
      <w:r w:rsidRPr="005106EF">
        <w:t> zákon</w:t>
      </w:r>
      <w:r>
        <w:t>a špecifikuje nutnosť</w:t>
      </w:r>
      <w:r w:rsidRPr="005106EF">
        <w:t xml:space="preserve"> výkonu jednotlivých kontrol aspoň dvoma zamestnancami ministerstva</w:t>
      </w:r>
      <w:r>
        <w:t xml:space="preserve"> pôdohospodárstva</w:t>
      </w:r>
      <w:r w:rsidRPr="005106EF">
        <w:t xml:space="preserve">. Zamestnanci môžu kontrolu vykonať </w:t>
      </w:r>
      <w:r>
        <w:br/>
      </w:r>
      <w:r w:rsidRPr="005106EF">
        <w:t>len na základe poverenia, ktoré vydá minister pôdohospodárstva a rozvoja vidieka Slovenskej republiky (ďalej len „minister</w:t>
      </w:r>
      <w:r>
        <w:t xml:space="preserve"> pôdohospodárstva</w:t>
      </w:r>
      <w:r w:rsidRPr="005106EF">
        <w:t>“)</w:t>
      </w:r>
      <w:r>
        <w:t>, prípadne</w:t>
      </w:r>
      <w:r w:rsidR="00211FA4">
        <w:t xml:space="preserve"> </w:t>
      </w:r>
      <w:r w:rsidRPr="005106EF">
        <w:t>ním</w:t>
      </w:r>
      <w:r>
        <w:t xml:space="preserve"> písomne</w:t>
      </w:r>
      <w:r w:rsidRPr="005106EF">
        <w:t xml:space="preserve"> splnomocnený vedúci zamestnanec. </w:t>
      </w:r>
    </w:p>
    <w:p w:rsidR="00E97D3B" w:rsidRDefault="00E97D3B" w:rsidP="00E97D3B">
      <w:pPr>
        <w:pStyle w:val="odsek"/>
        <w:ind w:firstLine="0"/>
      </w:pPr>
      <w:r w:rsidRPr="005106EF">
        <w:tab/>
      </w:r>
      <w:r>
        <w:t>V odseku 6 je z</w:t>
      </w:r>
      <w:r w:rsidRPr="005106EF">
        <w:t> dôvodu jednoznačnosti oddelenia fáz</w:t>
      </w:r>
      <w:r>
        <w:t>y</w:t>
      </w:r>
      <w:r w:rsidRPr="005106EF">
        <w:t xml:space="preserve"> kontroly a</w:t>
      </w:r>
      <w:r>
        <w:t xml:space="preserve"> fázy </w:t>
      </w:r>
      <w:r w:rsidRPr="005106EF">
        <w:t>správneho konania sa ustanov</w:t>
      </w:r>
      <w:r>
        <w:t>ený</w:t>
      </w:r>
      <w:r w:rsidRPr="005106EF">
        <w:t xml:space="preserve"> okamih začiatku a konca kontroly.</w:t>
      </w:r>
    </w:p>
    <w:p w:rsidR="00E97D3B" w:rsidRDefault="00E97D3B" w:rsidP="00E97D3B">
      <w:pPr>
        <w:pStyle w:val="odsek"/>
        <w:ind w:firstLine="0"/>
      </w:pPr>
    </w:p>
    <w:p w:rsidR="00E97D3B" w:rsidRDefault="00E97D3B" w:rsidP="00E97D3B">
      <w:pPr>
        <w:pStyle w:val="odsek"/>
        <w:ind w:firstLine="0"/>
        <w:rPr>
          <w:b/>
        </w:rPr>
      </w:pPr>
      <w:r>
        <w:rPr>
          <w:b/>
        </w:rPr>
        <w:t>K § 5</w:t>
      </w:r>
    </w:p>
    <w:p w:rsidR="00E97D3B" w:rsidRPr="005106EF" w:rsidRDefault="00E97D3B" w:rsidP="00E97D3B">
      <w:pPr>
        <w:keepNext w:val="0"/>
        <w:ind w:firstLine="708"/>
        <w:rPr>
          <w:lang w:eastAsia="x-none"/>
        </w:rPr>
      </w:pPr>
      <w:r w:rsidRPr="005106EF">
        <w:rPr>
          <w:lang w:eastAsia="x-none"/>
        </w:rPr>
        <w:t>Základným predpokladom objektívneho výkonu kontroly je nezávislosť kontrolórov vo vz</w:t>
      </w:r>
      <w:r>
        <w:rPr>
          <w:lang w:eastAsia="x-none"/>
        </w:rPr>
        <w:t>ťahu ku kontrolovanému subjektu</w:t>
      </w:r>
      <w:r w:rsidRPr="005106EF">
        <w:rPr>
          <w:lang w:eastAsia="x-none"/>
        </w:rPr>
        <w:t xml:space="preserve"> a predmetu kontroly. Predpojatosť môže napríklad vzniknúť v</w:t>
      </w:r>
      <w:r>
        <w:rPr>
          <w:lang w:eastAsia="x-none"/>
        </w:rPr>
        <w:t> </w:t>
      </w:r>
      <w:r w:rsidRPr="005106EF">
        <w:rPr>
          <w:lang w:eastAsia="x-none"/>
        </w:rPr>
        <w:t>situácii</w:t>
      </w:r>
      <w:r>
        <w:rPr>
          <w:lang w:eastAsia="x-none"/>
        </w:rPr>
        <w:t>,</w:t>
      </w:r>
      <w:r w:rsidRPr="005106EF">
        <w:rPr>
          <w:lang w:eastAsia="x-none"/>
        </w:rPr>
        <w:t xml:space="preserve"> ak bol v minulosti kontrolór v pracovnoprávnom </w:t>
      </w:r>
      <w:r>
        <w:rPr>
          <w:lang w:eastAsia="x-none"/>
        </w:rPr>
        <w:br/>
      </w:r>
      <w:r w:rsidRPr="005106EF">
        <w:rPr>
          <w:lang w:eastAsia="x-none"/>
        </w:rPr>
        <w:t xml:space="preserve">alebo obdobnom vzťahu, konateľom, alebo prokuristom kontrolovaného subjektu, druhého účastníka obchodného vzťahu alebo tretej osoby, ak v kontrolovanom subjekte </w:t>
      </w:r>
      <w:r>
        <w:rPr>
          <w:lang w:eastAsia="x-none"/>
        </w:rPr>
        <w:br/>
      </w:r>
      <w:r w:rsidRPr="005106EF">
        <w:rPr>
          <w:lang w:eastAsia="x-none"/>
        </w:rPr>
        <w:t xml:space="preserve">alebo u druhého účastníka obchodného vzťahu pôsobí blízka osoba kontrolóra, </w:t>
      </w:r>
      <w:r>
        <w:rPr>
          <w:lang w:eastAsia="x-none"/>
        </w:rPr>
        <w:br/>
      </w:r>
      <w:r w:rsidRPr="005106EF">
        <w:rPr>
          <w:lang w:eastAsia="x-none"/>
        </w:rPr>
        <w:t xml:space="preserve">alebo ak blízka osoba kontrolóra uskutočňuje obchodnú činnosť podobnú obchodnej činnosti kontrolovaného subjektu. Pri výskyte uvedených skutočností nie je bez ďalšieho náležitého posúdenia možné automaticky predpokladať existenciu predpojatosti. Pri individuálnom posudzovaní predpojatosti je predovšetkým potrebné určiť, aký vplyv môže mať daná skutočnosť na objektívnosť kontrolóra pri výkone kontroly, do akej miery môžu pozitívne alebo negatívne zistenia kontrolórov ovplyvniť kontrolóra alebo jeho blízke osoby </w:t>
      </w:r>
      <w:r>
        <w:rPr>
          <w:lang w:eastAsia="x-none"/>
        </w:rPr>
        <w:br/>
      </w:r>
      <w:r w:rsidRPr="005106EF">
        <w:rPr>
          <w:lang w:eastAsia="x-none"/>
        </w:rPr>
        <w:t xml:space="preserve">a či pri výkone kontroly možno identifikovať konflikt záujmov. </w:t>
      </w:r>
    </w:p>
    <w:p w:rsidR="00E97D3B" w:rsidRPr="005106EF" w:rsidRDefault="00E97D3B" w:rsidP="00E97D3B">
      <w:pPr>
        <w:pStyle w:val="odsek"/>
        <w:ind w:firstLine="0"/>
      </w:pPr>
    </w:p>
    <w:p w:rsidR="00E97D3B" w:rsidRPr="00254A56" w:rsidRDefault="00E97D3B" w:rsidP="00E97D3B">
      <w:pPr>
        <w:pStyle w:val="odsek"/>
        <w:ind w:firstLine="0"/>
        <w:rPr>
          <w:b/>
        </w:rPr>
      </w:pPr>
      <w:r>
        <w:rPr>
          <w:b/>
        </w:rPr>
        <w:t>K § 6</w:t>
      </w:r>
    </w:p>
    <w:p w:rsidR="00E97D3B" w:rsidRPr="005106EF" w:rsidRDefault="00E97D3B" w:rsidP="00E97D3B">
      <w:pPr>
        <w:keepNext w:val="0"/>
        <w:ind w:firstLine="708"/>
        <w:rPr>
          <w:bCs/>
        </w:rPr>
      </w:pPr>
      <w:r>
        <w:rPr>
          <w:bCs/>
        </w:rPr>
        <w:t xml:space="preserve">Predpokladom pre výkon kontroly je poverenie na výkon kontroly neprimeraných podmienok. </w:t>
      </w:r>
      <w:r w:rsidRPr="005106EF">
        <w:rPr>
          <w:bCs/>
        </w:rPr>
        <w:t>Z poverenia musí byť zrejmé vo vzťahu k akému kontrolovanému subjektu bolo vydané,</w:t>
      </w:r>
      <w:r>
        <w:rPr>
          <w:bCs/>
        </w:rPr>
        <w:t xml:space="preserve"> a</w:t>
      </w:r>
      <w:r w:rsidRPr="005106EF">
        <w:rPr>
          <w:bCs/>
        </w:rPr>
        <w:t xml:space="preserve"> preto je potrebné uviesť identifikačné údaje kontrolovaného subjektu </w:t>
      </w:r>
      <w:r>
        <w:rPr>
          <w:bCs/>
        </w:rPr>
        <w:br/>
      </w:r>
      <w:r w:rsidRPr="005106EF">
        <w:rPr>
          <w:bCs/>
        </w:rPr>
        <w:t>v takom rozsahu, aby nebolo možné zameniť ho s iným subjektom. V rámci identifikačných údajov je preto potrebné uviesť najmä obchodné meno, názov, sídlo, IČO subjektu</w:t>
      </w:r>
      <w:r>
        <w:rPr>
          <w:bCs/>
        </w:rPr>
        <w:t>,</w:t>
      </w:r>
      <w:r w:rsidRPr="005106EF">
        <w:rPr>
          <w:bCs/>
        </w:rPr>
        <w:t xml:space="preserve"> </w:t>
      </w:r>
      <w:r>
        <w:rPr>
          <w:bCs/>
        </w:rPr>
        <w:br/>
      </w:r>
      <w:r w:rsidRPr="005106EF">
        <w:rPr>
          <w:bCs/>
        </w:rPr>
        <w:t xml:space="preserve">ak ho má pridelené. </w:t>
      </w:r>
    </w:p>
    <w:p w:rsidR="00E97D3B" w:rsidRPr="005106EF" w:rsidRDefault="00E97D3B" w:rsidP="00E97D3B">
      <w:pPr>
        <w:keepNext w:val="0"/>
        <w:ind w:firstLine="708"/>
        <w:rPr>
          <w:bCs/>
        </w:rPr>
      </w:pPr>
      <w:r w:rsidRPr="005106EF">
        <w:rPr>
          <w:bCs/>
        </w:rPr>
        <w:t xml:space="preserve">Kontrolovaný subjekt </w:t>
      </w:r>
      <w:r>
        <w:rPr>
          <w:bCs/>
        </w:rPr>
        <w:t>bude mať</w:t>
      </w:r>
      <w:r w:rsidRPr="005106EF">
        <w:rPr>
          <w:bCs/>
        </w:rPr>
        <w:t xml:space="preserve"> možnosť z poverenia identifikovať v akom rozsahu môžu kontrolóri</w:t>
      </w:r>
      <w:r>
        <w:rPr>
          <w:bCs/>
        </w:rPr>
        <w:t xml:space="preserve"> </w:t>
      </w:r>
      <w:r w:rsidRPr="005106EF">
        <w:rPr>
          <w:bCs/>
        </w:rPr>
        <w:t xml:space="preserve">zasiahnuť do jeho práv. Vzhľadom na uvedené sa do poverenia zavádza povinná náležitosť – poučenie o právach a povinnostiach kontrolovaného subjektu. Na účely zákona postačí, ak sa v rámci poverenia uvedie odkaz na ustanovenia tohto zákona upravujúce práva a povinnosti kontrolórov a kontrolovaného subjektu. </w:t>
      </w:r>
    </w:p>
    <w:p w:rsidR="00E97D3B" w:rsidRPr="005106EF" w:rsidRDefault="00E97D3B" w:rsidP="00E97D3B">
      <w:pPr>
        <w:keepNext w:val="0"/>
        <w:ind w:firstLine="708"/>
        <w:rPr>
          <w:bCs/>
        </w:rPr>
      </w:pPr>
      <w:r>
        <w:rPr>
          <w:bCs/>
        </w:rPr>
        <w:t>A</w:t>
      </w:r>
      <w:r w:rsidRPr="005106EF">
        <w:rPr>
          <w:bCs/>
        </w:rPr>
        <w:t>k po vydaní poverenia nastanú skutočnosti</w:t>
      </w:r>
      <w:r>
        <w:rPr>
          <w:bCs/>
        </w:rPr>
        <w:t>,</w:t>
      </w:r>
      <w:r w:rsidRPr="005106EF">
        <w:rPr>
          <w:bCs/>
        </w:rPr>
        <w:t xml:space="preserve"> na základe ktorých je potrebné údaje v poverení zmeniť, najmä zmena sídla, obchodného mena kontrolovaného subjektu alebo zmena členov kontrolnej skupiny, ministerstvo</w:t>
      </w:r>
      <w:r>
        <w:rPr>
          <w:bCs/>
        </w:rPr>
        <w:t xml:space="preserve"> </w:t>
      </w:r>
      <w:r>
        <w:rPr>
          <w:lang w:eastAsia="x-none"/>
        </w:rPr>
        <w:t>pôdohospodárstva</w:t>
      </w:r>
      <w:r w:rsidRPr="005106EF">
        <w:rPr>
          <w:bCs/>
        </w:rPr>
        <w:t xml:space="preserve"> môže vydať dodatok k povereniu, pričom postup pri vydávaní dodatku bude rovnaký ako pri vydávaní poverenia.</w:t>
      </w:r>
    </w:p>
    <w:p w:rsidR="00E97D3B" w:rsidRPr="005106EF" w:rsidRDefault="00E97D3B" w:rsidP="00E97D3B">
      <w:pPr>
        <w:keepNext w:val="0"/>
        <w:ind w:firstLine="708"/>
        <w:rPr>
          <w:b/>
        </w:rPr>
      </w:pPr>
    </w:p>
    <w:p w:rsidR="00E97D3B" w:rsidRPr="005106EF" w:rsidRDefault="00E97D3B" w:rsidP="00E97D3B">
      <w:pPr>
        <w:keepNext w:val="0"/>
        <w:rPr>
          <w:b/>
          <w:lang w:eastAsia="x-none"/>
        </w:rPr>
      </w:pPr>
      <w:r w:rsidRPr="005106EF">
        <w:rPr>
          <w:b/>
        </w:rPr>
        <w:t xml:space="preserve">K </w:t>
      </w:r>
      <w:r w:rsidRPr="005106EF">
        <w:rPr>
          <w:b/>
          <w:lang w:eastAsia="x-none"/>
        </w:rPr>
        <w:t>§ 7</w:t>
      </w:r>
    </w:p>
    <w:p w:rsidR="00E97D3B" w:rsidRDefault="00E97D3B" w:rsidP="00E97D3B">
      <w:pPr>
        <w:keepNext w:val="0"/>
        <w:ind w:firstLine="709"/>
        <w:rPr>
          <w:lang w:eastAsia="x-none"/>
        </w:rPr>
      </w:pPr>
      <w:r>
        <w:rPr>
          <w:lang w:eastAsia="x-none"/>
        </w:rPr>
        <w:t>Návrh z</w:t>
      </w:r>
      <w:r w:rsidRPr="005106EF">
        <w:rPr>
          <w:lang w:eastAsia="x-none"/>
        </w:rPr>
        <w:t>ákon</w:t>
      </w:r>
      <w:r>
        <w:rPr>
          <w:lang w:eastAsia="x-none"/>
        </w:rPr>
        <w:t>a</w:t>
      </w:r>
      <w:r w:rsidRPr="005106EF">
        <w:rPr>
          <w:lang w:eastAsia="x-none"/>
        </w:rPr>
        <w:t xml:space="preserve"> posilňuje postavenie a právomoci kontrolórov tak, aby bol výkon kontroly vo vzťahu k identifikovaniu neprimeraných podmienok efektívnejší. Všetky oprávnenia kontrolórov môžu byť uplatnené až po začatí kontroly. Oprávnenia kontrolórov zasahujúce do práv a oprávnených záujmov kontrolovaného subjektu musia byť vždy uplatňované s prihliadnutím na princíp proporcionality a subsidiarity. Všetky oprávnenia môžu byť využité len v nevyhnutnom rozsahu a na čas potrebný pre výkon kontroly. </w:t>
      </w:r>
    </w:p>
    <w:p w:rsidR="00E97D3B" w:rsidRDefault="00E97D3B" w:rsidP="00E97D3B">
      <w:pPr>
        <w:keepNext w:val="0"/>
        <w:ind w:firstLine="709"/>
        <w:rPr>
          <w:lang w:eastAsia="x-none"/>
        </w:rPr>
      </w:pPr>
      <w:r>
        <w:rPr>
          <w:lang w:eastAsia="x-none"/>
        </w:rPr>
        <w:t>Oprávnenie kontrolórov podľa písmena a) platí len, ak sa pre vstup nepoužije postup podľa iných právnych predpisov, najmä podľa § 99 až 103 Trestného poriadku.</w:t>
      </w:r>
    </w:p>
    <w:p w:rsidR="00E97D3B" w:rsidRDefault="00E97D3B" w:rsidP="00E97D3B">
      <w:pPr>
        <w:keepNext w:val="0"/>
        <w:ind w:firstLine="709"/>
        <w:rPr>
          <w:lang w:eastAsia="x-none"/>
        </w:rPr>
      </w:pPr>
      <w:r>
        <w:rPr>
          <w:lang w:eastAsia="x-none"/>
        </w:rPr>
        <w:t>Návrh zákona</w:t>
      </w:r>
      <w:r w:rsidRPr="005106EF">
        <w:rPr>
          <w:lang w:eastAsia="x-none"/>
        </w:rPr>
        <w:t xml:space="preserve"> precizuje oprávnenie kontrolórov vyžadovať úradne overené preklady relevantných </w:t>
      </w:r>
      <w:r>
        <w:rPr>
          <w:lang w:eastAsia="x-none"/>
        </w:rPr>
        <w:t>písomností</w:t>
      </w:r>
      <w:r w:rsidRPr="005106EF">
        <w:rPr>
          <w:lang w:eastAsia="x-none"/>
        </w:rPr>
        <w:t xml:space="preserve"> do slovenského jazyka. </w:t>
      </w:r>
    </w:p>
    <w:p w:rsidR="00E97D3B" w:rsidRPr="005106EF" w:rsidRDefault="00E97D3B" w:rsidP="00E97D3B">
      <w:pPr>
        <w:keepNext w:val="0"/>
        <w:ind w:firstLine="709"/>
        <w:rPr>
          <w:lang w:eastAsia="x-none"/>
        </w:rPr>
      </w:pPr>
      <w:r w:rsidRPr="005106EF">
        <w:rPr>
          <w:lang w:eastAsia="x-none"/>
        </w:rPr>
        <w:t>Nová právna úprava zavádza</w:t>
      </w:r>
      <w:r>
        <w:rPr>
          <w:lang w:eastAsia="x-none"/>
        </w:rPr>
        <w:t xml:space="preserve"> oprávnenie kontrolórov zapečatiť</w:t>
      </w:r>
      <w:r w:rsidRPr="005106EF">
        <w:rPr>
          <w:lang w:eastAsia="x-none"/>
        </w:rPr>
        <w:t xml:space="preserve"> </w:t>
      </w:r>
      <w:r>
        <w:rPr>
          <w:lang w:eastAsia="x-none"/>
        </w:rPr>
        <w:t>priestory s výnimkou obydlia</w:t>
      </w:r>
      <w:r w:rsidRPr="005106EF">
        <w:rPr>
          <w:lang w:eastAsia="x-none"/>
        </w:rPr>
        <w:t xml:space="preserve"> alebo záznamy dát na pamäťových médiách kontrolovaného subjektu. Zapečatením možno predovšetkým predchádzať možnému manipulovaniu s dôkaznými prostriedkami potrebnými na účely kontroly. Zapečatenie môžu kontrolóri využiť v</w:t>
      </w:r>
      <w:r>
        <w:rPr>
          <w:lang w:eastAsia="x-none"/>
        </w:rPr>
        <w:t> </w:t>
      </w:r>
      <w:r w:rsidRPr="005106EF">
        <w:rPr>
          <w:lang w:eastAsia="x-none"/>
        </w:rPr>
        <w:t>prípade</w:t>
      </w:r>
      <w:r>
        <w:rPr>
          <w:lang w:eastAsia="x-none"/>
        </w:rPr>
        <w:t>,</w:t>
      </w:r>
      <w:r w:rsidRPr="005106EF">
        <w:rPr>
          <w:lang w:eastAsia="x-none"/>
        </w:rPr>
        <w:t xml:space="preserve"> ak je potrebné zabezpečiť dôkazné materiály pred ich stratou, zničením, pozmenením alebo poškodením. Taktiež možno zapečatiť záznamy dát na pamäťových médiách pri ich odoberaní, pričom k odpečateniu a následnej kontrole môže dôjsť za prítomnosti zástupcov kontrolovaného subjektu.</w:t>
      </w:r>
    </w:p>
    <w:p w:rsidR="00E97D3B" w:rsidRPr="005106EF" w:rsidRDefault="00E97D3B" w:rsidP="00E97D3B">
      <w:pPr>
        <w:keepNext w:val="0"/>
        <w:ind w:firstLine="709"/>
        <w:rPr>
          <w:lang w:eastAsia="x-none"/>
        </w:rPr>
      </w:pPr>
      <w:r>
        <w:rPr>
          <w:lang w:eastAsia="x-none"/>
        </w:rPr>
        <w:t>Návrh zákona</w:t>
      </w:r>
      <w:r w:rsidRPr="005106EF">
        <w:rPr>
          <w:lang w:eastAsia="x-none"/>
        </w:rPr>
        <w:t xml:space="preserve"> umožňuje kontrolórom predvolať zástupcov</w:t>
      </w:r>
      <w:r>
        <w:rPr>
          <w:lang w:eastAsia="x-none"/>
        </w:rPr>
        <w:t xml:space="preserve"> a zamestnancov</w:t>
      </w:r>
      <w:r w:rsidRPr="005106EF">
        <w:rPr>
          <w:lang w:eastAsia="x-none"/>
        </w:rPr>
        <w:t xml:space="preserve"> kontrolovaného subjektu za účelom podania vysvetlenia o relevantných skutočnostiach týkajúcich sa predmetu kontroly. Zároveň sa zavádza oprávnenie kontrolórov vyžadovať </w:t>
      </w:r>
      <w:r>
        <w:rPr>
          <w:lang w:eastAsia="x-none"/>
        </w:rPr>
        <w:br/>
      </w:r>
      <w:r w:rsidRPr="005106EF">
        <w:rPr>
          <w:lang w:eastAsia="x-none"/>
        </w:rPr>
        <w:t>od kontrolovaného subjektu alebo jeho zamestnancov preukázanie totožnosti. Pod pojem kontrolovaný subjekt a jeho zamestnanci je potrebné subsumovať</w:t>
      </w:r>
      <w:r>
        <w:rPr>
          <w:lang w:eastAsia="x-none"/>
        </w:rPr>
        <w:t xml:space="preserve"> najmä</w:t>
      </w:r>
      <w:r w:rsidRPr="005106EF">
        <w:rPr>
          <w:lang w:eastAsia="x-none"/>
        </w:rPr>
        <w:t xml:space="preserve"> osoby v pracovnoprávnom alebo obdobnom vzťahu, štatutárny orgán, prokuristu.</w:t>
      </w:r>
    </w:p>
    <w:p w:rsidR="00E97D3B" w:rsidRPr="005106EF" w:rsidRDefault="00E97D3B" w:rsidP="00E97D3B">
      <w:pPr>
        <w:ind w:firstLine="708"/>
        <w:rPr>
          <w:lang w:eastAsia="x-none"/>
        </w:rPr>
      </w:pPr>
      <w:r w:rsidRPr="005106EF">
        <w:rPr>
          <w:lang w:eastAsia="x-none"/>
        </w:rPr>
        <w:t xml:space="preserve">Pri výkone kontroly môže nastať situácia, keď na identifikovanie neprimeranej podmienky bude potrebná spolupráca iného subjektu ako kontrolovaného subjektu. V praxi </w:t>
      </w:r>
      <w:r>
        <w:rPr>
          <w:lang w:eastAsia="x-none"/>
        </w:rPr>
        <w:br/>
      </w:r>
      <w:r w:rsidRPr="005106EF">
        <w:rPr>
          <w:lang w:eastAsia="x-none"/>
        </w:rPr>
        <w:t>sa často stáva, že kontrolóri neprimerané podmienky odhaľujú v spolupráci</w:t>
      </w:r>
      <w:r>
        <w:rPr>
          <w:lang w:eastAsia="x-none"/>
        </w:rPr>
        <w:t xml:space="preserve"> s inými subjektmi, ktorí</w:t>
      </w:r>
      <w:r w:rsidRPr="005106EF">
        <w:rPr>
          <w:lang w:eastAsia="x-none"/>
        </w:rPr>
        <w:t xml:space="preserve"> majú k dispozícii relevantné dôkazné </w:t>
      </w:r>
      <w:r>
        <w:rPr>
          <w:lang w:eastAsia="x-none"/>
        </w:rPr>
        <w:t>materiály, predovšetkým faktúry,</w:t>
      </w:r>
      <w:r w:rsidRPr="005106EF">
        <w:rPr>
          <w:lang w:eastAsia="x-none"/>
        </w:rPr>
        <w:t xml:space="preserve"> zmluvy, bankové výpisy. </w:t>
      </w:r>
      <w:r>
        <w:rPr>
          <w:lang w:eastAsia="x-none"/>
        </w:rPr>
        <w:t>Návrh zákona</w:t>
      </w:r>
      <w:r w:rsidRPr="005106EF">
        <w:rPr>
          <w:lang w:eastAsia="x-none"/>
        </w:rPr>
        <w:t xml:space="preserve"> preto zavádza povinnosť akejkoľvek fyzickej</w:t>
      </w:r>
      <w:r>
        <w:rPr>
          <w:lang w:eastAsia="x-none"/>
        </w:rPr>
        <w:t xml:space="preserve"> osoby</w:t>
      </w:r>
      <w:r w:rsidRPr="005106EF">
        <w:rPr>
          <w:lang w:eastAsia="x-none"/>
        </w:rPr>
        <w:t xml:space="preserve"> alebo právnickej osoby </w:t>
      </w:r>
      <w:r>
        <w:rPr>
          <w:lang w:eastAsia="x-none"/>
        </w:rPr>
        <w:t>(</w:t>
      </w:r>
      <w:r w:rsidRPr="005106EF">
        <w:rPr>
          <w:lang w:eastAsia="x-none"/>
        </w:rPr>
        <w:t>tretej osoby</w:t>
      </w:r>
      <w:r>
        <w:rPr>
          <w:lang w:eastAsia="x-none"/>
        </w:rPr>
        <w:t>)</w:t>
      </w:r>
      <w:r w:rsidRPr="005106EF">
        <w:rPr>
          <w:lang w:eastAsia="x-none"/>
        </w:rPr>
        <w:t xml:space="preserve"> poskytnúť kontrolórom súčinnosť v takom rozsahu</w:t>
      </w:r>
      <w:r>
        <w:rPr>
          <w:lang w:eastAsia="x-none"/>
        </w:rPr>
        <w:t>,</w:t>
      </w:r>
      <w:r w:rsidRPr="005106EF">
        <w:rPr>
          <w:lang w:eastAsia="x-none"/>
        </w:rPr>
        <w:t xml:space="preserve"> ako to zákon </w:t>
      </w:r>
      <w:r>
        <w:rPr>
          <w:lang w:eastAsia="x-none"/>
        </w:rPr>
        <w:t>ukladá kontrolovanému subjektu.</w:t>
      </w:r>
      <w:r w:rsidRPr="005106EF">
        <w:rPr>
          <w:lang w:eastAsia="x-none"/>
        </w:rPr>
        <w:t xml:space="preserve"> Ak kontrolóri odôvodnene predpokladajú, že tretia osoba disponuje akýmikoľvek dokladmi alebo informáciami potrebnými pre výkon kontroly, oznámia jej túto skutočnosť a tá je následne povinná poskytnúť potrebnú súčinnosť. </w:t>
      </w:r>
    </w:p>
    <w:p w:rsidR="00E97D3B" w:rsidRPr="005106EF" w:rsidRDefault="00E97D3B" w:rsidP="00E97D3B">
      <w:pPr>
        <w:keepNext w:val="0"/>
        <w:ind w:firstLine="708"/>
        <w:rPr>
          <w:bCs/>
        </w:rPr>
      </w:pPr>
      <w:r w:rsidRPr="005106EF">
        <w:rPr>
          <w:lang w:eastAsia="x-none"/>
        </w:rPr>
        <w:t xml:space="preserve">Za primerané podmienky a poskytnutie súčinnosti možno považovať napríklad poskytnutie adekvátnych priestorov na výkon kontroly, vyhotovenie kópií </w:t>
      </w:r>
      <w:r>
        <w:rPr>
          <w:lang w:eastAsia="x-none"/>
        </w:rPr>
        <w:t>písomností.</w:t>
      </w:r>
    </w:p>
    <w:p w:rsidR="00E97D3B" w:rsidRDefault="00E97D3B" w:rsidP="00E97D3B">
      <w:pPr>
        <w:pStyle w:val="odsek"/>
        <w:ind w:firstLine="0"/>
        <w:rPr>
          <w:b/>
        </w:rPr>
      </w:pPr>
    </w:p>
    <w:p w:rsidR="00E97D3B" w:rsidRPr="00254A56" w:rsidRDefault="00E97D3B" w:rsidP="00E97D3B">
      <w:pPr>
        <w:pStyle w:val="odsek"/>
        <w:ind w:firstLine="0"/>
        <w:rPr>
          <w:b/>
        </w:rPr>
      </w:pPr>
      <w:r w:rsidRPr="005106EF">
        <w:rPr>
          <w:b/>
        </w:rPr>
        <w:t>K</w:t>
      </w:r>
      <w:r w:rsidR="00211FA4">
        <w:rPr>
          <w:b/>
        </w:rPr>
        <w:t xml:space="preserve"> </w:t>
      </w:r>
      <w:r w:rsidRPr="005106EF">
        <w:rPr>
          <w:b/>
          <w:lang w:eastAsia="x-none"/>
        </w:rPr>
        <w:t>§ 8</w:t>
      </w:r>
    </w:p>
    <w:p w:rsidR="00E97D3B" w:rsidRPr="005106EF" w:rsidRDefault="00E97D3B" w:rsidP="00E97D3B">
      <w:pPr>
        <w:keepNext w:val="0"/>
        <w:ind w:firstLine="708"/>
        <w:rPr>
          <w:lang w:eastAsia="x-none"/>
        </w:rPr>
      </w:pPr>
      <w:r w:rsidRPr="005106EF">
        <w:rPr>
          <w:lang w:eastAsia="x-none"/>
        </w:rPr>
        <w:t>Po vydaní poverenia sú kontrolóri povinní oznámiť kontrolovanému subjektu zač</w:t>
      </w:r>
      <w:r>
        <w:rPr>
          <w:lang w:eastAsia="x-none"/>
        </w:rPr>
        <w:t>i</w:t>
      </w:r>
      <w:r w:rsidRPr="005106EF">
        <w:rPr>
          <w:lang w:eastAsia="x-none"/>
        </w:rPr>
        <w:t>at</w:t>
      </w:r>
      <w:r>
        <w:rPr>
          <w:lang w:eastAsia="x-none"/>
        </w:rPr>
        <w:t>ok</w:t>
      </w:r>
      <w:r w:rsidRPr="005106EF">
        <w:rPr>
          <w:lang w:eastAsia="x-none"/>
        </w:rPr>
        <w:t xml:space="preserve"> kontroly. V oznámení musí byť zároveň uvedený predmet kontroly tak, aby bolo zrejmé</w:t>
      </w:r>
      <w:r>
        <w:rPr>
          <w:lang w:eastAsia="x-none"/>
        </w:rPr>
        <w:t>,</w:t>
      </w:r>
      <w:r w:rsidRPr="005106EF">
        <w:rPr>
          <w:lang w:eastAsia="x-none"/>
        </w:rPr>
        <w:t xml:space="preserve"> </w:t>
      </w:r>
      <w:r>
        <w:rPr>
          <w:lang w:eastAsia="x-none"/>
        </w:rPr>
        <w:br/>
      </w:r>
      <w:r w:rsidRPr="005106EF">
        <w:rPr>
          <w:lang w:eastAsia="x-none"/>
        </w:rPr>
        <w:t xml:space="preserve">na čo sa kontrola bude zameriavať. </w:t>
      </w:r>
    </w:p>
    <w:p w:rsidR="00E97D3B" w:rsidRPr="005106EF" w:rsidRDefault="00E97D3B" w:rsidP="00E97D3B">
      <w:pPr>
        <w:keepNext w:val="0"/>
        <w:ind w:firstLine="708"/>
        <w:rPr>
          <w:lang w:eastAsia="x-none"/>
        </w:rPr>
      </w:pPr>
      <w:r w:rsidRPr="005106EF">
        <w:rPr>
          <w:lang w:eastAsia="x-none"/>
        </w:rPr>
        <w:t xml:space="preserve">Ak sa v rámci kontroly predpokladá vstup do </w:t>
      </w:r>
      <w:r>
        <w:rPr>
          <w:lang w:eastAsia="x-none"/>
        </w:rPr>
        <w:t>priestorov</w:t>
      </w:r>
      <w:r w:rsidRPr="005106EF">
        <w:rPr>
          <w:lang w:eastAsia="x-none"/>
        </w:rPr>
        <w:t xml:space="preserve"> kontrolovaného subjektu</w:t>
      </w:r>
      <w:r>
        <w:rPr>
          <w:lang w:eastAsia="x-none"/>
        </w:rPr>
        <w:t xml:space="preserve"> podľa § 7 písm. a),</w:t>
      </w:r>
      <w:r w:rsidRPr="005106EF">
        <w:rPr>
          <w:lang w:eastAsia="x-none"/>
        </w:rPr>
        <w:t xml:space="preserve"> v oznámení by mal byť</w:t>
      </w:r>
      <w:r>
        <w:rPr>
          <w:lang w:eastAsia="x-none"/>
        </w:rPr>
        <w:t xml:space="preserve"> určený termín vstupu. Oznámenie</w:t>
      </w:r>
      <w:r w:rsidRPr="005106EF">
        <w:rPr>
          <w:lang w:eastAsia="x-none"/>
        </w:rPr>
        <w:t xml:space="preserve"> by malo byť urobené s dostatočným predstihom. Kontrolóri môžu oznámenie urobiť najneskôr pri vstupe do </w:t>
      </w:r>
      <w:r>
        <w:rPr>
          <w:lang w:eastAsia="x-none"/>
        </w:rPr>
        <w:t>priestoru</w:t>
      </w:r>
      <w:r w:rsidRPr="005106EF">
        <w:rPr>
          <w:lang w:eastAsia="x-none"/>
        </w:rPr>
        <w:t xml:space="preserve"> kontrolovaného subjektu pokiaľ hrozí znehodnotenie, zničenie alebo pozmenenie dôkazných materiálov. Kontrolóri sú povinn</w:t>
      </w:r>
      <w:r>
        <w:rPr>
          <w:lang w:eastAsia="x-none"/>
        </w:rPr>
        <w:t>í</w:t>
      </w:r>
      <w:r w:rsidRPr="005106EF">
        <w:rPr>
          <w:lang w:eastAsia="x-none"/>
        </w:rPr>
        <w:t xml:space="preserve"> preukázať sa poverením spravidla pri prvom vstupe</w:t>
      </w:r>
      <w:r>
        <w:rPr>
          <w:lang w:eastAsia="x-none"/>
        </w:rPr>
        <w:t xml:space="preserve"> do</w:t>
      </w:r>
      <w:r w:rsidRPr="005106EF">
        <w:rPr>
          <w:lang w:eastAsia="x-none"/>
        </w:rPr>
        <w:t xml:space="preserve"> </w:t>
      </w:r>
      <w:r>
        <w:rPr>
          <w:lang w:eastAsia="x-none"/>
        </w:rPr>
        <w:t>priestorov</w:t>
      </w:r>
      <w:r w:rsidRPr="005106EF">
        <w:rPr>
          <w:lang w:eastAsia="x-none"/>
        </w:rPr>
        <w:t xml:space="preserve"> kontrolovaného subjektu. </w:t>
      </w:r>
    </w:p>
    <w:p w:rsidR="00E97D3B" w:rsidRPr="005106EF" w:rsidRDefault="00E97D3B" w:rsidP="00E97D3B">
      <w:pPr>
        <w:keepNext w:val="0"/>
        <w:ind w:firstLine="708"/>
        <w:rPr>
          <w:lang w:eastAsia="x-none"/>
        </w:rPr>
      </w:pPr>
      <w:r w:rsidRPr="005106EF">
        <w:rPr>
          <w:lang w:eastAsia="x-none"/>
        </w:rPr>
        <w:t>Pri odobratí dokladov</w:t>
      </w:r>
      <w:r>
        <w:rPr>
          <w:lang w:eastAsia="x-none"/>
        </w:rPr>
        <w:t xml:space="preserve"> a </w:t>
      </w:r>
      <w:r w:rsidRPr="005106EF">
        <w:rPr>
          <w:lang w:eastAsia="x-none"/>
        </w:rPr>
        <w:t xml:space="preserve">iných písomností alebo záznamov dát na pamäťových médiách sú kontrolóri povinní kontrolovanému subjektu potvrdiť ich odobratie a originály odovzdať bezodkladne po skončení kontroly. </w:t>
      </w:r>
    </w:p>
    <w:p w:rsidR="00E97D3B" w:rsidRDefault="00E97D3B" w:rsidP="00E97D3B">
      <w:pPr>
        <w:keepNext w:val="0"/>
        <w:ind w:firstLine="708"/>
        <w:rPr>
          <w:lang w:eastAsia="x-none"/>
        </w:rPr>
      </w:pPr>
      <w:r w:rsidRPr="005106EF">
        <w:rPr>
          <w:lang w:eastAsia="x-none"/>
        </w:rPr>
        <w:lastRenderedPageBreak/>
        <w:t xml:space="preserve">Kontrolóri sú povinní zachovávať mlčanlivosť o skutočnostiach, </w:t>
      </w:r>
      <w:r>
        <w:rPr>
          <w:lang w:eastAsia="x-none"/>
        </w:rPr>
        <w:br/>
      </w:r>
      <w:r w:rsidRPr="005106EF">
        <w:rPr>
          <w:lang w:eastAsia="x-none"/>
        </w:rPr>
        <w:t>o ktorých sa dozvedeli pri výkone kontrolnej činnosti. Pôjde predovšetkým o skutočnosti týkajúce sa bankového tajomstva, obchodného tajomstva alebo osobných údajov. Povinnosť kontrolórov zachovávať mlčanlivosť sa neuplatňuje vo vzťahu k ich vedúcim zamestnancom a</w:t>
      </w:r>
      <w:r>
        <w:rPr>
          <w:lang w:eastAsia="x-none"/>
        </w:rPr>
        <w:t> </w:t>
      </w:r>
      <w:r w:rsidRPr="005106EF">
        <w:rPr>
          <w:lang w:eastAsia="x-none"/>
        </w:rPr>
        <w:t>ministrovi</w:t>
      </w:r>
      <w:r>
        <w:rPr>
          <w:lang w:eastAsia="x-none"/>
        </w:rPr>
        <w:t xml:space="preserve"> pôdohospodárstva</w:t>
      </w:r>
      <w:r w:rsidRPr="005106EF">
        <w:rPr>
          <w:lang w:eastAsia="x-none"/>
        </w:rPr>
        <w:t xml:space="preserve">. </w:t>
      </w:r>
    </w:p>
    <w:p w:rsidR="00E97D3B" w:rsidRPr="00DC0406" w:rsidRDefault="00E97D3B" w:rsidP="00E97D3B">
      <w:pPr>
        <w:keepNext w:val="0"/>
        <w:ind w:firstLine="708"/>
        <w:rPr>
          <w:lang w:eastAsia="x-none"/>
        </w:rPr>
      </w:pPr>
    </w:p>
    <w:p w:rsidR="00E97D3B" w:rsidRPr="00254A56" w:rsidRDefault="00E97D3B" w:rsidP="00E97D3B">
      <w:pPr>
        <w:pStyle w:val="odsek"/>
        <w:ind w:firstLine="0"/>
        <w:rPr>
          <w:b/>
        </w:rPr>
      </w:pPr>
      <w:r w:rsidRPr="005106EF">
        <w:rPr>
          <w:b/>
        </w:rPr>
        <w:t>K</w:t>
      </w:r>
      <w:r w:rsidR="00211FA4">
        <w:rPr>
          <w:b/>
        </w:rPr>
        <w:t xml:space="preserve"> </w:t>
      </w:r>
      <w:r w:rsidRPr="005106EF">
        <w:rPr>
          <w:b/>
          <w:lang w:eastAsia="x-none"/>
        </w:rPr>
        <w:t>§ 9</w:t>
      </w:r>
    </w:p>
    <w:p w:rsidR="00E97D3B" w:rsidRPr="005106EF" w:rsidRDefault="00E97D3B" w:rsidP="00E97D3B">
      <w:pPr>
        <w:keepNext w:val="0"/>
        <w:ind w:firstLine="708"/>
        <w:rPr>
          <w:lang w:eastAsia="x-none"/>
        </w:rPr>
      </w:pPr>
      <w:r w:rsidRPr="005106EF">
        <w:rPr>
          <w:lang w:eastAsia="x-none"/>
        </w:rPr>
        <w:t>Povinnosti kontrolovaného subjektu</w:t>
      </w:r>
      <w:r>
        <w:rPr>
          <w:lang w:eastAsia="x-none"/>
        </w:rPr>
        <w:t xml:space="preserve"> a tretej osoby</w:t>
      </w:r>
      <w:r w:rsidRPr="005106EF">
        <w:rPr>
          <w:lang w:eastAsia="x-none"/>
        </w:rPr>
        <w:t xml:space="preserve"> sú odvodené od oprávnení kontrolórov. </w:t>
      </w:r>
    </w:p>
    <w:p w:rsidR="00E97D3B" w:rsidRPr="005106EF" w:rsidRDefault="00E97D3B" w:rsidP="00E97D3B">
      <w:pPr>
        <w:keepNext w:val="0"/>
        <w:rPr>
          <w:lang w:eastAsia="x-none"/>
        </w:rPr>
      </w:pPr>
    </w:p>
    <w:p w:rsidR="00E97D3B" w:rsidRPr="00254A56" w:rsidRDefault="00E97D3B" w:rsidP="00E97D3B">
      <w:pPr>
        <w:pStyle w:val="odsek"/>
        <w:ind w:firstLine="0"/>
        <w:rPr>
          <w:b/>
        </w:rPr>
      </w:pPr>
      <w:r w:rsidRPr="005106EF">
        <w:rPr>
          <w:b/>
        </w:rPr>
        <w:t>K</w:t>
      </w:r>
      <w:r w:rsidR="00211FA4">
        <w:rPr>
          <w:b/>
        </w:rPr>
        <w:t xml:space="preserve"> </w:t>
      </w:r>
      <w:r w:rsidRPr="005106EF">
        <w:rPr>
          <w:b/>
          <w:lang w:eastAsia="x-none"/>
        </w:rPr>
        <w:t>§ 10</w:t>
      </w:r>
    </w:p>
    <w:p w:rsidR="00E97D3B" w:rsidRPr="005106EF" w:rsidRDefault="00E97D3B" w:rsidP="00E97D3B">
      <w:pPr>
        <w:keepNext w:val="0"/>
        <w:ind w:firstLine="708"/>
        <w:rPr>
          <w:bCs/>
        </w:rPr>
      </w:pPr>
      <w:r w:rsidRPr="005106EF">
        <w:rPr>
          <w:lang w:eastAsia="x-none"/>
        </w:rPr>
        <w:t xml:space="preserve">Oprávnenia kontrolovaného subjektu sú odvodené od povinností kontrolórov. </w:t>
      </w:r>
    </w:p>
    <w:p w:rsidR="00E97D3B" w:rsidRPr="005106EF" w:rsidRDefault="00E97D3B" w:rsidP="00E97D3B">
      <w:pPr>
        <w:rPr>
          <w:b/>
          <w:lang w:eastAsia="x-none"/>
        </w:rPr>
      </w:pPr>
    </w:p>
    <w:p w:rsidR="00E97D3B" w:rsidRPr="00254A56" w:rsidRDefault="00E97D3B" w:rsidP="00E97D3B">
      <w:pPr>
        <w:pStyle w:val="odsek"/>
        <w:ind w:firstLine="0"/>
        <w:rPr>
          <w:b/>
        </w:rPr>
      </w:pPr>
      <w:r w:rsidRPr="005106EF">
        <w:rPr>
          <w:b/>
        </w:rPr>
        <w:t>K</w:t>
      </w:r>
      <w:r w:rsidR="00211FA4">
        <w:rPr>
          <w:b/>
        </w:rPr>
        <w:t xml:space="preserve"> </w:t>
      </w:r>
      <w:r w:rsidRPr="005106EF">
        <w:rPr>
          <w:b/>
          <w:lang w:eastAsia="x-none"/>
        </w:rPr>
        <w:t>§ 11</w:t>
      </w:r>
    </w:p>
    <w:p w:rsidR="00E97D3B" w:rsidRPr="005106EF" w:rsidRDefault="00E97D3B" w:rsidP="00E97D3B">
      <w:pPr>
        <w:keepNext w:val="0"/>
        <w:ind w:firstLine="708"/>
        <w:rPr>
          <w:b/>
          <w:lang w:eastAsia="x-none"/>
        </w:rPr>
      </w:pPr>
      <w:r>
        <w:rPr>
          <w:lang w:eastAsia="x-none"/>
        </w:rPr>
        <w:t>Návrh zákona</w:t>
      </w:r>
      <w:r w:rsidRPr="005106EF">
        <w:rPr>
          <w:lang w:eastAsia="x-none"/>
        </w:rPr>
        <w:t xml:space="preserve"> zavádza povinnosť orgánov</w:t>
      </w:r>
      <w:r>
        <w:rPr>
          <w:lang w:eastAsia="x-none"/>
        </w:rPr>
        <w:t xml:space="preserve"> verejnej správy</w:t>
      </w:r>
      <w:r w:rsidRPr="005106EF">
        <w:rPr>
          <w:lang w:eastAsia="x-none"/>
        </w:rPr>
        <w:t xml:space="preserve"> poskytnúť orgánu kontroly súčinnosť.</w:t>
      </w:r>
    </w:p>
    <w:p w:rsidR="00E97D3B" w:rsidRPr="005106EF" w:rsidRDefault="00E97D3B" w:rsidP="00E97D3B">
      <w:pPr>
        <w:keepNext w:val="0"/>
        <w:rPr>
          <w:b/>
          <w:lang w:eastAsia="x-none"/>
        </w:rPr>
      </w:pPr>
    </w:p>
    <w:p w:rsidR="00E97D3B" w:rsidRPr="005106EF" w:rsidRDefault="00E97D3B" w:rsidP="00E97D3B">
      <w:pPr>
        <w:pStyle w:val="odsek"/>
        <w:ind w:firstLine="0"/>
        <w:rPr>
          <w:b/>
        </w:rPr>
      </w:pPr>
      <w:r w:rsidRPr="005106EF">
        <w:rPr>
          <w:b/>
        </w:rPr>
        <w:t>K</w:t>
      </w:r>
      <w:r w:rsidR="00211FA4">
        <w:rPr>
          <w:b/>
        </w:rPr>
        <w:t xml:space="preserve"> </w:t>
      </w:r>
      <w:r w:rsidRPr="005106EF">
        <w:rPr>
          <w:b/>
          <w:lang w:eastAsia="x-none"/>
        </w:rPr>
        <w:t>§ 12</w:t>
      </w:r>
    </w:p>
    <w:p w:rsidR="00E97D3B" w:rsidRPr="005106EF" w:rsidRDefault="00E97D3B" w:rsidP="00E97D3B">
      <w:pPr>
        <w:keepNext w:val="0"/>
        <w:ind w:firstLine="708"/>
        <w:rPr>
          <w:lang w:eastAsia="x-none"/>
        </w:rPr>
      </w:pPr>
      <w:r w:rsidRPr="005106EF">
        <w:rPr>
          <w:lang w:eastAsia="x-none"/>
        </w:rPr>
        <w:t xml:space="preserve">Oproti zákonu č. 362/2012 Z. z. sa zjednodušuje a sprehľadňuje režim upravujúci výstupy z kontroly. Podľa doterajších predpisov sa v prípade neidentifikovania zistení vypracoval záznam a v prípade záverov kontrolnej skupiny identifikujúcich porušenie zákona, kontrolná skupina vypracovala protokol. Po doručení protokolu kontrolovanému subjektu následne kontrolovaný subjekt predložil námietky, s ktorými sa kontrolóri vysporiadali. </w:t>
      </w:r>
    </w:p>
    <w:p w:rsidR="00E97D3B" w:rsidRPr="005106EF" w:rsidRDefault="00E97D3B" w:rsidP="00E97D3B">
      <w:pPr>
        <w:keepNext w:val="0"/>
        <w:ind w:firstLine="708"/>
        <w:rPr>
          <w:lang w:eastAsia="x-none"/>
        </w:rPr>
      </w:pPr>
      <w:r w:rsidRPr="005106EF">
        <w:rPr>
          <w:lang w:eastAsia="x-none"/>
        </w:rPr>
        <w:t>V prípade akceptovania predložených námietok bol následne vypracovaný dodatok protokolu, čo v aplikačnej praxi často spôsobovalo</w:t>
      </w:r>
      <w:r w:rsidR="00211FA4">
        <w:rPr>
          <w:lang w:eastAsia="x-none"/>
        </w:rPr>
        <w:t xml:space="preserve"> </w:t>
      </w:r>
      <w:r w:rsidRPr="005106EF">
        <w:rPr>
          <w:lang w:eastAsia="x-none"/>
        </w:rPr>
        <w:t xml:space="preserve">nejasnosti ohľadom finálneho znenia kontrolných zistení a celkovú neprehľadnosť výsledného znenia protokolu. Vzhľadom </w:t>
      </w:r>
      <w:r>
        <w:rPr>
          <w:lang w:eastAsia="x-none"/>
        </w:rPr>
        <w:br/>
      </w:r>
      <w:r w:rsidRPr="005106EF">
        <w:rPr>
          <w:lang w:eastAsia="x-none"/>
        </w:rPr>
        <w:t xml:space="preserve">na uvedené sa v rámci nového samostatného kontrolného procesu zavádza nový prehľadnejší režim. </w:t>
      </w:r>
    </w:p>
    <w:p w:rsidR="00E97D3B" w:rsidRPr="005106EF" w:rsidRDefault="00E97D3B" w:rsidP="00E97D3B">
      <w:pPr>
        <w:keepNext w:val="0"/>
        <w:ind w:firstLine="708"/>
      </w:pPr>
      <w:r w:rsidRPr="005106EF">
        <w:rPr>
          <w:lang w:eastAsia="x-none"/>
        </w:rPr>
        <w:t xml:space="preserve">Podľa novej právnej úpravy sa z každej vykonanej kontroly v prípade, </w:t>
      </w:r>
      <w:r>
        <w:rPr>
          <w:lang w:eastAsia="x-none"/>
        </w:rPr>
        <w:br/>
      </w:r>
      <w:r w:rsidRPr="005106EF">
        <w:rPr>
          <w:lang w:eastAsia="x-none"/>
        </w:rPr>
        <w:t>ak nebolo identifikované porušenie zákona</w:t>
      </w:r>
      <w:r>
        <w:rPr>
          <w:lang w:eastAsia="x-none"/>
        </w:rPr>
        <w:t>,</w:t>
      </w:r>
      <w:r w:rsidRPr="005106EF">
        <w:rPr>
          <w:lang w:eastAsia="x-none"/>
        </w:rPr>
        <w:t xml:space="preserve"> vypracuje </w:t>
      </w:r>
      <w:r w:rsidRPr="005106EF">
        <w:t xml:space="preserve">záznam o vykonanej kontrole </w:t>
      </w:r>
      <w:r>
        <w:br/>
      </w:r>
      <w:r w:rsidRPr="005106EF">
        <w:t>(ďalej len „záznam“). Ak kontrolou bolo zistené porušenie zákona –</w:t>
      </w:r>
      <w:r>
        <w:t xml:space="preserve"> t. j.</w:t>
      </w:r>
      <w:r w:rsidRPr="005106EF">
        <w:t xml:space="preserve"> došlo k identifikovaniu neprimeraných podmienok, vypracuje sa návrh protokolu o vykonanej kontrole (ďalej len „návrh protokolu“), a po vysporiadaní sa</w:t>
      </w:r>
      <w:r w:rsidR="00211FA4">
        <w:t xml:space="preserve"> </w:t>
      </w:r>
      <w:r w:rsidRPr="005106EF">
        <w:t xml:space="preserve">s námietkami kontrolovaného subjektu sa vypracuje protokol o vykonanej kontrole (ďalej len „protokol“), alebo záznam. </w:t>
      </w:r>
    </w:p>
    <w:p w:rsidR="00E97D3B" w:rsidRPr="005106EF" w:rsidRDefault="00E97D3B" w:rsidP="00E97D3B">
      <w:pPr>
        <w:keepNext w:val="0"/>
        <w:ind w:firstLine="708"/>
      </w:pPr>
      <w:r w:rsidRPr="005106EF">
        <w:t>Návrh protokolu, okrem ďalších povinných náležitostí upravených v</w:t>
      </w:r>
      <w:r>
        <w:t xml:space="preserve"> návrhu</w:t>
      </w:r>
      <w:r w:rsidRPr="005106EF">
        <w:t> zákon</w:t>
      </w:r>
      <w:r>
        <w:t>a,</w:t>
      </w:r>
      <w:r w:rsidRPr="005106EF">
        <w:t xml:space="preserve"> obsahuje konkrétne kontrolné zistenia. V rámci návrhu protokolu sa poučí kontrolovaný subjekt o možnosti podať námietky a v závislosti od závažnosti a rozsahu kontrolných zistení sa určí primeraná lehota na podanie námietok. Zároveň je k návrhu protokolu potrebné predložiť relevantné doklady preukazujúce porušenie zákona, čím je zabezpečená možnosť kontrolovaného subjektu adekvátne sa vyjadriť ku kontrolným zisteniam aj v prípade, </w:t>
      </w:r>
      <w:r>
        <w:br/>
        <w:t>a</w:t>
      </w:r>
      <w:r w:rsidRPr="005106EF">
        <w:t xml:space="preserve">k mu boli v priebehu kontroly odobraté originály </w:t>
      </w:r>
      <w:r>
        <w:t>písomností</w:t>
      </w:r>
      <w:r w:rsidRPr="005106EF">
        <w:t xml:space="preserve">. Je potrebné poukázať </w:t>
      </w:r>
      <w:r>
        <w:br/>
      </w:r>
      <w:r w:rsidRPr="005106EF">
        <w:t>na skutočnosť, že pri každom kontrolnom zistení je nevyhnutné zabezpečiť, aby mal kontrolovaný subjekt k dispozícii tie doklady, ktoré so zistením súvisia a v rámci výkonu kontroly mu boli kontrolórmi odobraté.</w:t>
      </w:r>
    </w:p>
    <w:p w:rsidR="00E97D3B" w:rsidRPr="005106EF" w:rsidRDefault="00E97D3B" w:rsidP="00E97D3B">
      <w:pPr>
        <w:keepNext w:val="0"/>
        <w:ind w:firstLine="708"/>
      </w:pPr>
      <w:r w:rsidRPr="005106EF">
        <w:t xml:space="preserve">Kontrolovaný subjekt môže po doručení návrhu protokolu predložiť námietky </w:t>
      </w:r>
      <w:r>
        <w:br/>
      </w:r>
      <w:r w:rsidRPr="005106EF">
        <w:t>k</w:t>
      </w:r>
      <w:r>
        <w:t>u kontrolným</w:t>
      </w:r>
      <w:r w:rsidRPr="005106EF">
        <w:t> zisten</w:t>
      </w:r>
      <w:r>
        <w:t>iam</w:t>
      </w:r>
      <w:r w:rsidRPr="005106EF">
        <w:t xml:space="preserve">. Kontrolóri sa s námietkami vysporiadajú a v prípade akceptovania námietok následne v protokole primerane upravia znenie kontrolných zistení, poprípade konkrétne kontrolné zistenia vo výslednom protokole neuvedú. Ak kontrolná skupina </w:t>
      </w:r>
      <w:r>
        <w:br/>
      </w:r>
      <w:r w:rsidRPr="005106EF">
        <w:t>na základe predložených námietok dospeje k</w:t>
      </w:r>
      <w:r>
        <w:t> </w:t>
      </w:r>
      <w:r w:rsidRPr="005106EF">
        <w:t>záveru</w:t>
      </w:r>
      <w:r>
        <w:t>,</w:t>
      </w:r>
      <w:r w:rsidRPr="005106EF">
        <w:t xml:space="preserve"> že k porušeniu zákona nedošlo, vypracuje sa záznam. Uvedený postup je zavedený vzhľadom na princíp hospodárnosti </w:t>
      </w:r>
      <w:r w:rsidRPr="005106EF">
        <w:lastRenderedPageBreak/>
        <w:t xml:space="preserve">správneho konania, keďže správnemu konaniu možno predísť ešte v rámci kontrolného procesu. </w:t>
      </w:r>
    </w:p>
    <w:p w:rsidR="00E97D3B" w:rsidRPr="005106EF" w:rsidRDefault="00E97D3B" w:rsidP="00E97D3B">
      <w:pPr>
        <w:keepNext w:val="0"/>
        <w:ind w:firstLine="708"/>
      </w:pPr>
      <w:r w:rsidRPr="005106EF">
        <w:t>Nová právna úprava</w:t>
      </w:r>
      <w:r>
        <w:t xml:space="preserve"> v odseku 11</w:t>
      </w:r>
      <w:r w:rsidRPr="005106EF">
        <w:t xml:space="preserve"> rieši situáciu, keď po začatí kontroly zanikne kontrolovaný subjekt bez právneho nástupcu. V takomto prípade zaniká dôvod na vykonanie kontroly a zároveň absentuje subjekt, ktorému by bolo možné doručiť závery z kontroly. </w:t>
      </w:r>
      <w:r>
        <w:br/>
      </w:r>
      <w:r w:rsidRPr="005106EF">
        <w:t>Pri zániku kontrolovaného subjektu bez právneho nástupcu sa o tejto skutočnosti vyhotoví úradný záznam a kontrola sa považuje za skončenú.</w:t>
      </w:r>
    </w:p>
    <w:p w:rsidR="00E97D3B" w:rsidRDefault="00E97D3B" w:rsidP="00E97D3B">
      <w:pPr>
        <w:keepNext w:val="0"/>
        <w:ind w:firstLine="708"/>
      </w:pPr>
      <w:r w:rsidRPr="005106EF">
        <w:t xml:space="preserve">Záznam, návrh protokolu a protokol je potrebné kontrolovanému subjektu doručiť. </w:t>
      </w:r>
      <w:r>
        <w:br/>
      </w:r>
      <w:r w:rsidRPr="005106EF">
        <w:t xml:space="preserve">Pri doručovaní uvedených výstupov z kontroly sa uplatní režim podľa správneho poriadku, vrátane fikcie doručenia. Pri bežnej komunikácii medzi kontrolórmi a kontrolovaným subjektom alebo treťou osobou sa režim správneho poriadku neuplatní. Za skončenie kontroly sa považuje deň doručenia záznamu alebo protokolu. Každý protokol sa postupuje </w:t>
      </w:r>
      <w:r>
        <w:br/>
        <w:t>na následné správne konanie.</w:t>
      </w:r>
      <w:r w:rsidR="00211FA4">
        <w:t xml:space="preserve"> </w:t>
      </w:r>
    </w:p>
    <w:p w:rsidR="00E97D3B" w:rsidRDefault="00E97D3B" w:rsidP="00E97D3B">
      <w:pPr>
        <w:keepNext w:val="0"/>
      </w:pPr>
    </w:p>
    <w:p w:rsidR="00E97D3B" w:rsidRDefault="00E97D3B" w:rsidP="00E97D3B">
      <w:pPr>
        <w:keepNext w:val="0"/>
      </w:pPr>
      <w:r w:rsidRPr="005106EF">
        <w:rPr>
          <w:b/>
        </w:rPr>
        <w:t>K</w:t>
      </w:r>
      <w:r w:rsidR="00211FA4">
        <w:rPr>
          <w:b/>
        </w:rPr>
        <w:t xml:space="preserve"> </w:t>
      </w:r>
      <w:r w:rsidRPr="005106EF">
        <w:rPr>
          <w:b/>
          <w:lang w:eastAsia="x-none"/>
        </w:rPr>
        <w:t>§ 13</w:t>
      </w:r>
    </w:p>
    <w:p w:rsidR="00E97D3B" w:rsidRPr="008005DD" w:rsidRDefault="00E97D3B" w:rsidP="00E97D3B">
      <w:pPr>
        <w:keepNext w:val="0"/>
        <w:ind w:firstLine="708"/>
        <w:rPr>
          <w:rStyle w:val="Zstupntext"/>
          <w:color w:val="auto"/>
        </w:rPr>
      </w:pPr>
      <w:r w:rsidRPr="005106EF">
        <w:rPr>
          <w:rStyle w:val="Zstupntext"/>
          <w:color w:val="000000"/>
        </w:rPr>
        <w:t>Z dôvodu zabezpečenia vykonateľnosti zákona a efektívneho výkonu kontroly</w:t>
      </w:r>
      <w:r>
        <w:rPr>
          <w:rStyle w:val="Zstupntext"/>
          <w:color w:val="000000"/>
        </w:rPr>
        <w:t xml:space="preserve"> neprimeraných podmienok</w:t>
      </w:r>
      <w:r w:rsidRPr="005106EF">
        <w:rPr>
          <w:rStyle w:val="Zstupntext"/>
          <w:color w:val="000000"/>
        </w:rPr>
        <w:t xml:space="preserve"> </w:t>
      </w:r>
      <w:r>
        <w:rPr>
          <w:rStyle w:val="Zstupntext"/>
          <w:color w:val="000000"/>
        </w:rPr>
        <w:t>bude mať</w:t>
      </w:r>
      <w:r w:rsidRPr="005106EF">
        <w:rPr>
          <w:rStyle w:val="Zstupntext"/>
          <w:color w:val="000000"/>
        </w:rPr>
        <w:t xml:space="preserve"> ministerstvo</w:t>
      </w:r>
      <w:r>
        <w:rPr>
          <w:rStyle w:val="Zstupntext"/>
          <w:color w:val="000000"/>
        </w:rPr>
        <w:t xml:space="preserve"> </w:t>
      </w:r>
      <w:r>
        <w:rPr>
          <w:lang w:eastAsia="x-none"/>
        </w:rPr>
        <w:t>pôdohospodárstva aj naďalej</w:t>
      </w:r>
      <w:r w:rsidRPr="005106EF">
        <w:rPr>
          <w:rStyle w:val="Zstupntext"/>
          <w:color w:val="000000"/>
        </w:rPr>
        <w:t xml:space="preserve"> oprávnenie ukladať za nesplnenie povinností ustanovených zákonom poriadkové pokuty</w:t>
      </w:r>
      <w:r>
        <w:rPr>
          <w:rStyle w:val="Zstupntext"/>
          <w:color w:val="000000"/>
        </w:rPr>
        <w:t>, avšak nielen</w:t>
      </w:r>
      <w:r w:rsidRPr="005106EF">
        <w:rPr>
          <w:rStyle w:val="Zstupntext"/>
          <w:color w:val="000000"/>
        </w:rPr>
        <w:t xml:space="preserve"> kontrolovanému subjektu</w:t>
      </w:r>
      <w:r>
        <w:rPr>
          <w:rStyle w:val="Zstupntext"/>
          <w:color w:val="000000"/>
        </w:rPr>
        <w:t>,</w:t>
      </w:r>
      <w:r w:rsidRPr="005106EF">
        <w:rPr>
          <w:rStyle w:val="Zstupntext"/>
          <w:color w:val="000000"/>
        </w:rPr>
        <w:t xml:space="preserve"> ale aj tretej osobe. V porovnaní s predchádzajúcou právnou úpravou sa zvyšuje horná sadzba poriadkových pokút tak, aby bol zabezpečený ich primeraný preventívny a represívny charakter. </w:t>
      </w:r>
      <w:r>
        <w:t>Zaplatením</w:t>
      </w:r>
      <w:r w:rsidRPr="005106EF">
        <w:t xml:space="preserve"> pokuty sa kontrolovaný subjekt alebo tretia osoba nezbavia svojej povinnosti, nesplnenie ktorej bolo pokutované a poriadkové pokuty </w:t>
      </w:r>
      <w:r>
        <w:t>bude</w:t>
      </w:r>
      <w:r w:rsidRPr="005106EF">
        <w:t xml:space="preserve"> </w:t>
      </w:r>
      <w:r>
        <w:t>možné uložiť aj opakovane. Ak k splneniu povinnosti nedôjde ani po p</w:t>
      </w:r>
      <w:r w:rsidRPr="005106EF">
        <w:t>rávoplatn</w:t>
      </w:r>
      <w:r>
        <w:t>e uloženej</w:t>
      </w:r>
      <w:r w:rsidR="00211FA4">
        <w:t xml:space="preserve"> </w:t>
      </w:r>
      <w:r>
        <w:t>poriadkovej</w:t>
      </w:r>
      <w:r w:rsidRPr="005106EF">
        <w:t xml:space="preserve"> pokut</w:t>
      </w:r>
      <w:r>
        <w:t xml:space="preserve">e, budú kontrolovaný subjekt alebo tretia osoba nútení </w:t>
      </w:r>
      <w:r>
        <w:br/>
        <w:t>k jej splneniu opakovanými poriadkovými pokutami.</w:t>
      </w:r>
      <w:r w:rsidRPr="005106EF">
        <w:t xml:space="preserve"> </w:t>
      </w:r>
    </w:p>
    <w:p w:rsidR="00E97D3B" w:rsidRPr="005106EF" w:rsidRDefault="00E97D3B" w:rsidP="00E97D3B">
      <w:pPr>
        <w:keepNext w:val="0"/>
        <w:rPr>
          <w:rStyle w:val="Zstupntext"/>
          <w:color w:val="000000"/>
        </w:rPr>
      </w:pPr>
    </w:p>
    <w:p w:rsidR="00E97D3B" w:rsidRPr="005106EF" w:rsidRDefault="00E97D3B" w:rsidP="00E97D3B">
      <w:pPr>
        <w:keepNext w:val="0"/>
        <w:rPr>
          <w:b/>
          <w:lang w:eastAsia="x-none"/>
        </w:rPr>
      </w:pPr>
      <w:r>
        <w:rPr>
          <w:b/>
          <w:lang w:eastAsia="x-none"/>
        </w:rPr>
        <w:t>K</w:t>
      </w:r>
      <w:r w:rsidR="00211FA4">
        <w:rPr>
          <w:b/>
          <w:lang w:eastAsia="x-none"/>
        </w:rPr>
        <w:t xml:space="preserve"> </w:t>
      </w:r>
      <w:r>
        <w:rPr>
          <w:b/>
          <w:lang w:eastAsia="x-none"/>
        </w:rPr>
        <w:t>§ 14</w:t>
      </w:r>
    </w:p>
    <w:p w:rsidR="00E97D3B" w:rsidRDefault="00E97D3B" w:rsidP="00E97D3B">
      <w:pPr>
        <w:keepNext w:val="0"/>
        <w:ind w:firstLine="708"/>
        <w:rPr>
          <w:rStyle w:val="Zstupntext"/>
          <w:color w:val="000000"/>
        </w:rPr>
      </w:pPr>
      <w:r>
        <w:rPr>
          <w:rStyle w:val="Zstupntext"/>
          <w:color w:val="000000"/>
        </w:rPr>
        <w:t>Návrhom zákona</w:t>
      </w:r>
      <w:r w:rsidRPr="005106EF">
        <w:rPr>
          <w:rStyle w:val="Zstupntext"/>
          <w:color w:val="000000"/>
        </w:rPr>
        <w:t xml:space="preserve"> sa oproti v súčasnosti platnému a účinnému zákonu</w:t>
      </w:r>
      <w:r>
        <w:rPr>
          <w:rStyle w:val="Zstupntext"/>
          <w:color w:val="000000"/>
        </w:rPr>
        <w:t xml:space="preserve"> č.</w:t>
      </w:r>
      <w:r w:rsidRPr="005106EF">
        <w:rPr>
          <w:rStyle w:val="Zstupntext"/>
          <w:color w:val="000000"/>
        </w:rPr>
        <w:t xml:space="preserve"> 362/2012 Z. z. precizuje definícia správneho deliktu. Podľa novej právnej úpravy sa správneho deliktu dopustí účastník obchodného vzťahu, ktorý požaduje, dohodne alebo uplatní neprimeranú podmienku znevýhodňujúcu druhého účastníka obchodného vzťahu. </w:t>
      </w:r>
    </w:p>
    <w:p w:rsidR="00E97D3B" w:rsidRDefault="00E97D3B" w:rsidP="00E97D3B">
      <w:pPr>
        <w:keepNext w:val="0"/>
        <w:ind w:firstLine="708"/>
        <w:rPr>
          <w:rStyle w:val="Zstupntext"/>
          <w:color w:val="000000"/>
        </w:rPr>
      </w:pPr>
      <w:r w:rsidRPr="005106EF">
        <w:rPr>
          <w:rStyle w:val="Zstupntext"/>
          <w:color w:val="000000"/>
        </w:rPr>
        <w:t>Nová právna úprava presnejšie definuje filozofiu zákona</w:t>
      </w:r>
      <w:r>
        <w:rPr>
          <w:rStyle w:val="Zstupntext"/>
          <w:color w:val="000000"/>
        </w:rPr>
        <w:t xml:space="preserve"> –</w:t>
      </w:r>
      <w:r w:rsidRPr="005106EF">
        <w:rPr>
          <w:rStyle w:val="Zstupntext"/>
          <w:color w:val="000000"/>
        </w:rPr>
        <w:t xml:space="preserve"> chrániť subjekty s menšou ekonomickou silou a vyjednávacou pozíciu. Napríklad pri predaji potraviny pod nákupnú cenu nemusí z daného konania účastníkovi obchodného vzťahu, ktorý takúto neprimeranú podmienku uplatňuje priamo plynúť prospech, ale je nepochybné</w:t>
      </w:r>
      <w:r>
        <w:rPr>
          <w:rStyle w:val="Zstupntext"/>
          <w:color w:val="000000"/>
        </w:rPr>
        <w:t>,</w:t>
      </w:r>
      <w:r w:rsidRPr="005106EF">
        <w:rPr>
          <w:rStyle w:val="Zstupntext"/>
          <w:color w:val="000000"/>
        </w:rPr>
        <w:t xml:space="preserve"> že priamo či nepriamo takto znevýhodňuje konkrétnych dodávateľov donútených znižovať ceny potravín. </w:t>
      </w:r>
    </w:p>
    <w:p w:rsidR="00E97D3B" w:rsidRDefault="00E97D3B" w:rsidP="00E97D3B">
      <w:pPr>
        <w:keepNext w:val="0"/>
        <w:ind w:firstLine="708"/>
        <w:rPr>
          <w:rStyle w:val="Zstupntext"/>
          <w:color w:val="000000"/>
        </w:rPr>
      </w:pPr>
      <w:r w:rsidRPr="005106EF">
        <w:rPr>
          <w:rStyle w:val="Zstupntext"/>
          <w:color w:val="000000"/>
        </w:rPr>
        <w:t xml:space="preserve">Oproti doterajšej právnej úprave sa zvyšuje horná hranica pokuty za správny delikt </w:t>
      </w:r>
      <w:r>
        <w:rPr>
          <w:rStyle w:val="Zstupntext"/>
          <w:color w:val="000000"/>
        </w:rPr>
        <w:br/>
      </w:r>
      <w:r w:rsidRPr="005106EF">
        <w:rPr>
          <w:rStyle w:val="Zstupntext"/>
          <w:color w:val="000000"/>
        </w:rPr>
        <w:t xml:space="preserve">na 500 000 </w:t>
      </w:r>
      <w:r>
        <w:rPr>
          <w:rStyle w:val="Zstupntext"/>
          <w:color w:val="000000"/>
        </w:rPr>
        <w:t>e</w:t>
      </w:r>
      <w:r w:rsidRPr="005106EF">
        <w:rPr>
          <w:rStyle w:val="Zstupntext"/>
          <w:color w:val="000000"/>
        </w:rPr>
        <w:t>ur tak, aby bola zabezpečená preventívna a represívna funkcia sankcií.</w:t>
      </w:r>
    </w:p>
    <w:p w:rsidR="00E97D3B" w:rsidRDefault="00E97D3B" w:rsidP="00E97D3B">
      <w:pPr>
        <w:keepNext w:val="0"/>
        <w:ind w:firstLine="708"/>
        <w:rPr>
          <w:rStyle w:val="Zstupntext"/>
          <w:color w:val="000000"/>
        </w:rPr>
      </w:pPr>
      <w:r>
        <w:rPr>
          <w:rStyle w:val="Zstupntext"/>
          <w:color w:val="000000"/>
        </w:rPr>
        <w:t xml:space="preserve">Pre ustanovenie sadzby pokuty za správny delikt volí návrh zákona dualistický prístup, ktorý vychádza z charakteristiky neprimeranej podmienky. Pre správne delikty zahŕňajúce neprimerané podmienky, ktoré spočívajú v peňažnom plnení alebo v nepeňažnom plnení, platí princíp určenia pokuty s ohľadom na hodnotu peňažného plnenie a nepeňažného plnenia a koeficient ustanovený pre jednotlivé štádium konania. </w:t>
      </w:r>
    </w:p>
    <w:p w:rsidR="00E97D3B" w:rsidRDefault="00E97D3B" w:rsidP="00E97D3B">
      <w:pPr>
        <w:keepNext w:val="0"/>
        <w:ind w:firstLine="708"/>
        <w:rPr>
          <w:rStyle w:val="Zstupntext"/>
          <w:color w:val="000000"/>
        </w:rPr>
      </w:pPr>
      <w:r>
        <w:rPr>
          <w:rStyle w:val="Zstupntext"/>
          <w:color w:val="000000"/>
        </w:rPr>
        <w:t xml:space="preserve">Pre správne delikty zahŕňajúce ostatné neprimerané podmienky sa volí ustanovenie hornej sadzby pokuty. </w:t>
      </w:r>
      <w:r w:rsidRPr="005106EF">
        <w:rPr>
          <w:rStyle w:val="Zstupntext"/>
          <w:color w:val="000000"/>
        </w:rPr>
        <w:t>Zároveň sa</w:t>
      </w:r>
      <w:r>
        <w:rPr>
          <w:rStyle w:val="Zstupntext"/>
          <w:color w:val="000000"/>
        </w:rPr>
        <w:t xml:space="preserve"> pri týchto správnych deliktoch</w:t>
      </w:r>
      <w:r w:rsidRPr="005106EF">
        <w:rPr>
          <w:rStyle w:val="Zstupntext"/>
          <w:color w:val="000000"/>
        </w:rPr>
        <w:t xml:space="preserve"> rozlišujú tri skupiny neprimeraných podmienok podľa ich závažnosti. Pri menej závažných neprimeraných podmienkach môže ministerstvo</w:t>
      </w:r>
      <w:r>
        <w:rPr>
          <w:rStyle w:val="Zstupntext"/>
          <w:color w:val="000000"/>
        </w:rPr>
        <w:t xml:space="preserve"> </w:t>
      </w:r>
      <w:r>
        <w:rPr>
          <w:lang w:eastAsia="x-none"/>
        </w:rPr>
        <w:t>pôdohospodárstva</w:t>
      </w:r>
      <w:r w:rsidRPr="005106EF">
        <w:rPr>
          <w:rStyle w:val="Zstupntext"/>
          <w:color w:val="000000"/>
        </w:rPr>
        <w:t xml:space="preserve"> uložiť pokutu do výšky 100 000 eur, </w:t>
      </w:r>
      <w:r>
        <w:rPr>
          <w:rStyle w:val="Zstupntext"/>
          <w:color w:val="000000"/>
        </w:rPr>
        <w:br/>
      </w:r>
      <w:r w:rsidRPr="005106EF">
        <w:rPr>
          <w:rStyle w:val="Zstupntext"/>
          <w:color w:val="000000"/>
        </w:rPr>
        <w:t xml:space="preserve">pri závažných neprimeraných podmienkach do výšky 300 000 eur a pri </w:t>
      </w:r>
      <w:r>
        <w:rPr>
          <w:rStyle w:val="Zstupntext"/>
          <w:color w:val="000000"/>
        </w:rPr>
        <w:t>najzávažnejší</w:t>
      </w:r>
      <w:r w:rsidRPr="005106EF">
        <w:rPr>
          <w:rStyle w:val="Zstupntext"/>
          <w:color w:val="000000"/>
        </w:rPr>
        <w:t xml:space="preserve">ch neprimeraných podmienkach do výšky 500 000 eur. </w:t>
      </w:r>
    </w:p>
    <w:p w:rsidR="00E97D3B" w:rsidRDefault="00E97D3B" w:rsidP="00E97D3B">
      <w:pPr>
        <w:keepNext w:val="0"/>
        <w:ind w:firstLine="708"/>
        <w:rPr>
          <w:rStyle w:val="Zstupntext"/>
          <w:color w:val="000000"/>
        </w:rPr>
      </w:pPr>
      <w:r>
        <w:rPr>
          <w:rStyle w:val="Zstupntext"/>
          <w:color w:val="000000"/>
        </w:rPr>
        <w:t>Pre prípady nemožnosti určenia hodnoty peňažného plnenia alebo nepeňažného plnenia (napríklad, a</w:t>
      </w:r>
      <w:r w:rsidRPr="005106EF">
        <w:rPr>
          <w:rStyle w:val="Zstupntext"/>
          <w:color w:val="000000"/>
        </w:rPr>
        <w:t>k peňažné</w:t>
      </w:r>
      <w:r>
        <w:rPr>
          <w:rStyle w:val="Zstupntext"/>
          <w:color w:val="000000"/>
        </w:rPr>
        <w:t xml:space="preserve"> plnenie</w:t>
      </w:r>
      <w:r w:rsidRPr="005106EF">
        <w:rPr>
          <w:rStyle w:val="Zstupntext"/>
          <w:color w:val="000000"/>
        </w:rPr>
        <w:t xml:space="preserve"> alebo nepeňažné plnenie nebude možné vyčísliť </w:t>
      </w:r>
      <w:r w:rsidRPr="005106EF">
        <w:rPr>
          <w:rStyle w:val="Zstupntext"/>
          <w:color w:val="000000"/>
        </w:rPr>
        <w:lastRenderedPageBreak/>
        <w:t>pevnou sumou, ak bude peňažné plnenie určené percentuálne bez existenci</w:t>
      </w:r>
      <w:r>
        <w:rPr>
          <w:rStyle w:val="Zstupntext"/>
          <w:color w:val="000000"/>
        </w:rPr>
        <w:t>e</w:t>
      </w:r>
      <w:r w:rsidRPr="005106EF">
        <w:rPr>
          <w:rStyle w:val="Zstupntext"/>
          <w:color w:val="000000"/>
        </w:rPr>
        <w:t xml:space="preserve"> ročného obratu </w:t>
      </w:r>
      <w:r>
        <w:rPr>
          <w:rStyle w:val="Zstupntext"/>
          <w:color w:val="000000"/>
        </w:rPr>
        <w:br/>
      </w:r>
      <w:r w:rsidRPr="005106EF">
        <w:rPr>
          <w:rStyle w:val="Zstupntext"/>
          <w:color w:val="000000"/>
        </w:rPr>
        <w:t>za potraviny, alebo nepeňažné plnenie nebude možné exaktne vyčísliť</w:t>
      </w:r>
      <w:r>
        <w:rPr>
          <w:rStyle w:val="Zstupntext"/>
          <w:color w:val="000000"/>
        </w:rPr>
        <w:t>) sa v odseku 4 ustanovuje ako korektív horná sadza vo výške 500 000 eur</w:t>
      </w:r>
      <w:r w:rsidRPr="005106EF">
        <w:rPr>
          <w:rStyle w:val="Zstupntext"/>
          <w:color w:val="000000"/>
        </w:rPr>
        <w:t xml:space="preserve">. </w:t>
      </w:r>
    </w:p>
    <w:p w:rsidR="00E97D3B" w:rsidRDefault="00E97D3B" w:rsidP="00E97D3B">
      <w:pPr>
        <w:keepNext w:val="0"/>
        <w:ind w:firstLine="708"/>
        <w:rPr>
          <w:rStyle w:val="Zstupntext"/>
          <w:color w:val="000000"/>
        </w:rPr>
      </w:pPr>
      <w:r>
        <w:rPr>
          <w:rStyle w:val="Zstupntext"/>
          <w:color w:val="000000"/>
        </w:rPr>
        <w:t>Rozsah správneho uváženia správneho orgánu pri určení výšky pokuty v súlade s odsekmi 2 až 4 je zúžený ustanoveniami odsekov 5 a 6. Výška uloženej pokuty tak nebude limitovaná len ustanovenou sadzbou, ale aj konkrétnymi okolnosťami posudzovaného protiprávneho konania. S tým súvisí aj vymedzenie pojmu opakovane spáchaného správneho deliktu v odseku 6.</w:t>
      </w:r>
    </w:p>
    <w:p w:rsidR="00E97D3B" w:rsidRDefault="00E97D3B" w:rsidP="00E97D3B">
      <w:pPr>
        <w:keepNext w:val="0"/>
        <w:ind w:firstLine="708"/>
        <w:rPr>
          <w:rStyle w:val="Zstupntext"/>
          <w:color w:val="000000"/>
        </w:rPr>
      </w:pPr>
      <w:r>
        <w:rPr>
          <w:rStyle w:val="Zstupntext"/>
          <w:color w:val="000000"/>
        </w:rPr>
        <w:t xml:space="preserve">V odseku 7 sa umocňuje ochrana poctivého obchodného styku medzi účastníkmi obchodných vzťahov, z ktorých jeden disponuje ekonomicky silnejším postavením. </w:t>
      </w:r>
      <w:r>
        <w:rPr>
          <w:rStyle w:val="Zstupntext"/>
          <w:color w:val="000000"/>
        </w:rPr>
        <w:br/>
        <w:t xml:space="preserve">Je žiaduce, aby zásah do týchto vzťahov prostredníctvom verejnoprávnej regulácie nebol obmedzený len na právomoc správneho orgánu udeliť pokutu účastníkovi obchodného vzťahu, ktorý požaduje, dohodne alebo uplatní neprimeranú podmienku, ktorá znevýhodňuje druhého účastníka obchodného vzťahu. Z tohto dôvodu má ministerstvo pôdohospodárstva právomoc uložiť účastníkovi obchodného vzťahu aj povinnosť odstrániť neprimeranú podmienku. Ministerstvo pôdohospodárstva bude svoju právomoc podľa odseku 7 uplatňovať vždy, ak povaha neprimeranej podmienky umožňuje jej odstránenie. K splneniu tejto povinnosť bude podľa odseku 8 účastník obchodného vzťahu motivovaný hrozbou uloženia opakovanej pokuty, ak dôjde k márnemu uplynutiu lehoty určenej na odstránenie neprimeranej podmienky. </w:t>
      </w:r>
    </w:p>
    <w:p w:rsidR="00E97D3B" w:rsidRPr="00B42A19" w:rsidRDefault="00E97D3B" w:rsidP="00E97D3B">
      <w:pPr>
        <w:keepNext w:val="0"/>
        <w:ind w:firstLine="708"/>
        <w:rPr>
          <w:color w:val="000000"/>
        </w:rPr>
      </w:pPr>
      <w:r>
        <w:rPr>
          <w:rStyle w:val="Zstupntext"/>
          <w:color w:val="000000"/>
        </w:rPr>
        <w:t xml:space="preserve">V odsekoch 9 a 10 sa ustanovuje dĺžka subjektívnej lehoty a objektívnej lehoty </w:t>
      </w:r>
      <w:r>
        <w:rPr>
          <w:rStyle w:val="Zstupntext"/>
          <w:color w:val="000000"/>
        </w:rPr>
        <w:br/>
        <w:t>pre uloženie pokuty, a čas splatnosti uloženej pokuty.</w:t>
      </w:r>
      <w:r w:rsidR="00211FA4">
        <w:rPr>
          <w:rStyle w:val="Zstupntext"/>
          <w:color w:val="000000"/>
        </w:rPr>
        <w:t xml:space="preserve"> </w:t>
      </w:r>
    </w:p>
    <w:p w:rsidR="00E97D3B" w:rsidRDefault="00E97D3B" w:rsidP="00E97D3B">
      <w:pPr>
        <w:keepNext w:val="0"/>
        <w:rPr>
          <w:b/>
          <w:lang w:eastAsia="x-none"/>
        </w:rPr>
      </w:pPr>
    </w:p>
    <w:p w:rsidR="00E97D3B" w:rsidRPr="005106EF" w:rsidRDefault="00E97D3B" w:rsidP="00E97D3B">
      <w:pPr>
        <w:keepNext w:val="0"/>
        <w:rPr>
          <w:b/>
          <w:lang w:eastAsia="x-none"/>
        </w:rPr>
      </w:pPr>
      <w:r w:rsidRPr="005106EF">
        <w:rPr>
          <w:b/>
          <w:lang w:eastAsia="x-none"/>
        </w:rPr>
        <w:t>K</w:t>
      </w:r>
      <w:r w:rsidR="00211FA4">
        <w:rPr>
          <w:b/>
          <w:lang w:eastAsia="x-none"/>
        </w:rPr>
        <w:t xml:space="preserve"> </w:t>
      </w:r>
      <w:r w:rsidRPr="005106EF">
        <w:rPr>
          <w:b/>
          <w:lang w:eastAsia="x-none"/>
        </w:rPr>
        <w:t>§ 15</w:t>
      </w:r>
    </w:p>
    <w:p w:rsidR="00E97D3B" w:rsidRPr="00B42A19" w:rsidRDefault="00E97D3B" w:rsidP="00E97D3B">
      <w:pPr>
        <w:ind w:firstLine="708"/>
      </w:pPr>
      <w:r w:rsidRPr="005106EF">
        <w:rPr>
          <w:lang w:eastAsia="x-none"/>
        </w:rPr>
        <w:t>Ministerstvo</w:t>
      </w:r>
      <w:r>
        <w:rPr>
          <w:lang w:eastAsia="x-none"/>
        </w:rPr>
        <w:t xml:space="preserve"> pôdohospodárstva bude</w:t>
      </w:r>
      <w:r w:rsidRPr="005106EF">
        <w:rPr>
          <w:lang w:eastAsia="x-none"/>
        </w:rPr>
        <w:t xml:space="preserve"> aj naďalej na svojom webovom sídle priebežne zverejň</w:t>
      </w:r>
      <w:r>
        <w:rPr>
          <w:lang w:eastAsia="x-none"/>
        </w:rPr>
        <w:t>ovať</w:t>
      </w:r>
      <w:r w:rsidRPr="005106EF">
        <w:rPr>
          <w:lang w:eastAsia="x-none"/>
        </w:rPr>
        <w:t xml:space="preserve"> </w:t>
      </w:r>
      <w:r w:rsidRPr="005106EF">
        <w:t>informáciu o počte začatých a o počte ukončených kontrol a výrok právoplatného rozhodnutia ministerstva</w:t>
      </w:r>
      <w:r w:rsidR="00211FA4">
        <w:t xml:space="preserve"> </w:t>
      </w:r>
      <w:r>
        <w:rPr>
          <w:lang w:eastAsia="x-none"/>
        </w:rPr>
        <w:t xml:space="preserve">pôdohospodárstva </w:t>
      </w:r>
      <w:r w:rsidRPr="005106EF">
        <w:t>o uložení pokuty vydaného v správnom kon</w:t>
      </w:r>
      <w:r>
        <w:t>aní.</w:t>
      </w:r>
    </w:p>
    <w:p w:rsidR="00E97D3B" w:rsidRPr="005106EF" w:rsidRDefault="00E97D3B" w:rsidP="00E97D3B">
      <w:pPr>
        <w:keepNext w:val="0"/>
        <w:rPr>
          <w:b/>
          <w:lang w:eastAsia="x-none"/>
        </w:rPr>
      </w:pPr>
      <w:r w:rsidRPr="005106EF">
        <w:rPr>
          <w:lang w:eastAsia="x-none"/>
        </w:rPr>
        <w:tab/>
      </w:r>
    </w:p>
    <w:p w:rsidR="00E97D3B" w:rsidRPr="005106EF" w:rsidRDefault="00E97D3B" w:rsidP="00E97D3B">
      <w:pPr>
        <w:keepNext w:val="0"/>
        <w:rPr>
          <w:b/>
          <w:lang w:eastAsia="x-none"/>
        </w:rPr>
      </w:pPr>
      <w:r w:rsidRPr="005106EF">
        <w:rPr>
          <w:b/>
          <w:lang w:eastAsia="x-none"/>
        </w:rPr>
        <w:t>K</w:t>
      </w:r>
      <w:r w:rsidR="00211FA4">
        <w:rPr>
          <w:b/>
          <w:lang w:eastAsia="x-none"/>
        </w:rPr>
        <w:t xml:space="preserve"> </w:t>
      </w:r>
      <w:r w:rsidRPr="005106EF">
        <w:rPr>
          <w:b/>
          <w:lang w:eastAsia="x-none"/>
        </w:rPr>
        <w:t>§ 1</w:t>
      </w:r>
      <w:r>
        <w:rPr>
          <w:b/>
          <w:lang w:eastAsia="x-none"/>
        </w:rPr>
        <w:t>6</w:t>
      </w:r>
    </w:p>
    <w:p w:rsidR="00E97D3B" w:rsidRDefault="00E97D3B" w:rsidP="00E97D3B">
      <w:pPr>
        <w:keepNext w:val="0"/>
        <w:ind w:firstLine="708"/>
      </w:pPr>
      <w:r w:rsidRPr="005106EF">
        <w:t xml:space="preserve">Zákonom sa zavádza povinnosť pre účastníkov obchodného vzťahu dodržiavať ustanovenia tohto zákona aj v prípade, ak sa ich zmluvné vzťahy riadia iným právnym poriadkom ako právnym poriadkom Slovenskej republiky alebo ak bolo požadovanie, dohodnutie alebo uplatnenie neprimeranej podmienky uskutočnené v cudzine, pokiaľ jeho účinky nastali alebo mohli nastať na území Slovenskej republiky. V takomto prípade </w:t>
      </w:r>
      <w:r>
        <w:br/>
      </w:r>
      <w:r w:rsidRPr="005106EF">
        <w:t>je kontrolná právomoc ministerstva</w:t>
      </w:r>
      <w:r>
        <w:t xml:space="preserve"> </w:t>
      </w:r>
      <w:r>
        <w:rPr>
          <w:lang w:eastAsia="x-none"/>
        </w:rPr>
        <w:t>pôdohospodárstva</w:t>
      </w:r>
      <w:r w:rsidRPr="005106EF">
        <w:t xml:space="preserve"> daná aj vtedy, ak sa zmluvné vzťahy účastníkov obchodného vzťahu spravujú cudzím právnym poriadkom. Rovnako sa kontrolná právomoc ministerstva</w:t>
      </w:r>
      <w:r>
        <w:t xml:space="preserve"> </w:t>
      </w:r>
      <w:r>
        <w:rPr>
          <w:lang w:eastAsia="x-none"/>
        </w:rPr>
        <w:t>pôdohospodárstva</w:t>
      </w:r>
      <w:r w:rsidRPr="005106EF">
        <w:t xml:space="preserve"> uplatní aj pre prípad, ak ku konaniu vedúcemu k existencii neprimeranej podmienky dôjde mimo územia S</w:t>
      </w:r>
      <w:r>
        <w:t>lovenskej republiky</w:t>
      </w:r>
      <w:r w:rsidRPr="005106EF">
        <w:t>, ale účinky môžu nastať alebo nastali na území Slovenskej republiky. Takýto reži</w:t>
      </w:r>
      <w:r>
        <w:t>m je možný pri aplikácii čl. 9 nariadenia</w:t>
      </w:r>
      <w:r w:rsidRPr="00E84599">
        <w:t xml:space="preserve"> Európskeho parlamentu a Rady (ES) č. 593/2008 zo 17. júna 2008 </w:t>
      </w:r>
      <w:r>
        <w:br/>
      </w:r>
      <w:r w:rsidRPr="00E84599">
        <w:t>o rozhodnom práve pre zmluvné záväzky (Rím I) (Ú. v. EÚ L 177, 4.7.2008).</w:t>
      </w:r>
      <w:r w:rsidRPr="005106EF">
        <w:t xml:space="preserve"> Obdobný režim</w:t>
      </w:r>
      <w:r>
        <w:t>,</w:t>
      </w:r>
      <w:r w:rsidRPr="005106EF">
        <w:t xml:space="preserve"> kedy sa vnútroštátna</w:t>
      </w:r>
      <w:r w:rsidR="00211FA4">
        <w:t xml:space="preserve"> </w:t>
      </w:r>
      <w:r w:rsidRPr="005106EF">
        <w:t>právna norma uplatní bez ohľadu na zvolený právny poriadok</w:t>
      </w:r>
      <w:r>
        <w:t>,</w:t>
      </w:r>
      <w:r w:rsidRPr="005106EF">
        <w:t xml:space="preserve"> </w:t>
      </w:r>
      <w:r>
        <w:br/>
      </w:r>
      <w:r w:rsidRPr="005106EF">
        <w:t xml:space="preserve">je v rámci slovenského </w:t>
      </w:r>
      <w:r>
        <w:t>právneho poriadku zavedený napríklad</w:t>
      </w:r>
      <w:r w:rsidRPr="005106EF">
        <w:t xml:space="preserve"> v</w:t>
      </w:r>
      <w:r>
        <w:t> </w:t>
      </w:r>
      <w:r w:rsidRPr="005106EF">
        <w:t>Občianskom</w:t>
      </w:r>
      <w:r>
        <w:t xml:space="preserve"> zákonníku</w:t>
      </w:r>
      <w:r w:rsidRPr="005106EF">
        <w:t xml:space="preserve"> a Obchodnom zákonníku. </w:t>
      </w:r>
      <w:r>
        <w:t xml:space="preserve">Nastavenie vyvážených obchodných podmienok medzi odberateľmi a dodávateľmi potravín je vzhľadom na špecifiká potravín ako komodity strategickým záujmom štátu (ochrana národného hospodárstva a potravinová bezpečnosť) do takej miery, že si vyžaduje aplikáciu zákona na akúkoľvek situáciu, ktorá spadá do jej pôsobnosti </w:t>
      </w:r>
      <w:r>
        <w:br/>
        <w:t>bez ohľadu na rozhodné právo.</w:t>
      </w:r>
    </w:p>
    <w:p w:rsidR="00E97D3B" w:rsidRDefault="00E97D3B" w:rsidP="00E97D3B">
      <w:pPr>
        <w:keepNext w:val="0"/>
      </w:pPr>
    </w:p>
    <w:p w:rsidR="00E97D3B" w:rsidRDefault="00E97D3B" w:rsidP="00E97D3B">
      <w:pPr>
        <w:keepNext w:val="0"/>
        <w:rPr>
          <w:b/>
          <w:lang w:eastAsia="x-none"/>
        </w:rPr>
      </w:pPr>
    </w:p>
    <w:p w:rsidR="00E97D3B" w:rsidRDefault="00E97D3B" w:rsidP="00E97D3B">
      <w:pPr>
        <w:keepNext w:val="0"/>
        <w:rPr>
          <w:b/>
          <w:lang w:eastAsia="x-none"/>
        </w:rPr>
      </w:pPr>
    </w:p>
    <w:p w:rsidR="00E97D3B" w:rsidRPr="00254A56" w:rsidRDefault="00E97D3B" w:rsidP="00E97D3B">
      <w:pPr>
        <w:keepNext w:val="0"/>
        <w:rPr>
          <w:b/>
          <w:lang w:eastAsia="x-none"/>
        </w:rPr>
      </w:pPr>
      <w:r w:rsidRPr="005106EF">
        <w:rPr>
          <w:b/>
          <w:lang w:eastAsia="x-none"/>
        </w:rPr>
        <w:lastRenderedPageBreak/>
        <w:t>K</w:t>
      </w:r>
      <w:r w:rsidR="00211FA4">
        <w:rPr>
          <w:b/>
          <w:lang w:eastAsia="x-none"/>
        </w:rPr>
        <w:t xml:space="preserve"> </w:t>
      </w:r>
      <w:r w:rsidRPr="005106EF">
        <w:rPr>
          <w:b/>
          <w:lang w:eastAsia="x-none"/>
        </w:rPr>
        <w:t>§ 1</w:t>
      </w:r>
      <w:r>
        <w:rPr>
          <w:b/>
          <w:lang w:eastAsia="x-none"/>
        </w:rPr>
        <w:t>7 a 18</w:t>
      </w:r>
    </w:p>
    <w:p w:rsidR="00E97D3B" w:rsidRDefault="00E97D3B" w:rsidP="00E97D3B">
      <w:pPr>
        <w:keepNext w:val="0"/>
        <w:ind w:firstLine="708"/>
        <w:rPr>
          <w:b/>
          <w:bCs/>
        </w:rPr>
      </w:pPr>
      <w:r>
        <w:rPr>
          <w:lang w:eastAsia="x-none"/>
        </w:rPr>
        <w:t xml:space="preserve">V § 17 sa ministerstvo pôdohospodárstva splnomocňuje na ustanovenie zoznamu vybraných potravín. V § 18 ods. 1 a 2 ide o klasické prechodné ustanovenia, ktorým sa začaté kontroly a konania ponechávajú v režime zákona č. 362/2012 Z. z. </w:t>
      </w:r>
      <w:r w:rsidRPr="005106EF">
        <w:rPr>
          <w:lang w:eastAsia="x-none"/>
        </w:rPr>
        <w:t xml:space="preserve">Zmluvy, ktoré boli uzatvorené pred účinnosťou zákona musia sa uviesť do súladu so zákonom do </w:t>
      </w:r>
      <w:r>
        <w:rPr>
          <w:lang w:eastAsia="x-none"/>
        </w:rPr>
        <w:t>šiestich</w:t>
      </w:r>
      <w:r w:rsidRPr="005106EF">
        <w:rPr>
          <w:lang w:eastAsia="x-none"/>
        </w:rPr>
        <w:t xml:space="preserve"> mesiacov od nadobudnutia účinnosti </w:t>
      </w:r>
      <w:r>
        <w:rPr>
          <w:lang w:eastAsia="x-none"/>
        </w:rPr>
        <w:t>zákona. Počas prechodného obdobia podľa § 18 ods. 3</w:t>
      </w:r>
      <w:r w:rsidR="00211FA4">
        <w:rPr>
          <w:lang w:eastAsia="x-none"/>
        </w:rPr>
        <w:t xml:space="preserve"> </w:t>
      </w:r>
      <w:r>
        <w:rPr>
          <w:lang w:eastAsia="x-none"/>
        </w:rPr>
        <w:t>sa za porušenie zákona nebude považovať, ak zmluva, na základe ktorej sa dodáva potravina, ktorá bola uzatvorená pred tým, ako nadobudol účinnosť, nebude v rozpore s týmto zákonom. Po skončení prechodného obdobia však všetky zmluvy musia byť v súlade v týmto zákonom.</w:t>
      </w:r>
    </w:p>
    <w:p w:rsidR="00E97D3B" w:rsidRDefault="00E97D3B" w:rsidP="00E97D3B">
      <w:pPr>
        <w:keepNext w:val="0"/>
        <w:rPr>
          <w:b/>
          <w:bCs/>
        </w:rPr>
      </w:pPr>
    </w:p>
    <w:p w:rsidR="00E97D3B" w:rsidRPr="00254A56" w:rsidRDefault="00E97D3B" w:rsidP="00E97D3B">
      <w:pPr>
        <w:keepNext w:val="0"/>
        <w:rPr>
          <w:b/>
          <w:bCs/>
        </w:rPr>
      </w:pPr>
      <w:r w:rsidRPr="005106EF">
        <w:rPr>
          <w:b/>
          <w:bCs/>
        </w:rPr>
        <w:t xml:space="preserve">K § </w:t>
      </w:r>
      <w:r>
        <w:rPr>
          <w:b/>
          <w:bCs/>
        </w:rPr>
        <w:t>19</w:t>
      </w:r>
    </w:p>
    <w:p w:rsidR="00E97D3B" w:rsidRDefault="00E97D3B" w:rsidP="00E97D3B">
      <w:pPr>
        <w:keepNext w:val="0"/>
        <w:ind w:firstLine="708"/>
        <w:rPr>
          <w:b/>
          <w:lang w:eastAsia="x-none"/>
        </w:rPr>
      </w:pPr>
      <w:r w:rsidRPr="005106EF">
        <w:rPr>
          <w:lang w:eastAsia="x-none"/>
        </w:rPr>
        <w:t xml:space="preserve">Zákonom sa v celom rozsahu </w:t>
      </w:r>
      <w:r>
        <w:rPr>
          <w:lang w:eastAsia="x-none"/>
        </w:rPr>
        <w:t>z</w:t>
      </w:r>
      <w:r w:rsidRPr="005106EF">
        <w:rPr>
          <w:lang w:eastAsia="x-none"/>
        </w:rPr>
        <w:t xml:space="preserve">ruší v súčasnosti platný a účinný zákon </w:t>
      </w:r>
      <w:r>
        <w:rPr>
          <w:lang w:eastAsia="x-none"/>
        </w:rPr>
        <w:br/>
      </w:r>
      <w:r w:rsidRPr="005106EF">
        <w:rPr>
          <w:lang w:eastAsia="x-none"/>
        </w:rPr>
        <w:t>č. 362/2012 Z. z.</w:t>
      </w:r>
      <w:r w:rsidRPr="005106EF">
        <w:rPr>
          <w:b/>
          <w:lang w:eastAsia="x-none"/>
        </w:rPr>
        <w:t xml:space="preserve"> </w:t>
      </w:r>
    </w:p>
    <w:p w:rsidR="00E97D3B" w:rsidRPr="005106EF" w:rsidRDefault="00E97D3B" w:rsidP="00E97D3B">
      <w:pPr>
        <w:keepNext w:val="0"/>
        <w:ind w:firstLine="708"/>
        <w:rPr>
          <w:lang w:eastAsia="x-none"/>
        </w:rPr>
      </w:pPr>
    </w:p>
    <w:p w:rsidR="00E97D3B" w:rsidRPr="00254A56" w:rsidRDefault="00E97D3B" w:rsidP="00E97D3B">
      <w:pPr>
        <w:keepNext w:val="0"/>
        <w:rPr>
          <w:b/>
          <w:bCs/>
        </w:rPr>
      </w:pPr>
      <w:r w:rsidRPr="005106EF">
        <w:rPr>
          <w:b/>
          <w:bCs/>
        </w:rPr>
        <w:t>K § 2</w:t>
      </w:r>
      <w:r>
        <w:rPr>
          <w:b/>
          <w:bCs/>
        </w:rPr>
        <w:t>0</w:t>
      </w:r>
    </w:p>
    <w:p w:rsidR="00222E1E" w:rsidRDefault="00E97D3B" w:rsidP="00485B78">
      <w:pPr>
        <w:keepNext w:val="0"/>
        <w:ind w:firstLine="708"/>
        <w:rPr>
          <w:bCs/>
        </w:rPr>
      </w:pPr>
      <w:r>
        <w:rPr>
          <w:bCs/>
        </w:rPr>
        <w:t xml:space="preserve">Zákon nadobúda účinnosť dňa </w:t>
      </w:r>
      <w:r w:rsidRPr="005106EF">
        <w:rPr>
          <w:bCs/>
        </w:rPr>
        <w:t xml:space="preserve">1. </w:t>
      </w:r>
      <w:r>
        <w:rPr>
          <w:bCs/>
        </w:rPr>
        <w:t>apríla</w:t>
      </w:r>
      <w:r w:rsidRPr="005106EF">
        <w:rPr>
          <w:bCs/>
        </w:rPr>
        <w:t xml:space="preserve"> 2019.</w:t>
      </w:r>
    </w:p>
    <w:p w:rsidR="00222E1E" w:rsidRDefault="00222E1E" w:rsidP="00485B78">
      <w:pPr>
        <w:keepNext w:val="0"/>
        <w:ind w:firstLine="708"/>
      </w:pPr>
    </w:p>
    <w:p w:rsidR="00485B78" w:rsidRDefault="00A519CF" w:rsidP="00222E1E">
      <w:pPr>
        <w:keepNext w:val="0"/>
        <w:ind w:firstLine="708"/>
      </w:pPr>
      <w:r>
        <w:t>Skalica</w:t>
      </w:r>
      <w:r w:rsidR="00840C7E">
        <w:t>, 6</w:t>
      </w:r>
      <w:r w:rsidR="00E97D3B">
        <w:t>. novembra 2018</w:t>
      </w:r>
    </w:p>
    <w:p w:rsidR="00485B78" w:rsidRDefault="00485B78" w:rsidP="00485B78">
      <w:pPr>
        <w:keepNext w:val="0"/>
        <w:ind w:firstLine="708"/>
      </w:pPr>
    </w:p>
    <w:p w:rsidR="00485B78" w:rsidRDefault="00485B78" w:rsidP="00485B78">
      <w:pPr>
        <w:keepNext w:val="0"/>
        <w:ind w:firstLine="708"/>
      </w:pPr>
    </w:p>
    <w:p w:rsidR="00485B78" w:rsidRDefault="00485B78" w:rsidP="00485B78">
      <w:pPr>
        <w:keepNext w:val="0"/>
        <w:ind w:firstLine="708"/>
      </w:pPr>
    </w:p>
    <w:p w:rsidR="00485B78" w:rsidRDefault="00485B78" w:rsidP="00485B78">
      <w:pPr>
        <w:keepNext w:val="0"/>
        <w:ind w:firstLine="708"/>
      </w:pPr>
    </w:p>
    <w:p w:rsidR="00485B78" w:rsidRDefault="00485B78" w:rsidP="00485B78">
      <w:pPr>
        <w:keepNext w:val="0"/>
        <w:ind w:firstLine="708"/>
      </w:pPr>
    </w:p>
    <w:p w:rsidR="00485B78" w:rsidRDefault="00485B78" w:rsidP="00485B78">
      <w:pPr>
        <w:keepNext w:val="0"/>
        <w:ind w:firstLine="708"/>
      </w:pPr>
    </w:p>
    <w:p w:rsidR="00485B78" w:rsidRDefault="00E97D3B" w:rsidP="00485B78">
      <w:pPr>
        <w:keepNext w:val="0"/>
        <w:ind w:firstLine="708"/>
        <w:jc w:val="center"/>
        <w:rPr>
          <w:bCs/>
        </w:rPr>
      </w:pPr>
      <w:r>
        <w:rPr>
          <w:bCs/>
        </w:rPr>
        <w:t>Peter Pellegrini</w:t>
      </w:r>
    </w:p>
    <w:p w:rsidR="00485B78" w:rsidRDefault="00E97D3B" w:rsidP="00485B78">
      <w:pPr>
        <w:keepNext w:val="0"/>
        <w:ind w:firstLine="708"/>
        <w:jc w:val="center"/>
      </w:pPr>
      <w:r>
        <w:t>predseda vlády</w:t>
      </w:r>
    </w:p>
    <w:p w:rsidR="00485B78" w:rsidRDefault="00E97D3B" w:rsidP="00485B78">
      <w:pPr>
        <w:keepNext w:val="0"/>
        <w:ind w:firstLine="708"/>
        <w:jc w:val="center"/>
      </w:pPr>
      <w:r>
        <w:t>Slovenskej republiky</w:t>
      </w:r>
    </w:p>
    <w:p w:rsidR="00485B78" w:rsidRDefault="00485B78" w:rsidP="00485B78">
      <w:pPr>
        <w:keepNext w:val="0"/>
        <w:ind w:firstLine="708"/>
      </w:pPr>
    </w:p>
    <w:p w:rsidR="00485B78" w:rsidRDefault="00485B78" w:rsidP="00485B78">
      <w:pPr>
        <w:keepNext w:val="0"/>
        <w:ind w:firstLine="708"/>
      </w:pPr>
    </w:p>
    <w:p w:rsidR="00485B78" w:rsidRDefault="00485B78" w:rsidP="00485B78">
      <w:pPr>
        <w:keepNext w:val="0"/>
        <w:ind w:firstLine="708"/>
      </w:pPr>
    </w:p>
    <w:p w:rsidR="00485B78" w:rsidRDefault="00485B78" w:rsidP="00485B78">
      <w:pPr>
        <w:keepNext w:val="0"/>
        <w:ind w:firstLine="708"/>
      </w:pPr>
    </w:p>
    <w:p w:rsidR="00485B78" w:rsidRDefault="00485B78" w:rsidP="00485B78">
      <w:pPr>
        <w:keepNext w:val="0"/>
        <w:ind w:firstLine="708"/>
      </w:pPr>
    </w:p>
    <w:p w:rsidR="00485B78" w:rsidRDefault="00E97D3B" w:rsidP="00485B78">
      <w:pPr>
        <w:keepNext w:val="0"/>
        <w:ind w:firstLine="708"/>
        <w:jc w:val="center"/>
        <w:rPr>
          <w:bCs/>
        </w:rPr>
      </w:pPr>
      <w:r>
        <w:rPr>
          <w:bCs/>
        </w:rPr>
        <w:t>Gabriela Matečná</w:t>
      </w:r>
    </w:p>
    <w:p w:rsidR="00485B78" w:rsidRPr="00485B78" w:rsidRDefault="00E97D3B" w:rsidP="00485B78">
      <w:pPr>
        <w:keepNext w:val="0"/>
        <w:ind w:firstLine="708"/>
        <w:jc w:val="center"/>
        <w:rPr>
          <w:bCs/>
        </w:rPr>
      </w:pPr>
      <w:r>
        <w:t>podpredsedníčka vlády a</w:t>
      </w:r>
    </w:p>
    <w:p w:rsidR="00485B78" w:rsidRDefault="00E97D3B" w:rsidP="00485B78">
      <w:pPr>
        <w:keepNext w:val="0"/>
        <w:ind w:firstLine="708"/>
        <w:jc w:val="center"/>
      </w:pPr>
      <w:r>
        <w:t>ministerka pôdohospodárstva</w:t>
      </w:r>
    </w:p>
    <w:p w:rsidR="00E97D3B" w:rsidRDefault="00E97D3B" w:rsidP="00485B78">
      <w:pPr>
        <w:keepNext w:val="0"/>
        <w:ind w:firstLine="708"/>
        <w:jc w:val="center"/>
      </w:pPr>
      <w:r>
        <w:t>a rozvoja vidieka Slovenskej republiky</w:t>
      </w:r>
    </w:p>
    <w:p w:rsidR="001748E1" w:rsidRDefault="001748E1" w:rsidP="00485B78">
      <w:pPr>
        <w:keepNext w:val="0"/>
        <w:ind w:firstLine="708"/>
        <w:jc w:val="center"/>
      </w:pPr>
    </w:p>
    <w:p w:rsidR="001748E1" w:rsidRDefault="001748E1" w:rsidP="00485B78">
      <w:pPr>
        <w:keepNext w:val="0"/>
        <w:ind w:firstLine="708"/>
        <w:jc w:val="center"/>
      </w:pPr>
    </w:p>
    <w:p w:rsidR="001748E1" w:rsidRDefault="001748E1" w:rsidP="00485B78">
      <w:pPr>
        <w:keepNext w:val="0"/>
        <w:ind w:firstLine="708"/>
        <w:jc w:val="center"/>
      </w:pPr>
    </w:p>
    <w:p w:rsidR="001748E1" w:rsidRDefault="001748E1" w:rsidP="00485B78">
      <w:pPr>
        <w:keepNext w:val="0"/>
        <w:ind w:firstLine="708"/>
        <w:jc w:val="center"/>
      </w:pPr>
    </w:p>
    <w:p w:rsidR="001748E1" w:rsidRDefault="001748E1" w:rsidP="00485B78">
      <w:pPr>
        <w:keepNext w:val="0"/>
        <w:ind w:firstLine="708"/>
        <w:jc w:val="center"/>
      </w:pPr>
    </w:p>
    <w:p w:rsidR="001748E1" w:rsidRDefault="001748E1" w:rsidP="00485B78">
      <w:pPr>
        <w:keepNext w:val="0"/>
        <w:ind w:firstLine="708"/>
        <w:jc w:val="center"/>
      </w:pPr>
    </w:p>
    <w:p w:rsidR="001748E1" w:rsidRDefault="001748E1" w:rsidP="00485B78">
      <w:pPr>
        <w:keepNext w:val="0"/>
        <w:ind w:firstLine="708"/>
        <w:jc w:val="center"/>
      </w:pPr>
    </w:p>
    <w:p w:rsidR="001748E1" w:rsidRDefault="001748E1" w:rsidP="00485B78">
      <w:pPr>
        <w:keepNext w:val="0"/>
        <w:ind w:firstLine="708"/>
        <w:jc w:val="center"/>
      </w:pPr>
    </w:p>
    <w:p w:rsidR="001748E1" w:rsidRDefault="001748E1" w:rsidP="00485B78">
      <w:pPr>
        <w:keepNext w:val="0"/>
        <w:ind w:firstLine="708"/>
        <w:jc w:val="center"/>
      </w:pPr>
    </w:p>
    <w:p w:rsidR="001748E1" w:rsidRDefault="001748E1" w:rsidP="00485B78">
      <w:pPr>
        <w:keepNext w:val="0"/>
        <w:ind w:firstLine="708"/>
        <w:jc w:val="center"/>
      </w:pPr>
    </w:p>
    <w:p w:rsidR="001748E1" w:rsidRDefault="001748E1" w:rsidP="00485B78">
      <w:pPr>
        <w:keepNext w:val="0"/>
        <w:ind w:firstLine="708"/>
        <w:jc w:val="center"/>
      </w:pPr>
    </w:p>
    <w:p w:rsidR="001748E1" w:rsidRDefault="001748E1" w:rsidP="00485B78">
      <w:pPr>
        <w:keepNext w:val="0"/>
        <w:ind w:firstLine="708"/>
        <w:jc w:val="center"/>
      </w:pPr>
    </w:p>
    <w:p w:rsidR="001748E1" w:rsidRDefault="001748E1" w:rsidP="00485B78">
      <w:pPr>
        <w:keepNext w:val="0"/>
        <w:ind w:firstLine="708"/>
        <w:jc w:val="center"/>
      </w:pPr>
    </w:p>
    <w:p w:rsidR="001748E1" w:rsidRPr="00485B78" w:rsidRDefault="001748E1" w:rsidP="00485B78">
      <w:pPr>
        <w:keepNext w:val="0"/>
        <w:ind w:firstLine="708"/>
        <w:jc w:val="center"/>
        <w:rPr>
          <w:bCs/>
        </w:rPr>
      </w:pPr>
    </w:p>
    <w:tbl>
      <w:tblPr>
        <w:tblpPr w:leftFromText="141" w:rightFromText="141" w:vertAnchor="text" w:tblpY="1"/>
        <w:tblW w:w="5000" w:type="pct"/>
        <w:tblLook w:val="0400" w:firstRow="0" w:lastRow="0" w:firstColumn="0" w:lastColumn="0" w:noHBand="0" w:noVBand="1"/>
      </w:tblPr>
      <w:tblGrid>
        <w:gridCol w:w="1579"/>
        <w:gridCol w:w="2154"/>
        <w:gridCol w:w="4504"/>
        <w:gridCol w:w="479"/>
        <w:gridCol w:w="570"/>
      </w:tblGrid>
      <w:tr w:rsidR="001748E1" w:rsidRPr="0072210D" w:rsidTr="00F25AB9">
        <w:trPr>
          <w:trHeight w:val="406"/>
        </w:trPr>
        <w:tc>
          <w:tcPr>
            <w:tcW w:w="5000" w:type="pct"/>
            <w:gridSpan w:val="5"/>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pStyle w:val="Nadpis2"/>
              <w:spacing w:before="0"/>
              <w:rPr>
                <w:sz w:val="20"/>
                <w:szCs w:val="24"/>
              </w:rPr>
            </w:pPr>
            <w:r w:rsidRPr="0072210D">
              <w:rPr>
                <w:sz w:val="20"/>
                <w:szCs w:val="24"/>
              </w:rPr>
              <w:lastRenderedPageBreak/>
              <w:t>Správa o účasti verejnosti na tvorbe právneho predpisu</w:t>
            </w:r>
          </w:p>
          <w:p w:rsidR="001748E1" w:rsidRPr="0072210D" w:rsidRDefault="001748E1" w:rsidP="00F25AB9">
            <w:pPr>
              <w:spacing w:after="120"/>
              <w:jc w:val="center"/>
              <w:rPr>
                <w:b/>
                <w:sz w:val="18"/>
                <w:szCs w:val="18"/>
              </w:rPr>
            </w:pPr>
            <w:r w:rsidRPr="0072210D">
              <w:rPr>
                <w:b/>
                <w:sz w:val="20"/>
              </w:rPr>
              <w:t>Verejnosť sa zúčastňuje na tvorbe právneho predpisu</w:t>
            </w:r>
          </w:p>
        </w:tc>
      </w:tr>
      <w:tr w:rsidR="001748E1" w:rsidRPr="0072210D" w:rsidTr="00F25AB9">
        <w:trPr>
          <w:trHeight w:val="406"/>
        </w:trPr>
        <w:tc>
          <w:tcPr>
            <w:tcW w:w="850" w:type="pc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jc w:val="center"/>
              <w:rPr>
                <w:b/>
                <w:sz w:val="18"/>
                <w:szCs w:val="18"/>
              </w:rPr>
            </w:pPr>
            <w:r w:rsidRPr="0072210D">
              <w:rPr>
                <w:b/>
                <w:sz w:val="18"/>
                <w:szCs w:val="18"/>
              </w:rPr>
              <w:t>Fáza procesu</w:t>
            </w:r>
          </w:p>
        </w:tc>
        <w:tc>
          <w:tcPr>
            <w:tcW w:w="1160" w:type="pc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jc w:val="center"/>
              <w:rPr>
                <w:b/>
                <w:sz w:val="18"/>
                <w:szCs w:val="18"/>
              </w:rPr>
            </w:pPr>
            <w:r w:rsidRPr="0072210D">
              <w:rPr>
                <w:b/>
                <w:sz w:val="18"/>
                <w:szCs w:val="18"/>
              </w:rPr>
              <w:t>Subfáza</w:t>
            </w:r>
          </w:p>
        </w:tc>
        <w:tc>
          <w:tcPr>
            <w:tcW w:w="2425" w:type="pc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jc w:val="center"/>
              <w:rPr>
                <w:b/>
                <w:sz w:val="18"/>
                <w:szCs w:val="18"/>
              </w:rPr>
            </w:pPr>
            <w:r w:rsidRPr="0072210D">
              <w:rPr>
                <w:b/>
                <w:sz w:val="18"/>
                <w:szCs w:val="18"/>
              </w:rPr>
              <w:t>Kontrolná otázka</w:t>
            </w:r>
          </w:p>
        </w:tc>
        <w:tc>
          <w:tcPr>
            <w:tcW w:w="258" w:type="pc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jc w:val="center"/>
              <w:rPr>
                <w:b/>
                <w:sz w:val="18"/>
                <w:szCs w:val="18"/>
              </w:rPr>
            </w:pPr>
            <w:r w:rsidRPr="0072210D">
              <w:rPr>
                <w:b/>
                <w:sz w:val="18"/>
                <w:szCs w:val="18"/>
              </w:rPr>
              <w:t>A</w:t>
            </w:r>
          </w:p>
        </w:tc>
        <w:tc>
          <w:tcPr>
            <w:tcW w:w="307" w:type="pc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jc w:val="center"/>
              <w:rPr>
                <w:b/>
                <w:sz w:val="18"/>
                <w:szCs w:val="18"/>
              </w:rPr>
            </w:pPr>
            <w:r w:rsidRPr="0072210D">
              <w:rPr>
                <w:b/>
                <w:sz w:val="18"/>
                <w:szCs w:val="18"/>
              </w:rPr>
              <w:t>N</w:t>
            </w:r>
          </w:p>
        </w:tc>
      </w:tr>
      <w:tr w:rsidR="001748E1" w:rsidRPr="0072210D" w:rsidTr="00F25AB9">
        <w:trPr>
          <w:trHeight w:val="567"/>
        </w:trPr>
        <w:tc>
          <w:tcPr>
            <w:tcW w:w="850" w:type="pct"/>
            <w:vMerge w:val="restar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r w:rsidRPr="0072210D">
              <w:rPr>
                <w:b/>
                <w:sz w:val="20"/>
                <w:szCs w:val="20"/>
              </w:rPr>
              <w:t>1. Príprava tvorby právneho predpisu</w:t>
            </w:r>
          </w:p>
        </w:tc>
        <w:tc>
          <w:tcPr>
            <w:tcW w:w="1160" w:type="pc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r w:rsidRPr="0072210D">
              <w:rPr>
                <w:sz w:val="20"/>
                <w:szCs w:val="20"/>
              </w:rPr>
              <w:t>1.1 Identifikácia cieľa</w:t>
            </w:r>
          </w:p>
        </w:tc>
        <w:tc>
          <w:tcPr>
            <w:tcW w:w="2425" w:type="pc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highlight w:val="cyan"/>
              </w:rPr>
            </w:pPr>
            <w:r w:rsidRPr="0072210D">
              <w:rPr>
                <w:sz w:val="20"/>
                <w:szCs w:val="20"/>
              </w:rPr>
              <w:t>Bol zadefinovaný cieľ účasti verejnosti na tvorbe právneho predpisu?</w:t>
            </w:r>
          </w:p>
        </w:tc>
        <w:tc>
          <w:tcPr>
            <w:tcW w:w="258"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Pr>
                <w:rFonts w:ascii="MS Gothic" w:eastAsia="MS Gothic" w:hAnsi="MS Gothic" w:hint="eastAsia"/>
                <w:sz w:val="20"/>
                <w:szCs w:val="20"/>
              </w:rPr>
              <w:t>☐</w:t>
            </w:r>
          </w:p>
        </w:tc>
      </w:tr>
      <w:tr w:rsidR="001748E1" w:rsidRPr="0072210D" w:rsidTr="00F25AB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p>
        </w:tc>
        <w:tc>
          <w:tcPr>
            <w:tcW w:w="1160" w:type="pc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r w:rsidRPr="0072210D">
              <w:rPr>
                <w:sz w:val="20"/>
                <w:szCs w:val="20"/>
              </w:rPr>
              <w:t>1.2 Identifikácia problému a alternatív</w:t>
            </w:r>
          </w:p>
        </w:tc>
        <w:tc>
          <w:tcPr>
            <w:tcW w:w="2425" w:type="pc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r w:rsidRPr="0072210D">
              <w:rPr>
                <w:sz w:val="20"/>
                <w:szCs w:val="20"/>
              </w:rPr>
              <w:t>Bola vykonaná identifikácia problému a alternatív riešení?</w:t>
            </w:r>
          </w:p>
        </w:tc>
        <w:tc>
          <w:tcPr>
            <w:tcW w:w="258"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Pr>
                <w:rFonts w:ascii="MS Gothic" w:eastAsia="MS Gothic" w:hAnsi="MS Gothic" w:hint="eastAsia"/>
                <w:sz w:val="20"/>
                <w:szCs w:val="20"/>
              </w:rPr>
              <w:t>☐</w:t>
            </w:r>
          </w:p>
        </w:tc>
      </w:tr>
      <w:tr w:rsidR="001748E1" w:rsidRPr="0072210D" w:rsidTr="00F25AB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p>
        </w:tc>
        <w:tc>
          <w:tcPr>
            <w:tcW w:w="1160" w:type="pc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r w:rsidRPr="0072210D">
              <w:rPr>
                <w:sz w:val="20"/>
                <w:szCs w:val="20"/>
              </w:rPr>
              <w:t>1.3 Identifikácia zainteresovaných skupín a jednotlivcov</w:t>
            </w:r>
          </w:p>
        </w:tc>
        <w:tc>
          <w:tcPr>
            <w:tcW w:w="2425" w:type="pc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r w:rsidRPr="0072210D">
              <w:rPr>
                <w:sz w:val="20"/>
                <w:szCs w:val="20"/>
              </w:rPr>
              <w:t>Bola vykonaná identifikácia zainteresovaných skupín a jednotlivcov?</w:t>
            </w:r>
          </w:p>
        </w:tc>
        <w:tc>
          <w:tcPr>
            <w:tcW w:w="258"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sidRPr="00E42243">
              <w:rPr>
                <w:rFonts w:ascii="Segoe UI Symbol" w:eastAsia="MS Gothic" w:hAnsi="Segoe UI Symbol" w:cs="Segoe UI Symbol"/>
                <w:sz w:val="20"/>
                <w:szCs w:val="20"/>
              </w:rPr>
              <w:t>☐</w:t>
            </w:r>
          </w:p>
        </w:tc>
      </w:tr>
      <w:tr w:rsidR="001748E1" w:rsidRPr="0072210D" w:rsidTr="00F25AB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p>
        </w:tc>
        <w:tc>
          <w:tcPr>
            <w:tcW w:w="1160" w:type="pc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r w:rsidRPr="0072210D">
              <w:rPr>
                <w:sz w:val="20"/>
                <w:szCs w:val="20"/>
              </w:rPr>
              <w:t>1.4 Identifikácia záujmov zainteresovaných skupín a jednotlivcov</w:t>
            </w:r>
          </w:p>
        </w:tc>
        <w:tc>
          <w:tcPr>
            <w:tcW w:w="2425" w:type="pc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r w:rsidRPr="0072210D">
              <w:rPr>
                <w:sz w:val="20"/>
                <w:szCs w:val="20"/>
              </w:rPr>
              <w:t>Bola vykonaná identifikácia záujmov a možných konfliktov zainteresovaných skupín a jednotlivcov?</w:t>
            </w:r>
          </w:p>
        </w:tc>
        <w:tc>
          <w:tcPr>
            <w:tcW w:w="258"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sidRPr="00E42243">
              <w:rPr>
                <w:rFonts w:ascii="Segoe UI Symbol" w:eastAsia="MS Gothic" w:hAnsi="Segoe UI Symbol" w:cs="Segoe UI Symbol"/>
                <w:sz w:val="20"/>
                <w:szCs w:val="20"/>
              </w:rPr>
              <w:t>☐</w:t>
            </w:r>
          </w:p>
        </w:tc>
      </w:tr>
      <w:tr w:rsidR="001748E1" w:rsidRPr="0072210D" w:rsidTr="00F25AB9">
        <w:trPr>
          <w:trHeight w:val="567"/>
        </w:trPr>
        <w:tc>
          <w:tcPr>
            <w:tcW w:w="850" w:type="pct"/>
            <w:vMerge w:val="restar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r w:rsidRPr="0072210D">
              <w:rPr>
                <w:b/>
                <w:sz w:val="20"/>
                <w:szCs w:val="20"/>
              </w:rPr>
              <w:t>2. Informovanie verejnosti o tvorbe právneho predpisu</w:t>
            </w:r>
          </w:p>
        </w:tc>
        <w:tc>
          <w:tcPr>
            <w:tcW w:w="1160" w:type="pct"/>
            <w:vMerge w:val="restar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r w:rsidRPr="0072210D">
              <w:rPr>
                <w:sz w:val="20"/>
                <w:szCs w:val="20"/>
              </w:rPr>
              <w:t>2.1 Rozsah informácií</w:t>
            </w:r>
          </w:p>
        </w:tc>
        <w:tc>
          <w:tcPr>
            <w:tcW w:w="2425" w:type="pc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r w:rsidRPr="0072210D">
              <w:rPr>
                <w:sz w:val="20"/>
                <w:szCs w:val="20"/>
              </w:rPr>
              <w:t>Boli verejnosti poskytnuté informácie o probléme, ktorý má predmetný právny predpis riešiť?</w:t>
            </w:r>
          </w:p>
        </w:tc>
        <w:tc>
          <w:tcPr>
            <w:tcW w:w="258"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sidRPr="00E42243">
              <w:rPr>
                <w:rFonts w:ascii="Segoe UI Symbol" w:eastAsia="MS Gothic" w:hAnsi="Segoe UI Symbol" w:cs="Segoe UI Symbol"/>
                <w:sz w:val="20"/>
                <w:szCs w:val="20"/>
              </w:rPr>
              <w:t>☐</w:t>
            </w:r>
          </w:p>
        </w:tc>
      </w:tr>
      <w:tr w:rsidR="001748E1" w:rsidRPr="0072210D" w:rsidTr="00F25AB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i/>
                <w:sz w:val="20"/>
                <w:szCs w:val="20"/>
              </w:rPr>
            </w:pPr>
            <w:r w:rsidRPr="0072210D">
              <w:rPr>
                <w:sz w:val="20"/>
                <w:szCs w:val="20"/>
              </w:rPr>
              <w:t>Boli verejnosti poskytnuté informácie o cieli účasti verejnosti na tvorbe právneho predpisu spolu s časovým rámcom jeho tvorby?</w:t>
            </w:r>
          </w:p>
        </w:tc>
        <w:tc>
          <w:tcPr>
            <w:tcW w:w="258"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Pr>
                <w:rFonts w:ascii="MS Gothic" w:eastAsia="MS Gothic" w:hAnsi="MS Gothic" w:hint="eastAsia"/>
                <w:sz w:val="20"/>
                <w:szCs w:val="20"/>
              </w:rPr>
              <w:t>☐</w:t>
            </w:r>
          </w:p>
        </w:tc>
      </w:tr>
      <w:tr w:rsidR="001748E1" w:rsidRPr="0072210D" w:rsidTr="00F25AB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r w:rsidRPr="0072210D">
              <w:rPr>
                <w:sz w:val="20"/>
                <w:szCs w:val="20"/>
              </w:rPr>
              <w:t>Boli verejnosti poskytnuté informácie o plánovanom procese tvorby právneho predpisu?</w:t>
            </w:r>
          </w:p>
        </w:tc>
        <w:tc>
          <w:tcPr>
            <w:tcW w:w="258"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sidRPr="00E42243">
              <w:rPr>
                <w:rFonts w:ascii="Segoe UI Symbol" w:eastAsia="MS Gothic" w:hAnsi="Segoe UI Symbol" w:cs="Segoe UI Symbol"/>
                <w:sz w:val="20"/>
                <w:szCs w:val="20"/>
              </w:rPr>
              <w:t>☐</w:t>
            </w:r>
          </w:p>
        </w:tc>
      </w:tr>
      <w:tr w:rsidR="001748E1" w:rsidRPr="0072210D" w:rsidTr="00F25AB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p>
        </w:tc>
        <w:tc>
          <w:tcPr>
            <w:tcW w:w="1160" w:type="pct"/>
            <w:vMerge w:val="restar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r w:rsidRPr="0072210D">
              <w:rPr>
                <w:sz w:val="20"/>
                <w:szCs w:val="20"/>
              </w:rPr>
              <w:t>2.2 Kontinuita informovania</w:t>
            </w:r>
          </w:p>
        </w:tc>
        <w:tc>
          <w:tcPr>
            <w:tcW w:w="2425" w:type="pc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r w:rsidRPr="0072210D">
              <w:rPr>
                <w:sz w:val="20"/>
                <w:szCs w:val="20"/>
              </w:rPr>
              <w:t>Boli verejnosti poskytnuté relevantné informácie pred začatím tvorby právneho predpisu?</w:t>
            </w:r>
          </w:p>
        </w:tc>
        <w:tc>
          <w:tcPr>
            <w:tcW w:w="258"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sidRPr="00E42243">
              <w:rPr>
                <w:rFonts w:ascii="Segoe UI Symbol" w:eastAsia="MS Gothic" w:hAnsi="Segoe UI Symbol" w:cs="Segoe UI Symbol"/>
                <w:sz w:val="20"/>
                <w:szCs w:val="20"/>
              </w:rPr>
              <w:t>☐</w:t>
            </w:r>
          </w:p>
        </w:tc>
      </w:tr>
      <w:tr w:rsidR="001748E1" w:rsidRPr="0072210D" w:rsidTr="00F25AB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r w:rsidRPr="0072210D">
              <w:rPr>
                <w:sz w:val="20"/>
                <w:szCs w:val="20"/>
              </w:rPr>
              <w:t>Boli verejnosti poskytnuté relevantné informácie počas tvorby právneho predpisu?</w:t>
            </w:r>
          </w:p>
        </w:tc>
        <w:tc>
          <w:tcPr>
            <w:tcW w:w="258"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Pr>
                <w:rFonts w:ascii="MS Gothic" w:eastAsia="MS Gothic" w:hAnsi="MS Gothic" w:hint="eastAsia"/>
                <w:sz w:val="20"/>
                <w:szCs w:val="20"/>
              </w:rPr>
              <w:t>☐</w:t>
            </w:r>
          </w:p>
        </w:tc>
      </w:tr>
      <w:tr w:rsidR="001748E1" w:rsidRPr="0072210D" w:rsidTr="00F25AB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r w:rsidRPr="0072210D">
              <w:rPr>
                <w:sz w:val="20"/>
                <w:szCs w:val="20"/>
              </w:rPr>
              <w:t>Boli verejnosti poskytnuté relevantné informácie aj po ukončení tvorby právneho predpisu?</w:t>
            </w:r>
          </w:p>
        </w:tc>
        <w:tc>
          <w:tcPr>
            <w:tcW w:w="258"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Pr>
                <w:rFonts w:ascii="MS Gothic" w:eastAsia="MS Gothic" w:hAnsi="MS Gothic" w:hint="eastAsia"/>
                <w:sz w:val="20"/>
                <w:szCs w:val="20"/>
              </w:rPr>
              <w:t>☐</w:t>
            </w:r>
          </w:p>
        </w:tc>
      </w:tr>
      <w:tr w:rsidR="001748E1" w:rsidRPr="0072210D" w:rsidTr="00F25AB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p>
        </w:tc>
        <w:tc>
          <w:tcPr>
            <w:tcW w:w="1160" w:type="pct"/>
            <w:vMerge w:val="restar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r w:rsidRPr="0072210D">
              <w:rPr>
                <w:sz w:val="20"/>
                <w:szCs w:val="20"/>
              </w:rPr>
              <w:t>2.3 Kvalita a včasnosť informácií</w:t>
            </w:r>
          </w:p>
        </w:tc>
        <w:tc>
          <w:tcPr>
            <w:tcW w:w="2425" w:type="pc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r w:rsidRPr="0072210D">
              <w:rPr>
                <w:sz w:val="20"/>
                <w:szCs w:val="20"/>
              </w:rPr>
              <w:t>Boli relevantné informácie o tvorbe právneho predpisu verejnosti poskytnuté včas?</w:t>
            </w:r>
          </w:p>
        </w:tc>
        <w:tc>
          <w:tcPr>
            <w:tcW w:w="258"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sidRPr="00E42243">
              <w:rPr>
                <w:rFonts w:ascii="Segoe UI Symbol" w:eastAsia="MS Gothic" w:hAnsi="Segoe UI Symbol" w:cs="Segoe UI Symbol"/>
                <w:sz w:val="20"/>
                <w:szCs w:val="20"/>
              </w:rPr>
              <w:t>☐</w:t>
            </w:r>
          </w:p>
        </w:tc>
      </w:tr>
      <w:tr w:rsidR="001748E1" w:rsidRPr="0072210D" w:rsidTr="00F25AB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highlight w:val="cyan"/>
              </w:rPr>
            </w:pPr>
            <w:r w:rsidRPr="0072210D">
              <w:rPr>
                <w:sz w:val="20"/>
                <w:szCs w:val="20"/>
              </w:rPr>
              <w:t>Boli relevantné informácie o tvorbe právneho predpisu a o samotnom právnom predpise poskytnuté vo vyhovujúcej technickej kvalite?</w:t>
            </w:r>
          </w:p>
        </w:tc>
        <w:tc>
          <w:tcPr>
            <w:tcW w:w="258"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sidRPr="00E42243">
              <w:rPr>
                <w:rFonts w:ascii="Segoe UI Symbol" w:eastAsia="MS Gothic" w:hAnsi="Segoe UI Symbol" w:cs="Segoe UI Symbol"/>
                <w:sz w:val="20"/>
                <w:szCs w:val="20"/>
              </w:rPr>
              <w:t>☐</w:t>
            </w:r>
          </w:p>
        </w:tc>
      </w:tr>
      <w:tr w:rsidR="001748E1" w:rsidRPr="0072210D" w:rsidTr="00F25AB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p>
        </w:tc>
        <w:tc>
          <w:tcPr>
            <w:tcW w:w="1160" w:type="pc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r w:rsidRPr="0072210D">
              <w:rPr>
                <w:sz w:val="20"/>
                <w:szCs w:val="20"/>
              </w:rPr>
              <w:t>2.4 Adresnosť informácií</w:t>
            </w:r>
          </w:p>
        </w:tc>
        <w:tc>
          <w:tcPr>
            <w:tcW w:w="2425" w:type="pc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r w:rsidRPr="0072210D">
              <w:rPr>
                <w:sz w:val="20"/>
                <w:szCs w:val="20"/>
              </w:rPr>
              <w:t>Boli zvolené komunikačné kanály dostatočné vzhľadom na prenos relevantných informácií o</w:t>
            </w:r>
            <w:r w:rsidR="00211FA4">
              <w:rPr>
                <w:sz w:val="20"/>
                <w:szCs w:val="20"/>
              </w:rPr>
              <w:t xml:space="preserve"> </w:t>
            </w:r>
            <w:r w:rsidRPr="0072210D">
              <w:rPr>
                <w:sz w:val="20"/>
                <w:szCs w:val="20"/>
              </w:rPr>
              <w:t>právnom predpise smerom k verejnosti?</w:t>
            </w:r>
          </w:p>
        </w:tc>
        <w:tc>
          <w:tcPr>
            <w:tcW w:w="258"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Pr>
                <w:rFonts w:ascii="MS Gothic" w:eastAsia="MS Gothic" w:hAnsi="MS Gothic" w:hint="eastAsia"/>
                <w:sz w:val="20"/>
                <w:szCs w:val="20"/>
              </w:rPr>
              <w:t>☐</w:t>
            </w:r>
          </w:p>
        </w:tc>
      </w:tr>
      <w:tr w:rsidR="001748E1" w:rsidRPr="0072210D" w:rsidTr="00F25AB9">
        <w:trPr>
          <w:trHeight w:val="567"/>
        </w:trPr>
        <w:tc>
          <w:tcPr>
            <w:tcW w:w="850" w:type="pct"/>
            <w:vMerge w:val="restar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r w:rsidRPr="0072210D">
              <w:rPr>
                <w:b/>
                <w:sz w:val="20"/>
                <w:szCs w:val="20"/>
              </w:rPr>
              <w:t>3. Účasť verejnosti na tvorbe právneho predpisu</w:t>
            </w:r>
          </w:p>
        </w:tc>
        <w:tc>
          <w:tcPr>
            <w:tcW w:w="1160" w:type="pc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r w:rsidRPr="0072210D">
              <w:rPr>
                <w:sz w:val="20"/>
                <w:szCs w:val="20"/>
              </w:rPr>
              <w:t>3.1 Jasné zadanie procesu tvorby právneho predpisu</w:t>
            </w:r>
          </w:p>
        </w:tc>
        <w:tc>
          <w:tcPr>
            <w:tcW w:w="2425" w:type="pc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r w:rsidRPr="0072210D">
              <w:rPr>
                <w:sz w:val="20"/>
                <w:szCs w:val="20"/>
              </w:rPr>
              <w:t>Bol zadefinovaný základný rámec procesu tvorby právneho predpisu?</w:t>
            </w:r>
          </w:p>
        </w:tc>
        <w:tc>
          <w:tcPr>
            <w:tcW w:w="258"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sidRPr="00E42243">
              <w:rPr>
                <w:rFonts w:ascii="Segoe UI Symbol" w:eastAsia="MS Gothic" w:hAnsi="Segoe UI Symbol" w:cs="Segoe UI Symbol"/>
                <w:sz w:val="20"/>
                <w:szCs w:val="20"/>
              </w:rPr>
              <w:t>☐</w:t>
            </w:r>
          </w:p>
        </w:tc>
      </w:tr>
      <w:tr w:rsidR="001748E1" w:rsidRPr="0072210D" w:rsidTr="00F25AB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p>
        </w:tc>
        <w:tc>
          <w:tcPr>
            <w:tcW w:w="1160" w:type="pct"/>
            <w:vMerge w:val="restar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r w:rsidRPr="0072210D">
              <w:rPr>
                <w:sz w:val="20"/>
                <w:szCs w:val="20"/>
              </w:rPr>
              <w:t>3.2 Zapojení aktéri</w:t>
            </w:r>
          </w:p>
        </w:tc>
        <w:tc>
          <w:tcPr>
            <w:tcW w:w="2425" w:type="pc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r w:rsidRPr="0072210D">
              <w:rPr>
                <w:sz w:val="20"/>
                <w:szCs w:val="20"/>
              </w:rPr>
              <w:t>Predstavujú zapojení aktéri reprezentatívnu vzorku zainteresovaných skupín a jednotlivcov?</w:t>
            </w:r>
          </w:p>
        </w:tc>
        <w:tc>
          <w:tcPr>
            <w:tcW w:w="258"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sidRPr="00E42243">
              <w:rPr>
                <w:rFonts w:ascii="Segoe UI Symbol" w:eastAsia="MS Gothic" w:hAnsi="Segoe UI Symbol" w:cs="Segoe UI Symbol"/>
                <w:sz w:val="20"/>
                <w:szCs w:val="20"/>
              </w:rPr>
              <w:t>☐</w:t>
            </w:r>
          </w:p>
        </w:tc>
      </w:tr>
      <w:tr w:rsidR="001748E1" w:rsidRPr="0072210D" w:rsidTr="00F25AB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r w:rsidRPr="0072210D">
              <w:rPr>
                <w:sz w:val="20"/>
                <w:szCs w:val="20"/>
              </w:rPr>
              <w:t>Reprezentujú zapojení aktéri celkovú heterogenitu zainteresovaných skupín a jednotlivcov?</w:t>
            </w:r>
          </w:p>
        </w:tc>
        <w:tc>
          <w:tcPr>
            <w:tcW w:w="258"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Pr>
                <w:rFonts w:ascii="MS Gothic" w:eastAsia="MS Gothic" w:hAnsi="MS Gothic" w:hint="eastAsia"/>
                <w:sz w:val="20"/>
                <w:szCs w:val="20"/>
              </w:rPr>
              <w:t>☐</w:t>
            </w:r>
          </w:p>
        </w:tc>
      </w:tr>
      <w:tr w:rsidR="001748E1" w:rsidRPr="0072210D" w:rsidTr="00F25AB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p>
        </w:tc>
        <w:tc>
          <w:tcPr>
            <w:tcW w:w="1160" w:type="pct"/>
            <w:vMerge w:val="restar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r w:rsidRPr="0072210D">
              <w:rPr>
                <w:sz w:val="20"/>
                <w:szCs w:val="20"/>
              </w:rPr>
              <w:t>3.3 Spätná väzba</w:t>
            </w:r>
          </w:p>
        </w:tc>
        <w:tc>
          <w:tcPr>
            <w:tcW w:w="2425" w:type="pc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r w:rsidRPr="0072210D">
              <w:rPr>
                <w:sz w:val="20"/>
                <w:szCs w:val="20"/>
              </w:rPr>
              <w:t xml:space="preserve">Bola zapojeným aktérom odoslaná spätná väzba ako bolo s ich návrhom naložené? </w:t>
            </w:r>
          </w:p>
        </w:tc>
        <w:tc>
          <w:tcPr>
            <w:tcW w:w="258"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Pr>
                <w:rFonts w:ascii="MS Gothic" w:eastAsia="MS Gothic" w:hAnsi="MS Gothic" w:hint="eastAsia"/>
                <w:sz w:val="20"/>
                <w:szCs w:val="20"/>
              </w:rPr>
              <w:t>☐</w:t>
            </w:r>
          </w:p>
        </w:tc>
      </w:tr>
      <w:tr w:rsidR="001748E1" w:rsidRPr="0072210D" w:rsidTr="00F25AB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r w:rsidRPr="0072210D">
              <w:rPr>
                <w:sz w:val="20"/>
                <w:szCs w:val="20"/>
              </w:rPr>
              <w:t>Indikujú zapojení aktéri spokojnosť s vyhodnotením ich návrhov k právnemu predpisu?</w:t>
            </w:r>
          </w:p>
        </w:tc>
        <w:tc>
          <w:tcPr>
            <w:tcW w:w="258"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Pr>
                <w:rFonts w:ascii="MS Gothic" w:eastAsia="MS Gothic" w:hAnsi="MS Gothic" w:hint="eastAsia"/>
                <w:sz w:val="20"/>
                <w:szCs w:val="20"/>
              </w:rPr>
              <w:t>☐</w:t>
            </w:r>
          </w:p>
        </w:tc>
      </w:tr>
      <w:tr w:rsidR="001748E1" w:rsidRPr="0072210D" w:rsidTr="00F25AB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p>
        </w:tc>
        <w:tc>
          <w:tcPr>
            <w:tcW w:w="1160" w:type="pct"/>
            <w:vMerge w:val="restar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r w:rsidRPr="0072210D">
              <w:rPr>
                <w:sz w:val="20"/>
                <w:szCs w:val="20"/>
              </w:rPr>
              <w:t>3.4 Zapracovanie návrhov zapojených aktérov</w:t>
            </w:r>
          </w:p>
        </w:tc>
        <w:tc>
          <w:tcPr>
            <w:tcW w:w="2425" w:type="pc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r w:rsidRPr="0072210D">
              <w:rPr>
                <w:sz w:val="20"/>
                <w:szCs w:val="20"/>
              </w:rPr>
              <w:t>Boli návrhy zo strany zapojených aktérov zapracované do návrhu právneho predpisu?</w:t>
            </w:r>
          </w:p>
        </w:tc>
        <w:tc>
          <w:tcPr>
            <w:tcW w:w="258"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Pr>
                <w:rFonts w:ascii="MS Gothic" w:eastAsia="MS Gothic" w:hAnsi="MS Gothic" w:hint="eastAsia"/>
                <w:sz w:val="20"/>
                <w:szCs w:val="20"/>
              </w:rPr>
              <w:t>☐</w:t>
            </w:r>
          </w:p>
        </w:tc>
      </w:tr>
      <w:tr w:rsidR="001748E1" w:rsidRPr="0072210D" w:rsidTr="00F25AB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r w:rsidRPr="0072210D">
              <w:rPr>
                <w:sz w:val="20"/>
                <w:szCs w:val="20"/>
              </w:rPr>
              <w:t>Indikujú zapojení aktéri, že ich návrh ovplyvnil konečnú podobu právneho predpisu?</w:t>
            </w:r>
          </w:p>
        </w:tc>
        <w:tc>
          <w:tcPr>
            <w:tcW w:w="258"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Pr>
                <w:rFonts w:ascii="MS Gothic" w:eastAsia="MS Gothic" w:hAnsi="MS Gothic" w:hint="eastAsia"/>
                <w:sz w:val="20"/>
                <w:szCs w:val="20"/>
              </w:rPr>
              <w:t>☐</w:t>
            </w:r>
          </w:p>
        </w:tc>
      </w:tr>
      <w:tr w:rsidR="001748E1" w:rsidRPr="0072210D" w:rsidTr="00F25AB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p>
        </w:tc>
        <w:tc>
          <w:tcPr>
            <w:tcW w:w="1160" w:type="pct"/>
            <w:vMerge w:val="restar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r w:rsidRPr="0072210D">
              <w:rPr>
                <w:sz w:val="20"/>
                <w:szCs w:val="20"/>
              </w:rPr>
              <w:t>3.5 Naplnenie cieľov a očakávaní</w:t>
            </w:r>
          </w:p>
        </w:tc>
        <w:tc>
          <w:tcPr>
            <w:tcW w:w="2425" w:type="pc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r w:rsidRPr="0072210D">
              <w:rPr>
                <w:sz w:val="20"/>
                <w:szCs w:val="20"/>
              </w:rPr>
              <w:t>Boli splnené ciele a očakávania od účasti verejnosti na tvorbe právneho predpisu na strane predkladateľa právneho predpisu?</w:t>
            </w:r>
          </w:p>
        </w:tc>
        <w:tc>
          <w:tcPr>
            <w:tcW w:w="258"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sidRPr="00E42243">
              <w:rPr>
                <w:rFonts w:ascii="Segoe UI Symbol" w:eastAsia="MS Gothic" w:hAnsi="Segoe UI Symbol" w:cs="Segoe UI Symbol"/>
                <w:sz w:val="20"/>
                <w:szCs w:val="20"/>
              </w:rPr>
              <w:t>☐</w:t>
            </w:r>
          </w:p>
        </w:tc>
      </w:tr>
      <w:tr w:rsidR="001748E1" w:rsidRPr="0072210D" w:rsidTr="00F25AB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r w:rsidRPr="0072210D">
              <w:rPr>
                <w:sz w:val="20"/>
                <w:szCs w:val="20"/>
              </w:rPr>
              <w:t>Indikujú zapojení aktéri naplnenie svojich cieľov a očakávaní, s ktorými vstupovali do tvorby právneho predpisu?</w:t>
            </w:r>
          </w:p>
        </w:tc>
        <w:tc>
          <w:tcPr>
            <w:tcW w:w="258"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sidRPr="00E42243">
              <w:rPr>
                <w:rFonts w:ascii="Segoe UI Symbol" w:eastAsia="MS Gothic" w:hAnsi="Segoe UI Symbol" w:cs="Segoe UI Symbol"/>
                <w:sz w:val="20"/>
                <w:szCs w:val="20"/>
              </w:rPr>
              <w:t>☐</w:t>
            </w:r>
          </w:p>
        </w:tc>
      </w:tr>
      <w:tr w:rsidR="001748E1" w:rsidRPr="0072210D" w:rsidTr="00F25AB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p>
        </w:tc>
        <w:tc>
          <w:tcPr>
            <w:tcW w:w="1160" w:type="pct"/>
            <w:vMerge w:val="restar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r w:rsidRPr="0072210D">
              <w:rPr>
                <w:sz w:val="20"/>
                <w:szCs w:val="20"/>
              </w:rPr>
              <w:t>3.6 Formy procesu tvorby právneho predpisu</w:t>
            </w:r>
          </w:p>
        </w:tc>
        <w:tc>
          <w:tcPr>
            <w:tcW w:w="2425" w:type="pc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r w:rsidRPr="0072210D">
              <w:rPr>
                <w:sz w:val="20"/>
                <w:szCs w:val="20"/>
              </w:rPr>
              <w:t>Prispeli zvolené participatívne metódy k splneniu cieľa účasti verejnosti na tvorbe právneho predpisu?</w:t>
            </w:r>
          </w:p>
        </w:tc>
        <w:tc>
          <w:tcPr>
            <w:tcW w:w="258"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sidRPr="00E42243">
              <w:rPr>
                <w:rFonts w:ascii="Segoe UI Symbol" w:eastAsia="MS Gothic" w:hAnsi="Segoe UI Symbol" w:cs="Segoe UI Symbol"/>
                <w:sz w:val="20"/>
                <w:szCs w:val="20"/>
              </w:rPr>
              <w:t>☐</w:t>
            </w:r>
          </w:p>
        </w:tc>
      </w:tr>
      <w:tr w:rsidR="001748E1" w:rsidRPr="0072210D" w:rsidTr="00F25AB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r w:rsidRPr="0072210D">
              <w:rPr>
                <w:sz w:val="20"/>
                <w:szCs w:val="20"/>
              </w:rPr>
              <w:t>Bola kvantita participatívnych metód adekvátna vzhľadom k povahe, komplexnosti a predmetu právneho predpisu?</w:t>
            </w:r>
          </w:p>
        </w:tc>
        <w:tc>
          <w:tcPr>
            <w:tcW w:w="258"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sidRPr="00E42243">
              <w:rPr>
                <w:rFonts w:ascii="Segoe UI Symbol" w:eastAsia="MS Gothic" w:hAnsi="Segoe UI Symbol" w:cs="Segoe UI Symbol"/>
                <w:sz w:val="20"/>
                <w:szCs w:val="20"/>
              </w:rPr>
              <w:t>☐</w:t>
            </w:r>
          </w:p>
        </w:tc>
      </w:tr>
      <w:tr w:rsidR="001748E1" w:rsidRPr="0072210D" w:rsidTr="00F25AB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r w:rsidRPr="0072210D">
              <w:rPr>
                <w:sz w:val="20"/>
                <w:szCs w:val="20"/>
              </w:rPr>
              <w:t>Indikujú zapojení aktéri spokojnosť s formou procesu tvorby právneho predpisu a so zvolenými participatívnymi metódami?</w:t>
            </w:r>
          </w:p>
        </w:tc>
        <w:tc>
          <w:tcPr>
            <w:tcW w:w="258"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sidRPr="00E42243">
              <w:rPr>
                <w:rFonts w:ascii="Segoe UI Symbol" w:eastAsia="MS Gothic" w:hAnsi="Segoe UI Symbol" w:cs="Segoe UI Symbol"/>
                <w:sz w:val="20"/>
                <w:szCs w:val="20"/>
              </w:rPr>
              <w:t>☐</w:t>
            </w:r>
          </w:p>
        </w:tc>
      </w:tr>
      <w:tr w:rsidR="001748E1" w:rsidRPr="0072210D" w:rsidTr="00F25AB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p>
        </w:tc>
        <w:tc>
          <w:tcPr>
            <w:tcW w:w="1160" w:type="pc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r w:rsidRPr="0072210D">
              <w:rPr>
                <w:sz w:val="20"/>
                <w:szCs w:val="20"/>
              </w:rPr>
              <w:t>3.7 Výstup procesu tvorby právneho predpisu</w:t>
            </w:r>
          </w:p>
        </w:tc>
        <w:tc>
          <w:tcPr>
            <w:tcW w:w="2425" w:type="pc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r w:rsidRPr="0072210D">
              <w:rPr>
                <w:sz w:val="20"/>
                <w:szCs w:val="20"/>
              </w:rPr>
              <w:t>Bolo zapojeným aktérom umožnené pripomienkovať správu o účasti verejnosti na tvorbe právneho predpisu?</w:t>
            </w:r>
          </w:p>
        </w:tc>
        <w:tc>
          <w:tcPr>
            <w:tcW w:w="258"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sidRPr="00E42243">
              <w:rPr>
                <w:rFonts w:ascii="Segoe UI Symbol" w:eastAsia="MS Gothic" w:hAnsi="Segoe UI Symbol" w:cs="Segoe UI Symbol"/>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Pr>
                <w:rFonts w:ascii="MS Gothic" w:eastAsia="MS Gothic" w:hAnsi="MS Gothic" w:hint="eastAsia"/>
                <w:sz w:val="20"/>
                <w:szCs w:val="20"/>
              </w:rPr>
              <w:t>☒</w:t>
            </w:r>
          </w:p>
        </w:tc>
      </w:tr>
      <w:tr w:rsidR="001748E1" w:rsidRPr="0072210D" w:rsidTr="00F25AB9">
        <w:trPr>
          <w:trHeight w:val="567"/>
        </w:trPr>
        <w:tc>
          <w:tcPr>
            <w:tcW w:w="850" w:type="pct"/>
            <w:vMerge w:val="restar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r w:rsidRPr="0072210D">
              <w:rPr>
                <w:b/>
                <w:sz w:val="20"/>
                <w:szCs w:val="20"/>
              </w:rPr>
              <w:t>4. Vyhodnotenie procesu tvorby právneho predpisu</w:t>
            </w:r>
          </w:p>
        </w:tc>
        <w:tc>
          <w:tcPr>
            <w:tcW w:w="1160" w:type="pct"/>
            <w:vMerge w:val="restar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r w:rsidRPr="0072210D">
              <w:rPr>
                <w:sz w:val="20"/>
                <w:szCs w:val="20"/>
              </w:rPr>
              <w:t>4.1 Hodnotenie procesu</w:t>
            </w:r>
          </w:p>
        </w:tc>
        <w:tc>
          <w:tcPr>
            <w:tcW w:w="2425" w:type="pc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r w:rsidRPr="0072210D">
              <w:rPr>
                <w:sz w:val="20"/>
                <w:szCs w:val="20"/>
              </w:rPr>
              <w:t>Bolo vykonané hodnotenie procesu tvorby právneho predpisu?</w:t>
            </w:r>
          </w:p>
        </w:tc>
        <w:tc>
          <w:tcPr>
            <w:tcW w:w="258"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Pr>
                <w:rFonts w:ascii="MS Gothic" w:eastAsia="MS Gothic" w:hAnsi="MS Gothic" w:hint="eastAsia"/>
                <w:sz w:val="20"/>
                <w:szCs w:val="20"/>
              </w:rPr>
              <w:t>☐</w:t>
            </w:r>
          </w:p>
        </w:tc>
      </w:tr>
      <w:tr w:rsidR="001748E1" w:rsidRPr="0072210D" w:rsidTr="00F25AB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r w:rsidRPr="0072210D">
              <w:rPr>
                <w:sz w:val="20"/>
                <w:szCs w:val="20"/>
              </w:rPr>
              <w:t>Bola zverejnená hodnotiaca správa procesu tvorby právneho predpisu?</w:t>
            </w:r>
          </w:p>
        </w:tc>
        <w:tc>
          <w:tcPr>
            <w:tcW w:w="258"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sidRPr="00E42243">
              <w:rPr>
                <w:rFonts w:ascii="Segoe UI Symbol" w:eastAsia="MS Gothic" w:hAnsi="Segoe UI Symbol" w:cs="Segoe UI Symbol"/>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Pr>
                <w:rFonts w:ascii="MS Gothic" w:eastAsia="MS Gothic" w:hAnsi="MS Gothic" w:hint="eastAsia"/>
                <w:sz w:val="20"/>
                <w:szCs w:val="20"/>
              </w:rPr>
              <w:t>☒</w:t>
            </w:r>
          </w:p>
        </w:tc>
      </w:tr>
      <w:tr w:rsidR="001748E1" w:rsidRPr="0072210D" w:rsidTr="00F25AB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p>
        </w:tc>
        <w:tc>
          <w:tcPr>
            <w:tcW w:w="2425" w:type="pct"/>
            <w:tcBorders>
              <w:top w:val="single" w:sz="4" w:space="0" w:color="auto"/>
              <w:left w:val="single" w:sz="4" w:space="0" w:color="auto"/>
              <w:bottom w:val="single" w:sz="4" w:space="0" w:color="auto"/>
              <w:right w:val="single" w:sz="4" w:space="0" w:color="auto"/>
            </w:tcBorders>
            <w:vAlign w:val="center"/>
            <w:hideMark/>
          </w:tcPr>
          <w:p w:rsidR="001748E1" w:rsidRPr="0072210D" w:rsidRDefault="001748E1" w:rsidP="00F25AB9">
            <w:pPr>
              <w:rPr>
                <w:sz w:val="20"/>
                <w:szCs w:val="20"/>
              </w:rPr>
            </w:pPr>
            <w:r w:rsidRPr="0072210D">
              <w:rPr>
                <w:sz w:val="20"/>
                <w:szCs w:val="20"/>
              </w:rPr>
              <w:t>Bol splnený cieľ účasti verejnosti na tvorbe právneho predpisu?</w:t>
            </w:r>
          </w:p>
        </w:tc>
        <w:tc>
          <w:tcPr>
            <w:tcW w:w="258"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Pr>
                <w:rFonts w:ascii="MS Gothic" w:eastAsia="MS Gothic" w:hAnsi="MS Gothic" w:hint="eastAsia"/>
                <w:sz w:val="20"/>
                <w:szCs w:val="20"/>
              </w:rPr>
              <w:t>☒</w:t>
            </w:r>
          </w:p>
        </w:tc>
        <w:tc>
          <w:tcPr>
            <w:tcW w:w="307" w:type="pct"/>
            <w:tcBorders>
              <w:top w:val="single" w:sz="4" w:space="0" w:color="auto"/>
              <w:left w:val="single" w:sz="4" w:space="0" w:color="auto"/>
              <w:bottom w:val="single" w:sz="4" w:space="0" w:color="auto"/>
              <w:right w:val="single" w:sz="4" w:space="0" w:color="auto"/>
            </w:tcBorders>
            <w:vAlign w:val="center"/>
          </w:tcPr>
          <w:p w:rsidR="001748E1" w:rsidRPr="0072210D" w:rsidRDefault="001748E1" w:rsidP="00F25AB9">
            <w:pPr>
              <w:rPr>
                <w:sz w:val="20"/>
                <w:szCs w:val="20"/>
              </w:rPr>
            </w:pPr>
            <w:r w:rsidRPr="00E42243">
              <w:rPr>
                <w:rFonts w:ascii="Segoe UI Symbol" w:eastAsia="MS Gothic" w:hAnsi="Segoe UI Symbol" w:cs="Segoe UI Symbol"/>
                <w:sz w:val="20"/>
                <w:szCs w:val="20"/>
              </w:rPr>
              <w:t>☐</w:t>
            </w:r>
          </w:p>
        </w:tc>
      </w:tr>
    </w:tbl>
    <w:p w:rsidR="00485B78" w:rsidRDefault="00485B78" w:rsidP="00E97D3B">
      <w:pPr>
        <w:rPr>
          <w:b/>
        </w:rPr>
      </w:pPr>
    </w:p>
    <w:p w:rsidR="00485B78" w:rsidRDefault="00485B78" w:rsidP="00E97D3B">
      <w:pPr>
        <w:rPr>
          <w:b/>
        </w:rPr>
      </w:pPr>
    </w:p>
    <w:p w:rsidR="00485B78" w:rsidRDefault="00485B78" w:rsidP="00E97D3B">
      <w:pPr>
        <w:rPr>
          <w:b/>
        </w:rPr>
      </w:pPr>
    </w:p>
    <w:p w:rsidR="00485B78" w:rsidRDefault="00485B78" w:rsidP="00E97D3B">
      <w:pPr>
        <w:rPr>
          <w:b/>
        </w:rPr>
      </w:pPr>
    </w:p>
    <w:p w:rsidR="00485B78" w:rsidRDefault="00485B78" w:rsidP="00E97D3B">
      <w:pPr>
        <w:rPr>
          <w:b/>
        </w:rPr>
      </w:pPr>
    </w:p>
    <w:p w:rsidR="00485B78" w:rsidRDefault="00485B78" w:rsidP="00E97D3B">
      <w:pPr>
        <w:rPr>
          <w:b/>
        </w:rPr>
      </w:pPr>
    </w:p>
    <w:p w:rsidR="00485B78" w:rsidRDefault="00485B78" w:rsidP="00E97D3B">
      <w:pPr>
        <w:rPr>
          <w:b/>
        </w:rPr>
      </w:pPr>
    </w:p>
    <w:p w:rsidR="00485B78" w:rsidRDefault="00485B78" w:rsidP="00E97D3B">
      <w:pPr>
        <w:rPr>
          <w:b/>
        </w:rPr>
      </w:pPr>
    </w:p>
    <w:p w:rsidR="00E97D3B" w:rsidRDefault="00E97D3B" w:rsidP="00E97D3B">
      <w:pPr>
        <w:tabs>
          <w:tab w:val="num" w:pos="1080"/>
        </w:tabs>
        <w:jc w:val="left"/>
      </w:pPr>
    </w:p>
    <w:p w:rsidR="00E97D3B" w:rsidRDefault="00E97D3B" w:rsidP="00E97D3B">
      <w:pPr>
        <w:tabs>
          <w:tab w:val="num" w:pos="1080"/>
        </w:tabs>
        <w:jc w:val="left"/>
      </w:pPr>
    </w:p>
    <w:p w:rsidR="001748E1" w:rsidRDefault="001748E1" w:rsidP="00E97D3B">
      <w:pPr>
        <w:tabs>
          <w:tab w:val="num" w:pos="1080"/>
        </w:tabs>
        <w:jc w:val="left"/>
      </w:pPr>
    </w:p>
    <w:p w:rsidR="001748E1" w:rsidRDefault="001748E1" w:rsidP="00E97D3B">
      <w:pPr>
        <w:tabs>
          <w:tab w:val="num" w:pos="1080"/>
        </w:tabs>
        <w:jc w:val="left"/>
      </w:pPr>
    </w:p>
    <w:p w:rsidR="001748E1" w:rsidRDefault="001748E1" w:rsidP="00E97D3B">
      <w:pPr>
        <w:tabs>
          <w:tab w:val="num" w:pos="1080"/>
        </w:tabs>
        <w:jc w:val="left"/>
      </w:pPr>
    </w:p>
    <w:p w:rsidR="00E97D3B" w:rsidRDefault="00E97D3B" w:rsidP="00E97D3B">
      <w:pPr>
        <w:tabs>
          <w:tab w:val="num" w:pos="1080"/>
        </w:tabs>
        <w:jc w:val="left"/>
      </w:pPr>
    </w:p>
    <w:p w:rsidR="00E97D3B" w:rsidRDefault="00E97D3B" w:rsidP="00E97D3B">
      <w:pPr>
        <w:tabs>
          <w:tab w:val="num" w:pos="1080"/>
        </w:tabs>
        <w:jc w:val="left"/>
      </w:pPr>
    </w:p>
    <w:p w:rsidR="00E97D3B" w:rsidRPr="00375519" w:rsidRDefault="00E97D3B" w:rsidP="00E97D3B">
      <w:pPr>
        <w:tabs>
          <w:tab w:val="num" w:pos="1080"/>
        </w:tabs>
        <w:jc w:val="left"/>
      </w:pPr>
    </w:p>
    <w:sectPr w:rsidR="00E97D3B" w:rsidRPr="00375519" w:rsidSect="00211FA4">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98B" w:rsidRDefault="00BE598B">
      <w:r>
        <w:separator/>
      </w:r>
    </w:p>
  </w:endnote>
  <w:endnote w:type="continuationSeparator" w:id="0">
    <w:p w:rsidR="00BE598B" w:rsidRDefault="00BE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MS Gothic">
    <w:altName w:val="?l?r SVbN"/>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D0F" w:rsidRDefault="00D97D0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D97D0F" w:rsidRDefault="00D97D0F">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BA6" w:rsidRDefault="009B3BA6">
    <w:pPr>
      <w:pStyle w:val="Pta"/>
      <w:jc w:val="center"/>
    </w:pPr>
    <w:r>
      <w:fldChar w:fldCharType="begin"/>
    </w:r>
    <w:r>
      <w:instrText>PAGE   \* MERGEFORMAT</w:instrText>
    </w:r>
    <w:r>
      <w:fldChar w:fldCharType="separate"/>
    </w:r>
    <w:r w:rsidR="0012153A">
      <w:rPr>
        <w:noProof/>
      </w:rPr>
      <w:t>2</w:t>
    </w:r>
    <w:r>
      <w:fldChar w:fldCharType="end"/>
    </w:r>
  </w:p>
  <w:p w:rsidR="00D97D0F" w:rsidRPr="00ED780F" w:rsidRDefault="00D97D0F">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D0F" w:rsidRDefault="00D97D0F">
    <w:pPr>
      <w:pStyle w:val="Pta"/>
      <w:jc w:val="right"/>
    </w:pPr>
    <w:r>
      <w:fldChar w:fldCharType="begin"/>
    </w:r>
    <w:r>
      <w:instrText>PAGE   \* MERGEFORMAT</w:instrText>
    </w:r>
    <w:r>
      <w:fldChar w:fldCharType="separate"/>
    </w:r>
    <w:r>
      <w:rPr>
        <w:noProof/>
      </w:rPr>
      <w:t>0</w:t>
    </w:r>
    <w:r>
      <w:fldChar w:fldCharType="end"/>
    </w:r>
  </w:p>
  <w:p w:rsidR="00D97D0F" w:rsidRDefault="00D97D0F">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D0F" w:rsidRDefault="00D97D0F" w:rsidP="005F4A2D">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5</w:t>
    </w:r>
    <w:r>
      <w:rPr>
        <w:rStyle w:val="slostrany"/>
      </w:rPr>
      <w:fldChar w:fldCharType="end"/>
    </w:r>
  </w:p>
  <w:p w:rsidR="00D97D0F" w:rsidRDefault="00D97D0F" w:rsidP="005F4A2D">
    <w:pPr>
      <w:pStyle w:val="Pt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D0F" w:rsidRPr="00D823FF" w:rsidRDefault="00D97D0F" w:rsidP="00CE0E74">
    <w:pPr>
      <w:pStyle w:val="Pta"/>
      <w:jc w:val="center"/>
    </w:pPr>
    <w:r w:rsidRPr="00D823FF">
      <w:fldChar w:fldCharType="begin"/>
    </w:r>
    <w:r w:rsidRPr="00D823FF">
      <w:instrText>PAGE   \* MERGEFORMAT</w:instrText>
    </w:r>
    <w:r w:rsidRPr="00D823FF">
      <w:fldChar w:fldCharType="separate"/>
    </w:r>
    <w:r w:rsidR="0012153A">
      <w:rPr>
        <w:noProof/>
      </w:rPr>
      <w:t>22</w:t>
    </w:r>
    <w:r w:rsidRPr="00D823F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98B" w:rsidRDefault="00BE598B">
      <w:r>
        <w:separator/>
      </w:r>
    </w:p>
  </w:footnote>
  <w:footnote w:type="continuationSeparator" w:id="0">
    <w:p w:rsidR="00BE598B" w:rsidRDefault="00BE5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D0F" w:rsidRDefault="00D97D0F" w:rsidP="00D97D0F">
    <w:pPr>
      <w:pStyle w:val="Hlavika"/>
      <w:jc w:val="right"/>
    </w:pPr>
    <w:r>
      <w:t>Príloha č. 2</w:t>
    </w:r>
  </w:p>
  <w:p w:rsidR="00D97D0F" w:rsidRPr="00EB59C8" w:rsidRDefault="00D97D0F" w:rsidP="00D97D0F">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D0F" w:rsidRPr="0024067A" w:rsidRDefault="00D97D0F">
    <w:pPr>
      <w:pStyle w:val="Hlavika"/>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D0F" w:rsidRPr="000A15AE" w:rsidRDefault="00D97D0F" w:rsidP="00D97D0F">
    <w:pPr>
      <w:pStyle w:val="Hlavika"/>
      <w:jc w:val="right"/>
    </w:pPr>
    <w: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2855"/>
    <w:multiLevelType w:val="hybridMultilevel"/>
    <w:tmpl w:val="F3521904"/>
    <w:lvl w:ilvl="0" w:tplc="1C3202B0">
      <w:start w:val="1"/>
      <w:numFmt w:val="lowerLetter"/>
      <w:lvlText w:val="%1)"/>
      <w:lvlJc w:val="left"/>
      <w:pPr>
        <w:ind w:left="1419" w:hanging="360"/>
      </w:pPr>
      <w:rPr>
        <w:rFonts w:ascii="Times New Roman" w:eastAsia="Times New Roman" w:hAnsi="Times New Roman" w:cs="Times New Roman"/>
      </w:rPr>
    </w:lvl>
    <w:lvl w:ilvl="1" w:tplc="041B0019" w:tentative="1">
      <w:start w:val="1"/>
      <w:numFmt w:val="lowerLetter"/>
      <w:lvlText w:val="%2."/>
      <w:lvlJc w:val="left"/>
      <w:pPr>
        <w:ind w:left="2139" w:hanging="360"/>
      </w:pPr>
      <w:rPr>
        <w:rFonts w:cs="Times New Roman"/>
      </w:rPr>
    </w:lvl>
    <w:lvl w:ilvl="2" w:tplc="041B001B" w:tentative="1">
      <w:start w:val="1"/>
      <w:numFmt w:val="lowerRoman"/>
      <w:lvlText w:val="%3."/>
      <w:lvlJc w:val="right"/>
      <w:pPr>
        <w:ind w:left="2859" w:hanging="180"/>
      </w:pPr>
      <w:rPr>
        <w:rFonts w:cs="Times New Roman"/>
      </w:rPr>
    </w:lvl>
    <w:lvl w:ilvl="3" w:tplc="041B000F" w:tentative="1">
      <w:start w:val="1"/>
      <w:numFmt w:val="decimal"/>
      <w:lvlText w:val="%4."/>
      <w:lvlJc w:val="left"/>
      <w:pPr>
        <w:ind w:left="3579" w:hanging="360"/>
      </w:pPr>
      <w:rPr>
        <w:rFonts w:cs="Times New Roman"/>
      </w:rPr>
    </w:lvl>
    <w:lvl w:ilvl="4" w:tplc="041B0019" w:tentative="1">
      <w:start w:val="1"/>
      <w:numFmt w:val="lowerLetter"/>
      <w:lvlText w:val="%5."/>
      <w:lvlJc w:val="left"/>
      <w:pPr>
        <w:ind w:left="4299" w:hanging="360"/>
      </w:pPr>
      <w:rPr>
        <w:rFonts w:cs="Times New Roman"/>
      </w:rPr>
    </w:lvl>
    <w:lvl w:ilvl="5" w:tplc="041B001B" w:tentative="1">
      <w:start w:val="1"/>
      <w:numFmt w:val="lowerRoman"/>
      <w:lvlText w:val="%6."/>
      <w:lvlJc w:val="right"/>
      <w:pPr>
        <w:ind w:left="5019" w:hanging="180"/>
      </w:pPr>
      <w:rPr>
        <w:rFonts w:cs="Times New Roman"/>
      </w:rPr>
    </w:lvl>
    <w:lvl w:ilvl="6" w:tplc="041B000F" w:tentative="1">
      <w:start w:val="1"/>
      <w:numFmt w:val="decimal"/>
      <w:lvlText w:val="%7."/>
      <w:lvlJc w:val="left"/>
      <w:pPr>
        <w:ind w:left="5739" w:hanging="360"/>
      </w:pPr>
      <w:rPr>
        <w:rFonts w:cs="Times New Roman"/>
      </w:rPr>
    </w:lvl>
    <w:lvl w:ilvl="7" w:tplc="041B0019" w:tentative="1">
      <w:start w:val="1"/>
      <w:numFmt w:val="lowerLetter"/>
      <w:lvlText w:val="%8."/>
      <w:lvlJc w:val="left"/>
      <w:pPr>
        <w:ind w:left="6459" w:hanging="360"/>
      </w:pPr>
      <w:rPr>
        <w:rFonts w:cs="Times New Roman"/>
      </w:rPr>
    </w:lvl>
    <w:lvl w:ilvl="8" w:tplc="041B001B" w:tentative="1">
      <w:start w:val="1"/>
      <w:numFmt w:val="lowerRoman"/>
      <w:lvlText w:val="%9."/>
      <w:lvlJc w:val="right"/>
      <w:pPr>
        <w:ind w:left="7179" w:hanging="180"/>
      </w:pPr>
      <w:rPr>
        <w:rFonts w:cs="Times New Roman"/>
      </w:rPr>
    </w:lvl>
  </w:abstractNum>
  <w:abstractNum w:abstractNumId="1" w15:restartNumberingAfterBreak="0">
    <w:nsid w:val="1F50090C"/>
    <w:multiLevelType w:val="hybridMultilevel"/>
    <w:tmpl w:val="028CEC8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242B2CAF"/>
    <w:multiLevelType w:val="hybridMultilevel"/>
    <w:tmpl w:val="8E2A5CE4"/>
    <w:lvl w:ilvl="0" w:tplc="2B0265F6">
      <w:start w:val="1"/>
      <w:numFmt w:val="lowerLetter"/>
      <w:lvlText w:val="%1)"/>
      <w:lvlJc w:val="left"/>
      <w:pPr>
        <w:ind w:left="1068" w:hanging="360"/>
      </w:pPr>
      <w:rPr>
        <w:rFonts w:ascii="Times New Roman" w:eastAsia="Times New Roman" w:hAnsi="Times New Roman" w:cs="Times New Roman"/>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 w15:restartNumberingAfterBreak="0">
    <w:nsid w:val="248F4C80"/>
    <w:multiLevelType w:val="hybridMultilevel"/>
    <w:tmpl w:val="3432D6E8"/>
    <w:lvl w:ilvl="0" w:tplc="2DB2675E">
      <w:start w:val="1"/>
      <w:numFmt w:val="lowerLetter"/>
      <w:lvlText w:val="%1)"/>
      <w:lvlJc w:val="left"/>
      <w:pPr>
        <w:ind w:left="360" w:hanging="360"/>
      </w:pPr>
      <w:rPr>
        <w:rFonts w:ascii="Times New Roman" w:eastAsia="Times New Roman" w:hAnsi="Times New Roman" w:cs="Times New Roman"/>
      </w:rPr>
    </w:lvl>
    <w:lvl w:ilvl="1" w:tplc="2AEAC862">
      <w:start w:val="1"/>
      <w:numFmt w:val="lowerLetter"/>
      <w:lvlText w:val="%2)"/>
      <w:lvlJc w:val="left"/>
      <w:pPr>
        <w:ind w:left="1080" w:hanging="360"/>
      </w:pPr>
      <w:rPr>
        <w:rFonts w:ascii="Times New Roman" w:eastAsia="Times New Roman" w:hAnsi="Times New Roman"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4" w15:restartNumberingAfterBreak="0">
    <w:nsid w:val="2792445F"/>
    <w:multiLevelType w:val="hybridMultilevel"/>
    <w:tmpl w:val="BECE9846"/>
    <w:lvl w:ilvl="0" w:tplc="F7C87428">
      <w:start w:val="1"/>
      <w:numFmt w:val="decimal"/>
      <w:pStyle w:val="odsek1"/>
      <w:lvlText w:val="(%1)"/>
      <w:lvlJc w:val="left"/>
      <w:pPr>
        <w:ind w:left="1429" w:hanging="360"/>
      </w:pPr>
      <w:rPr>
        <w:rFonts w:ascii="Times New Roman" w:hAnsi="Times New Roman" w:cs="Times New Roman" w:hint="default"/>
        <w:b w:val="0"/>
        <w:i w:val="0"/>
        <w:caps w:val="0"/>
        <w:strike w:val="0"/>
        <w:dstrike w:val="0"/>
        <w:outline w:val="0"/>
        <w:shadow w:val="0"/>
        <w:emboss w:val="0"/>
        <w:imprint w:val="0"/>
        <w:vanish w:val="0"/>
        <w:sz w:val="24"/>
        <w:vertAlign w:val="baseline"/>
      </w:rPr>
    </w:lvl>
    <w:lvl w:ilvl="1" w:tplc="51CC7F58"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5" w15:restartNumberingAfterBreak="0">
    <w:nsid w:val="3EAF6D70"/>
    <w:multiLevelType w:val="hybridMultilevel"/>
    <w:tmpl w:val="917E1D04"/>
    <w:lvl w:ilvl="0" w:tplc="8FD8CF68">
      <w:start w:val="1"/>
      <w:numFmt w:val="lowerLetter"/>
      <w:pStyle w:val="adda"/>
      <w:lvlText w:val="%1)"/>
      <w:lvlJc w:val="left"/>
      <w:pPr>
        <w:ind w:left="720" w:hanging="360"/>
      </w:pPr>
      <w:rPr>
        <w:rFonts w:cs="Times New Roman"/>
      </w:rPr>
    </w:lvl>
    <w:lvl w:ilvl="1" w:tplc="041B000F">
      <w:start w:val="1"/>
      <w:numFmt w:val="decimal"/>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5077324C"/>
    <w:multiLevelType w:val="hybridMultilevel"/>
    <w:tmpl w:val="C1BAA55A"/>
    <w:lvl w:ilvl="0" w:tplc="041B000F">
      <w:start w:val="1"/>
      <w:numFmt w:val="decimal"/>
      <w:lvlText w:val="%1."/>
      <w:lvlJc w:val="left"/>
      <w:pPr>
        <w:ind w:left="502"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54C25CB2"/>
    <w:multiLevelType w:val="hybridMultilevel"/>
    <w:tmpl w:val="C14066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69C5FEE"/>
    <w:multiLevelType w:val="hybridMultilevel"/>
    <w:tmpl w:val="0470BA3C"/>
    <w:lvl w:ilvl="0" w:tplc="E02CA0CE">
      <w:start w:val="1"/>
      <w:numFmt w:val="decimal"/>
      <w:pStyle w:val="a"/>
      <w:lvlText w:val="§ %1"/>
      <w:lvlJc w:val="left"/>
      <w:pPr>
        <w:ind w:left="720" w:hanging="360"/>
      </w:pPr>
      <w:rPr>
        <w:rFonts w:ascii="Times New Roman" w:hAnsi="Times New Roman" w:cs="Times New Roman" w:hint="default"/>
        <w:b/>
        <w:i w:val="0"/>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62EE15EA"/>
    <w:multiLevelType w:val="hybridMultilevel"/>
    <w:tmpl w:val="63FC24CE"/>
    <w:lvl w:ilvl="0" w:tplc="C13236CE">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786"/>
        </w:tabs>
        <w:ind w:left="786" w:hanging="360"/>
      </w:pPr>
      <w:rPr>
        <w:rFonts w:cs="Times New Roman"/>
      </w:rPr>
    </w:lvl>
    <w:lvl w:ilvl="2" w:tplc="7564F854">
      <w:start w:val="1"/>
      <w:numFmt w:val="decimal"/>
      <w:lvlText w:val="%3."/>
      <w:lvlJc w:val="center"/>
      <w:pPr>
        <w:tabs>
          <w:tab w:val="num" w:pos="2340"/>
        </w:tabs>
        <w:ind w:left="-180" w:firstLine="2160"/>
      </w:pPr>
      <w:rPr>
        <w:rFonts w:ascii="Times New Roman" w:hAnsi="Times New Roman" w:cs="Times New Roman" w:hint="default"/>
        <w:b w:val="0"/>
        <w:i w:val="0"/>
        <w:caps w:val="0"/>
        <w:strike w:val="0"/>
        <w:dstrike w:val="0"/>
        <w:outline w:val="0"/>
        <w:shadow w:val="0"/>
        <w:emboss w:val="0"/>
        <w:imprint w:val="0"/>
        <w:vanish w:val="0"/>
        <w:color w:val="auto"/>
        <w:sz w:val="24"/>
        <w:szCs w:val="24"/>
        <w:u w:val="none"/>
        <w:effect w:val="none"/>
        <w:vertAlign w:val="baseline"/>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92D1063"/>
    <w:multiLevelType w:val="hybridMultilevel"/>
    <w:tmpl w:val="C81C73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7E6A6D74"/>
    <w:multiLevelType w:val="hybridMultilevel"/>
    <w:tmpl w:val="EB42C244"/>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num w:numId="1">
    <w:abstractNumId w:val="1"/>
  </w:num>
  <w:num w:numId="2">
    <w:abstractNumId w:val="6"/>
  </w:num>
  <w:num w:numId="3">
    <w:abstractNumId w:val="0"/>
  </w:num>
  <w:num w:numId="4">
    <w:abstractNumId w:val="2"/>
  </w:num>
  <w:num w:numId="5">
    <w:abstractNumId w:val="9"/>
  </w:num>
  <w:num w:numId="6">
    <w:abstractNumId w:val="8"/>
  </w:num>
  <w:num w:numId="7">
    <w:abstractNumId w:val="4"/>
  </w:num>
  <w:num w:numId="8">
    <w:abstractNumId w:val="8"/>
  </w:num>
  <w:num w:numId="9">
    <w:abstractNumId w:val="5"/>
  </w:num>
  <w:num w:numId="10">
    <w:abstractNumId w:val="4"/>
  </w:num>
  <w:num w:numId="11">
    <w:abstractNumId w:val="7"/>
  </w:num>
  <w:num w:numId="12">
    <w:abstractNumId w:val="4"/>
    <w:lvlOverride w:ilvl="0">
      <w:startOverride w:val="1"/>
    </w:lvlOverride>
  </w:num>
  <w:num w:numId="13">
    <w:abstractNumId w:val="1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E33"/>
    <w:rsid w:val="00004288"/>
    <w:rsid w:val="00017970"/>
    <w:rsid w:val="00023743"/>
    <w:rsid w:val="00026A00"/>
    <w:rsid w:val="00027313"/>
    <w:rsid w:val="00030DE6"/>
    <w:rsid w:val="00037849"/>
    <w:rsid w:val="00042542"/>
    <w:rsid w:val="00042FC4"/>
    <w:rsid w:val="00045EC6"/>
    <w:rsid w:val="0004757D"/>
    <w:rsid w:val="00051125"/>
    <w:rsid w:val="00051788"/>
    <w:rsid w:val="00054C1D"/>
    <w:rsid w:val="00061AF5"/>
    <w:rsid w:val="00062BF7"/>
    <w:rsid w:val="00064CA3"/>
    <w:rsid w:val="00071AD1"/>
    <w:rsid w:val="00081DCA"/>
    <w:rsid w:val="00091780"/>
    <w:rsid w:val="00094273"/>
    <w:rsid w:val="00094F8B"/>
    <w:rsid w:val="000A15AE"/>
    <w:rsid w:val="000A3BFB"/>
    <w:rsid w:val="000B185A"/>
    <w:rsid w:val="000B43D3"/>
    <w:rsid w:val="000C4FD4"/>
    <w:rsid w:val="000C6921"/>
    <w:rsid w:val="000C6BE7"/>
    <w:rsid w:val="000D0C16"/>
    <w:rsid w:val="000D116E"/>
    <w:rsid w:val="000D333C"/>
    <w:rsid w:val="000D33B2"/>
    <w:rsid w:val="000D3AA7"/>
    <w:rsid w:val="000E05F3"/>
    <w:rsid w:val="000E2297"/>
    <w:rsid w:val="000E5A51"/>
    <w:rsid w:val="000E60E1"/>
    <w:rsid w:val="000E6854"/>
    <w:rsid w:val="000E74B0"/>
    <w:rsid w:val="000F1DC8"/>
    <w:rsid w:val="000F5D45"/>
    <w:rsid w:val="000F7E57"/>
    <w:rsid w:val="00105B13"/>
    <w:rsid w:val="00114B70"/>
    <w:rsid w:val="001158DB"/>
    <w:rsid w:val="00116C6B"/>
    <w:rsid w:val="00117A7E"/>
    <w:rsid w:val="00117ABE"/>
    <w:rsid w:val="00120EE4"/>
    <w:rsid w:val="0012153A"/>
    <w:rsid w:val="001217E5"/>
    <w:rsid w:val="001223BC"/>
    <w:rsid w:val="001313CB"/>
    <w:rsid w:val="001323B4"/>
    <w:rsid w:val="00134373"/>
    <w:rsid w:val="00140201"/>
    <w:rsid w:val="00144BFD"/>
    <w:rsid w:val="00152354"/>
    <w:rsid w:val="001526E9"/>
    <w:rsid w:val="001538D5"/>
    <w:rsid w:val="00154040"/>
    <w:rsid w:val="00162022"/>
    <w:rsid w:val="00167033"/>
    <w:rsid w:val="00170C46"/>
    <w:rsid w:val="00172BF6"/>
    <w:rsid w:val="001748E1"/>
    <w:rsid w:val="00180726"/>
    <w:rsid w:val="00187F77"/>
    <w:rsid w:val="001A361A"/>
    <w:rsid w:val="001A5357"/>
    <w:rsid w:val="001A66B2"/>
    <w:rsid w:val="001B0A5E"/>
    <w:rsid w:val="001B2859"/>
    <w:rsid w:val="001B4B88"/>
    <w:rsid w:val="001C1DE2"/>
    <w:rsid w:val="001C21B6"/>
    <w:rsid w:val="001C3916"/>
    <w:rsid w:val="001C54C3"/>
    <w:rsid w:val="001C774B"/>
    <w:rsid w:val="001C7C5F"/>
    <w:rsid w:val="001D05C5"/>
    <w:rsid w:val="001D0F2C"/>
    <w:rsid w:val="001D1A78"/>
    <w:rsid w:val="001D1EAE"/>
    <w:rsid w:val="001D2267"/>
    <w:rsid w:val="001D31AF"/>
    <w:rsid w:val="001D3EDE"/>
    <w:rsid w:val="001D4BBC"/>
    <w:rsid w:val="001E2E60"/>
    <w:rsid w:val="001E3B43"/>
    <w:rsid w:val="001F0FEF"/>
    <w:rsid w:val="001F5F70"/>
    <w:rsid w:val="0020307F"/>
    <w:rsid w:val="00203AE3"/>
    <w:rsid w:val="002041A9"/>
    <w:rsid w:val="002067FB"/>
    <w:rsid w:val="002076BD"/>
    <w:rsid w:val="00211FA4"/>
    <w:rsid w:val="00216091"/>
    <w:rsid w:val="00222BB2"/>
    <w:rsid w:val="00222E1E"/>
    <w:rsid w:val="00224950"/>
    <w:rsid w:val="00232360"/>
    <w:rsid w:val="0023315E"/>
    <w:rsid w:val="00234563"/>
    <w:rsid w:val="0023627D"/>
    <w:rsid w:val="0023630D"/>
    <w:rsid w:val="002376A0"/>
    <w:rsid w:val="0024067A"/>
    <w:rsid w:val="00245F4F"/>
    <w:rsid w:val="00246104"/>
    <w:rsid w:val="002474DB"/>
    <w:rsid w:val="002524BD"/>
    <w:rsid w:val="002524F7"/>
    <w:rsid w:val="00254A56"/>
    <w:rsid w:val="002552F4"/>
    <w:rsid w:val="00255AFA"/>
    <w:rsid w:val="002719FB"/>
    <w:rsid w:val="00273038"/>
    <w:rsid w:val="00275A72"/>
    <w:rsid w:val="0027604E"/>
    <w:rsid w:val="00280AEB"/>
    <w:rsid w:val="00286DBE"/>
    <w:rsid w:val="0029251E"/>
    <w:rsid w:val="002971B5"/>
    <w:rsid w:val="002A2DC5"/>
    <w:rsid w:val="002A6999"/>
    <w:rsid w:val="002A76FA"/>
    <w:rsid w:val="002B03A7"/>
    <w:rsid w:val="002B65CB"/>
    <w:rsid w:val="002B7EB0"/>
    <w:rsid w:val="002C1480"/>
    <w:rsid w:val="002C7995"/>
    <w:rsid w:val="002D1410"/>
    <w:rsid w:val="002D175E"/>
    <w:rsid w:val="002E2F3F"/>
    <w:rsid w:val="002E4685"/>
    <w:rsid w:val="002E72BF"/>
    <w:rsid w:val="002F415A"/>
    <w:rsid w:val="00300600"/>
    <w:rsid w:val="00300F7D"/>
    <w:rsid w:val="00301D4F"/>
    <w:rsid w:val="00311D1B"/>
    <w:rsid w:val="00312D8F"/>
    <w:rsid w:val="00315397"/>
    <w:rsid w:val="00316240"/>
    <w:rsid w:val="003164AC"/>
    <w:rsid w:val="00320F6A"/>
    <w:rsid w:val="00327204"/>
    <w:rsid w:val="003307FC"/>
    <w:rsid w:val="003312FC"/>
    <w:rsid w:val="0033223F"/>
    <w:rsid w:val="00332ADF"/>
    <w:rsid w:val="0033339D"/>
    <w:rsid w:val="00333F1E"/>
    <w:rsid w:val="00336E33"/>
    <w:rsid w:val="00337478"/>
    <w:rsid w:val="00343596"/>
    <w:rsid w:val="003514FD"/>
    <w:rsid w:val="00354168"/>
    <w:rsid w:val="003603A5"/>
    <w:rsid w:val="00364FC0"/>
    <w:rsid w:val="00373FF4"/>
    <w:rsid w:val="00375519"/>
    <w:rsid w:val="00375A0B"/>
    <w:rsid w:val="003767FF"/>
    <w:rsid w:val="00377471"/>
    <w:rsid w:val="00380A75"/>
    <w:rsid w:val="00385895"/>
    <w:rsid w:val="00394629"/>
    <w:rsid w:val="0039782D"/>
    <w:rsid w:val="003A2933"/>
    <w:rsid w:val="003A61D5"/>
    <w:rsid w:val="003A66C8"/>
    <w:rsid w:val="003B1F91"/>
    <w:rsid w:val="003B660E"/>
    <w:rsid w:val="003C448A"/>
    <w:rsid w:val="003C4F49"/>
    <w:rsid w:val="003C50D2"/>
    <w:rsid w:val="003D624F"/>
    <w:rsid w:val="003E2019"/>
    <w:rsid w:val="003E2282"/>
    <w:rsid w:val="003E2BB0"/>
    <w:rsid w:val="003E36B6"/>
    <w:rsid w:val="003F1082"/>
    <w:rsid w:val="003F4CBB"/>
    <w:rsid w:val="004014A3"/>
    <w:rsid w:val="004042BE"/>
    <w:rsid w:val="00407270"/>
    <w:rsid w:val="004076D1"/>
    <w:rsid w:val="00410724"/>
    <w:rsid w:val="0041759C"/>
    <w:rsid w:val="00421741"/>
    <w:rsid w:val="00423353"/>
    <w:rsid w:val="00427352"/>
    <w:rsid w:val="00435BE7"/>
    <w:rsid w:val="00437B23"/>
    <w:rsid w:val="0044401F"/>
    <w:rsid w:val="004465EE"/>
    <w:rsid w:val="004548BB"/>
    <w:rsid w:val="0046099D"/>
    <w:rsid w:val="00464A06"/>
    <w:rsid w:val="00465029"/>
    <w:rsid w:val="0047492B"/>
    <w:rsid w:val="00475364"/>
    <w:rsid w:val="00481F1E"/>
    <w:rsid w:val="00483940"/>
    <w:rsid w:val="00485B78"/>
    <w:rsid w:val="004B0275"/>
    <w:rsid w:val="004C073E"/>
    <w:rsid w:val="004C16C1"/>
    <w:rsid w:val="004C1FDB"/>
    <w:rsid w:val="004C58DE"/>
    <w:rsid w:val="004C7388"/>
    <w:rsid w:val="004D0A57"/>
    <w:rsid w:val="004D58FA"/>
    <w:rsid w:val="004E40CD"/>
    <w:rsid w:val="004E464C"/>
    <w:rsid w:val="004F08C6"/>
    <w:rsid w:val="004F36CE"/>
    <w:rsid w:val="004F4631"/>
    <w:rsid w:val="00503245"/>
    <w:rsid w:val="00504274"/>
    <w:rsid w:val="005106EF"/>
    <w:rsid w:val="00511A99"/>
    <w:rsid w:val="00511F0C"/>
    <w:rsid w:val="00513C83"/>
    <w:rsid w:val="00514637"/>
    <w:rsid w:val="005150AB"/>
    <w:rsid w:val="00516F80"/>
    <w:rsid w:val="0052495B"/>
    <w:rsid w:val="00526500"/>
    <w:rsid w:val="005270FA"/>
    <w:rsid w:val="00527C08"/>
    <w:rsid w:val="00527E17"/>
    <w:rsid w:val="00533296"/>
    <w:rsid w:val="005361DE"/>
    <w:rsid w:val="005373E0"/>
    <w:rsid w:val="0054258F"/>
    <w:rsid w:val="00543B8E"/>
    <w:rsid w:val="00545226"/>
    <w:rsid w:val="00546B88"/>
    <w:rsid w:val="00550AAD"/>
    <w:rsid w:val="005513F6"/>
    <w:rsid w:val="005520B2"/>
    <w:rsid w:val="005550F3"/>
    <w:rsid w:val="00565809"/>
    <w:rsid w:val="00565A06"/>
    <w:rsid w:val="005664DA"/>
    <w:rsid w:val="00567A03"/>
    <w:rsid w:val="0057078B"/>
    <w:rsid w:val="00572995"/>
    <w:rsid w:val="00573EE0"/>
    <w:rsid w:val="00575D67"/>
    <w:rsid w:val="00577D07"/>
    <w:rsid w:val="005827DB"/>
    <w:rsid w:val="00593CD7"/>
    <w:rsid w:val="005A04EA"/>
    <w:rsid w:val="005A15DD"/>
    <w:rsid w:val="005B1F59"/>
    <w:rsid w:val="005B23DA"/>
    <w:rsid w:val="005B2626"/>
    <w:rsid w:val="005C5121"/>
    <w:rsid w:val="005D1052"/>
    <w:rsid w:val="005D157F"/>
    <w:rsid w:val="005D1ED3"/>
    <w:rsid w:val="005D6E49"/>
    <w:rsid w:val="005E20A8"/>
    <w:rsid w:val="005E291D"/>
    <w:rsid w:val="005E4A33"/>
    <w:rsid w:val="005F34E0"/>
    <w:rsid w:val="005F370E"/>
    <w:rsid w:val="005F471D"/>
    <w:rsid w:val="005F4A2D"/>
    <w:rsid w:val="005F50B0"/>
    <w:rsid w:val="0060336C"/>
    <w:rsid w:val="00606C9A"/>
    <w:rsid w:val="00610C53"/>
    <w:rsid w:val="006145F5"/>
    <w:rsid w:val="00614B91"/>
    <w:rsid w:val="00615E60"/>
    <w:rsid w:val="00623DED"/>
    <w:rsid w:val="006246FF"/>
    <w:rsid w:val="006267E1"/>
    <w:rsid w:val="006315C2"/>
    <w:rsid w:val="0063360D"/>
    <w:rsid w:val="00634427"/>
    <w:rsid w:val="00640E54"/>
    <w:rsid w:val="0064108F"/>
    <w:rsid w:val="00645645"/>
    <w:rsid w:val="00646B82"/>
    <w:rsid w:val="00647A68"/>
    <w:rsid w:val="0065022D"/>
    <w:rsid w:val="00653625"/>
    <w:rsid w:val="006564A5"/>
    <w:rsid w:val="00660222"/>
    <w:rsid w:val="006635B9"/>
    <w:rsid w:val="00666B88"/>
    <w:rsid w:val="00666C06"/>
    <w:rsid w:val="00675880"/>
    <w:rsid w:val="00677A35"/>
    <w:rsid w:val="006901A5"/>
    <w:rsid w:val="00694C1F"/>
    <w:rsid w:val="006969CA"/>
    <w:rsid w:val="006A1A0A"/>
    <w:rsid w:val="006A3C8D"/>
    <w:rsid w:val="006A3E82"/>
    <w:rsid w:val="006A43FF"/>
    <w:rsid w:val="006A4A85"/>
    <w:rsid w:val="006A7EE3"/>
    <w:rsid w:val="006B56F4"/>
    <w:rsid w:val="006B5895"/>
    <w:rsid w:val="006B63A6"/>
    <w:rsid w:val="006B6AD8"/>
    <w:rsid w:val="006C2B01"/>
    <w:rsid w:val="006C69D9"/>
    <w:rsid w:val="006D137C"/>
    <w:rsid w:val="006D1685"/>
    <w:rsid w:val="006D2391"/>
    <w:rsid w:val="006D2F6D"/>
    <w:rsid w:val="006D4A5E"/>
    <w:rsid w:val="006D6282"/>
    <w:rsid w:val="006D7175"/>
    <w:rsid w:val="006E04F0"/>
    <w:rsid w:val="006E08AF"/>
    <w:rsid w:val="006E5D29"/>
    <w:rsid w:val="006E6713"/>
    <w:rsid w:val="006E6E8C"/>
    <w:rsid w:val="006F01D3"/>
    <w:rsid w:val="006F17DD"/>
    <w:rsid w:val="006F2DF2"/>
    <w:rsid w:val="006F32FE"/>
    <w:rsid w:val="006F5DC2"/>
    <w:rsid w:val="00702D86"/>
    <w:rsid w:val="007069E5"/>
    <w:rsid w:val="0071526D"/>
    <w:rsid w:val="0071751C"/>
    <w:rsid w:val="0072210D"/>
    <w:rsid w:val="007236E4"/>
    <w:rsid w:val="00725F9D"/>
    <w:rsid w:val="00726878"/>
    <w:rsid w:val="00731889"/>
    <w:rsid w:val="00732F55"/>
    <w:rsid w:val="007333C2"/>
    <w:rsid w:val="007335FA"/>
    <w:rsid w:val="00733E48"/>
    <w:rsid w:val="007342EE"/>
    <w:rsid w:val="007345F3"/>
    <w:rsid w:val="007350D3"/>
    <w:rsid w:val="00735C57"/>
    <w:rsid w:val="0073659E"/>
    <w:rsid w:val="00737CB5"/>
    <w:rsid w:val="007429CF"/>
    <w:rsid w:val="007431AF"/>
    <w:rsid w:val="007478C1"/>
    <w:rsid w:val="00753A21"/>
    <w:rsid w:val="0075484E"/>
    <w:rsid w:val="007550C2"/>
    <w:rsid w:val="00757A88"/>
    <w:rsid w:val="0076189D"/>
    <w:rsid w:val="00771050"/>
    <w:rsid w:val="007716DA"/>
    <w:rsid w:val="0077277A"/>
    <w:rsid w:val="00774619"/>
    <w:rsid w:val="00782921"/>
    <w:rsid w:val="00783094"/>
    <w:rsid w:val="00785040"/>
    <w:rsid w:val="00796DE7"/>
    <w:rsid w:val="007A148D"/>
    <w:rsid w:val="007A1884"/>
    <w:rsid w:val="007A579A"/>
    <w:rsid w:val="007A5A70"/>
    <w:rsid w:val="007A6E28"/>
    <w:rsid w:val="007A7A18"/>
    <w:rsid w:val="007B3CC0"/>
    <w:rsid w:val="007B725C"/>
    <w:rsid w:val="007C1091"/>
    <w:rsid w:val="007D2515"/>
    <w:rsid w:val="007D6E50"/>
    <w:rsid w:val="007E0D8A"/>
    <w:rsid w:val="007E6F5C"/>
    <w:rsid w:val="007F07AB"/>
    <w:rsid w:val="007F10B5"/>
    <w:rsid w:val="008005DD"/>
    <w:rsid w:val="00805B02"/>
    <w:rsid w:val="00810114"/>
    <w:rsid w:val="008159AB"/>
    <w:rsid w:val="00816AF5"/>
    <w:rsid w:val="0082013E"/>
    <w:rsid w:val="00820D86"/>
    <w:rsid w:val="0082405D"/>
    <w:rsid w:val="00826D5B"/>
    <w:rsid w:val="00830421"/>
    <w:rsid w:val="00835BAB"/>
    <w:rsid w:val="00840C7E"/>
    <w:rsid w:val="00841DD6"/>
    <w:rsid w:val="0084371D"/>
    <w:rsid w:val="00845193"/>
    <w:rsid w:val="00850BCC"/>
    <w:rsid w:val="00850D6E"/>
    <w:rsid w:val="00863ABA"/>
    <w:rsid w:val="008736C5"/>
    <w:rsid w:val="00874C7F"/>
    <w:rsid w:val="00877575"/>
    <w:rsid w:val="00884103"/>
    <w:rsid w:val="00884D1D"/>
    <w:rsid w:val="008857E0"/>
    <w:rsid w:val="00890E94"/>
    <w:rsid w:val="00893EC8"/>
    <w:rsid w:val="00894DAD"/>
    <w:rsid w:val="008A0B6D"/>
    <w:rsid w:val="008A7329"/>
    <w:rsid w:val="008A7B80"/>
    <w:rsid w:val="008A7F22"/>
    <w:rsid w:val="008B1514"/>
    <w:rsid w:val="008B3AC0"/>
    <w:rsid w:val="008B58CA"/>
    <w:rsid w:val="008B63D4"/>
    <w:rsid w:val="008C1359"/>
    <w:rsid w:val="008C2BED"/>
    <w:rsid w:val="008C3365"/>
    <w:rsid w:val="008C5CF7"/>
    <w:rsid w:val="008C6B4E"/>
    <w:rsid w:val="008D0976"/>
    <w:rsid w:val="008E7560"/>
    <w:rsid w:val="008E7A41"/>
    <w:rsid w:val="008F7596"/>
    <w:rsid w:val="008F7DA2"/>
    <w:rsid w:val="00910B00"/>
    <w:rsid w:val="00916D06"/>
    <w:rsid w:val="009174AA"/>
    <w:rsid w:val="009228B3"/>
    <w:rsid w:val="009243F0"/>
    <w:rsid w:val="00932917"/>
    <w:rsid w:val="00936DCD"/>
    <w:rsid w:val="0094007C"/>
    <w:rsid w:val="00940DC9"/>
    <w:rsid w:val="00941AE3"/>
    <w:rsid w:val="00941C3F"/>
    <w:rsid w:val="00942640"/>
    <w:rsid w:val="00946278"/>
    <w:rsid w:val="00953674"/>
    <w:rsid w:val="009557C7"/>
    <w:rsid w:val="00956253"/>
    <w:rsid w:val="00960F20"/>
    <w:rsid w:val="00964A86"/>
    <w:rsid w:val="0096620E"/>
    <w:rsid w:val="00971958"/>
    <w:rsid w:val="00975C90"/>
    <w:rsid w:val="00975F0E"/>
    <w:rsid w:val="00985FC4"/>
    <w:rsid w:val="00991B90"/>
    <w:rsid w:val="00991C9B"/>
    <w:rsid w:val="00995E82"/>
    <w:rsid w:val="009A59CA"/>
    <w:rsid w:val="009A6DDF"/>
    <w:rsid w:val="009B0631"/>
    <w:rsid w:val="009B0F51"/>
    <w:rsid w:val="009B3B64"/>
    <w:rsid w:val="009B3BA6"/>
    <w:rsid w:val="009B5E8E"/>
    <w:rsid w:val="009C3780"/>
    <w:rsid w:val="009C49B2"/>
    <w:rsid w:val="009C681B"/>
    <w:rsid w:val="009D462B"/>
    <w:rsid w:val="009D46FC"/>
    <w:rsid w:val="009D4FA7"/>
    <w:rsid w:val="009D7AD8"/>
    <w:rsid w:val="009E0D16"/>
    <w:rsid w:val="009E2EF1"/>
    <w:rsid w:val="009E4E6B"/>
    <w:rsid w:val="009F0E09"/>
    <w:rsid w:val="009F5347"/>
    <w:rsid w:val="009F5C4C"/>
    <w:rsid w:val="009F5D54"/>
    <w:rsid w:val="009F6921"/>
    <w:rsid w:val="009F7B60"/>
    <w:rsid w:val="00A03BA1"/>
    <w:rsid w:val="00A048AD"/>
    <w:rsid w:val="00A04F1A"/>
    <w:rsid w:val="00A11EC4"/>
    <w:rsid w:val="00A1383F"/>
    <w:rsid w:val="00A14D3C"/>
    <w:rsid w:val="00A15689"/>
    <w:rsid w:val="00A17021"/>
    <w:rsid w:val="00A22C9D"/>
    <w:rsid w:val="00A23077"/>
    <w:rsid w:val="00A25EF3"/>
    <w:rsid w:val="00A33302"/>
    <w:rsid w:val="00A33DE9"/>
    <w:rsid w:val="00A46FF3"/>
    <w:rsid w:val="00A519CF"/>
    <w:rsid w:val="00A5515D"/>
    <w:rsid w:val="00A56040"/>
    <w:rsid w:val="00A61FC2"/>
    <w:rsid w:val="00A62B51"/>
    <w:rsid w:val="00A67495"/>
    <w:rsid w:val="00A67AE4"/>
    <w:rsid w:val="00A70069"/>
    <w:rsid w:val="00A707FC"/>
    <w:rsid w:val="00A77B05"/>
    <w:rsid w:val="00A82B58"/>
    <w:rsid w:val="00A8331D"/>
    <w:rsid w:val="00A8577F"/>
    <w:rsid w:val="00A90FC7"/>
    <w:rsid w:val="00AA17C1"/>
    <w:rsid w:val="00AA5E42"/>
    <w:rsid w:val="00AA69B1"/>
    <w:rsid w:val="00AA7892"/>
    <w:rsid w:val="00AB120D"/>
    <w:rsid w:val="00AB298F"/>
    <w:rsid w:val="00AB5647"/>
    <w:rsid w:val="00AB6349"/>
    <w:rsid w:val="00AC36F8"/>
    <w:rsid w:val="00AD126D"/>
    <w:rsid w:val="00AD173A"/>
    <w:rsid w:val="00AE0A22"/>
    <w:rsid w:val="00AF4E92"/>
    <w:rsid w:val="00AF506F"/>
    <w:rsid w:val="00AF707B"/>
    <w:rsid w:val="00B0013D"/>
    <w:rsid w:val="00B03EE9"/>
    <w:rsid w:val="00B05125"/>
    <w:rsid w:val="00B058D5"/>
    <w:rsid w:val="00B11CA0"/>
    <w:rsid w:val="00B12FBD"/>
    <w:rsid w:val="00B15D0D"/>
    <w:rsid w:val="00B20879"/>
    <w:rsid w:val="00B2430F"/>
    <w:rsid w:val="00B256A3"/>
    <w:rsid w:val="00B2713F"/>
    <w:rsid w:val="00B27D2B"/>
    <w:rsid w:val="00B31451"/>
    <w:rsid w:val="00B31F78"/>
    <w:rsid w:val="00B32085"/>
    <w:rsid w:val="00B32718"/>
    <w:rsid w:val="00B33058"/>
    <w:rsid w:val="00B33912"/>
    <w:rsid w:val="00B354C3"/>
    <w:rsid w:val="00B37730"/>
    <w:rsid w:val="00B42A19"/>
    <w:rsid w:val="00B44346"/>
    <w:rsid w:val="00B46FF0"/>
    <w:rsid w:val="00B546D4"/>
    <w:rsid w:val="00B54EDF"/>
    <w:rsid w:val="00B559FB"/>
    <w:rsid w:val="00B631E7"/>
    <w:rsid w:val="00B67CB6"/>
    <w:rsid w:val="00B7379A"/>
    <w:rsid w:val="00B753FA"/>
    <w:rsid w:val="00B83CB7"/>
    <w:rsid w:val="00B87245"/>
    <w:rsid w:val="00B965D9"/>
    <w:rsid w:val="00BB4303"/>
    <w:rsid w:val="00BB7E09"/>
    <w:rsid w:val="00BC0D33"/>
    <w:rsid w:val="00BC200E"/>
    <w:rsid w:val="00BC385A"/>
    <w:rsid w:val="00BC4924"/>
    <w:rsid w:val="00BC66FA"/>
    <w:rsid w:val="00BD12E5"/>
    <w:rsid w:val="00BD1CAD"/>
    <w:rsid w:val="00BD26D1"/>
    <w:rsid w:val="00BD614F"/>
    <w:rsid w:val="00BD6D6A"/>
    <w:rsid w:val="00BE325C"/>
    <w:rsid w:val="00BE598B"/>
    <w:rsid w:val="00BE5AF1"/>
    <w:rsid w:val="00BE7C45"/>
    <w:rsid w:val="00BF0575"/>
    <w:rsid w:val="00BF060A"/>
    <w:rsid w:val="00BF0689"/>
    <w:rsid w:val="00BF4A24"/>
    <w:rsid w:val="00C02656"/>
    <w:rsid w:val="00C03E3E"/>
    <w:rsid w:val="00C0699F"/>
    <w:rsid w:val="00C07079"/>
    <w:rsid w:val="00C10F29"/>
    <w:rsid w:val="00C1249F"/>
    <w:rsid w:val="00C1673D"/>
    <w:rsid w:val="00C21A5E"/>
    <w:rsid w:val="00C2339C"/>
    <w:rsid w:val="00C277A5"/>
    <w:rsid w:val="00C33057"/>
    <w:rsid w:val="00C339BA"/>
    <w:rsid w:val="00C36459"/>
    <w:rsid w:val="00C36580"/>
    <w:rsid w:val="00C37928"/>
    <w:rsid w:val="00C41042"/>
    <w:rsid w:val="00C41185"/>
    <w:rsid w:val="00C419B9"/>
    <w:rsid w:val="00C41C92"/>
    <w:rsid w:val="00C4386D"/>
    <w:rsid w:val="00C51BB9"/>
    <w:rsid w:val="00C5222C"/>
    <w:rsid w:val="00C52C5D"/>
    <w:rsid w:val="00C56EEC"/>
    <w:rsid w:val="00C579E9"/>
    <w:rsid w:val="00C6011B"/>
    <w:rsid w:val="00C60AA3"/>
    <w:rsid w:val="00C63F4C"/>
    <w:rsid w:val="00C67268"/>
    <w:rsid w:val="00C71E93"/>
    <w:rsid w:val="00C72F36"/>
    <w:rsid w:val="00C76046"/>
    <w:rsid w:val="00C80FD5"/>
    <w:rsid w:val="00C8655D"/>
    <w:rsid w:val="00C91BE8"/>
    <w:rsid w:val="00C92711"/>
    <w:rsid w:val="00C92801"/>
    <w:rsid w:val="00C92FF5"/>
    <w:rsid w:val="00C94D0B"/>
    <w:rsid w:val="00C953E5"/>
    <w:rsid w:val="00CA0254"/>
    <w:rsid w:val="00CA3F1A"/>
    <w:rsid w:val="00CA42DE"/>
    <w:rsid w:val="00CA601C"/>
    <w:rsid w:val="00CB7757"/>
    <w:rsid w:val="00CC26F3"/>
    <w:rsid w:val="00CC2E21"/>
    <w:rsid w:val="00CC3367"/>
    <w:rsid w:val="00CC6784"/>
    <w:rsid w:val="00CD34B7"/>
    <w:rsid w:val="00CD6624"/>
    <w:rsid w:val="00CE0E74"/>
    <w:rsid w:val="00CE2704"/>
    <w:rsid w:val="00CE4A2E"/>
    <w:rsid w:val="00CF031A"/>
    <w:rsid w:val="00CF56ED"/>
    <w:rsid w:val="00D10713"/>
    <w:rsid w:val="00D119D8"/>
    <w:rsid w:val="00D135C9"/>
    <w:rsid w:val="00D14671"/>
    <w:rsid w:val="00D15665"/>
    <w:rsid w:val="00D24AF4"/>
    <w:rsid w:val="00D2539A"/>
    <w:rsid w:val="00D30540"/>
    <w:rsid w:val="00D32F39"/>
    <w:rsid w:val="00D37700"/>
    <w:rsid w:val="00D417DC"/>
    <w:rsid w:val="00D41E7B"/>
    <w:rsid w:val="00D42289"/>
    <w:rsid w:val="00D426C5"/>
    <w:rsid w:val="00D45327"/>
    <w:rsid w:val="00D4538E"/>
    <w:rsid w:val="00D50C4C"/>
    <w:rsid w:val="00D52F68"/>
    <w:rsid w:val="00D53D36"/>
    <w:rsid w:val="00D612D0"/>
    <w:rsid w:val="00D62EB7"/>
    <w:rsid w:val="00D64F02"/>
    <w:rsid w:val="00D67FAF"/>
    <w:rsid w:val="00D70F92"/>
    <w:rsid w:val="00D7189A"/>
    <w:rsid w:val="00D73223"/>
    <w:rsid w:val="00D73B53"/>
    <w:rsid w:val="00D73C47"/>
    <w:rsid w:val="00D75E15"/>
    <w:rsid w:val="00D803C8"/>
    <w:rsid w:val="00D823FF"/>
    <w:rsid w:val="00D827B4"/>
    <w:rsid w:val="00D83589"/>
    <w:rsid w:val="00D9554E"/>
    <w:rsid w:val="00D958B4"/>
    <w:rsid w:val="00D97D0F"/>
    <w:rsid w:val="00DA4A0B"/>
    <w:rsid w:val="00DB3BB1"/>
    <w:rsid w:val="00DC0406"/>
    <w:rsid w:val="00DC0625"/>
    <w:rsid w:val="00DC0ACC"/>
    <w:rsid w:val="00DC2B3B"/>
    <w:rsid w:val="00DC2D9D"/>
    <w:rsid w:val="00DC3617"/>
    <w:rsid w:val="00DD73C9"/>
    <w:rsid w:val="00DE784E"/>
    <w:rsid w:val="00DF23CE"/>
    <w:rsid w:val="00DF2963"/>
    <w:rsid w:val="00DF357D"/>
    <w:rsid w:val="00E05AE5"/>
    <w:rsid w:val="00E05FA7"/>
    <w:rsid w:val="00E259BA"/>
    <w:rsid w:val="00E26DE2"/>
    <w:rsid w:val="00E34E7A"/>
    <w:rsid w:val="00E3549A"/>
    <w:rsid w:val="00E42243"/>
    <w:rsid w:val="00E50ADF"/>
    <w:rsid w:val="00E538DC"/>
    <w:rsid w:val="00E53C97"/>
    <w:rsid w:val="00E5648D"/>
    <w:rsid w:val="00E60521"/>
    <w:rsid w:val="00E62177"/>
    <w:rsid w:val="00E629C6"/>
    <w:rsid w:val="00E64EF2"/>
    <w:rsid w:val="00E66B7A"/>
    <w:rsid w:val="00E705C5"/>
    <w:rsid w:val="00E712E2"/>
    <w:rsid w:val="00E71ED8"/>
    <w:rsid w:val="00E72BAF"/>
    <w:rsid w:val="00E77752"/>
    <w:rsid w:val="00E81110"/>
    <w:rsid w:val="00E84599"/>
    <w:rsid w:val="00E86804"/>
    <w:rsid w:val="00E903E9"/>
    <w:rsid w:val="00E93649"/>
    <w:rsid w:val="00E9550E"/>
    <w:rsid w:val="00E9774E"/>
    <w:rsid w:val="00E97D3B"/>
    <w:rsid w:val="00EA0076"/>
    <w:rsid w:val="00EA3C30"/>
    <w:rsid w:val="00EA4102"/>
    <w:rsid w:val="00EA7777"/>
    <w:rsid w:val="00EB06D6"/>
    <w:rsid w:val="00EB26DD"/>
    <w:rsid w:val="00EB4ECB"/>
    <w:rsid w:val="00EB59C8"/>
    <w:rsid w:val="00EC3518"/>
    <w:rsid w:val="00EC57BB"/>
    <w:rsid w:val="00EC609F"/>
    <w:rsid w:val="00EC66D9"/>
    <w:rsid w:val="00ED1EF1"/>
    <w:rsid w:val="00ED5966"/>
    <w:rsid w:val="00ED780F"/>
    <w:rsid w:val="00EE6116"/>
    <w:rsid w:val="00EF0D66"/>
    <w:rsid w:val="00EF4B4B"/>
    <w:rsid w:val="00EF4D8A"/>
    <w:rsid w:val="00EF4F87"/>
    <w:rsid w:val="00EF616A"/>
    <w:rsid w:val="00EF6638"/>
    <w:rsid w:val="00EF7187"/>
    <w:rsid w:val="00EF76CA"/>
    <w:rsid w:val="00F0226A"/>
    <w:rsid w:val="00F059D9"/>
    <w:rsid w:val="00F06ABF"/>
    <w:rsid w:val="00F106F3"/>
    <w:rsid w:val="00F1392E"/>
    <w:rsid w:val="00F1439A"/>
    <w:rsid w:val="00F15D07"/>
    <w:rsid w:val="00F25AB9"/>
    <w:rsid w:val="00F25AF3"/>
    <w:rsid w:val="00F31ACE"/>
    <w:rsid w:val="00F3220C"/>
    <w:rsid w:val="00F32DB4"/>
    <w:rsid w:val="00F34E8F"/>
    <w:rsid w:val="00F356F7"/>
    <w:rsid w:val="00F36B10"/>
    <w:rsid w:val="00F379DD"/>
    <w:rsid w:val="00F42085"/>
    <w:rsid w:val="00F427BC"/>
    <w:rsid w:val="00F4325B"/>
    <w:rsid w:val="00F50B20"/>
    <w:rsid w:val="00F551F7"/>
    <w:rsid w:val="00F61A95"/>
    <w:rsid w:val="00F65C16"/>
    <w:rsid w:val="00F66340"/>
    <w:rsid w:val="00F678F7"/>
    <w:rsid w:val="00F70E71"/>
    <w:rsid w:val="00F72B1C"/>
    <w:rsid w:val="00F73E02"/>
    <w:rsid w:val="00F74813"/>
    <w:rsid w:val="00F759B3"/>
    <w:rsid w:val="00F76323"/>
    <w:rsid w:val="00F856F8"/>
    <w:rsid w:val="00F86E8D"/>
    <w:rsid w:val="00F96023"/>
    <w:rsid w:val="00F96600"/>
    <w:rsid w:val="00F96B06"/>
    <w:rsid w:val="00FA07B4"/>
    <w:rsid w:val="00FA0A04"/>
    <w:rsid w:val="00FA1837"/>
    <w:rsid w:val="00FA1DC6"/>
    <w:rsid w:val="00FA5A9A"/>
    <w:rsid w:val="00FA65C8"/>
    <w:rsid w:val="00FA7642"/>
    <w:rsid w:val="00FB01F7"/>
    <w:rsid w:val="00FB0D7C"/>
    <w:rsid w:val="00FB1D64"/>
    <w:rsid w:val="00FB367B"/>
    <w:rsid w:val="00FC4A80"/>
    <w:rsid w:val="00FC4B35"/>
    <w:rsid w:val="00FD06DA"/>
    <w:rsid w:val="00FD24A4"/>
    <w:rsid w:val="00FD2BBE"/>
    <w:rsid w:val="00FD348A"/>
    <w:rsid w:val="00FD4584"/>
    <w:rsid w:val="00FD58D5"/>
    <w:rsid w:val="00FD5F80"/>
    <w:rsid w:val="00FD6F35"/>
    <w:rsid w:val="00FD6FD7"/>
    <w:rsid w:val="00FE15AF"/>
    <w:rsid w:val="00FE7D65"/>
    <w:rsid w:val="00FF0641"/>
    <w:rsid w:val="00FF448C"/>
    <w:rsid w:val="00FF7A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4A8FAB2-6D24-487C-A84A-1E371BDD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qFormat="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0"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E0E74"/>
    <w:pPr>
      <w:keepNext/>
      <w:jc w:val="both"/>
    </w:pPr>
    <w:rPr>
      <w:sz w:val="24"/>
      <w:szCs w:val="24"/>
      <w:lang w:val="sk-SK" w:eastAsia="sk-SK"/>
    </w:rPr>
  </w:style>
  <w:style w:type="paragraph" w:styleId="Nadpis1">
    <w:name w:val="heading 1"/>
    <w:basedOn w:val="Normlny"/>
    <w:next w:val="Normlny"/>
    <w:link w:val="Nadpis1Char"/>
    <w:uiPriority w:val="9"/>
    <w:qFormat/>
    <w:rsid w:val="00CE0E74"/>
    <w:pPr>
      <w:keepLines/>
      <w:spacing w:before="360" w:after="120"/>
      <w:jc w:val="center"/>
      <w:outlineLvl w:val="0"/>
    </w:pPr>
    <w:rPr>
      <w:b/>
      <w:bCs/>
      <w:szCs w:val="28"/>
    </w:rPr>
  </w:style>
  <w:style w:type="paragraph" w:styleId="Nadpis2">
    <w:name w:val="heading 2"/>
    <w:basedOn w:val="Normlny"/>
    <w:next w:val="Normlny"/>
    <w:link w:val="Nadpis2Char"/>
    <w:uiPriority w:val="9"/>
    <w:qFormat/>
    <w:rsid w:val="00CE0E74"/>
    <w:pPr>
      <w:keepLines/>
      <w:spacing w:before="240" w:after="120"/>
      <w:jc w:val="center"/>
      <w:outlineLvl w:val="1"/>
    </w:pPr>
    <w:rPr>
      <w:b/>
      <w:bCs/>
      <w:szCs w:val="26"/>
    </w:rPr>
  </w:style>
  <w:style w:type="paragraph" w:styleId="Nadpis3">
    <w:name w:val="heading 3"/>
    <w:basedOn w:val="Normlny"/>
    <w:next w:val="Normlny"/>
    <w:link w:val="Nadpis3Char"/>
    <w:uiPriority w:val="9"/>
    <w:qFormat/>
    <w:rsid w:val="00CE0E74"/>
    <w:pPr>
      <w:keepLines/>
      <w:spacing w:before="120" w:after="120"/>
      <w:outlineLvl w:val="2"/>
    </w:pPr>
    <w:rPr>
      <w:b/>
      <w:bCs/>
      <w:szCs w:val="20"/>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CE0E74"/>
    <w:rPr>
      <w:rFonts w:cs="Times New Roman"/>
      <w:b/>
      <w:sz w:val="28"/>
      <w:lang w:val="x-none" w:eastAsia="x-none"/>
    </w:rPr>
  </w:style>
  <w:style w:type="character" w:customStyle="1" w:styleId="Nadpis2Char">
    <w:name w:val="Nadpis 2 Char"/>
    <w:basedOn w:val="Predvolenpsmoodseku"/>
    <w:link w:val="Nadpis2"/>
    <w:uiPriority w:val="9"/>
    <w:semiHidden/>
    <w:locked/>
    <w:rsid w:val="00CE0E74"/>
    <w:rPr>
      <w:rFonts w:cs="Times New Roman"/>
      <w:b/>
      <w:sz w:val="26"/>
      <w:lang w:val="x-none" w:eastAsia="x-none"/>
    </w:rPr>
  </w:style>
  <w:style w:type="character" w:customStyle="1" w:styleId="Nadpis3Char">
    <w:name w:val="Nadpis 3 Char"/>
    <w:basedOn w:val="Predvolenpsmoodseku"/>
    <w:link w:val="Nadpis3"/>
    <w:uiPriority w:val="9"/>
    <w:locked/>
    <w:rsid w:val="00CE0E74"/>
    <w:rPr>
      <w:rFonts w:cs="Times New Roman"/>
      <w:b/>
      <w:sz w:val="24"/>
      <w:lang w:val="x-none" w:eastAsia="x-none"/>
    </w:rPr>
  </w:style>
  <w:style w:type="paragraph" w:styleId="Textbubliny">
    <w:name w:val="Balloon Text"/>
    <w:basedOn w:val="Normlny"/>
    <w:link w:val="TextbublinyChar"/>
    <w:uiPriority w:val="99"/>
    <w:semiHidden/>
    <w:unhideWhenUsed/>
    <w:rsid w:val="00D73C47"/>
    <w:rPr>
      <w:rFonts w:ascii="Tahoma" w:hAnsi="Tahoma"/>
      <w:sz w:val="16"/>
      <w:szCs w:val="16"/>
    </w:rPr>
  </w:style>
  <w:style w:type="character" w:customStyle="1" w:styleId="TextbublinyChar">
    <w:name w:val="Text bubliny Char"/>
    <w:basedOn w:val="Predvolenpsmoodseku"/>
    <w:link w:val="Textbubliny"/>
    <w:uiPriority w:val="99"/>
    <w:semiHidden/>
    <w:locked/>
    <w:rsid w:val="00D73C47"/>
    <w:rPr>
      <w:rFonts w:ascii="Tahoma" w:hAnsi="Tahoma" w:cs="Times New Roman"/>
      <w:sz w:val="16"/>
      <w:lang w:val="x-none" w:eastAsia="sk-SK"/>
    </w:rPr>
  </w:style>
  <w:style w:type="paragraph" w:styleId="Odsekzoznamu">
    <w:name w:val="List Paragraph"/>
    <w:basedOn w:val="Normlny"/>
    <w:uiPriority w:val="99"/>
    <w:qFormat/>
    <w:rsid w:val="001C774B"/>
    <w:pPr>
      <w:ind w:left="720"/>
      <w:contextualSpacing/>
    </w:pPr>
  </w:style>
  <w:style w:type="paragraph" w:customStyle="1" w:styleId="adda">
    <w:name w:val="adda"/>
    <w:basedOn w:val="Normlny"/>
    <w:qFormat/>
    <w:rsid w:val="00CE0E74"/>
    <w:pPr>
      <w:numPr>
        <w:numId w:val="9"/>
      </w:numPr>
      <w:spacing w:before="60" w:after="60"/>
    </w:pPr>
  </w:style>
  <w:style w:type="paragraph" w:styleId="Pta">
    <w:name w:val="footer"/>
    <w:basedOn w:val="Normlny"/>
    <w:link w:val="PtaChar"/>
    <w:uiPriority w:val="99"/>
    <w:rsid w:val="00910B00"/>
    <w:pPr>
      <w:tabs>
        <w:tab w:val="center" w:pos="4536"/>
        <w:tab w:val="right" w:pos="9072"/>
      </w:tabs>
    </w:pPr>
  </w:style>
  <w:style w:type="character" w:customStyle="1" w:styleId="PtaChar">
    <w:name w:val="Päta Char"/>
    <w:basedOn w:val="Predvolenpsmoodseku"/>
    <w:link w:val="Pta"/>
    <w:uiPriority w:val="99"/>
    <w:locked/>
    <w:rsid w:val="00910B00"/>
    <w:rPr>
      <w:rFonts w:cs="Times New Roman"/>
      <w:sz w:val="24"/>
      <w:lang w:val="x-none" w:eastAsia="sk-SK"/>
    </w:rPr>
  </w:style>
  <w:style w:type="character" w:styleId="slostrany">
    <w:name w:val="page number"/>
    <w:basedOn w:val="Predvolenpsmoodseku"/>
    <w:uiPriority w:val="99"/>
    <w:rsid w:val="00910B00"/>
    <w:rPr>
      <w:rFonts w:cs="Times New Roman"/>
    </w:rPr>
  </w:style>
  <w:style w:type="paragraph" w:styleId="Normlnywebov">
    <w:name w:val="Normal (Web)"/>
    <w:basedOn w:val="Normlny"/>
    <w:uiPriority w:val="99"/>
    <w:rsid w:val="00910B00"/>
    <w:pPr>
      <w:spacing w:before="100" w:beforeAutospacing="1" w:after="100" w:afterAutospacing="1"/>
    </w:pPr>
  </w:style>
  <w:style w:type="character" w:customStyle="1" w:styleId="ppp-input-value1">
    <w:name w:val="ppp-input-value1"/>
    <w:rsid w:val="006901A5"/>
    <w:rPr>
      <w:rFonts w:ascii="Tahoma" w:hAnsi="Tahoma"/>
      <w:color w:val="837A73"/>
      <w:sz w:val="16"/>
    </w:rPr>
  </w:style>
  <w:style w:type="character" w:customStyle="1" w:styleId="PlaceholderText1">
    <w:name w:val="Placeholder Text1"/>
    <w:semiHidden/>
    <w:rsid w:val="004C1FDB"/>
    <w:rPr>
      <w:rFonts w:ascii="Times New Roman" w:hAnsi="Times New Roman"/>
      <w:color w:val="808080"/>
    </w:rPr>
  </w:style>
  <w:style w:type="paragraph" w:customStyle="1" w:styleId="CM3">
    <w:name w:val="CM3"/>
    <w:basedOn w:val="Normlny"/>
    <w:next w:val="Normlny"/>
    <w:rsid w:val="004C1FDB"/>
    <w:pPr>
      <w:autoSpaceDE w:val="0"/>
      <w:autoSpaceDN w:val="0"/>
      <w:adjustRightInd w:val="0"/>
    </w:pPr>
    <w:rPr>
      <w:rFonts w:ascii="EUAlbertina" w:hAnsi="EUAlbertina"/>
    </w:rPr>
  </w:style>
  <w:style w:type="character" w:styleId="Zvraznenie">
    <w:name w:val="Emphasis"/>
    <w:basedOn w:val="Predvolenpsmoodseku"/>
    <w:uiPriority w:val="20"/>
    <w:qFormat/>
    <w:rsid w:val="004C1FDB"/>
    <w:rPr>
      <w:rFonts w:cs="Times New Roman"/>
      <w:i/>
    </w:rPr>
  </w:style>
  <w:style w:type="paragraph" w:customStyle="1" w:styleId="a">
    <w:name w:val="§"/>
    <w:basedOn w:val="Normlny"/>
    <w:qFormat/>
    <w:rsid w:val="00CE0E74"/>
    <w:pPr>
      <w:numPr>
        <w:numId w:val="8"/>
      </w:numPr>
      <w:tabs>
        <w:tab w:val="left" w:pos="425"/>
      </w:tabs>
      <w:spacing w:before="240" w:after="120"/>
      <w:jc w:val="center"/>
    </w:pPr>
  </w:style>
  <w:style w:type="paragraph" w:customStyle="1" w:styleId="odsek">
    <w:name w:val="odsek"/>
    <w:basedOn w:val="Normlny"/>
    <w:qFormat/>
    <w:rsid w:val="00CE0E74"/>
    <w:pPr>
      <w:ind w:firstLine="709"/>
    </w:pPr>
  </w:style>
  <w:style w:type="paragraph" w:customStyle="1" w:styleId="odsek1">
    <w:name w:val="odsek1"/>
    <w:basedOn w:val="odsek"/>
    <w:qFormat/>
    <w:rsid w:val="00CE0E74"/>
    <w:pPr>
      <w:numPr>
        <w:numId w:val="10"/>
      </w:numPr>
      <w:spacing w:before="120" w:after="120"/>
    </w:pPr>
  </w:style>
  <w:style w:type="paragraph" w:customStyle="1" w:styleId="Poznmkapodiarou">
    <w:name w:val="Poznámka pod čiarou"/>
    <w:basedOn w:val="Textpoznmkypodiarou"/>
    <w:qFormat/>
    <w:rsid w:val="00CE0E74"/>
    <w:rPr>
      <w:szCs w:val="24"/>
    </w:rPr>
  </w:style>
  <w:style w:type="paragraph" w:styleId="Textpoznmkypodiarou">
    <w:name w:val="footnote text"/>
    <w:basedOn w:val="Normlny"/>
    <w:link w:val="TextpoznmkypodiarouChar"/>
    <w:uiPriority w:val="99"/>
    <w:semiHidden/>
    <w:unhideWhenUsed/>
    <w:qFormat/>
    <w:rsid w:val="00CE0E74"/>
    <w:pPr>
      <w:ind w:left="227" w:hanging="227"/>
    </w:pPr>
    <w:rPr>
      <w:sz w:val="20"/>
      <w:szCs w:val="20"/>
    </w:rPr>
  </w:style>
  <w:style w:type="character" w:customStyle="1" w:styleId="TextpoznmkypodiarouChar">
    <w:name w:val="Text poznámky pod čiarou Char"/>
    <w:basedOn w:val="Predvolenpsmoodseku"/>
    <w:link w:val="Textpoznmkypodiarou"/>
    <w:uiPriority w:val="99"/>
    <w:semiHidden/>
    <w:locked/>
    <w:rsid w:val="00CE0E74"/>
    <w:rPr>
      <w:rFonts w:cs="Times New Roman"/>
      <w:lang w:val="x-none" w:eastAsia="x-none"/>
    </w:rPr>
  </w:style>
  <w:style w:type="paragraph" w:styleId="Hlavikaobsahu">
    <w:name w:val="TOC Heading"/>
    <w:basedOn w:val="Nadpis1"/>
    <w:next w:val="Normlny"/>
    <w:uiPriority w:val="39"/>
    <w:qFormat/>
    <w:rsid w:val="00CE0E74"/>
    <w:pPr>
      <w:spacing w:before="480" w:after="0"/>
      <w:jc w:val="both"/>
      <w:outlineLvl w:val="9"/>
    </w:pPr>
    <w:rPr>
      <w:rFonts w:ascii="Cambria" w:hAnsi="Cambria"/>
      <w:color w:val="365F91"/>
      <w:sz w:val="28"/>
      <w:lang w:eastAsia="en-US"/>
    </w:rPr>
  </w:style>
  <w:style w:type="paragraph" w:styleId="Hlavika">
    <w:name w:val="header"/>
    <w:basedOn w:val="Normlny"/>
    <w:link w:val="HlavikaChar"/>
    <w:uiPriority w:val="99"/>
    <w:unhideWhenUsed/>
    <w:rsid w:val="00CE0E74"/>
    <w:pPr>
      <w:tabs>
        <w:tab w:val="center" w:pos="4536"/>
        <w:tab w:val="right" w:pos="9072"/>
      </w:tabs>
    </w:pPr>
  </w:style>
  <w:style w:type="character" w:customStyle="1" w:styleId="HlavikaChar">
    <w:name w:val="Hlavička Char"/>
    <w:basedOn w:val="Predvolenpsmoodseku"/>
    <w:link w:val="Hlavika"/>
    <w:uiPriority w:val="99"/>
    <w:locked/>
    <w:rsid w:val="00CE0E74"/>
    <w:rPr>
      <w:rFonts w:cs="Times New Roman"/>
      <w:sz w:val="24"/>
    </w:rPr>
  </w:style>
  <w:style w:type="character" w:styleId="Zstupntext">
    <w:name w:val="Placeholder Text"/>
    <w:basedOn w:val="Predvolenpsmoodseku"/>
    <w:uiPriority w:val="99"/>
    <w:semiHidden/>
    <w:rsid w:val="00EE6116"/>
    <w:rPr>
      <w:rFonts w:ascii="Times New Roman" w:hAnsi="Times New Roman" w:cs="Times New Roman"/>
      <w:color w:val="808080"/>
    </w:rPr>
  </w:style>
  <w:style w:type="character" w:customStyle="1" w:styleId="apple-converted-space">
    <w:name w:val="apple-converted-space"/>
    <w:rsid w:val="00FA0A04"/>
  </w:style>
  <w:style w:type="character" w:styleId="Odkaznakomentr">
    <w:name w:val="annotation reference"/>
    <w:basedOn w:val="Predvolenpsmoodseku"/>
    <w:uiPriority w:val="99"/>
    <w:semiHidden/>
    <w:unhideWhenUsed/>
    <w:rsid w:val="008E7560"/>
    <w:rPr>
      <w:rFonts w:cs="Times New Roman"/>
      <w:sz w:val="16"/>
    </w:rPr>
  </w:style>
  <w:style w:type="paragraph" w:styleId="Textkomentra">
    <w:name w:val="annotation text"/>
    <w:basedOn w:val="Normlny"/>
    <w:link w:val="TextkomentraChar"/>
    <w:uiPriority w:val="99"/>
    <w:unhideWhenUsed/>
    <w:rsid w:val="008E7560"/>
    <w:rPr>
      <w:sz w:val="20"/>
      <w:szCs w:val="20"/>
    </w:rPr>
  </w:style>
  <w:style w:type="character" w:customStyle="1" w:styleId="TextkomentraChar">
    <w:name w:val="Text komentára Char"/>
    <w:basedOn w:val="Predvolenpsmoodseku"/>
    <w:link w:val="Textkomentra"/>
    <w:uiPriority w:val="99"/>
    <w:locked/>
    <w:rsid w:val="008E7560"/>
    <w:rPr>
      <w:rFonts w:cs="Times New Roman"/>
    </w:rPr>
  </w:style>
  <w:style w:type="paragraph" w:styleId="Predmetkomentra">
    <w:name w:val="annotation subject"/>
    <w:basedOn w:val="Textkomentra"/>
    <w:next w:val="Textkomentra"/>
    <w:link w:val="PredmetkomentraChar"/>
    <w:uiPriority w:val="99"/>
    <w:semiHidden/>
    <w:unhideWhenUsed/>
    <w:rsid w:val="008E7560"/>
    <w:rPr>
      <w:b/>
      <w:bCs/>
    </w:rPr>
  </w:style>
  <w:style w:type="character" w:customStyle="1" w:styleId="PredmetkomentraChar">
    <w:name w:val="Predmet komentára Char"/>
    <w:basedOn w:val="TextkomentraChar"/>
    <w:link w:val="Predmetkomentra"/>
    <w:uiPriority w:val="99"/>
    <w:semiHidden/>
    <w:locked/>
    <w:rsid w:val="008E7560"/>
    <w:rPr>
      <w:rFonts w:cs="Times New Roman"/>
      <w:b/>
    </w:rPr>
  </w:style>
  <w:style w:type="paragraph" w:styleId="Revzia">
    <w:name w:val="Revision"/>
    <w:hidden/>
    <w:uiPriority w:val="99"/>
    <w:semiHidden/>
    <w:rsid w:val="00D4538E"/>
    <w:rPr>
      <w:sz w:val="24"/>
      <w:szCs w:val="24"/>
      <w:lang w:val="sk-SK" w:eastAsia="sk-SK"/>
    </w:rPr>
  </w:style>
  <w:style w:type="table" w:styleId="Mriekatabuky">
    <w:name w:val="Table Grid"/>
    <w:basedOn w:val="Normlnatabuka"/>
    <w:uiPriority w:val="59"/>
    <w:unhideWhenUsed/>
    <w:rsid w:val="00D97D0F"/>
    <w:rPr>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60336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192446">
      <w:marLeft w:val="0"/>
      <w:marRight w:val="0"/>
      <w:marTop w:val="0"/>
      <w:marBottom w:val="0"/>
      <w:divBdr>
        <w:top w:val="none" w:sz="0" w:space="0" w:color="auto"/>
        <w:left w:val="none" w:sz="0" w:space="0" w:color="auto"/>
        <w:bottom w:val="none" w:sz="0" w:space="0" w:color="auto"/>
        <w:right w:val="none" w:sz="0" w:space="0" w:color="auto"/>
      </w:divBdr>
      <w:divsChild>
        <w:div w:id="1264192447">
          <w:marLeft w:val="0"/>
          <w:marRight w:val="0"/>
          <w:marTop w:val="0"/>
          <w:marBottom w:val="0"/>
          <w:divBdr>
            <w:top w:val="none" w:sz="0" w:space="0" w:color="auto"/>
            <w:left w:val="none" w:sz="0" w:space="0" w:color="auto"/>
            <w:bottom w:val="none" w:sz="0" w:space="0" w:color="auto"/>
            <w:right w:val="none" w:sz="0" w:space="0" w:color="auto"/>
          </w:divBdr>
          <w:divsChild>
            <w:div w:id="1264192449">
              <w:marLeft w:val="0"/>
              <w:marRight w:val="0"/>
              <w:marTop w:val="0"/>
              <w:marBottom w:val="0"/>
              <w:divBdr>
                <w:top w:val="single" w:sz="2" w:space="0" w:color="000000"/>
                <w:left w:val="single" w:sz="2" w:space="0" w:color="000000"/>
                <w:bottom w:val="single" w:sz="2" w:space="0" w:color="000000"/>
                <w:right w:val="single" w:sz="2" w:space="0" w:color="000000"/>
              </w:divBdr>
              <w:divsChild>
                <w:div w:id="1264192453">
                  <w:marLeft w:val="1521"/>
                  <w:marRight w:val="0"/>
                  <w:marTop w:val="0"/>
                  <w:marBottom w:val="0"/>
                  <w:divBdr>
                    <w:top w:val="none" w:sz="0" w:space="0" w:color="auto"/>
                    <w:left w:val="none" w:sz="0" w:space="0" w:color="auto"/>
                    <w:bottom w:val="none" w:sz="0" w:space="0" w:color="auto"/>
                    <w:right w:val="none" w:sz="0" w:space="0" w:color="auto"/>
                  </w:divBdr>
                  <w:divsChild>
                    <w:div w:id="1264192456">
                      <w:marLeft w:val="0"/>
                      <w:marRight w:val="0"/>
                      <w:marTop w:val="0"/>
                      <w:marBottom w:val="0"/>
                      <w:divBdr>
                        <w:top w:val="none" w:sz="0" w:space="0" w:color="auto"/>
                        <w:left w:val="none" w:sz="0" w:space="0" w:color="auto"/>
                        <w:bottom w:val="none" w:sz="0" w:space="0" w:color="auto"/>
                        <w:right w:val="none" w:sz="0" w:space="0" w:color="auto"/>
                      </w:divBdr>
                      <w:divsChild>
                        <w:div w:id="1264192445">
                          <w:marLeft w:val="0"/>
                          <w:marRight w:val="0"/>
                          <w:marTop w:val="0"/>
                          <w:marBottom w:val="0"/>
                          <w:divBdr>
                            <w:top w:val="none" w:sz="0" w:space="0" w:color="auto"/>
                            <w:left w:val="none" w:sz="0" w:space="0" w:color="auto"/>
                            <w:bottom w:val="none" w:sz="0" w:space="0" w:color="auto"/>
                            <w:right w:val="none" w:sz="0" w:space="0" w:color="auto"/>
                          </w:divBdr>
                          <w:divsChild>
                            <w:div w:id="1264192452">
                              <w:marLeft w:val="0"/>
                              <w:marRight w:val="0"/>
                              <w:marTop w:val="0"/>
                              <w:marBottom w:val="0"/>
                              <w:divBdr>
                                <w:top w:val="none" w:sz="0" w:space="0" w:color="auto"/>
                                <w:left w:val="none" w:sz="0" w:space="0" w:color="auto"/>
                                <w:bottom w:val="none" w:sz="0" w:space="0" w:color="auto"/>
                                <w:right w:val="none" w:sz="0" w:space="0" w:color="auto"/>
                              </w:divBdr>
                              <w:divsChild>
                                <w:div w:id="1264192451">
                                  <w:marLeft w:val="0"/>
                                  <w:marRight w:val="1876"/>
                                  <w:marTop w:val="0"/>
                                  <w:marBottom w:val="0"/>
                                  <w:divBdr>
                                    <w:top w:val="none" w:sz="0" w:space="0" w:color="auto"/>
                                    <w:left w:val="none" w:sz="0" w:space="0" w:color="auto"/>
                                    <w:bottom w:val="none" w:sz="0" w:space="0" w:color="auto"/>
                                    <w:right w:val="none" w:sz="0" w:space="0" w:color="auto"/>
                                  </w:divBdr>
                                  <w:divsChild>
                                    <w:div w:id="1264192448">
                                      <w:marLeft w:val="0"/>
                                      <w:marRight w:val="0"/>
                                      <w:marTop w:val="0"/>
                                      <w:marBottom w:val="0"/>
                                      <w:divBdr>
                                        <w:top w:val="none" w:sz="0" w:space="0" w:color="auto"/>
                                        <w:left w:val="none" w:sz="0" w:space="0" w:color="auto"/>
                                        <w:bottom w:val="none" w:sz="0" w:space="0" w:color="auto"/>
                                        <w:right w:val="none" w:sz="0" w:space="0" w:color="auto"/>
                                      </w:divBdr>
                                    </w:div>
                                    <w:div w:id="126419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4192450">
      <w:marLeft w:val="0"/>
      <w:marRight w:val="0"/>
      <w:marTop w:val="0"/>
      <w:marBottom w:val="0"/>
      <w:divBdr>
        <w:top w:val="none" w:sz="0" w:space="0" w:color="auto"/>
        <w:left w:val="none" w:sz="0" w:space="0" w:color="auto"/>
        <w:bottom w:val="none" w:sz="0" w:space="0" w:color="auto"/>
        <w:right w:val="none" w:sz="0" w:space="0" w:color="auto"/>
      </w:divBdr>
    </w:div>
    <w:div w:id="1264192455">
      <w:marLeft w:val="0"/>
      <w:marRight w:val="0"/>
      <w:marTop w:val="0"/>
      <w:marBottom w:val="0"/>
      <w:divBdr>
        <w:top w:val="none" w:sz="0" w:space="0" w:color="auto"/>
        <w:left w:val="none" w:sz="0" w:space="0" w:color="auto"/>
        <w:bottom w:val="none" w:sz="0" w:space="0" w:color="auto"/>
        <w:right w:val="none" w:sz="0" w:space="0" w:color="auto"/>
      </w:divBdr>
    </w:div>
    <w:div w:id="12641924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zatko@land.gov.sk"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8E89F-DD88-4D53-9827-23D66B9D2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11570</Words>
  <Characters>65951</Characters>
  <Application>Microsoft Office Word</Application>
  <DocSecurity>0</DocSecurity>
  <Lines>549</Lines>
  <Paragraphs>154</Paragraphs>
  <ScaleCrop>false</ScaleCrop>
  <HeadingPairs>
    <vt:vector size="2" baseType="variant">
      <vt:variant>
        <vt:lpstr>Názov</vt:lpstr>
      </vt:variant>
      <vt:variant>
        <vt:i4>1</vt:i4>
      </vt:variant>
    </vt:vector>
  </HeadingPairs>
  <TitlesOfParts>
    <vt:vector size="1" baseType="lpstr">
      <vt:lpstr>Dôvodová správa</vt:lpstr>
    </vt:vector>
  </TitlesOfParts>
  <Company/>
  <LinksUpToDate>false</LinksUpToDate>
  <CharactersWithSpaces>77367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subject/>
  <dc:creator>Višňovský Ivan</dc:creator>
  <cp:keywords/>
  <dc:description/>
  <cp:lastModifiedBy>Gašparíková, Jarmila</cp:lastModifiedBy>
  <cp:revision>2</cp:revision>
  <cp:lastPrinted>2014-06-09T12:04:00Z</cp:lastPrinted>
  <dcterms:created xsi:type="dcterms:W3CDTF">2018-11-08T08:21:00Z</dcterms:created>
  <dcterms:modified xsi:type="dcterms:W3CDTF">2018-11-08T08:21:00Z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&lt;table align="left" border="0" cellpadding="0" cellspacing="0" style="width:100.0%;" width="100%"&gt;_&lt;tbody&gt;__&lt;tr&gt;___&lt;td colspan="5" style="width:100.0%;height:27px;"&gt;___&lt;h2&gt;Správa o účasti verejnosti na tvorbe právneho predpisu&lt;/h2&gt;___&lt;p align="center"&gt;&lt;st</vt:lpwstr>
  </property>
  <property fmtid="{D5CDD505-2E9C-101B-9397-08002B2CF9AE}" pid="3" name="FSC#SKEDITIONSLOVLEX@103.510:typpredpis">
    <vt:lpwstr>Zákon</vt:lpwstr>
  </property>
  <property fmtid="{D5CDD505-2E9C-101B-9397-08002B2CF9AE}" pid="4" name="FSC#SKEDITIONSLOVLEX@103.510:aktualnyrok">
    <vt:lpwstr>2018</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Roman Nemec</vt:lpwstr>
  </property>
  <property fmtid="{D5CDD505-2E9C-101B-9397-08002B2CF9AE}" pid="12" name="FSC#SKEDITIONSLOVLEX@103.510:zodppredkladatel">
    <vt:lpwstr>Gabriela Matečná</vt:lpwstr>
  </property>
  <property fmtid="{D5CDD505-2E9C-101B-9397-08002B2CF9AE}" pid="13" name="FSC#SKEDITIONSLOVLEX@103.510:dalsipredkladatel">
    <vt:lpwstr/>
  </property>
  <property fmtid="{D5CDD505-2E9C-101B-9397-08002B2CF9AE}" pid="14" name="FSC#SKEDITIONSLOVLEX@103.510:nazovpredpis">
    <vt:lpwstr> o  neprimeraných podmienkach v obchodných vzťahoch, ktorých predmetom sú potraviny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pôdohospodárstva a rozvoja vidieka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2017</vt:lpwstr>
  </property>
  <property fmtid="{D5CDD505-2E9C-101B-9397-08002B2CF9AE}" pid="23" name="FSC#SKEDITIONSLOVLEX@103.510:plnynazovpredpis">
    <vt:lpwstr> Zákon o  neprimeraných podmienkach v obchodných vzťahoch, ktorých predmetom sú potraviny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1165/2018-410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LP/2018/65</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upravená v práve Európskej únie</vt:lpwstr>
  </property>
  <property fmtid="{D5CDD505-2E9C-101B-9397-08002B2CF9AE}" pid="46" name="FSC#SKEDITIONSLOVLEX@103.510:AttrStrListDocPropPrimarnePravoEU">
    <vt:lpwstr>čl. 101 až 109 Zmluvy o fungovaní Európskej únie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Nariadenie Rady (ES) č. 1/2003 zo 16. decembra 2002 o vykonávaní pravidiel hospodárskej súťaže stanovených v článkoch 81 a 82 Zmluvy (Ú. v. ES L 1, 4.1.2003) v platnom znení </vt:lpwstr>
  </property>
  <property fmtid="{D5CDD505-2E9C-101B-9397-08002B2CF9AE}" pid="50" name="FSC#SKEDITIONSLOVLEX@103.510:AttrStrListDocPropProblematikaPPb">
    <vt:lpwstr>nie je obsiahnutá v judikatúre Súdneho dvora Európskej únie</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bezpredmetné</vt:lpwstr>
  </property>
  <property fmtid="{D5CDD505-2E9C-101B-9397-08002B2CF9AE}" pid="53" name="FSC#SKEDITIONSLOVLEX@103.510:AttrStrListDocPropLehotaNaPredlozenie">
    <vt:lpwstr>bezpredmetné</vt:lpwstr>
  </property>
  <property fmtid="{D5CDD505-2E9C-101B-9397-08002B2CF9AE}" pid="54" name="FSC#SKEDITIONSLOVLEX@103.510:AttrStrListDocPropInfoZaciatokKonania">
    <vt:lpwstr>V oblasti, ktorú upravuje návrh zákona, nebolo začaté konanie proti Slovenskej republike o porušení Zmluvy o fungovaní Európskej únie podľa čl. 258 až 260 Zmluvy o fungovaní Európskej únie v platnom znení. </vt:lpwstr>
  </property>
  <property fmtid="{D5CDD505-2E9C-101B-9397-08002B2CF9AE}" pid="55" name="FSC#SKEDITIONSLOVLEX@103.510:AttrStrListDocPropInfoUzPreberanePP">
    <vt:lpwstr>bezpredmetné</vt:lpwstr>
  </property>
  <property fmtid="{D5CDD505-2E9C-101B-9397-08002B2CF9AE}" pid="56" name="FSC#SKEDITIONSLOVLEX@103.510:AttrStrListDocPropStupenZlucitelnostiPP">
    <vt:lpwstr>úplný</vt:lpwstr>
  </property>
  <property fmtid="{D5CDD505-2E9C-101B-9397-08002B2CF9AE}" pid="57" name="FSC#SKEDITIONSLOVLEX@103.510:AttrStrListDocPropGestorSpolupRezorty">
    <vt:lpwstr>Ministerstvo pôdohospodárstva a rozvoja vidieka Slovenskej republiky</vt:lpwstr>
  </property>
  <property fmtid="{D5CDD505-2E9C-101B-9397-08002B2CF9AE}" pid="58" name="FSC#SKEDITIONSLOVLEX@103.510:AttrDateDocPropZaciatokPKK">
    <vt:lpwstr>17. 8. 2017</vt:lpwstr>
  </property>
  <property fmtid="{D5CDD505-2E9C-101B-9397-08002B2CF9AE}" pid="59" name="FSC#SKEDITIONSLOVLEX@103.510:AttrDateDocPropUkonceniePKK">
    <vt:lpwstr>4. 9. 2017</vt:lpwstr>
  </property>
  <property fmtid="{D5CDD505-2E9C-101B-9397-08002B2CF9AE}" pid="60" name="FSC#SKEDITIONSLOVLEX@103.510:AttrStrDocPropVplyvRozpocetVS">
    <vt:lpwstr>Pozitívne</vt:lpwstr>
  </property>
  <property fmtid="{D5CDD505-2E9C-101B-9397-08002B2CF9AE}" pid="61" name="FSC#SKEDITIONSLOVLEX@103.510:AttrStrDocPropVplyvPodnikatelskeProstr">
    <vt:lpwstr>Pozitívne_x000d__x000d_Negatívne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Pozitívny dopad na štátny rozpočet spočíva v možnosti uloženia pokuty za porušenia zákona, a to až do výšky 500.000,-EUR, ktorá je následne príjmom štátneho rozpočtu.Pozitívny vplyv na podnikateľské prostredie spočíva vo vyrovnaní podmienok podnikania pre</vt:lpwstr>
  </property>
  <property fmtid="{D5CDD505-2E9C-101B-9397-08002B2CF9AE}" pid="66" name="FSC#SKEDITIONSLOVLEX@103.510:AttrStrListDocPropAltRiesenia">
    <vt:lpwstr>Alternatíva 0: pretrvávanie problémov v aplikačnej praxi, ktoré sú popísané v druhom bode.Alternatíva 1: nová právna úprava neprimeraných podmienok v obchodných vzťahoch, ktorých predmetom sú potraviny. </vt:lpwstr>
  </property>
  <property fmtid="{D5CDD505-2E9C-101B-9397-08002B2CF9AE}" pid="67" name="FSC#SKEDITIONSLOVLEX@103.510:AttrStrListDocPropStanoviskoGest">
    <vt:lpwstr>Stanovisko komisie (predbežné pripomienkové konanie) k návrhu zákona, ktorým sa mení a dopĺňa zákon č. 362/2012 Z. z. o neprimeraných podmienkach v obchodných vzťahoch, ktorých predmetom sú potravinyI. Úvod: Ministerstvo pôdohospodárstva a rozvoja vidieka</vt:lpwstr>
  </property>
  <property fmtid="{D5CDD505-2E9C-101B-9397-08002B2CF9AE}" pid="68" name="FSC#SKEDITIONSLOVLEX@103.510:AttrStrListDocPropTextKomunike">
    <vt:lpwstr>Vláda Slovenskej republiky na svojom rokovaní dňa ....................... prerokovala a schválila návrh zákona o  neprimeraných podmienkach v obchodných vzťahoch, ktorých predmetom sú potraviny.</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republiky_x000d__x000d_podpredsedníčka vlády Slovenskej republiky a ministerka pôdohospodárstva a rozvoja vidieka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štátny radca</vt:lpwstr>
  </property>
  <property fmtid="{D5CDD505-2E9C-101B-9397-08002B2CF9AE}" pid="139" name="FSC#SKEDITIONSLOVLEX@103.510:funkciaPredAkuzativ">
    <vt:lpwstr>štátnemu radcovi</vt:lpwstr>
  </property>
  <property fmtid="{D5CDD505-2E9C-101B-9397-08002B2CF9AE}" pid="140" name="FSC#SKEDITIONSLOVLEX@103.510:funkciaPredDativ">
    <vt:lpwstr>štátneho radcu</vt:lpwstr>
  </property>
  <property fmtid="{D5CDD505-2E9C-101B-9397-08002B2CF9AE}" pid="141" name="FSC#SKEDITIONSLOVLEX@103.510:funkciaZodpPred">
    <vt:lpwstr>ministerka pôdohospodárstva a rozvoja vidieka Slovenskej republiky</vt:lpwstr>
  </property>
  <property fmtid="{D5CDD505-2E9C-101B-9397-08002B2CF9AE}" pid="142" name="FSC#SKEDITIONSLOVLEX@103.510:funkciaZodpPredAkuzativ">
    <vt:lpwstr>ministerka pôdohospodárstva a rozvoja vidieka Slovenskej republiky</vt:lpwstr>
  </property>
  <property fmtid="{D5CDD505-2E9C-101B-9397-08002B2CF9AE}" pid="143" name="FSC#SKEDITIONSLOVLEX@103.510:funkciaZodpPredDativ">
    <vt:lpwstr>ministerka pôdohospodárstva a rozvoja vidieka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Gabriela Matečná_x000d__x000d_ministerka pôdohospodárstva a rozvoja vidieka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pôdohospodárstva a&amp;nbsp;rozvoja vidieka Slovenskej republiky predkladá návrh zákona o neprimeraných podmienkach v obchodných vzťahoch, ktorých predmetom sú potraviny (ďalej len "návrh zákona") na základe Plánu </vt:lpwstr>
  </property>
  <property fmtid="{D5CDD505-2E9C-101B-9397-08002B2CF9AE}" pid="150" name="FSC#SKEDITIONSLOVLEX@103.510:vytvorenedna">
    <vt:lpwstr>8. 2. 2018</vt:lpwstr>
  </property>
  <property fmtid="{D5CDD505-2E9C-101B-9397-08002B2CF9AE}" pid="151" name="FSC#COOSYSTEM@1.1:Container">
    <vt:lpwstr>COO.2145.1000.3.2425958</vt:lpwstr>
  </property>
  <property fmtid="{D5CDD505-2E9C-101B-9397-08002B2CF9AE}" pid="152" name="FSC#FSCFOLIO@1.1001:docpropproject">
    <vt:lpwstr/>
  </property>
</Properties>
</file>