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E670" w14:textId="77777777" w:rsidR="007B4261" w:rsidRPr="009B77EC" w:rsidRDefault="007B4261" w:rsidP="007B4261">
      <w:pPr>
        <w:spacing w:line="300" w:lineRule="auto"/>
        <w:jc w:val="center"/>
        <w:rPr>
          <w:b/>
          <w:bCs/>
          <w:sz w:val="56"/>
          <w:szCs w:val="56"/>
        </w:rPr>
      </w:pPr>
      <w:bookmarkStart w:id="0" w:name="_Toc252456193"/>
      <w:bookmarkStart w:id="1" w:name="_Toc252805695"/>
      <w:bookmarkStart w:id="2" w:name="_Toc275948223"/>
      <w:bookmarkStart w:id="3" w:name="_Toc384124252"/>
      <w:bookmarkStart w:id="4" w:name="_Toc394471503"/>
    </w:p>
    <w:p w14:paraId="38C54069" w14:textId="77777777" w:rsidR="007B4261" w:rsidRPr="009B77EC" w:rsidRDefault="007B4261" w:rsidP="007B4261">
      <w:pPr>
        <w:spacing w:line="300" w:lineRule="auto"/>
        <w:jc w:val="center"/>
        <w:rPr>
          <w:b/>
          <w:bCs/>
          <w:sz w:val="56"/>
          <w:szCs w:val="56"/>
        </w:rPr>
      </w:pPr>
    </w:p>
    <w:p w14:paraId="0244E14D" w14:textId="77777777" w:rsidR="007B4261" w:rsidRPr="009B77EC" w:rsidRDefault="007B4261" w:rsidP="007B4261">
      <w:pPr>
        <w:spacing w:line="300" w:lineRule="auto"/>
        <w:jc w:val="center"/>
        <w:rPr>
          <w:b/>
          <w:bCs/>
          <w:sz w:val="56"/>
          <w:szCs w:val="56"/>
        </w:rPr>
      </w:pPr>
    </w:p>
    <w:p w14:paraId="278402B1" w14:textId="77777777" w:rsidR="007B4261" w:rsidRDefault="007B4261" w:rsidP="007B4261">
      <w:pPr>
        <w:spacing w:line="300" w:lineRule="auto"/>
        <w:jc w:val="center"/>
        <w:rPr>
          <w:b/>
          <w:bCs/>
          <w:sz w:val="56"/>
          <w:szCs w:val="56"/>
        </w:rPr>
      </w:pPr>
    </w:p>
    <w:p w14:paraId="0E68113B" w14:textId="77777777" w:rsidR="007B4261" w:rsidRDefault="007B4261" w:rsidP="007B4261">
      <w:pPr>
        <w:spacing w:line="300" w:lineRule="auto"/>
        <w:jc w:val="center"/>
        <w:rPr>
          <w:b/>
          <w:bCs/>
          <w:sz w:val="56"/>
          <w:szCs w:val="56"/>
        </w:rPr>
      </w:pPr>
    </w:p>
    <w:p w14:paraId="4969AF24" w14:textId="77777777" w:rsidR="007B4261" w:rsidRPr="009B77EC" w:rsidRDefault="007B4261" w:rsidP="007B4261">
      <w:pPr>
        <w:spacing w:line="300" w:lineRule="auto"/>
        <w:jc w:val="center"/>
        <w:rPr>
          <w:b/>
          <w:bCs/>
          <w:sz w:val="56"/>
          <w:szCs w:val="56"/>
        </w:rPr>
      </w:pPr>
    </w:p>
    <w:p w14:paraId="7670E672" w14:textId="77777777" w:rsidR="007B4261" w:rsidRDefault="007B4261" w:rsidP="007B4261">
      <w:pPr>
        <w:pStyle w:val="Normlnywebov"/>
        <w:spacing w:before="0" w:beforeAutospacing="0" w:after="0" w:afterAutospacing="0"/>
        <w:jc w:val="center"/>
        <w:rPr>
          <w:b/>
          <w:bCs/>
          <w:sz w:val="44"/>
          <w:szCs w:val="44"/>
        </w:rPr>
      </w:pPr>
      <w:r>
        <w:rPr>
          <w:b/>
          <w:bCs/>
          <w:sz w:val="44"/>
          <w:szCs w:val="44"/>
        </w:rPr>
        <w:t>Príloha č. 6</w:t>
      </w:r>
    </w:p>
    <w:p w14:paraId="6445929B" w14:textId="77777777" w:rsidR="007B4261" w:rsidRPr="009B77EC" w:rsidRDefault="007B4261" w:rsidP="007B4261">
      <w:pPr>
        <w:spacing w:line="300" w:lineRule="auto"/>
        <w:jc w:val="center"/>
        <w:rPr>
          <w:b/>
          <w:bCs/>
          <w:sz w:val="56"/>
          <w:szCs w:val="56"/>
        </w:rPr>
      </w:pPr>
    </w:p>
    <w:p w14:paraId="5C16336D" w14:textId="673F4EEC" w:rsidR="007B4261" w:rsidRPr="00AA74A3" w:rsidRDefault="007B4261" w:rsidP="007B4261">
      <w:pPr>
        <w:spacing w:line="300" w:lineRule="auto"/>
        <w:jc w:val="center"/>
        <w:rPr>
          <w:b/>
          <w:bCs/>
          <w:sz w:val="44"/>
          <w:szCs w:val="56"/>
        </w:rPr>
      </w:pPr>
      <w:r w:rsidRPr="00AA74A3">
        <w:rPr>
          <w:b/>
          <w:bCs/>
          <w:sz w:val="44"/>
          <w:szCs w:val="56"/>
        </w:rPr>
        <w:t xml:space="preserve">Aktualizácia </w:t>
      </w:r>
      <w:r>
        <w:rPr>
          <w:b/>
          <w:bCs/>
          <w:sz w:val="44"/>
          <w:szCs w:val="56"/>
        </w:rPr>
        <w:t>S</w:t>
      </w:r>
      <w:r w:rsidRPr="00AA74A3">
        <w:rPr>
          <w:b/>
          <w:bCs/>
          <w:sz w:val="44"/>
          <w:szCs w:val="56"/>
        </w:rPr>
        <w:t xml:space="preserve">tratégie riadenia štátneho dlhu </w:t>
      </w:r>
      <w:r w:rsidRPr="00AA74A3">
        <w:rPr>
          <w:b/>
          <w:bCs/>
          <w:sz w:val="44"/>
          <w:szCs w:val="56"/>
        </w:rPr>
        <w:br/>
        <w:t>na roky 2015 až 2018</w:t>
      </w:r>
    </w:p>
    <w:p w14:paraId="5ABFC4BF" w14:textId="77777777" w:rsidR="007B4261" w:rsidRPr="009B77EC" w:rsidRDefault="007B4261" w:rsidP="007B4261">
      <w:pPr>
        <w:spacing w:line="300" w:lineRule="auto"/>
        <w:jc w:val="center"/>
        <w:rPr>
          <w:b/>
          <w:bCs/>
          <w:sz w:val="56"/>
          <w:szCs w:val="56"/>
        </w:rPr>
      </w:pPr>
    </w:p>
    <w:p w14:paraId="09EBBFA9" w14:textId="77777777" w:rsidR="007B4261" w:rsidRPr="009B77EC" w:rsidRDefault="007B4261" w:rsidP="007B4261">
      <w:pPr>
        <w:spacing w:line="300" w:lineRule="auto"/>
        <w:jc w:val="center"/>
        <w:rPr>
          <w:b/>
          <w:bCs/>
          <w:sz w:val="56"/>
          <w:szCs w:val="56"/>
        </w:rPr>
      </w:pPr>
    </w:p>
    <w:p w14:paraId="34247BEE" w14:textId="77777777" w:rsidR="007B4261" w:rsidRPr="009B77EC" w:rsidRDefault="007B4261" w:rsidP="007B4261">
      <w:pPr>
        <w:spacing w:line="300" w:lineRule="auto"/>
        <w:jc w:val="center"/>
        <w:rPr>
          <w:b/>
          <w:bCs/>
          <w:sz w:val="56"/>
          <w:szCs w:val="56"/>
        </w:rPr>
      </w:pPr>
    </w:p>
    <w:p w14:paraId="76B32283" w14:textId="77777777" w:rsidR="007B4261" w:rsidRPr="009B77EC" w:rsidRDefault="007B4261" w:rsidP="007B4261">
      <w:pPr>
        <w:spacing w:line="300" w:lineRule="auto"/>
        <w:jc w:val="center"/>
        <w:rPr>
          <w:b/>
          <w:bCs/>
          <w:sz w:val="56"/>
          <w:szCs w:val="56"/>
        </w:rPr>
      </w:pPr>
    </w:p>
    <w:p w14:paraId="513FFF9D" w14:textId="77777777" w:rsidR="007B4261" w:rsidRPr="009B77EC" w:rsidRDefault="007B4261" w:rsidP="007B4261">
      <w:pPr>
        <w:spacing w:line="300" w:lineRule="auto"/>
        <w:jc w:val="center"/>
        <w:rPr>
          <w:b/>
          <w:bCs/>
          <w:sz w:val="56"/>
          <w:szCs w:val="56"/>
        </w:rPr>
      </w:pPr>
    </w:p>
    <w:p w14:paraId="1F3E05F9" w14:textId="77777777" w:rsidR="007B4261" w:rsidRPr="009B77EC" w:rsidRDefault="007B4261" w:rsidP="007B4261">
      <w:pPr>
        <w:spacing w:line="300" w:lineRule="auto"/>
        <w:jc w:val="center"/>
        <w:rPr>
          <w:b/>
          <w:bCs/>
          <w:sz w:val="56"/>
          <w:szCs w:val="56"/>
        </w:rPr>
      </w:pPr>
    </w:p>
    <w:p w14:paraId="2977F66D" w14:textId="77777777" w:rsidR="007B4261" w:rsidRPr="009B77EC" w:rsidRDefault="007B4261" w:rsidP="007B4261">
      <w:pPr>
        <w:spacing w:line="300" w:lineRule="auto"/>
        <w:jc w:val="center"/>
        <w:rPr>
          <w:b/>
          <w:bCs/>
          <w:sz w:val="56"/>
          <w:szCs w:val="56"/>
        </w:rPr>
      </w:pPr>
    </w:p>
    <w:p w14:paraId="7A358CAF" w14:textId="6E399725" w:rsidR="007B4261" w:rsidRPr="009B77EC" w:rsidRDefault="007B4261" w:rsidP="007B4261">
      <w:pPr>
        <w:jc w:val="center"/>
        <w:rPr>
          <w:sz w:val="32"/>
          <w:szCs w:val="22"/>
        </w:rPr>
      </w:pPr>
      <w:r>
        <w:rPr>
          <w:sz w:val="32"/>
          <w:szCs w:val="22"/>
        </w:rPr>
        <w:t>September</w:t>
      </w:r>
      <w:r w:rsidRPr="009B77EC">
        <w:rPr>
          <w:sz w:val="32"/>
          <w:szCs w:val="22"/>
        </w:rPr>
        <w:t xml:space="preserve"> 201</w:t>
      </w:r>
      <w:r w:rsidR="00B9754C">
        <w:rPr>
          <w:sz w:val="32"/>
          <w:szCs w:val="22"/>
        </w:rPr>
        <w:t>8</w:t>
      </w:r>
    </w:p>
    <w:p w14:paraId="736314A6" w14:textId="77777777" w:rsidR="007B4261" w:rsidRPr="009B77EC" w:rsidRDefault="007B4261" w:rsidP="007B4261">
      <w:pPr>
        <w:pStyle w:val="Textpoznmkypodiarou"/>
      </w:pPr>
    </w:p>
    <w:p w14:paraId="3B1C26E8" w14:textId="77777777" w:rsidR="007B4261" w:rsidRPr="009B77EC" w:rsidRDefault="007B4261" w:rsidP="007B4261">
      <w:pPr>
        <w:pStyle w:val="Textpoznmkypodiarou"/>
      </w:pPr>
    </w:p>
    <w:p w14:paraId="38CF7535" w14:textId="77777777" w:rsidR="008A0FB7" w:rsidRDefault="00CC3215" w:rsidP="00CC3215">
      <w:pPr>
        <w:pStyle w:val="Textpoznmkypodiarou"/>
      </w:pPr>
      <w:r w:rsidRPr="0019148E">
        <w:br w:type="page"/>
      </w:r>
      <w:bookmarkEnd w:id="0"/>
      <w:bookmarkEnd w:id="1"/>
      <w:bookmarkEnd w:id="2"/>
      <w:bookmarkEnd w:id="3"/>
      <w:bookmarkEnd w:id="4"/>
    </w:p>
    <w:p w14:paraId="09D0394B" w14:textId="77777777" w:rsidR="008A0FB7" w:rsidRPr="0003036D" w:rsidRDefault="008A0FB7" w:rsidP="008A0FB7">
      <w:pPr>
        <w:pStyle w:val="Nadpis2"/>
        <w:spacing w:before="480" w:after="840"/>
        <w:rPr>
          <w:rFonts w:ascii="Times New Roman" w:hAnsi="Times New Roman" w:cs="Times New Roman"/>
          <w:i w:val="0"/>
        </w:rPr>
      </w:pPr>
      <w:bookmarkStart w:id="5" w:name="_Toc494382334"/>
      <w:r w:rsidRPr="0003036D">
        <w:rPr>
          <w:rFonts w:ascii="Times New Roman" w:hAnsi="Times New Roman" w:cs="Times New Roman"/>
          <w:i w:val="0"/>
        </w:rPr>
        <w:lastRenderedPageBreak/>
        <w:t>Obsah</w:t>
      </w:r>
      <w:bookmarkEnd w:id="5"/>
    </w:p>
    <w:p w14:paraId="462B15DD" w14:textId="77777777" w:rsidR="00625B9B" w:rsidRDefault="008A0FB7">
      <w:pPr>
        <w:pStyle w:val="Obsah2"/>
        <w:rPr>
          <w:rFonts w:asciiTheme="minorHAnsi" w:eastAsiaTheme="minorEastAsia" w:hAnsiTheme="minorHAnsi" w:cstheme="minorBidi"/>
          <w:noProof/>
          <w:sz w:val="22"/>
          <w:szCs w:val="22"/>
        </w:rPr>
      </w:pPr>
      <w:r w:rsidRPr="0003036D">
        <w:rPr>
          <w:b/>
          <w:sz w:val="22"/>
          <w:szCs w:val="22"/>
        </w:rPr>
        <w:fldChar w:fldCharType="begin"/>
      </w:r>
      <w:r w:rsidRPr="0003036D">
        <w:rPr>
          <w:b/>
          <w:sz w:val="22"/>
          <w:szCs w:val="22"/>
        </w:rPr>
        <w:instrText xml:space="preserve"> TOC \o "1-3" \h \z \u </w:instrText>
      </w:r>
      <w:r w:rsidRPr="0003036D">
        <w:rPr>
          <w:b/>
          <w:sz w:val="22"/>
          <w:szCs w:val="22"/>
        </w:rPr>
        <w:fldChar w:fldCharType="separate"/>
      </w:r>
      <w:hyperlink w:anchor="_Toc494382334" w:history="1">
        <w:r w:rsidR="00625B9B" w:rsidRPr="00F457D6">
          <w:rPr>
            <w:rStyle w:val="Hypertextovprepojenie"/>
            <w:noProof/>
          </w:rPr>
          <w:t>Obsah</w:t>
        </w:r>
        <w:r w:rsidR="00625B9B">
          <w:rPr>
            <w:noProof/>
            <w:webHidden/>
          </w:rPr>
          <w:tab/>
        </w:r>
        <w:r w:rsidR="00625B9B">
          <w:rPr>
            <w:noProof/>
            <w:webHidden/>
          </w:rPr>
          <w:fldChar w:fldCharType="begin"/>
        </w:r>
        <w:r w:rsidR="00625B9B">
          <w:rPr>
            <w:noProof/>
            <w:webHidden/>
          </w:rPr>
          <w:instrText xml:space="preserve"> PAGEREF _Toc494382334 \h </w:instrText>
        </w:r>
        <w:r w:rsidR="00625B9B">
          <w:rPr>
            <w:noProof/>
            <w:webHidden/>
          </w:rPr>
        </w:r>
        <w:r w:rsidR="00625B9B">
          <w:rPr>
            <w:noProof/>
            <w:webHidden/>
          </w:rPr>
          <w:fldChar w:fldCharType="separate"/>
        </w:r>
        <w:r w:rsidR="000B6A73">
          <w:rPr>
            <w:noProof/>
            <w:webHidden/>
          </w:rPr>
          <w:t>1</w:t>
        </w:r>
        <w:r w:rsidR="00625B9B">
          <w:rPr>
            <w:noProof/>
            <w:webHidden/>
          </w:rPr>
          <w:fldChar w:fldCharType="end"/>
        </w:r>
      </w:hyperlink>
    </w:p>
    <w:p w14:paraId="7DF28963" w14:textId="77777777" w:rsidR="00625B9B" w:rsidRDefault="00453F3B">
      <w:pPr>
        <w:pStyle w:val="Obsah1"/>
        <w:rPr>
          <w:rFonts w:asciiTheme="minorHAnsi" w:eastAsiaTheme="minorEastAsia" w:hAnsiTheme="minorHAnsi" w:cstheme="minorBidi"/>
          <w:noProof/>
          <w:sz w:val="22"/>
          <w:szCs w:val="22"/>
        </w:rPr>
      </w:pPr>
      <w:hyperlink w:anchor="_Toc494382335" w:history="1">
        <w:r w:rsidR="00625B9B" w:rsidRPr="00F457D6">
          <w:rPr>
            <w:rStyle w:val="Hypertextovprepojenie"/>
            <w:noProof/>
          </w:rPr>
          <w:t>1.</w:t>
        </w:r>
        <w:r w:rsidR="00625B9B">
          <w:rPr>
            <w:rFonts w:asciiTheme="minorHAnsi" w:eastAsiaTheme="minorEastAsia" w:hAnsiTheme="minorHAnsi" w:cstheme="minorBidi"/>
            <w:noProof/>
            <w:sz w:val="22"/>
            <w:szCs w:val="22"/>
          </w:rPr>
          <w:tab/>
        </w:r>
        <w:r w:rsidR="00625B9B" w:rsidRPr="00F457D6">
          <w:rPr>
            <w:rStyle w:val="Hypertextovprepojenie"/>
            <w:noProof/>
          </w:rPr>
          <w:t>Makroekonomické východiská a fiškálny výhľad</w:t>
        </w:r>
        <w:r w:rsidR="00625B9B">
          <w:rPr>
            <w:noProof/>
            <w:webHidden/>
          </w:rPr>
          <w:tab/>
        </w:r>
        <w:r w:rsidR="00625B9B">
          <w:rPr>
            <w:noProof/>
            <w:webHidden/>
          </w:rPr>
          <w:fldChar w:fldCharType="begin"/>
        </w:r>
        <w:r w:rsidR="00625B9B">
          <w:rPr>
            <w:noProof/>
            <w:webHidden/>
          </w:rPr>
          <w:instrText xml:space="preserve"> PAGEREF _Toc494382335 \h </w:instrText>
        </w:r>
        <w:r w:rsidR="00625B9B">
          <w:rPr>
            <w:noProof/>
            <w:webHidden/>
          </w:rPr>
        </w:r>
        <w:r w:rsidR="00625B9B">
          <w:rPr>
            <w:noProof/>
            <w:webHidden/>
          </w:rPr>
          <w:fldChar w:fldCharType="separate"/>
        </w:r>
        <w:r w:rsidR="000B6A73">
          <w:rPr>
            <w:noProof/>
            <w:webHidden/>
          </w:rPr>
          <w:t>2</w:t>
        </w:r>
        <w:r w:rsidR="00625B9B">
          <w:rPr>
            <w:noProof/>
            <w:webHidden/>
          </w:rPr>
          <w:fldChar w:fldCharType="end"/>
        </w:r>
      </w:hyperlink>
    </w:p>
    <w:p w14:paraId="5C8D8D74" w14:textId="77777777" w:rsidR="00625B9B" w:rsidRDefault="00453F3B">
      <w:pPr>
        <w:pStyle w:val="Obsah2"/>
        <w:tabs>
          <w:tab w:val="left" w:pos="660"/>
        </w:tabs>
        <w:rPr>
          <w:rFonts w:asciiTheme="minorHAnsi" w:eastAsiaTheme="minorEastAsia" w:hAnsiTheme="minorHAnsi" w:cstheme="minorBidi"/>
          <w:noProof/>
          <w:sz w:val="22"/>
          <w:szCs w:val="22"/>
        </w:rPr>
      </w:pPr>
      <w:hyperlink w:anchor="_Toc494382336" w:history="1">
        <w:r w:rsidR="00625B9B" w:rsidRPr="00F457D6">
          <w:rPr>
            <w:rStyle w:val="Hypertextovprepojenie"/>
            <w:noProof/>
          </w:rPr>
          <w:t>1.1.</w:t>
        </w:r>
        <w:r w:rsidR="00625B9B">
          <w:rPr>
            <w:rFonts w:asciiTheme="minorHAnsi" w:eastAsiaTheme="minorEastAsia" w:hAnsiTheme="minorHAnsi" w:cstheme="minorBidi"/>
            <w:noProof/>
            <w:sz w:val="22"/>
            <w:szCs w:val="22"/>
          </w:rPr>
          <w:tab/>
        </w:r>
        <w:r w:rsidR="00625B9B" w:rsidRPr="00F457D6">
          <w:rPr>
            <w:rStyle w:val="Hypertextovprepojenie"/>
            <w:noProof/>
          </w:rPr>
          <w:t>Vývoj na finančných trhoch a makroekonomické východiská</w:t>
        </w:r>
        <w:r w:rsidR="00625B9B">
          <w:rPr>
            <w:noProof/>
            <w:webHidden/>
          </w:rPr>
          <w:tab/>
        </w:r>
        <w:r w:rsidR="00625B9B">
          <w:rPr>
            <w:noProof/>
            <w:webHidden/>
          </w:rPr>
          <w:fldChar w:fldCharType="begin"/>
        </w:r>
        <w:r w:rsidR="00625B9B">
          <w:rPr>
            <w:noProof/>
            <w:webHidden/>
          </w:rPr>
          <w:instrText xml:space="preserve"> PAGEREF _Toc494382336 \h </w:instrText>
        </w:r>
        <w:r w:rsidR="00625B9B">
          <w:rPr>
            <w:noProof/>
            <w:webHidden/>
          </w:rPr>
        </w:r>
        <w:r w:rsidR="00625B9B">
          <w:rPr>
            <w:noProof/>
            <w:webHidden/>
          </w:rPr>
          <w:fldChar w:fldCharType="separate"/>
        </w:r>
        <w:r w:rsidR="000B6A73">
          <w:rPr>
            <w:noProof/>
            <w:webHidden/>
          </w:rPr>
          <w:t>2</w:t>
        </w:r>
        <w:r w:rsidR="00625B9B">
          <w:rPr>
            <w:noProof/>
            <w:webHidden/>
          </w:rPr>
          <w:fldChar w:fldCharType="end"/>
        </w:r>
      </w:hyperlink>
    </w:p>
    <w:p w14:paraId="3D7889F6" w14:textId="77777777" w:rsidR="00625B9B" w:rsidRDefault="00453F3B">
      <w:pPr>
        <w:pStyle w:val="Obsah2"/>
        <w:tabs>
          <w:tab w:val="left" w:pos="660"/>
        </w:tabs>
        <w:rPr>
          <w:rFonts w:asciiTheme="minorHAnsi" w:eastAsiaTheme="minorEastAsia" w:hAnsiTheme="minorHAnsi" w:cstheme="minorBidi"/>
          <w:noProof/>
          <w:sz w:val="22"/>
          <w:szCs w:val="22"/>
        </w:rPr>
      </w:pPr>
      <w:hyperlink w:anchor="_Toc494382337" w:history="1">
        <w:r w:rsidR="00625B9B" w:rsidRPr="00F457D6">
          <w:rPr>
            <w:rStyle w:val="Hypertextovprepojenie"/>
            <w:noProof/>
          </w:rPr>
          <w:t>1.2.</w:t>
        </w:r>
        <w:r w:rsidR="00625B9B">
          <w:rPr>
            <w:rFonts w:asciiTheme="minorHAnsi" w:eastAsiaTheme="minorEastAsia" w:hAnsiTheme="minorHAnsi" w:cstheme="minorBidi"/>
            <w:noProof/>
            <w:sz w:val="22"/>
            <w:szCs w:val="22"/>
          </w:rPr>
          <w:tab/>
        </w:r>
        <w:r w:rsidR="00625B9B" w:rsidRPr="00F457D6">
          <w:rPr>
            <w:rStyle w:val="Hypertextovprepojenie"/>
            <w:noProof/>
          </w:rPr>
          <w:t>Fiškálny výhľad</w:t>
        </w:r>
        <w:r w:rsidR="00625B9B">
          <w:rPr>
            <w:noProof/>
            <w:webHidden/>
          </w:rPr>
          <w:tab/>
        </w:r>
        <w:r w:rsidR="00625B9B">
          <w:rPr>
            <w:noProof/>
            <w:webHidden/>
          </w:rPr>
          <w:fldChar w:fldCharType="begin"/>
        </w:r>
        <w:r w:rsidR="00625B9B">
          <w:rPr>
            <w:noProof/>
            <w:webHidden/>
          </w:rPr>
          <w:instrText xml:space="preserve"> PAGEREF _Toc494382337 \h </w:instrText>
        </w:r>
        <w:r w:rsidR="00625B9B">
          <w:rPr>
            <w:noProof/>
            <w:webHidden/>
          </w:rPr>
        </w:r>
        <w:r w:rsidR="00625B9B">
          <w:rPr>
            <w:noProof/>
            <w:webHidden/>
          </w:rPr>
          <w:fldChar w:fldCharType="separate"/>
        </w:r>
        <w:r w:rsidR="000B6A73">
          <w:rPr>
            <w:noProof/>
            <w:webHidden/>
          </w:rPr>
          <w:t>3</w:t>
        </w:r>
        <w:r w:rsidR="00625B9B">
          <w:rPr>
            <w:noProof/>
            <w:webHidden/>
          </w:rPr>
          <w:fldChar w:fldCharType="end"/>
        </w:r>
      </w:hyperlink>
    </w:p>
    <w:p w14:paraId="54516EA5" w14:textId="1615FB57" w:rsidR="00625B9B" w:rsidRDefault="00453F3B">
      <w:pPr>
        <w:pStyle w:val="Obsah1"/>
        <w:rPr>
          <w:rFonts w:asciiTheme="minorHAnsi" w:eastAsiaTheme="minorEastAsia" w:hAnsiTheme="minorHAnsi" w:cstheme="minorBidi"/>
          <w:noProof/>
          <w:sz w:val="22"/>
          <w:szCs w:val="22"/>
        </w:rPr>
      </w:pPr>
      <w:hyperlink w:anchor="_Toc494382338" w:history="1">
        <w:r w:rsidR="00625B9B" w:rsidRPr="00F457D6">
          <w:rPr>
            <w:rStyle w:val="Hypertextovprepojenie"/>
            <w:noProof/>
          </w:rPr>
          <w:t>2.</w:t>
        </w:r>
        <w:r w:rsidR="00625B9B">
          <w:rPr>
            <w:rFonts w:asciiTheme="minorHAnsi" w:eastAsiaTheme="minorEastAsia" w:hAnsiTheme="minorHAnsi" w:cstheme="minorBidi"/>
            <w:noProof/>
            <w:sz w:val="22"/>
            <w:szCs w:val="22"/>
          </w:rPr>
          <w:tab/>
        </w:r>
        <w:r w:rsidR="00625B9B" w:rsidRPr="00F457D6">
          <w:rPr>
            <w:rStyle w:val="Hypertextovprepojenie"/>
            <w:noProof/>
          </w:rPr>
          <w:t>Zhodnotenie plnenia Stratégie riadenia štátneho dlhu k 30.</w:t>
        </w:r>
        <w:r w:rsidR="00C86D15">
          <w:rPr>
            <w:rStyle w:val="Hypertextovprepojenie"/>
            <w:noProof/>
          </w:rPr>
          <w:t xml:space="preserve"> </w:t>
        </w:r>
        <w:r w:rsidR="00625B9B" w:rsidRPr="00F457D6">
          <w:rPr>
            <w:rStyle w:val="Hypertextovprepojenie"/>
            <w:noProof/>
          </w:rPr>
          <w:t>9.</w:t>
        </w:r>
        <w:r w:rsidR="00C86D15">
          <w:rPr>
            <w:rStyle w:val="Hypertextovprepojenie"/>
            <w:noProof/>
          </w:rPr>
          <w:t xml:space="preserve"> </w:t>
        </w:r>
        <w:r w:rsidR="00B9754C">
          <w:rPr>
            <w:rStyle w:val="Hypertextovprepojenie"/>
            <w:noProof/>
          </w:rPr>
          <w:t>2018</w:t>
        </w:r>
        <w:r w:rsidR="00625B9B">
          <w:rPr>
            <w:noProof/>
            <w:webHidden/>
          </w:rPr>
          <w:tab/>
        </w:r>
        <w:r w:rsidR="00625B9B">
          <w:rPr>
            <w:noProof/>
            <w:webHidden/>
          </w:rPr>
          <w:fldChar w:fldCharType="begin"/>
        </w:r>
        <w:r w:rsidR="00625B9B">
          <w:rPr>
            <w:noProof/>
            <w:webHidden/>
          </w:rPr>
          <w:instrText xml:space="preserve"> PAGEREF _Toc494382338 \h </w:instrText>
        </w:r>
        <w:r w:rsidR="00625B9B">
          <w:rPr>
            <w:noProof/>
            <w:webHidden/>
          </w:rPr>
        </w:r>
        <w:r w:rsidR="00625B9B">
          <w:rPr>
            <w:noProof/>
            <w:webHidden/>
          </w:rPr>
          <w:fldChar w:fldCharType="separate"/>
        </w:r>
        <w:r w:rsidR="000B6A73">
          <w:rPr>
            <w:noProof/>
            <w:webHidden/>
          </w:rPr>
          <w:t>5</w:t>
        </w:r>
        <w:r w:rsidR="00625B9B">
          <w:rPr>
            <w:noProof/>
            <w:webHidden/>
          </w:rPr>
          <w:fldChar w:fldCharType="end"/>
        </w:r>
      </w:hyperlink>
    </w:p>
    <w:p w14:paraId="530E8655" w14:textId="44D6D217" w:rsidR="00625B9B" w:rsidRDefault="00453F3B">
      <w:pPr>
        <w:pStyle w:val="Obsah1"/>
        <w:rPr>
          <w:rFonts w:asciiTheme="minorHAnsi" w:eastAsiaTheme="minorEastAsia" w:hAnsiTheme="minorHAnsi" w:cstheme="minorBidi"/>
          <w:noProof/>
          <w:sz w:val="22"/>
          <w:szCs w:val="22"/>
        </w:rPr>
      </w:pPr>
      <w:hyperlink w:anchor="_Toc494382339" w:history="1">
        <w:r w:rsidR="00625B9B" w:rsidRPr="00F457D6">
          <w:rPr>
            <w:rStyle w:val="Hypertextovprepojenie"/>
            <w:noProof/>
          </w:rPr>
          <w:t>3.</w:t>
        </w:r>
        <w:r w:rsidR="00625B9B">
          <w:rPr>
            <w:rFonts w:asciiTheme="minorHAnsi" w:eastAsiaTheme="minorEastAsia" w:hAnsiTheme="minorHAnsi" w:cstheme="minorBidi"/>
            <w:noProof/>
            <w:sz w:val="22"/>
            <w:szCs w:val="22"/>
          </w:rPr>
          <w:tab/>
        </w:r>
        <w:r w:rsidR="00625B9B" w:rsidRPr="00F457D6">
          <w:rPr>
            <w:rStyle w:val="Hypertextovprepojenie"/>
            <w:noProof/>
          </w:rPr>
          <w:t>Strategické ciele riadenia št</w:t>
        </w:r>
        <w:r w:rsidR="00C643B6">
          <w:rPr>
            <w:rStyle w:val="Hypertextovprepojenie"/>
            <w:noProof/>
          </w:rPr>
          <w:t>átneho dlhu</w:t>
        </w:r>
        <w:r w:rsidR="00625B9B">
          <w:rPr>
            <w:noProof/>
            <w:webHidden/>
          </w:rPr>
          <w:tab/>
        </w:r>
        <w:r w:rsidR="00625B9B">
          <w:rPr>
            <w:noProof/>
            <w:webHidden/>
          </w:rPr>
          <w:fldChar w:fldCharType="begin"/>
        </w:r>
        <w:r w:rsidR="00625B9B">
          <w:rPr>
            <w:noProof/>
            <w:webHidden/>
          </w:rPr>
          <w:instrText xml:space="preserve"> PAGEREF _Toc494382339 \h </w:instrText>
        </w:r>
        <w:r w:rsidR="00625B9B">
          <w:rPr>
            <w:noProof/>
            <w:webHidden/>
          </w:rPr>
        </w:r>
        <w:r w:rsidR="00625B9B">
          <w:rPr>
            <w:noProof/>
            <w:webHidden/>
          </w:rPr>
          <w:fldChar w:fldCharType="separate"/>
        </w:r>
        <w:r w:rsidR="000B6A73">
          <w:rPr>
            <w:noProof/>
            <w:webHidden/>
          </w:rPr>
          <w:t>8</w:t>
        </w:r>
        <w:r w:rsidR="00625B9B">
          <w:rPr>
            <w:noProof/>
            <w:webHidden/>
          </w:rPr>
          <w:fldChar w:fldCharType="end"/>
        </w:r>
      </w:hyperlink>
    </w:p>
    <w:p w14:paraId="6F445546" w14:textId="77777777" w:rsidR="00625B9B" w:rsidRDefault="00453F3B">
      <w:pPr>
        <w:pStyle w:val="Obsah1"/>
        <w:rPr>
          <w:rFonts w:asciiTheme="minorHAnsi" w:eastAsiaTheme="minorEastAsia" w:hAnsiTheme="minorHAnsi" w:cstheme="minorBidi"/>
          <w:noProof/>
          <w:sz w:val="22"/>
          <w:szCs w:val="22"/>
        </w:rPr>
      </w:pPr>
      <w:hyperlink w:anchor="_Toc494382340" w:history="1">
        <w:r w:rsidR="00625B9B" w:rsidRPr="00F457D6">
          <w:rPr>
            <w:rStyle w:val="Hypertextovprepojenie"/>
            <w:noProof/>
          </w:rPr>
          <w:t>4.</w:t>
        </w:r>
        <w:r w:rsidR="00625B9B">
          <w:rPr>
            <w:rFonts w:asciiTheme="minorHAnsi" w:eastAsiaTheme="minorEastAsia" w:hAnsiTheme="minorHAnsi" w:cstheme="minorBidi"/>
            <w:noProof/>
            <w:sz w:val="22"/>
            <w:szCs w:val="22"/>
          </w:rPr>
          <w:tab/>
        </w:r>
        <w:r w:rsidR="00625B9B" w:rsidRPr="00F457D6">
          <w:rPr>
            <w:rStyle w:val="Hypertextovprepojenie"/>
            <w:noProof/>
          </w:rPr>
          <w:t>Záver</w:t>
        </w:r>
        <w:r w:rsidR="00625B9B">
          <w:rPr>
            <w:noProof/>
            <w:webHidden/>
          </w:rPr>
          <w:tab/>
        </w:r>
        <w:r w:rsidR="00625B9B">
          <w:rPr>
            <w:noProof/>
            <w:webHidden/>
          </w:rPr>
          <w:fldChar w:fldCharType="begin"/>
        </w:r>
        <w:r w:rsidR="00625B9B">
          <w:rPr>
            <w:noProof/>
            <w:webHidden/>
          </w:rPr>
          <w:instrText xml:space="preserve"> PAGEREF _Toc494382340 \h </w:instrText>
        </w:r>
        <w:r w:rsidR="00625B9B">
          <w:rPr>
            <w:noProof/>
            <w:webHidden/>
          </w:rPr>
        </w:r>
        <w:r w:rsidR="00625B9B">
          <w:rPr>
            <w:noProof/>
            <w:webHidden/>
          </w:rPr>
          <w:fldChar w:fldCharType="separate"/>
        </w:r>
        <w:r w:rsidR="000B6A73">
          <w:rPr>
            <w:noProof/>
            <w:webHidden/>
          </w:rPr>
          <w:t>9</w:t>
        </w:r>
        <w:r w:rsidR="00625B9B">
          <w:rPr>
            <w:noProof/>
            <w:webHidden/>
          </w:rPr>
          <w:fldChar w:fldCharType="end"/>
        </w:r>
      </w:hyperlink>
    </w:p>
    <w:p w14:paraId="574DEFA8" w14:textId="77777777" w:rsidR="008A0FB7" w:rsidRDefault="008A0FB7" w:rsidP="008A0FB7">
      <w:pPr>
        <w:pStyle w:val="Textpoznmkypodiarou"/>
      </w:pPr>
      <w:r w:rsidRPr="0003036D">
        <w:rPr>
          <w:b/>
          <w:sz w:val="22"/>
          <w:szCs w:val="22"/>
        </w:rPr>
        <w:fldChar w:fldCharType="end"/>
      </w:r>
    </w:p>
    <w:p w14:paraId="63EFD500" w14:textId="77777777" w:rsidR="008A0FB7" w:rsidRDefault="008A0FB7" w:rsidP="00CC3215">
      <w:pPr>
        <w:pStyle w:val="Textpoznmkypodiarou"/>
      </w:pPr>
    </w:p>
    <w:p w14:paraId="02CB3A18" w14:textId="77777777" w:rsidR="008A0FB7" w:rsidRDefault="008A0FB7" w:rsidP="00CC3215">
      <w:pPr>
        <w:pStyle w:val="Textpoznmkypodiarou"/>
      </w:pPr>
    </w:p>
    <w:p w14:paraId="49805D12" w14:textId="77777777" w:rsidR="008A0FB7" w:rsidRDefault="008A0FB7" w:rsidP="00CC3215">
      <w:pPr>
        <w:pStyle w:val="Textpoznmkypodiarou"/>
      </w:pPr>
    </w:p>
    <w:p w14:paraId="5C7F57C7" w14:textId="77777777" w:rsidR="008A0FB7" w:rsidRDefault="008A0FB7" w:rsidP="00CC3215">
      <w:pPr>
        <w:pStyle w:val="Textpoznmkypodiarou"/>
      </w:pPr>
    </w:p>
    <w:p w14:paraId="1C574EC7" w14:textId="77777777" w:rsidR="008A0FB7" w:rsidRDefault="008A0FB7" w:rsidP="00CC3215">
      <w:pPr>
        <w:pStyle w:val="Textpoznmkypodiarou"/>
      </w:pPr>
    </w:p>
    <w:p w14:paraId="5C75E7D5" w14:textId="77777777" w:rsidR="008A0FB7" w:rsidRDefault="008A0FB7" w:rsidP="00CC3215">
      <w:pPr>
        <w:pStyle w:val="Textpoznmkypodiarou"/>
      </w:pPr>
    </w:p>
    <w:p w14:paraId="324BB16B" w14:textId="77777777" w:rsidR="008A0FB7" w:rsidRDefault="008A0FB7" w:rsidP="00CC3215">
      <w:pPr>
        <w:pStyle w:val="Textpoznmkypodiarou"/>
      </w:pPr>
    </w:p>
    <w:p w14:paraId="1CE223F3" w14:textId="77777777" w:rsidR="008A0FB7" w:rsidRDefault="008A0FB7" w:rsidP="00CC3215">
      <w:pPr>
        <w:pStyle w:val="Textpoznmkypodiarou"/>
      </w:pPr>
    </w:p>
    <w:p w14:paraId="2A89DF18" w14:textId="77777777" w:rsidR="008A0FB7" w:rsidRDefault="008A0FB7" w:rsidP="00CC3215">
      <w:pPr>
        <w:pStyle w:val="Textpoznmkypodiarou"/>
      </w:pPr>
    </w:p>
    <w:p w14:paraId="06406FF1" w14:textId="77777777" w:rsidR="008A0FB7" w:rsidRDefault="008A0FB7" w:rsidP="00CC3215">
      <w:pPr>
        <w:pStyle w:val="Textpoznmkypodiarou"/>
      </w:pPr>
    </w:p>
    <w:p w14:paraId="71132A51" w14:textId="77777777" w:rsidR="008A0FB7" w:rsidRDefault="008A0FB7" w:rsidP="00CC3215">
      <w:pPr>
        <w:pStyle w:val="Textpoznmkypodiarou"/>
      </w:pPr>
    </w:p>
    <w:p w14:paraId="074B675B" w14:textId="77777777" w:rsidR="008A0FB7" w:rsidRDefault="008A0FB7" w:rsidP="00CC3215">
      <w:pPr>
        <w:pStyle w:val="Textpoznmkypodiarou"/>
      </w:pPr>
    </w:p>
    <w:p w14:paraId="72C8C055" w14:textId="77777777" w:rsidR="008A0FB7" w:rsidRDefault="008A0FB7" w:rsidP="00CC3215">
      <w:pPr>
        <w:pStyle w:val="Textpoznmkypodiarou"/>
      </w:pPr>
    </w:p>
    <w:p w14:paraId="1A877883" w14:textId="77777777" w:rsidR="008A0FB7" w:rsidRDefault="008A0FB7" w:rsidP="00CC3215">
      <w:pPr>
        <w:pStyle w:val="Textpoznmkypodiarou"/>
      </w:pPr>
    </w:p>
    <w:p w14:paraId="5A270857" w14:textId="77777777" w:rsidR="008A0FB7" w:rsidRDefault="008A0FB7" w:rsidP="00CC3215">
      <w:pPr>
        <w:pStyle w:val="Textpoznmkypodiarou"/>
      </w:pPr>
    </w:p>
    <w:p w14:paraId="2677C7C6" w14:textId="77777777" w:rsidR="008A0FB7" w:rsidRDefault="008A0FB7" w:rsidP="00CC3215">
      <w:pPr>
        <w:pStyle w:val="Textpoznmkypodiarou"/>
      </w:pPr>
    </w:p>
    <w:p w14:paraId="5C37CC6C" w14:textId="77777777" w:rsidR="008A0FB7" w:rsidRDefault="008A0FB7" w:rsidP="00CC3215">
      <w:pPr>
        <w:pStyle w:val="Textpoznmkypodiarou"/>
      </w:pPr>
    </w:p>
    <w:p w14:paraId="63AA2EBD" w14:textId="77777777" w:rsidR="008A0FB7" w:rsidRDefault="008A0FB7" w:rsidP="00CC3215">
      <w:pPr>
        <w:pStyle w:val="Textpoznmkypodiarou"/>
      </w:pPr>
    </w:p>
    <w:p w14:paraId="12CFEAE5" w14:textId="77777777" w:rsidR="008A0FB7" w:rsidRDefault="008A0FB7" w:rsidP="00CC3215">
      <w:pPr>
        <w:pStyle w:val="Textpoznmkypodiarou"/>
      </w:pPr>
    </w:p>
    <w:p w14:paraId="4D730BB0" w14:textId="77777777" w:rsidR="008A0FB7" w:rsidRDefault="008A0FB7" w:rsidP="00CC3215">
      <w:pPr>
        <w:pStyle w:val="Textpoznmkypodiarou"/>
      </w:pPr>
    </w:p>
    <w:p w14:paraId="51943721" w14:textId="77777777" w:rsidR="008A0FB7" w:rsidRDefault="008A0FB7" w:rsidP="00CC3215">
      <w:pPr>
        <w:pStyle w:val="Textpoznmkypodiarou"/>
      </w:pPr>
    </w:p>
    <w:p w14:paraId="3E13BECF" w14:textId="77777777" w:rsidR="008A0FB7" w:rsidRDefault="008A0FB7" w:rsidP="00CC3215">
      <w:pPr>
        <w:pStyle w:val="Textpoznmkypodiarou"/>
      </w:pPr>
    </w:p>
    <w:p w14:paraId="168BF287" w14:textId="77777777" w:rsidR="008A0FB7" w:rsidRDefault="008A0FB7" w:rsidP="00CC3215">
      <w:pPr>
        <w:pStyle w:val="Textpoznmkypodiarou"/>
      </w:pPr>
    </w:p>
    <w:p w14:paraId="11E3EB07" w14:textId="77777777" w:rsidR="008A0FB7" w:rsidRDefault="008A0FB7" w:rsidP="00CC3215">
      <w:pPr>
        <w:pStyle w:val="Textpoznmkypodiarou"/>
      </w:pPr>
    </w:p>
    <w:p w14:paraId="6FBC380B" w14:textId="77777777" w:rsidR="008A0FB7" w:rsidRDefault="008A0FB7" w:rsidP="00CC3215">
      <w:pPr>
        <w:pStyle w:val="Textpoznmkypodiarou"/>
      </w:pPr>
    </w:p>
    <w:p w14:paraId="22BEE94C" w14:textId="77777777" w:rsidR="008A0FB7" w:rsidRDefault="008A0FB7" w:rsidP="00CC3215">
      <w:pPr>
        <w:pStyle w:val="Textpoznmkypodiarou"/>
      </w:pPr>
    </w:p>
    <w:p w14:paraId="1108C049" w14:textId="77777777" w:rsidR="008A0FB7" w:rsidRDefault="008A0FB7" w:rsidP="00CC3215">
      <w:pPr>
        <w:pStyle w:val="Textpoznmkypodiarou"/>
      </w:pPr>
    </w:p>
    <w:p w14:paraId="17C5626D" w14:textId="77777777" w:rsidR="008A0FB7" w:rsidRDefault="008A0FB7" w:rsidP="00CC3215">
      <w:pPr>
        <w:pStyle w:val="Textpoznmkypodiarou"/>
      </w:pPr>
    </w:p>
    <w:p w14:paraId="0A5DA207" w14:textId="77777777" w:rsidR="008A0FB7" w:rsidRDefault="008A0FB7" w:rsidP="00CC3215">
      <w:pPr>
        <w:pStyle w:val="Textpoznmkypodiarou"/>
      </w:pPr>
    </w:p>
    <w:p w14:paraId="451DA362" w14:textId="77777777" w:rsidR="008A0FB7" w:rsidRDefault="008A0FB7" w:rsidP="00CC3215">
      <w:pPr>
        <w:pStyle w:val="Textpoznmkypodiarou"/>
      </w:pPr>
    </w:p>
    <w:p w14:paraId="1D11D353" w14:textId="77777777" w:rsidR="008A0FB7" w:rsidRDefault="008A0FB7" w:rsidP="00CC3215">
      <w:pPr>
        <w:pStyle w:val="Textpoznmkypodiarou"/>
      </w:pPr>
    </w:p>
    <w:p w14:paraId="4FE4E022" w14:textId="77777777" w:rsidR="008A0FB7" w:rsidRDefault="008A0FB7" w:rsidP="00CC3215">
      <w:pPr>
        <w:pStyle w:val="Textpoznmkypodiarou"/>
      </w:pPr>
    </w:p>
    <w:p w14:paraId="1A774F0C" w14:textId="77777777" w:rsidR="008A0FB7" w:rsidRDefault="008A0FB7" w:rsidP="00CC3215">
      <w:pPr>
        <w:pStyle w:val="Textpoznmkypodiarou"/>
      </w:pPr>
    </w:p>
    <w:p w14:paraId="6E2038E7" w14:textId="77777777" w:rsidR="008A0FB7" w:rsidRDefault="008A0FB7" w:rsidP="00CC3215">
      <w:pPr>
        <w:pStyle w:val="Textpoznmkypodiarou"/>
      </w:pPr>
    </w:p>
    <w:p w14:paraId="6533E2F0" w14:textId="77777777" w:rsidR="008A0FB7" w:rsidRDefault="008A0FB7" w:rsidP="00CC3215">
      <w:pPr>
        <w:pStyle w:val="Textpoznmkypodiarou"/>
      </w:pPr>
    </w:p>
    <w:p w14:paraId="1295F61E" w14:textId="77777777" w:rsidR="008A0FB7" w:rsidRDefault="008A0FB7" w:rsidP="00CC3215">
      <w:pPr>
        <w:pStyle w:val="Textpoznmkypodiarou"/>
      </w:pPr>
    </w:p>
    <w:p w14:paraId="1E0FAA14" w14:textId="77777777" w:rsidR="008A0FB7" w:rsidRDefault="008A0FB7" w:rsidP="00CC3215">
      <w:pPr>
        <w:pStyle w:val="Textpoznmkypodiarou"/>
      </w:pPr>
    </w:p>
    <w:p w14:paraId="59FC7830" w14:textId="77777777" w:rsidR="008A0FB7" w:rsidRDefault="008A0FB7" w:rsidP="00CC3215">
      <w:pPr>
        <w:pStyle w:val="Textpoznmkypodiarou"/>
      </w:pPr>
    </w:p>
    <w:p w14:paraId="459BA8BF" w14:textId="77777777" w:rsidR="008A0FB7" w:rsidRDefault="008A0FB7" w:rsidP="00CC3215">
      <w:pPr>
        <w:pStyle w:val="Textpoznmkypodiarou"/>
      </w:pPr>
    </w:p>
    <w:p w14:paraId="7FA58305" w14:textId="77777777" w:rsidR="008A0FB7" w:rsidRDefault="008A0FB7" w:rsidP="00CC3215">
      <w:pPr>
        <w:pStyle w:val="Textpoznmkypodiarou"/>
      </w:pPr>
    </w:p>
    <w:p w14:paraId="0BA05CA4" w14:textId="77777777" w:rsidR="008A0FB7" w:rsidRDefault="008A0FB7" w:rsidP="00CC3215">
      <w:pPr>
        <w:pStyle w:val="Textpoznmkypodiarou"/>
      </w:pPr>
    </w:p>
    <w:p w14:paraId="220EC2F1" w14:textId="77777777" w:rsidR="008A0FB7" w:rsidRDefault="008A0FB7" w:rsidP="00CC3215">
      <w:pPr>
        <w:pStyle w:val="Textpoznmkypodiarou"/>
      </w:pPr>
    </w:p>
    <w:p w14:paraId="2B595658" w14:textId="77777777" w:rsidR="008A0FB7" w:rsidRDefault="008A0FB7" w:rsidP="00CC3215">
      <w:pPr>
        <w:pStyle w:val="Textpoznmkypodiarou"/>
      </w:pPr>
    </w:p>
    <w:p w14:paraId="1D5229B0" w14:textId="77777777" w:rsidR="008A0FB7" w:rsidRDefault="008A0FB7" w:rsidP="00CC3215">
      <w:pPr>
        <w:pStyle w:val="Textpoznmkypodiarou"/>
      </w:pPr>
    </w:p>
    <w:p w14:paraId="741615DB" w14:textId="77777777" w:rsidR="008A0FB7" w:rsidRDefault="008A0FB7" w:rsidP="00CC3215">
      <w:pPr>
        <w:pStyle w:val="Textpoznmkypodiarou"/>
      </w:pPr>
    </w:p>
    <w:p w14:paraId="0E51795C" w14:textId="77777777" w:rsidR="00DF35B1" w:rsidRPr="007B4261" w:rsidRDefault="008A4341" w:rsidP="00CC3215">
      <w:pPr>
        <w:pStyle w:val="Textpoznmkypodiarou"/>
        <w:rPr>
          <w:b/>
          <w:sz w:val="24"/>
        </w:rPr>
      </w:pPr>
      <w:r w:rsidRPr="007B4261">
        <w:rPr>
          <w:b/>
          <w:sz w:val="28"/>
        </w:rPr>
        <w:lastRenderedPageBreak/>
        <w:t>Úvod</w:t>
      </w:r>
    </w:p>
    <w:p w14:paraId="66A96934" w14:textId="77777777" w:rsidR="00DF35B1" w:rsidRPr="0019148E" w:rsidRDefault="00DF35B1" w:rsidP="00CC3215">
      <w:pPr>
        <w:pStyle w:val="Textpoznmkypodiarou"/>
        <w:rPr>
          <w:b/>
        </w:rPr>
      </w:pPr>
    </w:p>
    <w:p w14:paraId="0C35E53B" w14:textId="1632343F" w:rsidR="00191554" w:rsidRPr="00BD2CCE" w:rsidRDefault="00191554" w:rsidP="007B4261">
      <w:pPr>
        <w:spacing w:after="120"/>
        <w:ind w:firstLine="708"/>
        <w:jc w:val="both"/>
        <w:rPr>
          <w:szCs w:val="22"/>
        </w:rPr>
      </w:pPr>
      <w:bookmarkStart w:id="6" w:name="_Toc394471509"/>
      <w:bookmarkStart w:id="7" w:name="_Toc422906267"/>
      <w:bookmarkStart w:id="8" w:name="_Toc384124260"/>
      <w:r w:rsidRPr="00BD2CCE">
        <w:rPr>
          <w:szCs w:val="22"/>
        </w:rPr>
        <w:t xml:space="preserve">Aktualizácia Stratégie riadenia štátneho dlhu na roky 2015 až 2018 </w:t>
      </w:r>
      <w:r w:rsidR="00C643B6">
        <w:rPr>
          <w:szCs w:val="22"/>
        </w:rPr>
        <w:t xml:space="preserve">(ďalej len „Stratégia“) </w:t>
      </w:r>
      <w:r w:rsidRPr="00BD2CCE">
        <w:rPr>
          <w:szCs w:val="22"/>
        </w:rPr>
        <w:t>bola pripravená v období, keď úrokové sadzby na dlhopisovom trhu dosahujú historické minimá a väčšina krajín eurozóny emituje dlhopisy</w:t>
      </w:r>
      <w:r w:rsidR="008B250A" w:rsidRPr="00BD2CCE">
        <w:rPr>
          <w:szCs w:val="22"/>
        </w:rPr>
        <w:t xml:space="preserve"> s krátkodobou splatnosťou</w:t>
      </w:r>
      <w:r w:rsidRPr="00BD2CCE">
        <w:rPr>
          <w:szCs w:val="22"/>
        </w:rPr>
        <w:t xml:space="preserve"> so zápornými sadzbami. Riadenie štátneho dlhu je ovplyvnené predovšetkým pôsobením NBS</w:t>
      </w:r>
      <w:r w:rsidR="008B250A" w:rsidRPr="00BD2CCE">
        <w:rPr>
          <w:szCs w:val="22"/>
        </w:rPr>
        <w:t xml:space="preserve"> a</w:t>
      </w:r>
      <w:r w:rsidRPr="00BD2CCE">
        <w:rPr>
          <w:szCs w:val="22"/>
        </w:rPr>
        <w:t xml:space="preserve"> nakupovaním existujúcich štátnych dlhopisov na sekundárnom trhu. Riziko do budúcnosti predstavuje predovšetkým plánovaný odchod Veľkej Británie z Európskej únie, </w:t>
      </w:r>
      <w:r w:rsidR="001616DE" w:rsidRPr="00BD2CCE">
        <w:rPr>
          <w:szCs w:val="22"/>
        </w:rPr>
        <w:t>hrozba protekcionizmu vo svetovom obchode</w:t>
      </w:r>
      <w:r w:rsidR="00740FE7" w:rsidRPr="00BD2CCE">
        <w:rPr>
          <w:szCs w:val="22"/>
        </w:rPr>
        <w:t xml:space="preserve"> a zväčšenie finančnej a bankovej regulácie.</w:t>
      </w:r>
      <w:r w:rsidRPr="00BD2CCE">
        <w:rPr>
          <w:szCs w:val="22"/>
        </w:rPr>
        <w:t xml:space="preserve">  </w:t>
      </w:r>
    </w:p>
    <w:p w14:paraId="0AA7CD25" w14:textId="3B9B6F67" w:rsidR="00191554" w:rsidRPr="00BD2CCE" w:rsidRDefault="00191554" w:rsidP="007B4261">
      <w:pPr>
        <w:spacing w:after="120"/>
        <w:ind w:firstLine="708"/>
        <w:jc w:val="both"/>
        <w:rPr>
          <w:szCs w:val="22"/>
        </w:rPr>
      </w:pPr>
      <w:r w:rsidRPr="00BD2CCE">
        <w:rPr>
          <w:szCs w:val="22"/>
        </w:rPr>
        <w:t xml:space="preserve">Riadenie štátneho dlhu SR </w:t>
      </w:r>
      <w:r w:rsidR="00402583" w:rsidRPr="00BD2CCE">
        <w:rPr>
          <w:szCs w:val="22"/>
        </w:rPr>
        <w:t>dosahuje</w:t>
      </w:r>
      <w:r w:rsidRPr="00BD2CCE">
        <w:rPr>
          <w:szCs w:val="22"/>
        </w:rPr>
        <w:t xml:space="preserve"> štandardn</w:t>
      </w:r>
      <w:r w:rsidR="00402583" w:rsidRPr="00BD2CCE">
        <w:rPr>
          <w:szCs w:val="22"/>
        </w:rPr>
        <w:t>ú</w:t>
      </w:r>
      <w:r w:rsidRPr="00BD2CCE">
        <w:rPr>
          <w:szCs w:val="22"/>
        </w:rPr>
        <w:t xml:space="preserve"> úrov</w:t>
      </w:r>
      <w:r w:rsidR="00402583" w:rsidRPr="00BD2CCE">
        <w:rPr>
          <w:szCs w:val="22"/>
        </w:rPr>
        <w:t>eň</w:t>
      </w:r>
      <w:r w:rsidRPr="00BD2CCE">
        <w:rPr>
          <w:szCs w:val="22"/>
        </w:rPr>
        <w:t xml:space="preserve"> krajín eurozóny. Dôvodom je dôsledné napĺňanie Stratégie riadenia štátneho dlhu, relatívne </w:t>
      </w:r>
      <w:r w:rsidR="00402583" w:rsidRPr="00BD2CCE">
        <w:rPr>
          <w:szCs w:val="22"/>
        </w:rPr>
        <w:t xml:space="preserve">vysoký </w:t>
      </w:r>
      <w:r w:rsidRPr="00BD2CCE">
        <w:rPr>
          <w:szCs w:val="22"/>
        </w:rPr>
        <w:t>rating krajiny</w:t>
      </w:r>
      <w:r w:rsidR="00402583" w:rsidRPr="00BD2CCE">
        <w:rPr>
          <w:szCs w:val="22"/>
        </w:rPr>
        <w:t xml:space="preserve"> a</w:t>
      </w:r>
      <w:r w:rsidRPr="00BD2CCE">
        <w:rPr>
          <w:szCs w:val="22"/>
        </w:rPr>
        <w:t xml:space="preserve"> pozitívne vnímanie </w:t>
      </w:r>
      <w:r w:rsidR="00402583" w:rsidRPr="00BD2CCE">
        <w:rPr>
          <w:szCs w:val="22"/>
        </w:rPr>
        <w:t xml:space="preserve">politickej a finančnej stability </w:t>
      </w:r>
      <w:r w:rsidRPr="00BD2CCE">
        <w:rPr>
          <w:szCs w:val="22"/>
        </w:rPr>
        <w:t>investormi</w:t>
      </w:r>
      <w:r w:rsidR="00402583" w:rsidRPr="00BD2CCE">
        <w:rPr>
          <w:szCs w:val="22"/>
        </w:rPr>
        <w:t>.</w:t>
      </w:r>
      <w:r w:rsidRPr="00BD2CCE">
        <w:rPr>
          <w:szCs w:val="22"/>
        </w:rPr>
        <w:t xml:space="preserve"> </w:t>
      </w:r>
      <w:r w:rsidR="00402583" w:rsidRPr="00BD2CCE">
        <w:rPr>
          <w:szCs w:val="22"/>
        </w:rPr>
        <w:t xml:space="preserve">Zníženiu </w:t>
      </w:r>
      <w:r w:rsidRPr="00BD2CCE">
        <w:rPr>
          <w:szCs w:val="22"/>
        </w:rPr>
        <w:t xml:space="preserve">rizika financovania štátu významne napomohla rozsiahla diverzifikácia investorskej bázy prostredníctvom emisií dlhopisov vydaných mimo eurozóny, ktorá začala v roku 2012 a bola prerušená v roku 2014. </w:t>
      </w:r>
      <w:r w:rsidRPr="00505D34">
        <w:rPr>
          <w:szCs w:val="22"/>
        </w:rPr>
        <w:t xml:space="preserve">V súčasnosti pokrývajú investori mimo eurozóny v iných menách ako euro približne </w:t>
      </w:r>
      <w:r w:rsidR="00505D34" w:rsidRPr="00505D34">
        <w:rPr>
          <w:szCs w:val="22"/>
        </w:rPr>
        <w:t>5,6</w:t>
      </w:r>
      <w:r w:rsidR="00986C5E" w:rsidRPr="00505D34">
        <w:rPr>
          <w:szCs w:val="22"/>
        </w:rPr>
        <w:t xml:space="preserve"> </w:t>
      </w:r>
      <w:r w:rsidRPr="00505D34">
        <w:rPr>
          <w:szCs w:val="22"/>
        </w:rPr>
        <w:t>% hodnoty štátneho dlhu Slovenska.</w:t>
      </w:r>
      <w:r w:rsidRPr="00BD2CCE">
        <w:rPr>
          <w:szCs w:val="22"/>
        </w:rPr>
        <w:t xml:space="preserve"> Diverzifikácia priniesla </w:t>
      </w:r>
      <w:r w:rsidR="00C857D2" w:rsidRPr="00BD2CCE">
        <w:rPr>
          <w:szCs w:val="22"/>
        </w:rPr>
        <w:t xml:space="preserve">nové </w:t>
      </w:r>
      <w:r w:rsidRPr="00BD2CCE">
        <w:rPr>
          <w:szCs w:val="22"/>
        </w:rPr>
        <w:t>možnos</w:t>
      </w:r>
      <w:r w:rsidR="00C857D2" w:rsidRPr="00BD2CCE">
        <w:rPr>
          <w:szCs w:val="22"/>
        </w:rPr>
        <w:t>ti</w:t>
      </w:r>
      <w:r w:rsidRPr="00BD2CCE">
        <w:rPr>
          <w:szCs w:val="22"/>
        </w:rPr>
        <w:t xml:space="preserve"> získavania zdrojov pre financovanie štátu, zvýšenie dopytu zo strany tradičných dlhopisových investorov a pozitívny marketing krajiny na trhoch, kd</w:t>
      </w:r>
      <w:r w:rsidR="002B65FA" w:rsidRPr="00BD2CCE">
        <w:rPr>
          <w:szCs w:val="22"/>
        </w:rPr>
        <w:t>e Slovensko doteraz nepôsobilo.</w:t>
      </w:r>
    </w:p>
    <w:p w14:paraId="6275CD92" w14:textId="54ADA7F1" w:rsidR="00191554" w:rsidRPr="00BD2CCE" w:rsidRDefault="00191554" w:rsidP="007B4261">
      <w:pPr>
        <w:spacing w:after="120"/>
        <w:ind w:firstLine="708"/>
        <w:jc w:val="both"/>
        <w:rPr>
          <w:szCs w:val="22"/>
        </w:rPr>
      </w:pPr>
      <w:r w:rsidRPr="00BD2CCE">
        <w:rPr>
          <w:szCs w:val="22"/>
        </w:rPr>
        <w:t>Stabilizáciu na finančných trhoch a historicky minimálne úrokové sadzby využilo Slovensko na podstatné zlepšenie rizikového profilu portfólia štátneho dlhu smerom k </w:t>
      </w:r>
      <w:r w:rsidR="00C857D2" w:rsidRPr="00BD2CCE">
        <w:rPr>
          <w:szCs w:val="22"/>
        </w:rPr>
        <w:t xml:space="preserve">vyššej </w:t>
      </w:r>
      <w:r w:rsidRPr="00BD2CCE">
        <w:rPr>
          <w:szCs w:val="22"/>
        </w:rPr>
        <w:t>priemernej splatnosti a </w:t>
      </w:r>
      <w:r w:rsidR="00C857D2" w:rsidRPr="00BD2CCE">
        <w:rPr>
          <w:szCs w:val="22"/>
        </w:rPr>
        <w:t xml:space="preserve">nižšieho </w:t>
      </w:r>
      <w:r w:rsidRPr="00BD2CCE">
        <w:rPr>
          <w:szCs w:val="22"/>
        </w:rPr>
        <w:t xml:space="preserve">rizika </w:t>
      </w:r>
      <w:r w:rsidR="00C857D2" w:rsidRPr="00BD2CCE">
        <w:rPr>
          <w:szCs w:val="22"/>
        </w:rPr>
        <w:t xml:space="preserve">plynúceho z </w:t>
      </w:r>
      <w:r w:rsidRPr="00BD2CCE">
        <w:rPr>
          <w:szCs w:val="22"/>
        </w:rPr>
        <w:t>možného negatívneho precenenia portfólia. Tento princíp správy portfólia je štandardom pre krajiny s rozvinutým kapitálovým trhom a sofistikovaným riadením štátneho dlhu.</w:t>
      </w:r>
    </w:p>
    <w:p w14:paraId="5C5C3EAB" w14:textId="1F0B188D" w:rsidR="002B65FA" w:rsidRPr="00BD2CCE" w:rsidRDefault="00191554" w:rsidP="007B4261">
      <w:pPr>
        <w:spacing w:after="120"/>
        <w:ind w:firstLine="708"/>
        <w:jc w:val="both"/>
        <w:rPr>
          <w:szCs w:val="22"/>
        </w:rPr>
      </w:pPr>
      <w:r w:rsidRPr="00BD2CCE">
        <w:rPr>
          <w:szCs w:val="22"/>
        </w:rPr>
        <w:t xml:space="preserve">Slovensko plní všetky kritériá stanovené Stratégiou. Ciele formulované v Stratégii sú v súlade s aktuálnou situáciou na finančnom trhu. </w:t>
      </w:r>
    </w:p>
    <w:p w14:paraId="59DCFDC9" w14:textId="77D70D9B" w:rsidR="00191554" w:rsidRPr="007B4261" w:rsidRDefault="002B65FA" w:rsidP="007B4261">
      <w:pPr>
        <w:spacing w:after="120"/>
        <w:ind w:firstLine="708"/>
        <w:jc w:val="both"/>
        <w:rPr>
          <w:szCs w:val="22"/>
        </w:rPr>
      </w:pPr>
      <w:r w:rsidRPr="00BD2CCE">
        <w:rPr>
          <w:szCs w:val="22"/>
        </w:rPr>
        <w:t>Súčasná</w:t>
      </w:r>
      <w:r w:rsidR="00191554" w:rsidRPr="00BD2CCE">
        <w:rPr>
          <w:szCs w:val="22"/>
        </w:rPr>
        <w:t xml:space="preserve"> akt</w:t>
      </w:r>
      <w:r w:rsidRPr="00BD2CCE">
        <w:rPr>
          <w:szCs w:val="22"/>
        </w:rPr>
        <w:t>ualizácia nevyžaduje modifikovanie kvantitatívnych cieľov</w:t>
      </w:r>
      <w:r w:rsidR="00191554" w:rsidRPr="00BD2CCE">
        <w:rPr>
          <w:szCs w:val="22"/>
        </w:rPr>
        <w:t xml:space="preserve"> riadenia rizika ani ostatn</w:t>
      </w:r>
      <w:r w:rsidR="005D6F86" w:rsidRPr="00BD2CCE">
        <w:rPr>
          <w:szCs w:val="22"/>
        </w:rPr>
        <w:t>ých</w:t>
      </w:r>
      <w:r w:rsidR="00191554" w:rsidRPr="00BD2CCE">
        <w:rPr>
          <w:szCs w:val="22"/>
        </w:rPr>
        <w:t xml:space="preserve"> cie</w:t>
      </w:r>
      <w:r w:rsidR="005D6F86" w:rsidRPr="00BD2CCE">
        <w:rPr>
          <w:szCs w:val="22"/>
        </w:rPr>
        <w:t>ľov</w:t>
      </w:r>
      <w:r w:rsidR="00191554" w:rsidRPr="00BD2CCE">
        <w:rPr>
          <w:szCs w:val="22"/>
        </w:rPr>
        <w:t xml:space="preserve"> stanoven</w:t>
      </w:r>
      <w:r w:rsidR="005D6F86" w:rsidRPr="00BD2CCE">
        <w:rPr>
          <w:szCs w:val="22"/>
        </w:rPr>
        <w:t>ých</w:t>
      </w:r>
      <w:r w:rsidR="00191554" w:rsidRPr="00BD2CCE">
        <w:rPr>
          <w:szCs w:val="22"/>
        </w:rPr>
        <w:t xml:space="preserve"> v Stratégii.</w:t>
      </w:r>
    </w:p>
    <w:p w14:paraId="0E00F5CB" w14:textId="77777777" w:rsidR="003B3F5B" w:rsidRPr="007B4261" w:rsidRDefault="00BA2F20" w:rsidP="00E438DF">
      <w:pPr>
        <w:pStyle w:val="Nadpis1"/>
        <w:numPr>
          <w:ilvl w:val="0"/>
          <w:numId w:val="9"/>
        </w:numPr>
        <w:rPr>
          <w:rFonts w:ascii="Times New Roman" w:hAnsi="Times New Roman" w:cs="Times New Roman"/>
          <w:sz w:val="24"/>
        </w:rPr>
      </w:pPr>
      <w:bookmarkStart w:id="9" w:name="_Toc494382335"/>
      <w:r w:rsidRPr="007B4261">
        <w:rPr>
          <w:rFonts w:ascii="Times New Roman" w:hAnsi="Times New Roman" w:cs="Times New Roman"/>
          <w:sz w:val="28"/>
        </w:rPr>
        <w:t>Makroekonomické východiská a fiškálny výhľad</w:t>
      </w:r>
      <w:bookmarkEnd w:id="6"/>
      <w:bookmarkEnd w:id="7"/>
      <w:bookmarkEnd w:id="9"/>
    </w:p>
    <w:p w14:paraId="55E22431" w14:textId="77777777" w:rsidR="001F5022" w:rsidRPr="00E438DF" w:rsidRDefault="00235994" w:rsidP="00E438DF">
      <w:pPr>
        <w:pStyle w:val="Nadpis2"/>
        <w:keepLines/>
        <w:numPr>
          <w:ilvl w:val="1"/>
          <w:numId w:val="9"/>
        </w:numPr>
        <w:spacing w:before="200" w:after="240" w:line="276" w:lineRule="auto"/>
        <w:ind w:left="720" w:hanging="720"/>
        <w:jc w:val="both"/>
        <w:rPr>
          <w:rFonts w:ascii="Times New Roman" w:hAnsi="Times New Roman" w:cs="Times New Roman"/>
          <w:bCs w:val="0"/>
          <w:i w:val="0"/>
          <w:iCs w:val="0"/>
          <w:color w:val="000000" w:themeColor="text1"/>
          <w:sz w:val="24"/>
        </w:rPr>
      </w:pPr>
      <w:bookmarkStart w:id="10" w:name="_Toc275948230"/>
      <w:bookmarkStart w:id="11" w:name="_Toc394471510"/>
      <w:bookmarkStart w:id="12" w:name="_Toc422906268"/>
      <w:bookmarkStart w:id="13" w:name="_Toc494382336"/>
      <w:r w:rsidRPr="00E438DF">
        <w:rPr>
          <w:rFonts w:ascii="Times New Roman" w:hAnsi="Times New Roman" w:cs="Times New Roman"/>
          <w:bCs w:val="0"/>
          <w:i w:val="0"/>
          <w:iCs w:val="0"/>
          <w:color w:val="000000" w:themeColor="text1"/>
          <w:sz w:val="24"/>
        </w:rPr>
        <w:t>Vývoj na finančných trhoch a makroekonomické východiská</w:t>
      </w:r>
      <w:bookmarkEnd w:id="10"/>
      <w:bookmarkEnd w:id="11"/>
      <w:bookmarkEnd w:id="12"/>
      <w:bookmarkEnd w:id="13"/>
    </w:p>
    <w:p w14:paraId="0D913C96" w14:textId="5FFAB14F" w:rsidR="007E3AEC" w:rsidRDefault="007E3AEC" w:rsidP="007E3AEC">
      <w:pPr>
        <w:spacing w:after="120"/>
        <w:ind w:firstLine="708"/>
        <w:jc w:val="both"/>
        <w:rPr>
          <w:szCs w:val="22"/>
        </w:rPr>
      </w:pPr>
      <w:r>
        <w:rPr>
          <w:szCs w:val="22"/>
        </w:rPr>
        <w:t xml:space="preserve">Menové politiky centrálnych bánk dvoch najväčších ekonomík sveta sa stále viac rozchádzajú. </w:t>
      </w:r>
      <w:r w:rsidRPr="007E3AEC">
        <w:rPr>
          <w:szCs w:val="22"/>
        </w:rPr>
        <w:t>Po druhom zvýšení referenčnej úrokovej sadzby americkej centrálnej banky (FED) v tomto roku na aktuálnu úroveň 2 % sa očakávania naklonili celkovo až k štyrom zvýšeniam v roku 2018. Výnosová krivka amerických vládnych dlhopisov sa preto ešte viac sploštila, čo podporuje investovanie do krátkodobejších inštrumentov. Normalizácia bude podporená aj pozvoľným rozpúšťaním nafúknutej súvahy FEDu. ECB zmiernila objem svojich mesačných nákupov na 15 mld</w:t>
      </w:r>
      <w:r w:rsidR="00561EB6">
        <w:rPr>
          <w:szCs w:val="22"/>
        </w:rPr>
        <w:t>.</w:t>
      </w:r>
      <w:r w:rsidR="009A1B12">
        <w:rPr>
          <w:szCs w:val="22"/>
        </w:rPr>
        <w:t xml:space="preserve"> eur</w:t>
      </w:r>
      <w:r w:rsidRPr="007E3AEC">
        <w:rPr>
          <w:szCs w:val="22"/>
        </w:rPr>
        <w:t xml:space="preserve"> me</w:t>
      </w:r>
      <w:r w:rsidR="009A1B12">
        <w:rPr>
          <w:szCs w:val="22"/>
        </w:rPr>
        <w:t>sačne od septembra do konca roka</w:t>
      </w:r>
      <w:r w:rsidRPr="007E3AEC">
        <w:rPr>
          <w:szCs w:val="22"/>
        </w:rPr>
        <w:t xml:space="preserve"> 2018. Následne oznámila ukončenie kvantitatívneho uvoľňovania, pričom prvé zvyšovanie kľúčových sadzieb očakávame až v druhej polovici roka 2019.</w:t>
      </w:r>
      <w:r>
        <w:rPr>
          <w:szCs w:val="22"/>
        </w:rPr>
        <w:t xml:space="preserve"> Divergenciu menových politík možno pripísať odlišnej fáze hospodárskeho cyklu oboch ekonomík.</w:t>
      </w:r>
    </w:p>
    <w:p w14:paraId="168BFF77" w14:textId="1CFD85D5" w:rsidR="00020FC9" w:rsidRPr="007B4261" w:rsidRDefault="00370341" w:rsidP="001F1BE5">
      <w:pPr>
        <w:spacing w:after="120"/>
        <w:ind w:firstLine="708"/>
        <w:jc w:val="both"/>
        <w:rPr>
          <w:szCs w:val="22"/>
        </w:rPr>
      </w:pPr>
      <w:r w:rsidRPr="00370341">
        <w:rPr>
          <w:szCs w:val="22"/>
        </w:rPr>
        <w:t>Kurz eura voči americkému doláru sa po prepade z prvého štvrťroku</w:t>
      </w:r>
      <w:r>
        <w:rPr>
          <w:szCs w:val="22"/>
        </w:rPr>
        <w:t xml:space="preserve"> stabilizoval. Fundamenty eurozóny ostávajú silné, čo naznačuje </w:t>
      </w:r>
      <w:r w:rsidR="001F1BE5">
        <w:rPr>
          <w:szCs w:val="22"/>
        </w:rPr>
        <w:t>solídnu pozíciu voči ostatným svetovým menám. Potenciálne riziko pre vývoj eura a ostatných mien predstavuje eskalácia napätia vo svetovom obchode.</w:t>
      </w:r>
      <w:r w:rsidRPr="00370341">
        <w:rPr>
          <w:szCs w:val="22"/>
        </w:rPr>
        <w:t xml:space="preserve"> V marci 2019 sa očakáva k</w:t>
      </w:r>
      <w:r w:rsidR="009A1B12">
        <w:rPr>
          <w:szCs w:val="22"/>
        </w:rPr>
        <w:t>onkretizácia podmienok Brexitu</w:t>
      </w:r>
      <w:r w:rsidRPr="00370341">
        <w:rPr>
          <w:szCs w:val="22"/>
        </w:rPr>
        <w:t>, od čoho bude závisieť pozícia eura voči britskej libre.</w:t>
      </w:r>
    </w:p>
    <w:p w14:paraId="392F7ECC" w14:textId="77777777" w:rsidR="00A156A1" w:rsidRPr="007B4261" w:rsidRDefault="00A156A1" w:rsidP="00C03A23">
      <w:pPr>
        <w:widowControl w:val="0"/>
        <w:tabs>
          <w:tab w:val="right" w:pos="8072"/>
        </w:tabs>
        <w:jc w:val="both"/>
        <w:rPr>
          <w:szCs w:val="22"/>
        </w:rPr>
      </w:pPr>
    </w:p>
    <w:p w14:paraId="6E202C7A" w14:textId="77777777" w:rsidR="00A156A1" w:rsidRPr="007B4261" w:rsidRDefault="00A156A1" w:rsidP="00C03A23">
      <w:pPr>
        <w:widowControl w:val="0"/>
        <w:tabs>
          <w:tab w:val="right" w:pos="8072"/>
        </w:tabs>
        <w:jc w:val="both"/>
        <w:rPr>
          <w:szCs w:val="22"/>
        </w:rPr>
      </w:pPr>
    </w:p>
    <w:p w14:paraId="2334F9BA" w14:textId="77777777" w:rsidR="00A156A1" w:rsidRDefault="00A156A1" w:rsidP="00C03A23">
      <w:pPr>
        <w:widowControl w:val="0"/>
        <w:tabs>
          <w:tab w:val="right" w:pos="8072"/>
        </w:tabs>
        <w:jc w:val="both"/>
        <w:rPr>
          <w:sz w:val="22"/>
          <w:szCs w:val="22"/>
        </w:rPr>
      </w:pPr>
    </w:p>
    <w:tbl>
      <w:tblPr>
        <w:tblW w:w="5000" w:type="pct"/>
        <w:tblCellMar>
          <w:left w:w="70" w:type="dxa"/>
          <w:right w:w="70" w:type="dxa"/>
        </w:tblCellMar>
        <w:tblLook w:val="0000" w:firstRow="0" w:lastRow="0" w:firstColumn="0" w:lastColumn="0" w:noHBand="0" w:noVBand="0"/>
      </w:tblPr>
      <w:tblGrid>
        <w:gridCol w:w="4472"/>
        <w:gridCol w:w="146"/>
        <w:gridCol w:w="4454"/>
      </w:tblGrid>
      <w:tr w:rsidR="00655281" w:rsidRPr="007B4261" w14:paraId="0B611DA7" w14:textId="77777777" w:rsidTr="001F1BE5">
        <w:trPr>
          <w:trHeight w:val="285"/>
        </w:trPr>
        <w:tc>
          <w:tcPr>
            <w:tcW w:w="2310" w:type="pct"/>
            <w:tcBorders>
              <w:top w:val="nil"/>
              <w:left w:val="nil"/>
              <w:bottom w:val="nil"/>
              <w:right w:val="nil"/>
            </w:tcBorders>
            <w:shd w:val="clear" w:color="auto" w:fill="auto"/>
            <w:noWrap/>
            <w:vAlign w:val="center"/>
          </w:tcPr>
          <w:p w14:paraId="6DFF45FF" w14:textId="77777777" w:rsidR="00235994" w:rsidRPr="00655281" w:rsidRDefault="00043E8B" w:rsidP="007B4261">
            <w:pPr>
              <w:jc w:val="center"/>
              <w:rPr>
                <w:b/>
                <w:bCs/>
                <w:sz w:val="18"/>
                <w:szCs w:val="20"/>
              </w:rPr>
            </w:pPr>
            <w:bookmarkStart w:id="14" w:name="_Toc252805705"/>
            <w:bookmarkStart w:id="15" w:name="_Toc275948233"/>
            <w:bookmarkStart w:id="16" w:name="_Toc394047564"/>
            <w:bookmarkStart w:id="17" w:name="_Toc394471513"/>
            <w:r w:rsidRPr="00655281">
              <w:rPr>
                <w:b/>
                <w:sz w:val="18"/>
                <w:szCs w:val="18"/>
              </w:rPr>
              <w:lastRenderedPageBreak/>
              <w:t>Výnosy 10Y S</w:t>
            </w:r>
            <w:r w:rsidR="00A67738" w:rsidRPr="00655281">
              <w:rPr>
                <w:b/>
                <w:sz w:val="18"/>
                <w:szCs w:val="18"/>
              </w:rPr>
              <w:t>V</w:t>
            </w:r>
            <w:r w:rsidRPr="00655281">
              <w:rPr>
                <w:b/>
                <w:sz w:val="18"/>
                <w:szCs w:val="18"/>
              </w:rPr>
              <w:t>K</w:t>
            </w:r>
            <w:r w:rsidR="00235994" w:rsidRPr="00655281">
              <w:rPr>
                <w:b/>
                <w:sz w:val="18"/>
                <w:szCs w:val="18"/>
              </w:rPr>
              <w:t xml:space="preserve"> </w:t>
            </w:r>
            <w:r w:rsidRPr="00655281">
              <w:rPr>
                <w:b/>
                <w:sz w:val="18"/>
                <w:szCs w:val="18"/>
              </w:rPr>
              <w:t>a DE</w:t>
            </w:r>
            <w:r w:rsidR="00410EBD" w:rsidRPr="00655281">
              <w:rPr>
                <w:b/>
                <w:sz w:val="18"/>
                <w:szCs w:val="18"/>
              </w:rPr>
              <w:t xml:space="preserve"> </w:t>
            </w:r>
            <w:r w:rsidR="00235994" w:rsidRPr="00655281">
              <w:rPr>
                <w:b/>
                <w:sz w:val="18"/>
                <w:szCs w:val="18"/>
              </w:rPr>
              <w:t>dlhopisov (% p.</w:t>
            </w:r>
            <w:r w:rsidR="00541922" w:rsidRPr="00655281">
              <w:rPr>
                <w:b/>
                <w:sz w:val="18"/>
                <w:szCs w:val="18"/>
              </w:rPr>
              <w:t xml:space="preserve"> </w:t>
            </w:r>
            <w:r w:rsidR="00235994" w:rsidRPr="00655281">
              <w:rPr>
                <w:b/>
                <w:sz w:val="18"/>
                <w:szCs w:val="18"/>
              </w:rPr>
              <w:t>a.)</w:t>
            </w:r>
            <w:bookmarkEnd w:id="14"/>
            <w:bookmarkEnd w:id="15"/>
            <w:bookmarkEnd w:id="16"/>
            <w:bookmarkEnd w:id="17"/>
          </w:p>
        </w:tc>
        <w:tc>
          <w:tcPr>
            <w:tcW w:w="80" w:type="pct"/>
            <w:tcBorders>
              <w:top w:val="nil"/>
              <w:left w:val="nil"/>
              <w:bottom w:val="nil"/>
              <w:right w:val="nil"/>
            </w:tcBorders>
            <w:noWrap/>
            <w:vAlign w:val="center"/>
          </w:tcPr>
          <w:p w14:paraId="752D3601" w14:textId="77777777" w:rsidR="00235994" w:rsidRPr="00B85F4E" w:rsidRDefault="00235994" w:rsidP="007B4261">
            <w:pPr>
              <w:jc w:val="center"/>
              <w:rPr>
                <w:b/>
                <w:bCs/>
                <w:sz w:val="18"/>
                <w:szCs w:val="20"/>
                <w:highlight w:val="yellow"/>
              </w:rPr>
            </w:pPr>
          </w:p>
        </w:tc>
        <w:tc>
          <w:tcPr>
            <w:tcW w:w="2610" w:type="pct"/>
            <w:tcBorders>
              <w:top w:val="nil"/>
              <w:left w:val="nil"/>
              <w:bottom w:val="nil"/>
              <w:right w:val="nil"/>
            </w:tcBorders>
            <w:shd w:val="clear" w:color="auto" w:fill="auto"/>
            <w:noWrap/>
            <w:vAlign w:val="center"/>
          </w:tcPr>
          <w:p w14:paraId="627DB3A1" w14:textId="0FACDB8A" w:rsidR="00235994" w:rsidRPr="00655281" w:rsidRDefault="00235994" w:rsidP="007B4261">
            <w:pPr>
              <w:jc w:val="center"/>
              <w:rPr>
                <w:b/>
                <w:bCs/>
                <w:sz w:val="18"/>
                <w:szCs w:val="20"/>
              </w:rPr>
            </w:pPr>
            <w:bookmarkStart w:id="18" w:name="_Toc252805706"/>
            <w:bookmarkStart w:id="19" w:name="_Toc275948234"/>
            <w:bookmarkStart w:id="20" w:name="_Toc394047565"/>
            <w:bookmarkStart w:id="21" w:name="_Toc394471514"/>
            <w:r w:rsidRPr="00655281">
              <w:rPr>
                <w:b/>
                <w:sz w:val="18"/>
                <w:szCs w:val="18"/>
              </w:rPr>
              <w:t xml:space="preserve">Vývoj </w:t>
            </w:r>
            <w:r w:rsidR="00C137DD" w:rsidRPr="00655281">
              <w:rPr>
                <w:b/>
                <w:sz w:val="18"/>
                <w:szCs w:val="18"/>
              </w:rPr>
              <w:t>výnosovej krivky Slovenska a</w:t>
            </w:r>
            <w:r w:rsidR="007B4261" w:rsidRPr="00655281">
              <w:rPr>
                <w:b/>
                <w:sz w:val="18"/>
                <w:szCs w:val="18"/>
              </w:rPr>
              <w:t> </w:t>
            </w:r>
            <w:r w:rsidR="00C137DD" w:rsidRPr="00655281">
              <w:rPr>
                <w:b/>
                <w:sz w:val="18"/>
                <w:szCs w:val="18"/>
              </w:rPr>
              <w:t>Nemecka</w:t>
            </w:r>
            <w:r w:rsidR="007B4261" w:rsidRPr="00655281">
              <w:rPr>
                <w:b/>
                <w:sz w:val="18"/>
                <w:szCs w:val="18"/>
              </w:rPr>
              <w:t xml:space="preserve"> </w:t>
            </w:r>
            <w:r w:rsidRPr="00655281">
              <w:rPr>
                <w:b/>
                <w:sz w:val="18"/>
                <w:szCs w:val="18"/>
              </w:rPr>
              <w:t>(% p.</w:t>
            </w:r>
            <w:r w:rsidR="00541922" w:rsidRPr="00655281">
              <w:rPr>
                <w:b/>
                <w:sz w:val="18"/>
                <w:szCs w:val="18"/>
              </w:rPr>
              <w:t xml:space="preserve"> </w:t>
            </w:r>
            <w:r w:rsidRPr="00655281">
              <w:rPr>
                <w:b/>
                <w:sz w:val="18"/>
                <w:szCs w:val="18"/>
              </w:rPr>
              <w:t>a.)</w:t>
            </w:r>
            <w:bookmarkEnd w:id="18"/>
            <w:bookmarkEnd w:id="19"/>
            <w:bookmarkEnd w:id="20"/>
            <w:bookmarkEnd w:id="21"/>
          </w:p>
        </w:tc>
      </w:tr>
      <w:tr w:rsidR="00655281" w:rsidRPr="0019148E" w14:paraId="700D31C1" w14:textId="77777777" w:rsidTr="00061AC6">
        <w:trPr>
          <w:trHeight w:val="2397"/>
        </w:trPr>
        <w:tc>
          <w:tcPr>
            <w:tcW w:w="2310" w:type="pct"/>
            <w:tcBorders>
              <w:top w:val="nil"/>
              <w:left w:val="nil"/>
              <w:bottom w:val="nil"/>
              <w:right w:val="nil"/>
            </w:tcBorders>
            <w:shd w:val="clear" w:color="auto" w:fill="auto"/>
            <w:noWrap/>
            <w:vAlign w:val="center"/>
          </w:tcPr>
          <w:p w14:paraId="27BB544E" w14:textId="77777777" w:rsidR="00235994" w:rsidRPr="00B85F4E" w:rsidRDefault="006232EF" w:rsidP="00EA5365">
            <w:pPr>
              <w:jc w:val="center"/>
              <w:rPr>
                <w:sz w:val="20"/>
                <w:szCs w:val="20"/>
                <w:highlight w:val="yellow"/>
              </w:rPr>
            </w:pPr>
            <w:r w:rsidRPr="00061AC6">
              <w:rPr>
                <w:noProof/>
              </w:rPr>
              <w:drawing>
                <wp:inline distT="0" distB="0" distL="0" distR="0" wp14:anchorId="794D53BA" wp14:editId="338D4F16">
                  <wp:extent cx="2762250" cy="2219325"/>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80" w:type="pct"/>
            <w:tcBorders>
              <w:top w:val="nil"/>
              <w:left w:val="nil"/>
              <w:bottom w:val="nil"/>
              <w:right w:val="nil"/>
            </w:tcBorders>
            <w:noWrap/>
            <w:vAlign w:val="center"/>
          </w:tcPr>
          <w:p w14:paraId="589DF67F" w14:textId="77777777" w:rsidR="00235994" w:rsidRPr="00B85F4E" w:rsidRDefault="00235994" w:rsidP="00EA5365">
            <w:pPr>
              <w:jc w:val="center"/>
              <w:rPr>
                <w:sz w:val="20"/>
                <w:szCs w:val="20"/>
                <w:highlight w:val="yellow"/>
              </w:rPr>
            </w:pPr>
          </w:p>
        </w:tc>
        <w:tc>
          <w:tcPr>
            <w:tcW w:w="2610" w:type="pct"/>
            <w:tcBorders>
              <w:top w:val="nil"/>
              <w:left w:val="nil"/>
              <w:bottom w:val="nil"/>
              <w:right w:val="nil"/>
            </w:tcBorders>
            <w:noWrap/>
            <w:vAlign w:val="center"/>
          </w:tcPr>
          <w:p w14:paraId="3F064EE3" w14:textId="35690689" w:rsidR="00235994" w:rsidRPr="00B85F4E" w:rsidRDefault="002B4E26" w:rsidP="00EA5365">
            <w:pPr>
              <w:jc w:val="center"/>
              <w:rPr>
                <w:sz w:val="20"/>
                <w:szCs w:val="20"/>
                <w:highlight w:val="yellow"/>
              </w:rPr>
            </w:pPr>
            <w:r w:rsidRPr="00655281">
              <w:rPr>
                <w:noProof/>
              </w:rPr>
              <w:drawing>
                <wp:inline distT="0" distB="0" distL="0" distR="0" wp14:anchorId="477D1552" wp14:editId="77F2BE3E">
                  <wp:extent cx="2750820" cy="2134264"/>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655281" w:rsidRPr="0019148E" w14:paraId="0A8AC9FC" w14:textId="77777777" w:rsidTr="001F1BE5">
        <w:trPr>
          <w:trHeight w:val="213"/>
        </w:trPr>
        <w:tc>
          <w:tcPr>
            <w:tcW w:w="2310" w:type="pct"/>
            <w:tcBorders>
              <w:top w:val="single" w:sz="4" w:space="0" w:color="auto"/>
              <w:left w:val="nil"/>
              <w:bottom w:val="nil"/>
              <w:right w:val="nil"/>
            </w:tcBorders>
            <w:noWrap/>
            <w:vAlign w:val="center"/>
          </w:tcPr>
          <w:p w14:paraId="453AAA68" w14:textId="77777777" w:rsidR="00235994" w:rsidRPr="00655281" w:rsidRDefault="00235994" w:rsidP="00EA5365">
            <w:pPr>
              <w:jc w:val="right"/>
              <w:rPr>
                <w:i/>
                <w:iCs/>
                <w:sz w:val="16"/>
                <w:szCs w:val="16"/>
              </w:rPr>
            </w:pPr>
            <w:r w:rsidRPr="00655281">
              <w:rPr>
                <w:i/>
                <w:iCs/>
                <w:sz w:val="16"/>
                <w:szCs w:val="16"/>
              </w:rPr>
              <w:t>Zdroj: Bloomberg</w:t>
            </w:r>
          </w:p>
        </w:tc>
        <w:tc>
          <w:tcPr>
            <w:tcW w:w="80" w:type="pct"/>
            <w:tcBorders>
              <w:top w:val="nil"/>
              <w:left w:val="nil"/>
              <w:bottom w:val="nil"/>
              <w:right w:val="nil"/>
            </w:tcBorders>
            <w:noWrap/>
            <w:vAlign w:val="center"/>
          </w:tcPr>
          <w:p w14:paraId="76A823D5" w14:textId="77777777" w:rsidR="00235994" w:rsidRPr="00B85F4E" w:rsidRDefault="00235994" w:rsidP="00EA5365">
            <w:pPr>
              <w:jc w:val="right"/>
              <w:rPr>
                <w:sz w:val="20"/>
                <w:szCs w:val="20"/>
                <w:highlight w:val="yellow"/>
              </w:rPr>
            </w:pPr>
          </w:p>
        </w:tc>
        <w:tc>
          <w:tcPr>
            <w:tcW w:w="2610" w:type="pct"/>
            <w:tcBorders>
              <w:top w:val="single" w:sz="4" w:space="0" w:color="auto"/>
              <w:left w:val="nil"/>
              <w:bottom w:val="nil"/>
              <w:right w:val="nil"/>
            </w:tcBorders>
            <w:noWrap/>
            <w:vAlign w:val="center"/>
          </w:tcPr>
          <w:p w14:paraId="2B738A3B" w14:textId="3E3F0941" w:rsidR="00235994" w:rsidRPr="00655281" w:rsidRDefault="00235994" w:rsidP="00167F9C">
            <w:pPr>
              <w:jc w:val="right"/>
              <w:rPr>
                <w:i/>
                <w:iCs/>
                <w:sz w:val="16"/>
                <w:szCs w:val="16"/>
              </w:rPr>
            </w:pPr>
            <w:r w:rsidRPr="00655281">
              <w:rPr>
                <w:i/>
                <w:iCs/>
                <w:sz w:val="16"/>
                <w:szCs w:val="16"/>
              </w:rPr>
              <w:t>Zdroj:</w:t>
            </w:r>
            <w:r w:rsidR="007B4261" w:rsidRPr="00655281">
              <w:rPr>
                <w:i/>
                <w:iCs/>
                <w:sz w:val="16"/>
                <w:szCs w:val="16"/>
              </w:rPr>
              <w:t xml:space="preserve"> </w:t>
            </w:r>
            <w:r w:rsidR="00167F9C" w:rsidRPr="00655281">
              <w:rPr>
                <w:i/>
                <w:iCs/>
                <w:sz w:val="16"/>
                <w:szCs w:val="16"/>
              </w:rPr>
              <w:t>MF</w:t>
            </w:r>
            <w:r w:rsidR="007B4261" w:rsidRPr="00655281">
              <w:rPr>
                <w:i/>
                <w:iCs/>
                <w:sz w:val="16"/>
                <w:szCs w:val="16"/>
              </w:rPr>
              <w:t xml:space="preserve"> </w:t>
            </w:r>
            <w:r w:rsidR="00167F9C" w:rsidRPr="00655281">
              <w:rPr>
                <w:i/>
                <w:iCs/>
                <w:sz w:val="16"/>
                <w:szCs w:val="16"/>
              </w:rPr>
              <w:t>SR, Deutsche Bundesbank</w:t>
            </w:r>
          </w:p>
        </w:tc>
      </w:tr>
      <w:tr w:rsidR="00655281" w:rsidRPr="0019148E" w14:paraId="185D1668" w14:textId="77777777" w:rsidTr="001F1BE5">
        <w:trPr>
          <w:trHeight w:val="285"/>
        </w:trPr>
        <w:tc>
          <w:tcPr>
            <w:tcW w:w="2310" w:type="pct"/>
            <w:tcBorders>
              <w:top w:val="nil"/>
              <w:left w:val="nil"/>
              <w:bottom w:val="nil"/>
              <w:right w:val="nil"/>
            </w:tcBorders>
            <w:shd w:val="clear" w:color="auto" w:fill="auto"/>
            <w:noWrap/>
            <w:vAlign w:val="center"/>
          </w:tcPr>
          <w:p w14:paraId="29F035DC" w14:textId="214A3783" w:rsidR="00F816F7" w:rsidRPr="0019148E" w:rsidRDefault="00F816F7" w:rsidP="00F816F7">
            <w:pPr>
              <w:rPr>
                <w:b/>
                <w:bCs/>
                <w:sz w:val="20"/>
                <w:szCs w:val="20"/>
              </w:rPr>
            </w:pPr>
          </w:p>
        </w:tc>
        <w:tc>
          <w:tcPr>
            <w:tcW w:w="80" w:type="pct"/>
            <w:tcBorders>
              <w:top w:val="nil"/>
              <w:left w:val="nil"/>
              <w:bottom w:val="nil"/>
              <w:right w:val="nil"/>
            </w:tcBorders>
            <w:noWrap/>
            <w:vAlign w:val="center"/>
          </w:tcPr>
          <w:p w14:paraId="7F4EFBE7" w14:textId="77777777" w:rsidR="00F816F7" w:rsidRPr="0019148E" w:rsidRDefault="00F816F7" w:rsidP="00F816F7">
            <w:pPr>
              <w:rPr>
                <w:b/>
                <w:bCs/>
                <w:sz w:val="20"/>
                <w:szCs w:val="20"/>
              </w:rPr>
            </w:pPr>
          </w:p>
        </w:tc>
        <w:tc>
          <w:tcPr>
            <w:tcW w:w="2610" w:type="pct"/>
            <w:tcBorders>
              <w:top w:val="nil"/>
              <w:left w:val="nil"/>
              <w:bottom w:val="nil"/>
              <w:right w:val="nil"/>
            </w:tcBorders>
            <w:shd w:val="clear" w:color="auto" w:fill="auto"/>
            <w:noWrap/>
            <w:vAlign w:val="center"/>
          </w:tcPr>
          <w:p w14:paraId="1422DBF6" w14:textId="2882141C" w:rsidR="00F816F7" w:rsidRPr="0019148E" w:rsidRDefault="00F816F7" w:rsidP="00F816F7">
            <w:pPr>
              <w:rPr>
                <w:bCs/>
                <w:sz w:val="20"/>
                <w:szCs w:val="20"/>
              </w:rPr>
            </w:pPr>
          </w:p>
        </w:tc>
      </w:tr>
    </w:tbl>
    <w:p w14:paraId="7618E4FF" w14:textId="23802E4C" w:rsidR="001F1BE5" w:rsidRDefault="001F1BE5" w:rsidP="007B4261">
      <w:pPr>
        <w:spacing w:before="240" w:after="120"/>
        <w:ind w:firstLine="708"/>
        <w:jc w:val="both"/>
        <w:rPr>
          <w:szCs w:val="22"/>
        </w:rPr>
      </w:pPr>
      <w:r w:rsidRPr="007B4261">
        <w:rPr>
          <w:szCs w:val="22"/>
        </w:rPr>
        <w:t>Ekonomika Slovenska vzrastie v tomto roku o</w:t>
      </w:r>
      <w:r>
        <w:rPr>
          <w:szCs w:val="22"/>
        </w:rPr>
        <w:t> 4,1</w:t>
      </w:r>
      <w:r w:rsidRPr="007B4261">
        <w:rPr>
          <w:szCs w:val="22"/>
        </w:rPr>
        <w:t xml:space="preserve"> %. </w:t>
      </w:r>
      <w:r w:rsidRPr="001F1BE5">
        <w:rPr>
          <w:szCs w:val="22"/>
        </w:rPr>
        <w:t>Spotrebu domácností, ktorá bola ťahúňom v uplynulom období, vystrieda oživený export, ale najmä investície. Export zrýchľuje vďaka automobilovému priemyslu, kde sa prejavuje nábeh novej produkcie vo Volkswagene (VW). Prudkému nárastu investícií výrazne napomáha investícia v Jaguar Land Rover (JLR) ako aj akcelerácia verejných investícií,  najmä samospráv.</w:t>
      </w:r>
      <w:r>
        <w:rPr>
          <w:szCs w:val="22"/>
        </w:rPr>
        <w:t xml:space="preserve"> </w:t>
      </w:r>
      <w:r w:rsidRPr="001F1BE5">
        <w:rPr>
          <w:szCs w:val="22"/>
        </w:rPr>
        <w:t>Miera nezamestnanosti prekonáva nové minimá a tento rok dosiahne</w:t>
      </w:r>
      <w:r>
        <w:rPr>
          <w:szCs w:val="22"/>
        </w:rPr>
        <w:t xml:space="preserve"> 6,9</w:t>
      </w:r>
      <w:r w:rsidR="0083611B">
        <w:rPr>
          <w:szCs w:val="22"/>
        </w:rPr>
        <w:t xml:space="preserve"> </w:t>
      </w:r>
      <w:r>
        <w:rPr>
          <w:szCs w:val="22"/>
        </w:rPr>
        <w:t>%. Inflácia v roku 2018 stúpne o 2,5 %.</w:t>
      </w:r>
    </w:p>
    <w:p w14:paraId="2C74B9B9" w14:textId="3137E941" w:rsidR="001F1BE5" w:rsidRDefault="001F1BE5" w:rsidP="007B4261">
      <w:pPr>
        <w:spacing w:before="240" w:after="120"/>
        <w:ind w:firstLine="708"/>
        <w:jc w:val="both"/>
        <w:rPr>
          <w:szCs w:val="22"/>
        </w:rPr>
      </w:pPr>
      <w:r w:rsidRPr="001F1BE5">
        <w:rPr>
          <w:szCs w:val="22"/>
        </w:rPr>
        <w:t>V roku 2019 pridá ekonomika do kroku ešte výraznejšie a posilní o 4,5 %.</w:t>
      </w:r>
      <w:r>
        <w:rPr>
          <w:szCs w:val="22"/>
        </w:rPr>
        <w:t xml:space="preserve"> </w:t>
      </w:r>
      <w:r w:rsidRPr="001F1BE5">
        <w:rPr>
          <w:szCs w:val="22"/>
        </w:rPr>
        <w:t>Spotreba domácností si vďaka prudkému zvyšovaniu miezd udrží dynamiku porovnateľnú s predchádzajúcimi rokmi.</w:t>
      </w:r>
      <w:r>
        <w:rPr>
          <w:szCs w:val="22"/>
        </w:rPr>
        <w:t xml:space="preserve"> O</w:t>
      </w:r>
      <w:r w:rsidRPr="001F1BE5">
        <w:rPr>
          <w:szCs w:val="22"/>
        </w:rPr>
        <w:t>statné zložky disponibilného príjmu domácností sa budú zvyšovať pomalšie ako mzdová báza. Dominovať bude export, ktorý opäť zrýchli vďaka nábehu produkcie v JLR a tiež vďaka pokračujúcemu zvyšovaniu výroby vo VW</w:t>
      </w:r>
      <w:r>
        <w:rPr>
          <w:szCs w:val="22"/>
        </w:rPr>
        <w:t xml:space="preserve">. </w:t>
      </w:r>
      <w:r w:rsidRPr="001F1BE5">
        <w:rPr>
          <w:szCs w:val="22"/>
        </w:rPr>
        <w:t>Vyprchanie impulzu z cien potravín bude v roku 2019 kompenzované rýchlejším rastom cien obchodovateľných tovarov a najmä služieb.</w:t>
      </w:r>
    </w:p>
    <w:p w14:paraId="67B1F037" w14:textId="19121D23" w:rsidR="003A45E3" w:rsidRDefault="009A106C" w:rsidP="00986C5E">
      <w:pPr>
        <w:ind w:firstLine="709"/>
        <w:jc w:val="both"/>
        <w:rPr>
          <w:szCs w:val="22"/>
        </w:rPr>
      </w:pPr>
      <w:r w:rsidRPr="007B4261">
        <w:rPr>
          <w:szCs w:val="22"/>
        </w:rPr>
        <w:t xml:space="preserve">V rokoch </w:t>
      </w:r>
      <w:r w:rsidR="003A45E3">
        <w:rPr>
          <w:szCs w:val="22"/>
        </w:rPr>
        <w:t>2020</w:t>
      </w:r>
      <w:r w:rsidRPr="007B4261">
        <w:rPr>
          <w:szCs w:val="22"/>
        </w:rPr>
        <w:t xml:space="preserve"> a 202</w:t>
      </w:r>
      <w:r w:rsidR="003A45E3">
        <w:rPr>
          <w:szCs w:val="22"/>
        </w:rPr>
        <w:t>1 porastie ekonomika tempom 3,9</w:t>
      </w:r>
      <w:r w:rsidRPr="007B4261">
        <w:rPr>
          <w:szCs w:val="22"/>
        </w:rPr>
        <w:t xml:space="preserve"> % a 3,</w:t>
      </w:r>
      <w:r w:rsidR="003A45E3">
        <w:rPr>
          <w:szCs w:val="22"/>
        </w:rPr>
        <w:t>3 %,</w:t>
      </w:r>
      <w:r w:rsidRPr="007B4261">
        <w:rPr>
          <w:szCs w:val="22"/>
        </w:rPr>
        <w:t xml:space="preserve"> </w:t>
      </w:r>
      <w:r w:rsidR="003A45E3" w:rsidRPr="003A45E3">
        <w:rPr>
          <w:szCs w:val="22"/>
        </w:rPr>
        <w:t xml:space="preserve">pričom možno očakávať začiatok </w:t>
      </w:r>
      <w:r w:rsidR="003A45E3">
        <w:rPr>
          <w:szCs w:val="22"/>
        </w:rPr>
        <w:t>uzatvárania produkčnej medzery</w:t>
      </w:r>
      <w:r w:rsidR="003A45E3" w:rsidRPr="003A45E3">
        <w:rPr>
          <w:szCs w:val="22"/>
        </w:rPr>
        <w:t>. Zahraničný dopyt pribrzdí k hranici svojho dlhodobého potenciálu, čo ovplyvní výkon exportu</w:t>
      </w:r>
      <w:r w:rsidR="003A45E3">
        <w:rPr>
          <w:szCs w:val="22"/>
        </w:rPr>
        <w:t xml:space="preserve">. </w:t>
      </w:r>
    </w:p>
    <w:p w14:paraId="1E0FF65D" w14:textId="77777777" w:rsidR="00986C5E" w:rsidRPr="007B4261" w:rsidRDefault="00986C5E" w:rsidP="00986C5E">
      <w:pPr>
        <w:ind w:firstLine="709"/>
        <w:jc w:val="both"/>
        <w:rPr>
          <w:szCs w:val="22"/>
        </w:rPr>
      </w:pP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3195"/>
        <w:gridCol w:w="747"/>
        <w:gridCol w:w="749"/>
        <w:gridCol w:w="739"/>
        <w:gridCol w:w="750"/>
        <w:gridCol w:w="732"/>
        <w:gridCol w:w="758"/>
        <w:gridCol w:w="762"/>
      </w:tblGrid>
      <w:tr w:rsidR="007B4261" w:rsidRPr="00F05515" w14:paraId="0BF4196E" w14:textId="77777777" w:rsidTr="000013F8">
        <w:trPr>
          <w:trHeight w:val="308"/>
          <w:jc w:val="center"/>
        </w:trPr>
        <w:tc>
          <w:tcPr>
            <w:tcW w:w="9190" w:type="dxa"/>
            <w:gridSpan w:val="9"/>
            <w:shd w:val="clear" w:color="auto" w:fill="A6A6A6" w:themeFill="background1" w:themeFillShade="A6"/>
            <w:vAlign w:val="center"/>
          </w:tcPr>
          <w:p w14:paraId="6C5B7714" w14:textId="269B80F2" w:rsidR="007B4261" w:rsidRPr="00F05515" w:rsidRDefault="007B4261" w:rsidP="007601CC">
            <w:pPr>
              <w:contextualSpacing/>
              <w:rPr>
                <w:b/>
                <w:bCs/>
                <w:sz w:val="16"/>
                <w:szCs w:val="16"/>
                <w:highlight w:val="yellow"/>
              </w:rPr>
            </w:pPr>
            <w:r w:rsidRPr="00AC01CC">
              <w:rPr>
                <w:b/>
                <w:sz w:val="16"/>
                <w:szCs w:val="16"/>
              </w:rPr>
              <w:t>Prognóza MF SR - hlavné indi</w:t>
            </w:r>
            <w:r w:rsidR="005319B5" w:rsidRPr="00AC01CC">
              <w:rPr>
                <w:b/>
                <w:sz w:val="16"/>
                <w:szCs w:val="16"/>
              </w:rPr>
              <w:t>kátory ekonomiky (september 2018</w:t>
            </w:r>
            <w:r w:rsidRPr="00AC01CC">
              <w:rPr>
                <w:b/>
                <w:sz w:val="16"/>
                <w:szCs w:val="16"/>
              </w:rPr>
              <w:t>)</w:t>
            </w:r>
          </w:p>
        </w:tc>
      </w:tr>
      <w:tr w:rsidR="007601CC" w:rsidRPr="00F05515" w14:paraId="0754AF37" w14:textId="77777777" w:rsidTr="007B4261">
        <w:trPr>
          <w:trHeight w:val="308"/>
          <w:jc w:val="center"/>
        </w:trPr>
        <w:tc>
          <w:tcPr>
            <w:tcW w:w="3953" w:type="dxa"/>
            <w:gridSpan w:val="2"/>
            <w:shd w:val="clear" w:color="auto" w:fill="BFBFBF" w:themeFill="background1" w:themeFillShade="BF"/>
            <w:noWrap/>
            <w:vAlign w:val="center"/>
            <w:hideMark/>
          </w:tcPr>
          <w:p w14:paraId="2E803873" w14:textId="77777777" w:rsidR="007601CC" w:rsidRPr="00AC01CC" w:rsidRDefault="007601CC" w:rsidP="00036B4D">
            <w:pPr>
              <w:rPr>
                <w:b/>
                <w:color w:val="000000"/>
                <w:sz w:val="16"/>
                <w:szCs w:val="16"/>
                <w:lang w:eastAsia="en-US"/>
              </w:rPr>
            </w:pPr>
            <w:r w:rsidRPr="00AC01CC">
              <w:rPr>
                <w:b/>
                <w:color w:val="000000"/>
                <w:sz w:val="16"/>
                <w:szCs w:val="16"/>
                <w:lang w:eastAsia="en-US"/>
              </w:rPr>
              <w:t>Ukazovateľ (v %)</w:t>
            </w:r>
          </w:p>
        </w:tc>
        <w:tc>
          <w:tcPr>
            <w:tcW w:w="747" w:type="dxa"/>
            <w:shd w:val="clear" w:color="auto" w:fill="BFBFBF" w:themeFill="background1" w:themeFillShade="BF"/>
            <w:noWrap/>
            <w:vAlign w:val="center"/>
            <w:hideMark/>
          </w:tcPr>
          <w:p w14:paraId="0802630E" w14:textId="77611699" w:rsidR="007601CC" w:rsidRPr="00F05515" w:rsidRDefault="007601CC" w:rsidP="007B4261">
            <w:pPr>
              <w:jc w:val="center"/>
              <w:rPr>
                <w:b/>
                <w:color w:val="000000"/>
                <w:sz w:val="16"/>
                <w:szCs w:val="16"/>
                <w:highlight w:val="yellow"/>
                <w:lang w:eastAsia="en-US"/>
              </w:rPr>
            </w:pPr>
            <w:r w:rsidRPr="00AC01CC">
              <w:rPr>
                <w:b/>
                <w:color w:val="000000"/>
                <w:sz w:val="16"/>
                <w:szCs w:val="16"/>
                <w:lang w:eastAsia="en-US"/>
              </w:rPr>
              <w:t>201</w:t>
            </w:r>
            <w:r w:rsidR="00AC01CC" w:rsidRPr="00AC01CC">
              <w:rPr>
                <w:b/>
                <w:color w:val="000000"/>
                <w:sz w:val="16"/>
                <w:szCs w:val="16"/>
                <w:lang w:eastAsia="en-US"/>
              </w:rPr>
              <w:t>5</w:t>
            </w:r>
          </w:p>
        </w:tc>
        <w:tc>
          <w:tcPr>
            <w:tcW w:w="749" w:type="dxa"/>
            <w:shd w:val="clear" w:color="auto" w:fill="BFBFBF" w:themeFill="background1" w:themeFillShade="BF"/>
            <w:noWrap/>
            <w:vAlign w:val="center"/>
            <w:hideMark/>
          </w:tcPr>
          <w:p w14:paraId="5E9ECA4E" w14:textId="76BA841F" w:rsidR="007601CC" w:rsidRPr="00F05515" w:rsidRDefault="007601CC" w:rsidP="007B4261">
            <w:pPr>
              <w:jc w:val="center"/>
              <w:rPr>
                <w:b/>
                <w:color w:val="000000"/>
                <w:sz w:val="16"/>
                <w:szCs w:val="16"/>
                <w:highlight w:val="yellow"/>
                <w:lang w:eastAsia="en-US"/>
              </w:rPr>
            </w:pPr>
            <w:r w:rsidRPr="00AC01CC">
              <w:rPr>
                <w:b/>
                <w:color w:val="000000"/>
                <w:sz w:val="16"/>
                <w:szCs w:val="16"/>
                <w:lang w:eastAsia="en-US"/>
              </w:rPr>
              <w:t>201</w:t>
            </w:r>
            <w:r w:rsidR="00AC01CC" w:rsidRPr="00AC01CC">
              <w:rPr>
                <w:b/>
                <w:color w:val="000000"/>
                <w:sz w:val="16"/>
                <w:szCs w:val="16"/>
                <w:lang w:eastAsia="en-US"/>
              </w:rPr>
              <w:t>6</w:t>
            </w:r>
          </w:p>
        </w:tc>
        <w:tc>
          <w:tcPr>
            <w:tcW w:w="739" w:type="dxa"/>
            <w:shd w:val="clear" w:color="auto" w:fill="BFBFBF" w:themeFill="background1" w:themeFillShade="BF"/>
            <w:noWrap/>
            <w:vAlign w:val="center"/>
            <w:hideMark/>
          </w:tcPr>
          <w:p w14:paraId="0CC3F159" w14:textId="722F3AD6" w:rsidR="007601CC" w:rsidRPr="00AC01CC" w:rsidRDefault="007601CC" w:rsidP="007B4261">
            <w:pPr>
              <w:jc w:val="center"/>
              <w:rPr>
                <w:b/>
                <w:color w:val="000000"/>
                <w:sz w:val="16"/>
                <w:szCs w:val="16"/>
                <w:lang w:eastAsia="en-US"/>
              </w:rPr>
            </w:pPr>
            <w:r w:rsidRPr="00AC01CC">
              <w:rPr>
                <w:b/>
                <w:color w:val="000000"/>
                <w:sz w:val="16"/>
                <w:szCs w:val="16"/>
                <w:lang w:eastAsia="en-US"/>
              </w:rPr>
              <w:t>201</w:t>
            </w:r>
            <w:r w:rsidR="00AC01CC" w:rsidRPr="00AC01CC">
              <w:rPr>
                <w:b/>
                <w:color w:val="000000"/>
                <w:sz w:val="16"/>
                <w:szCs w:val="16"/>
                <w:lang w:eastAsia="en-US"/>
              </w:rPr>
              <w:t>7</w:t>
            </w:r>
          </w:p>
        </w:tc>
        <w:tc>
          <w:tcPr>
            <w:tcW w:w="750" w:type="dxa"/>
            <w:shd w:val="clear" w:color="auto" w:fill="BFBFBF" w:themeFill="background1" w:themeFillShade="BF"/>
            <w:noWrap/>
            <w:vAlign w:val="center"/>
            <w:hideMark/>
          </w:tcPr>
          <w:p w14:paraId="540EA318" w14:textId="39430CD1" w:rsidR="007601CC" w:rsidRPr="00AC01CC" w:rsidRDefault="007601CC" w:rsidP="007B4261">
            <w:pPr>
              <w:jc w:val="center"/>
              <w:rPr>
                <w:b/>
                <w:color w:val="000000"/>
                <w:sz w:val="16"/>
                <w:szCs w:val="16"/>
                <w:lang w:eastAsia="en-US"/>
              </w:rPr>
            </w:pPr>
            <w:r w:rsidRPr="00AC01CC">
              <w:rPr>
                <w:b/>
                <w:color w:val="000000"/>
                <w:sz w:val="16"/>
                <w:szCs w:val="16"/>
                <w:lang w:eastAsia="en-US"/>
              </w:rPr>
              <w:t>201</w:t>
            </w:r>
            <w:r w:rsidR="00AC01CC" w:rsidRPr="00AC01CC">
              <w:rPr>
                <w:b/>
                <w:color w:val="000000"/>
                <w:sz w:val="16"/>
                <w:szCs w:val="16"/>
                <w:lang w:eastAsia="en-US"/>
              </w:rPr>
              <w:t>8</w:t>
            </w:r>
          </w:p>
        </w:tc>
        <w:tc>
          <w:tcPr>
            <w:tcW w:w="732" w:type="dxa"/>
            <w:shd w:val="clear" w:color="auto" w:fill="BFBFBF" w:themeFill="background1" w:themeFillShade="BF"/>
            <w:noWrap/>
            <w:vAlign w:val="center"/>
            <w:hideMark/>
          </w:tcPr>
          <w:p w14:paraId="5093BFA9" w14:textId="7E7C38CB" w:rsidR="007601CC" w:rsidRPr="00AC01CC" w:rsidRDefault="007601CC" w:rsidP="007B4261">
            <w:pPr>
              <w:jc w:val="center"/>
              <w:rPr>
                <w:b/>
                <w:color w:val="000000"/>
                <w:sz w:val="16"/>
                <w:szCs w:val="16"/>
                <w:lang w:eastAsia="en-US"/>
              </w:rPr>
            </w:pPr>
            <w:r w:rsidRPr="00AC01CC">
              <w:rPr>
                <w:b/>
                <w:color w:val="000000"/>
                <w:sz w:val="16"/>
                <w:szCs w:val="16"/>
                <w:lang w:eastAsia="en-US"/>
              </w:rPr>
              <w:t>201</w:t>
            </w:r>
            <w:r w:rsidR="00AC01CC" w:rsidRPr="00AC01CC">
              <w:rPr>
                <w:b/>
                <w:color w:val="000000"/>
                <w:sz w:val="16"/>
                <w:szCs w:val="16"/>
                <w:lang w:eastAsia="en-US"/>
              </w:rPr>
              <w:t>9</w:t>
            </w:r>
          </w:p>
        </w:tc>
        <w:tc>
          <w:tcPr>
            <w:tcW w:w="758" w:type="dxa"/>
            <w:shd w:val="clear" w:color="auto" w:fill="BFBFBF" w:themeFill="background1" w:themeFillShade="BF"/>
            <w:vAlign w:val="center"/>
          </w:tcPr>
          <w:p w14:paraId="4F2C9E78" w14:textId="0AA6FF4F" w:rsidR="007601CC" w:rsidRPr="00AC01CC" w:rsidRDefault="00AC01CC" w:rsidP="007B4261">
            <w:pPr>
              <w:jc w:val="center"/>
              <w:rPr>
                <w:b/>
                <w:color w:val="000000"/>
                <w:sz w:val="16"/>
                <w:szCs w:val="16"/>
                <w:lang w:eastAsia="en-US"/>
              </w:rPr>
            </w:pPr>
            <w:r w:rsidRPr="00AC01CC">
              <w:rPr>
                <w:b/>
                <w:color w:val="000000"/>
                <w:sz w:val="16"/>
                <w:szCs w:val="16"/>
                <w:lang w:eastAsia="en-US"/>
              </w:rPr>
              <w:t>2020</w:t>
            </w:r>
          </w:p>
        </w:tc>
        <w:tc>
          <w:tcPr>
            <w:tcW w:w="762" w:type="dxa"/>
            <w:shd w:val="clear" w:color="auto" w:fill="BFBFBF" w:themeFill="background1" w:themeFillShade="BF"/>
            <w:noWrap/>
            <w:vAlign w:val="center"/>
            <w:hideMark/>
          </w:tcPr>
          <w:p w14:paraId="7DC846E5" w14:textId="74461093" w:rsidR="007601CC" w:rsidRPr="00AC01CC" w:rsidRDefault="007601CC" w:rsidP="007B4261">
            <w:pPr>
              <w:jc w:val="center"/>
              <w:rPr>
                <w:b/>
                <w:color w:val="000000"/>
                <w:sz w:val="16"/>
                <w:szCs w:val="16"/>
                <w:lang w:eastAsia="en-US"/>
              </w:rPr>
            </w:pPr>
            <w:r w:rsidRPr="00AC01CC">
              <w:rPr>
                <w:b/>
                <w:color w:val="000000"/>
                <w:sz w:val="16"/>
                <w:szCs w:val="16"/>
                <w:lang w:eastAsia="en-US"/>
              </w:rPr>
              <w:t>202</w:t>
            </w:r>
            <w:r w:rsidR="00AC01CC" w:rsidRPr="00AC01CC">
              <w:rPr>
                <w:b/>
                <w:color w:val="000000"/>
                <w:sz w:val="16"/>
                <w:szCs w:val="16"/>
                <w:lang w:eastAsia="en-US"/>
              </w:rPr>
              <w:t>1</w:t>
            </w:r>
          </w:p>
        </w:tc>
      </w:tr>
      <w:tr w:rsidR="00AC01CC" w:rsidRPr="00F05515" w14:paraId="2D23201A" w14:textId="77777777" w:rsidTr="00AC01CC">
        <w:trPr>
          <w:trHeight w:val="308"/>
          <w:jc w:val="center"/>
        </w:trPr>
        <w:tc>
          <w:tcPr>
            <w:tcW w:w="3953" w:type="dxa"/>
            <w:gridSpan w:val="2"/>
            <w:shd w:val="clear" w:color="auto" w:fill="auto"/>
            <w:noWrap/>
            <w:vAlign w:val="center"/>
            <w:hideMark/>
          </w:tcPr>
          <w:p w14:paraId="56D2735F" w14:textId="77777777" w:rsidR="00AC01CC" w:rsidRPr="00AC01CC" w:rsidRDefault="00AC01CC" w:rsidP="00AC01CC">
            <w:pPr>
              <w:rPr>
                <w:color w:val="000000"/>
                <w:sz w:val="16"/>
                <w:szCs w:val="16"/>
                <w:lang w:eastAsia="en-US"/>
              </w:rPr>
            </w:pPr>
            <w:r w:rsidRPr="00AC01CC">
              <w:rPr>
                <w:color w:val="000000"/>
                <w:sz w:val="16"/>
                <w:szCs w:val="16"/>
                <w:lang w:eastAsia="en-US"/>
              </w:rPr>
              <w:t>HDP, reálny rast</w:t>
            </w:r>
          </w:p>
        </w:tc>
        <w:tc>
          <w:tcPr>
            <w:tcW w:w="747" w:type="dxa"/>
            <w:shd w:val="clear" w:color="auto" w:fill="auto"/>
            <w:noWrap/>
            <w:vAlign w:val="center"/>
            <w:hideMark/>
          </w:tcPr>
          <w:p w14:paraId="62A0EBA9" w14:textId="07C5E2B1" w:rsidR="00AC01CC" w:rsidRPr="00AC01CC" w:rsidRDefault="00AC01CC" w:rsidP="00AC01CC">
            <w:pPr>
              <w:jc w:val="right"/>
              <w:rPr>
                <w:color w:val="000000"/>
                <w:sz w:val="16"/>
                <w:szCs w:val="16"/>
                <w:lang w:eastAsia="en-US"/>
              </w:rPr>
            </w:pPr>
            <w:r w:rsidRPr="00AC01CC">
              <w:rPr>
                <w:color w:val="000000"/>
                <w:sz w:val="16"/>
                <w:szCs w:val="16"/>
                <w:lang w:eastAsia="en-US"/>
              </w:rPr>
              <w:t>3,8</w:t>
            </w:r>
          </w:p>
        </w:tc>
        <w:tc>
          <w:tcPr>
            <w:tcW w:w="749" w:type="dxa"/>
            <w:shd w:val="clear" w:color="auto" w:fill="auto"/>
            <w:noWrap/>
            <w:vAlign w:val="center"/>
            <w:hideMark/>
          </w:tcPr>
          <w:p w14:paraId="527D9EAA" w14:textId="1D294A17" w:rsidR="00AC01CC" w:rsidRPr="00F05515" w:rsidRDefault="00AC01CC" w:rsidP="00AC01CC">
            <w:pPr>
              <w:jc w:val="right"/>
              <w:rPr>
                <w:color w:val="000000"/>
                <w:sz w:val="16"/>
                <w:szCs w:val="16"/>
                <w:highlight w:val="yellow"/>
                <w:lang w:eastAsia="en-US"/>
              </w:rPr>
            </w:pPr>
            <w:r w:rsidRPr="00AC01CC">
              <w:rPr>
                <w:color w:val="000000"/>
                <w:sz w:val="16"/>
                <w:szCs w:val="16"/>
                <w:lang w:eastAsia="en-US"/>
              </w:rPr>
              <w:t>3,3</w:t>
            </w:r>
          </w:p>
        </w:tc>
        <w:tc>
          <w:tcPr>
            <w:tcW w:w="739" w:type="dxa"/>
            <w:shd w:val="clear" w:color="auto" w:fill="auto"/>
            <w:noWrap/>
            <w:vAlign w:val="center"/>
          </w:tcPr>
          <w:p w14:paraId="383CCBA8" w14:textId="0A31C005" w:rsidR="00AC01CC" w:rsidRPr="00AC01CC" w:rsidRDefault="00AC01CC" w:rsidP="00AC01CC">
            <w:pPr>
              <w:jc w:val="right"/>
              <w:rPr>
                <w:color w:val="000000"/>
                <w:sz w:val="16"/>
                <w:szCs w:val="16"/>
                <w:lang w:eastAsia="en-US"/>
              </w:rPr>
            </w:pPr>
            <w:r w:rsidRPr="00AC01CC">
              <w:rPr>
                <w:color w:val="000000"/>
                <w:sz w:val="16"/>
                <w:szCs w:val="16"/>
                <w:lang w:eastAsia="en-US"/>
              </w:rPr>
              <w:t>3,4</w:t>
            </w:r>
          </w:p>
        </w:tc>
        <w:tc>
          <w:tcPr>
            <w:tcW w:w="750" w:type="dxa"/>
            <w:shd w:val="clear" w:color="auto" w:fill="auto"/>
            <w:noWrap/>
            <w:vAlign w:val="center"/>
          </w:tcPr>
          <w:p w14:paraId="0F5DB517" w14:textId="31A02CA0" w:rsidR="00AC01CC" w:rsidRPr="00AC01CC" w:rsidRDefault="00AC01CC" w:rsidP="00AC01CC">
            <w:pPr>
              <w:jc w:val="right"/>
              <w:rPr>
                <w:color w:val="000000"/>
                <w:sz w:val="16"/>
                <w:szCs w:val="16"/>
                <w:lang w:eastAsia="en-US"/>
              </w:rPr>
            </w:pPr>
            <w:r w:rsidRPr="00AC01CC">
              <w:rPr>
                <w:color w:val="000000"/>
                <w:sz w:val="16"/>
                <w:szCs w:val="16"/>
                <w:lang w:eastAsia="en-US"/>
              </w:rPr>
              <w:t>4,1</w:t>
            </w:r>
          </w:p>
        </w:tc>
        <w:tc>
          <w:tcPr>
            <w:tcW w:w="732" w:type="dxa"/>
            <w:shd w:val="clear" w:color="auto" w:fill="auto"/>
            <w:noWrap/>
            <w:vAlign w:val="center"/>
          </w:tcPr>
          <w:p w14:paraId="18F8EAA8" w14:textId="68DCC16D" w:rsidR="00AC01CC" w:rsidRPr="00AC01CC" w:rsidRDefault="00AC01CC" w:rsidP="00AC01CC">
            <w:pPr>
              <w:jc w:val="right"/>
              <w:rPr>
                <w:color w:val="000000"/>
                <w:sz w:val="16"/>
                <w:szCs w:val="16"/>
                <w:lang w:eastAsia="en-US"/>
              </w:rPr>
            </w:pPr>
            <w:r>
              <w:rPr>
                <w:color w:val="000000"/>
                <w:sz w:val="16"/>
                <w:szCs w:val="16"/>
                <w:lang w:eastAsia="en-US"/>
              </w:rPr>
              <w:t>4,5</w:t>
            </w:r>
          </w:p>
        </w:tc>
        <w:tc>
          <w:tcPr>
            <w:tcW w:w="758" w:type="dxa"/>
            <w:vAlign w:val="center"/>
          </w:tcPr>
          <w:p w14:paraId="204EE475" w14:textId="77F5617D" w:rsidR="00AC01CC" w:rsidRPr="00AC01CC" w:rsidRDefault="00AC01CC" w:rsidP="00AC01CC">
            <w:pPr>
              <w:jc w:val="right"/>
              <w:rPr>
                <w:color w:val="000000"/>
                <w:sz w:val="16"/>
                <w:szCs w:val="16"/>
                <w:lang w:eastAsia="en-US"/>
              </w:rPr>
            </w:pPr>
            <w:r>
              <w:rPr>
                <w:color w:val="000000"/>
                <w:sz w:val="16"/>
                <w:szCs w:val="16"/>
                <w:lang w:eastAsia="en-US"/>
              </w:rPr>
              <w:t>3,9</w:t>
            </w:r>
          </w:p>
        </w:tc>
        <w:tc>
          <w:tcPr>
            <w:tcW w:w="762" w:type="dxa"/>
            <w:shd w:val="clear" w:color="auto" w:fill="auto"/>
            <w:vAlign w:val="center"/>
          </w:tcPr>
          <w:p w14:paraId="0D9F238A" w14:textId="1BA9F205" w:rsidR="00AC01CC" w:rsidRPr="00AC01CC" w:rsidRDefault="00AC01CC" w:rsidP="00AC01CC">
            <w:pPr>
              <w:jc w:val="right"/>
              <w:rPr>
                <w:color w:val="000000"/>
                <w:sz w:val="16"/>
                <w:szCs w:val="16"/>
                <w:lang w:eastAsia="en-US"/>
              </w:rPr>
            </w:pPr>
            <w:r>
              <w:rPr>
                <w:color w:val="000000"/>
                <w:sz w:val="16"/>
                <w:szCs w:val="16"/>
                <w:lang w:eastAsia="en-US"/>
              </w:rPr>
              <w:t>3,3</w:t>
            </w:r>
          </w:p>
        </w:tc>
      </w:tr>
      <w:tr w:rsidR="00AC01CC" w:rsidRPr="00F05515" w14:paraId="506DD877" w14:textId="77777777" w:rsidTr="00AC01CC">
        <w:trPr>
          <w:trHeight w:val="308"/>
          <w:jc w:val="center"/>
        </w:trPr>
        <w:tc>
          <w:tcPr>
            <w:tcW w:w="3953" w:type="dxa"/>
            <w:gridSpan w:val="2"/>
            <w:shd w:val="clear" w:color="auto" w:fill="auto"/>
            <w:noWrap/>
            <w:vAlign w:val="center"/>
            <w:hideMark/>
          </w:tcPr>
          <w:p w14:paraId="37935D69" w14:textId="77777777" w:rsidR="00AC01CC" w:rsidRPr="00AC01CC" w:rsidRDefault="00AC01CC" w:rsidP="00AC01CC">
            <w:pPr>
              <w:rPr>
                <w:color w:val="000000"/>
                <w:sz w:val="16"/>
                <w:szCs w:val="16"/>
                <w:lang w:eastAsia="en-US"/>
              </w:rPr>
            </w:pPr>
            <w:r w:rsidRPr="00AC01CC">
              <w:rPr>
                <w:color w:val="000000"/>
                <w:sz w:val="16"/>
                <w:szCs w:val="16"/>
                <w:lang w:eastAsia="en-US"/>
              </w:rPr>
              <w:t>Zamestnanosť (VZPS), rast</w:t>
            </w:r>
          </w:p>
        </w:tc>
        <w:tc>
          <w:tcPr>
            <w:tcW w:w="747" w:type="dxa"/>
            <w:shd w:val="clear" w:color="auto" w:fill="auto"/>
            <w:noWrap/>
            <w:vAlign w:val="center"/>
            <w:hideMark/>
          </w:tcPr>
          <w:p w14:paraId="2B73686D" w14:textId="29849E5D" w:rsidR="00AC01CC" w:rsidRPr="00AC01CC" w:rsidRDefault="004A62ED" w:rsidP="00AC01CC">
            <w:pPr>
              <w:jc w:val="right"/>
              <w:rPr>
                <w:color w:val="000000"/>
                <w:sz w:val="16"/>
                <w:szCs w:val="16"/>
                <w:lang w:eastAsia="en-US"/>
              </w:rPr>
            </w:pPr>
            <w:r w:rsidRPr="000B4E42">
              <w:rPr>
                <w:color w:val="000000"/>
                <w:sz w:val="16"/>
                <w:szCs w:val="16"/>
                <w:lang w:eastAsia="en-US"/>
              </w:rPr>
              <w:t>2,6</w:t>
            </w:r>
          </w:p>
        </w:tc>
        <w:tc>
          <w:tcPr>
            <w:tcW w:w="749" w:type="dxa"/>
            <w:shd w:val="clear" w:color="auto" w:fill="auto"/>
            <w:noWrap/>
            <w:vAlign w:val="center"/>
            <w:hideMark/>
          </w:tcPr>
          <w:p w14:paraId="0579EAED" w14:textId="4DCA2958" w:rsidR="00AC01CC" w:rsidRPr="000B4E42" w:rsidRDefault="00AC01CC" w:rsidP="00AC01CC">
            <w:pPr>
              <w:jc w:val="right"/>
              <w:rPr>
                <w:color w:val="000000"/>
                <w:sz w:val="16"/>
                <w:szCs w:val="16"/>
                <w:lang w:eastAsia="en-US"/>
              </w:rPr>
            </w:pPr>
            <w:r w:rsidRPr="000B4E42">
              <w:rPr>
                <w:color w:val="000000"/>
                <w:sz w:val="16"/>
                <w:szCs w:val="16"/>
                <w:lang w:eastAsia="en-US"/>
              </w:rPr>
              <w:t>2,</w:t>
            </w:r>
            <w:r w:rsidR="004A62ED" w:rsidRPr="000B4E42">
              <w:rPr>
                <w:color w:val="000000"/>
                <w:sz w:val="16"/>
                <w:szCs w:val="16"/>
                <w:lang w:eastAsia="en-US"/>
              </w:rPr>
              <w:t>8</w:t>
            </w:r>
          </w:p>
        </w:tc>
        <w:tc>
          <w:tcPr>
            <w:tcW w:w="739" w:type="dxa"/>
            <w:shd w:val="clear" w:color="auto" w:fill="auto"/>
            <w:noWrap/>
            <w:vAlign w:val="center"/>
          </w:tcPr>
          <w:p w14:paraId="31364AF5" w14:textId="3DDC1704" w:rsidR="00AC01CC" w:rsidRPr="00AC01CC" w:rsidRDefault="00AC01CC" w:rsidP="00AC01CC">
            <w:pPr>
              <w:jc w:val="right"/>
              <w:rPr>
                <w:color w:val="000000"/>
                <w:sz w:val="16"/>
                <w:szCs w:val="16"/>
                <w:lang w:eastAsia="en-US"/>
              </w:rPr>
            </w:pPr>
            <w:r>
              <w:rPr>
                <w:color w:val="000000"/>
                <w:sz w:val="16"/>
                <w:szCs w:val="16"/>
                <w:lang w:eastAsia="en-US"/>
              </w:rPr>
              <w:t>1,</w:t>
            </w:r>
            <w:r w:rsidR="004A62ED">
              <w:rPr>
                <w:color w:val="000000"/>
                <w:sz w:val="16"/>
                <w:szCs w:val="16"/>
                <w:lang w:eastAsia="en-US"/>
              </w:rPr>
              <w:t>5</w:t>
            </w:r>
          </w:p>
        </w:tc>
        <w:tc>
          <w:tcPr>
            <w:tcW w:w="750" w:type="dxa"/>
            <w:shd w:val="clear" w:color="auto" w:fill="auto"/>
            <w:noWrap/>
            <w:vAlign w:val="center"/>
          </w:tcPr>
          <w:p w14:paraId="0AE67013" w14:textId="24E18FEA" w:rsidR="00AC01CC" w:rsidRPr="00AC01CC" w:rsidRDefault="00AC01CC" w:rsidP="00AC01CC">
            <w:pPr>
              <w:jc w:val="right"/>
              <w:rPr>
                <w:color w:val="000000"/>
                <w:sz w:val="16"/>
                <w:szCs w:val="16"/>
                <w:lang w:eastAsia="en-US"/>
              </w:rPr>
            </w:pPr>
            <w:r>
              <w:rPr>
                <w:color w:val="000000"/>
                <w:sz w:val="16"/>
                <w:szCs w:val="16"/>
                <w:lang w:eastAsia="en-US"/>
              </w:rPr>
              <w:t>1,</w:t>
            </w:r>
            <w:r w:rsidR="004A62ED">
              <w:rPr>
                <w:color w:val="000000"/>
                <w:sz w:val="16"/>
                <w:szCs w:val="16"/>
                <w:lang w:eastAsia="en-US"/>
              </w:rPr>
              <w:t>0</w:t>
            </w:r>
          </w:p>
        </w:tc>
        <w:tc>
          <w:tcPr>
            <w:tcW w:w="732" w:type="dxa"/>
            <w:shd w:val="clear" w:color="auto" w:fill="auto"/>
            <w:noWrap/>
            <w:vAlign w:val="center"/>
          </w:tcPr>
          <w:p w14:paraId="45663EED" w14:textId="0AD064A4" w:rsidR="00AC01CC" w:rsidRPr="00AC01CC" w:rsidRDefault="004A62ED" w:rsidP="00AC01CC">
            <w:pPr>
              <w:jc w:val="right"/>
              <w:rPr>
                <w:color w:val="000000"/>
                <w:sz w:val="16"/>
                <w:szCs w:val="16"/>
                <w:lang w:eastAsia="en-US"/>
              </w:rPr>
            </w:pPr>
            <w:r>
              <w:rPr>
                <w:color w:val="000000"/>
                <w:sz w:val="16"/>
                <w:szCs w:val="16"/>
                <w:lang w:eastAsia="en-US"/>
              </w:rPr>
              <w:t>0,6</w:t>
            </w:r>
          </w:p>
        </w:tc>
        <w:tc>
          <w:tcPr>
            <w:tcW w:w="758" w:type="dxa"/>
            <w:vAlign w:val="center"/>
          </w:tcPr>
          <w:p w14:paraId="7E88E282" w14:textId="7650BA54" w:rsidR="00AC01CC" w:rsidRPr="00AC01CC" w:rsidRDefault="00AC01CC" w:rsidP="00AC01CC">
            <w:pPr>
              <w:jc w:val="right"/>
              <w:rPr>
                <w:color w:val="000000"/>
                <w:sz w:val="16"/>
                <w:szCs w:val="16"/>
                <w:lang w:eastAsia="en-US"/>
              </w:rPr>
            </w:pPr>
            <w:r>
              <w:rPr>
                <w:color w:val="000000"/>
                <w:sz w:val="16"/>
                <w:szCs w:val="16"/>
                <w:lang w:eastAsia="en-US"/>
              </w:rPr>
              <w:t>0,</w:t>
            </w:r>
            <w:r w:rsidR="004A62ED">
              <w:rPr>
                <w:color w:val="000000"/>
                <w:sz w:val="16"/>
                <w:szCs w:val="16"/>
                <w:lang w:eastAsia="en-US"/>
              </w:rPr>
              <w:t>5</w:t>
            </w:r>
          </w:p>
        </w:tc>
        <w:tc>
          <w:tcPr>
            <w:tcW w:w="762" w:type="dxa"/>
            <w:shd w:val="clear" w:color="auto" w:fill="auto"/>
            <w:vAlign w:val="center"/>
          </w:tcPr>
          <w:p w14:paraId="6466A251" w14:textId="03C53418" w:rsidR="00AC01CC" w:rsidRPr="00AC01CC" w:rsidRDefault="00AC01CC" w:rsidP="00AC01CC">
            <w:pPr>
              <w:jc w:val="right"/>
              <w:rPr>
                <w:color w:val="000000"/>
                <w:sz w:val="16"/>
                <w:szCs w:val="16"/>
                <w:lang w:eastAsia="en-US"/>
              </w:rPr>
            </w:pPr>
            <w:r>
              <w:rPr>
                <w:color w:val="000000"/>
                <w:sz w:val="16"/>
                <w:szCs w:val="16"/>
                <w:lang w:eastAsia="en-US"/>
              </w:rPr>
              <w:t>0,</w:t>
            </w:r>
            <w:r w:rsidR="004A62ED">
              <w:rPr>
                <w:color w:val="000000"/>
                <w:sz w:val="16"/>
                <w:szCs w:val="16"/>
                <w:lang w:eastAsia="en-US"/>
              </w:rPr>
              <w:t>3</w:t>
            </w:r>
          </w:p>
        </w:tc>
      </w:tr>
      <w:tr w:rsidR="00AC01CC" w:rsidRPr="00F05515" w14:paraId="4039987C" w14:textId="77777777" w:rsidTr="00AC01CC">
        <w:trPr>
          <w:trHeight w:val="308"/>
          <w:jc w:val="center"/>
        </w:trPr>
        <w:tc>
          <w:tcPr>
            <w:tcW w:w="3953" w:type="dxa"/>
            <w:gridSpan w:val="2"/>
            <w:shd w:val="clear" w:color="auto" w:fill="auto"/>
            <w:noWrap/>
            <w:vAlign w:val="center"/>
            <w:hideMark/>
          </w:tcPr>
          <w:p w14:paraId="21161B4F" w14:textId="77777777" w:rsidR="00AC01CC" w:rsidRPr="00AC01CC" w:rsidRDefault="00AC01CC" w:rsidP="00AC01CC">
            <w:pPr>
              <w:rPr>
                <w:color w:val="000000"/>
                <w:sz w:val="16"/>
                <w:szCs w:val="16"/>
                <w:lang w:eastAsia="en-US"/>
              </w:rPr>
            </w:pPr>
            <w:r w:rsidRPr="00AC01CC">
              <w:rPr>
                <w:color w:val="000000"/>
                <w:sz w:val="16"/>
                <w:szCs w:val="16"/>
                <w:lang w:eastAsia="en-US"/>
              </w:rPr>
              <w:t>Miera nezamestnanosti (VZPS)</w:t>
            </w:r>
          </w:p>
        </w:tc>
        <w:tc>
          <w:tcPr>
            <w:tcW w:w="747" w:type="dxa"/>
            <w:shd w:val="clear" w:color="auto" w:fill="auto"/>
            <w:noWrap/>
            <w:vAlign w:val="center"/>
            <w:hideMark/>
          </w:tcPr>
          <w:p w14:paraId="68226383" w14:textId="754F739C" w:rsidR="00AC01CC" w:rsidRPr="00AC01CC" w:rsidRDefault="00AC01CC" w:rsidP="00AC01CC">
            <w:pPr>
              <w:jc w:val="right"/>
              <w:rPr>
                <w:color w:val="000000"/>
                <w:sz w:val="16"/>
                <w:szCs w:val="16"/>
                <w:lang w:eastAsia="en-US"/>
              </w:rPr>
            </w:pPr>
            <w:r w:rsidRPr="00AC01CC">
              <w:rPr>
                <w:color w:val="000000"/>
                <w:sz w:val="16"/>
                <w:szCs w:val="16"/>
                <w:lang w:eastAsia="en-US"/>
              </w:rPr>
              <w:t>11,5</w:t>
            </w:r>
          </w:p>
        </w:tc>
        <w:tc>
          <w:tcPr>
            <w:tcW w:w="749" w:type="dxa"/>
            <w:shd w:val="clear" w:color="auto" w:fill="auto"/>
            <w:noWrap/>
            <w:vAlign w:val="center"/>
            <w:hideMark/>
          </w:tcPr>
          <w:p w14:paraId="0A50932D" w14:textId="2E84C7AB" w:rsidR="00AC01CC" w:rsidRPr="00AC01CC" w:rsidRDefault="00AC01CC" w:rsidP="00AC01CC">
            <w:pPr>
              <w:jc w:val="right"/>
              <w:rPr>
                <w:color w:val="000000"/>
                <w:sz w:val="16"/>
                <w:szCs w:val="16"/>
                <w:lang w:eastAsia="en-US"/>
              </w:rPr>
            </w:pPr>
            <w:r w:rsidRPr="00AC01CC">
              <w:rPr>
                <w:color w:val="000000"/>
                <w:sz w:val="16"/>
                <w:szCs w:val="16"/>
                <w:lang w:eastAsia="en-US"/>
              </w:rPr>
              <w:t>9,6</w:t>
            </w:r>
          </w:p>
        </w:tc>
        <w:tc>
          <w:tcPr>
            <w:tcW w:w="739" w:type="dxa"/>
            <w:shd w:val="clear" w:color="auto" w:fill="auto"/>
            <w:noWrap/>
            <w:vAlign w:val="center"/>
          </w:tcPr>
          <w:p w14:paraId="502ADF1E" w14:textId="384114F8" w:rsidR="00AC01CC" w:rsidRPr="00AC01CC" w:rsidRDefault="00AC01CC" w:rsidP="00AC01CC">
            <w:pPr>
              <w:jc w:val="right"/>
              <w:rPr>
                <w:color w:val="000000"/>
                <w:sz w:val="16"/>
                <w:szCs w:val="16"/>
                <w:lang w:eastAsia="en-US"/>
              </w:rPr>
            </w:pPr>
            <w:r>
              <w:rPr>
                <w:color w:val="000000"/>
                <w:sz w:val="16"/>
                <w:szCs w:val="16"/>
                <w:lang w:eastAsia="en-US"/>
              </w:rPr>
              <w:t>8,1</w:t>
            </w:r>
          </w:p>
        </w:tc>
        <w:tc>
          <w:tcPr>
            <w:tcW w:w="750" w:type="dxa"/>
            <w:shd w:val="clear" w:color="auto" w:fill="auto"/>
            <w:noWrap/>
            <w:vAlign w:val="center"/>
          </w:tcPr>
          <w:p w14:paraId="17BE5D77" w14:textId="33CE3414" w:rsidR="00AC01CC" w:rsidRPr="00AC01CC" w:rsidRDefault="00AC01CC" w:rsidP="00AC01CC">
            <w:pPr>
              <w:jc w:val="right"/>
              <w:rPr>
                <w:color w:val="000000"/>
                <w:sz w:val="16"/>
                <w:szCs w:val="16"/>
                <w:lang w:eastAsia="en-US"/>
              </w:rPr>
            </w:pPr>
            <w:r>
              <w:rPr>
                <w:color w:val="000000"/>
                <w:sz w:val="16"/>
                <w:szCs w:val="16"/>
                <w:lang w:eastAsia="en-US"/>
              </w:rPr>
              <w:t>6,9</w:t>
            </w:r>
          </w:p>
        </w:tc>
        <w:tc>
          <w:tcPr>
            <w:tcW w:w="732" w:type="dxa"/>
            <w:shd w:val="clear" w:color="auto" w:fill="auto"/>
            <w:noWrap/>
            <w:vAlign w:val="center"/>
          </w:tcPr>
          <w:p w14:paraId="7D14505B" w14:textId="08B0AFC5" w:rsidR="00AC01CC" w:rsidRPr="00AC01CC" w:rsidRDefault="00AC01CC" w:rsidP="00AC01CC">
            <w:pPr>
              <w:jc w:val="right"/>
              <w:rPr>
                <w:color w:val="000000"/>
                <w:sz w:val="16"/>
                <w:szCs w:val="16"/>
                <w:lang w:eastAsia="en-US"/>
              </w:rPr>
            </w:pPr>
            <w:r>
              <w:rPr>
                <w:color w:val="000000"/>
                <w:sz w:val="16"/>
                <w:szCs w:val="16"/>
                <w:lang w:eastAsia="en-US"/>
              </w:rPr>
              <w:t>6,4</w:t>
            </w:r>
          </w:p>
        </w:tc>
        <w:tc>
          <w:tcPr>
            <w:tcW w:w="758" w:type="dxa"/>
            <w:vAlign w:val="center"/>
          </w:tcPr>
          <w:p w14:paraId="0F5BA0C2" w14:textId="7D53DD7F" w:rsidR="00AC01CC" w:rsidRPr="00AC01CC" w:rsidRDefault="00AC01CC" w:rsidP="00AC01CC">
            <w:pPr>
              <w:jc w:val="right"/>
              <w:rPr>
                <w:color w:val="000000"/>
                <w:sz w:val="16"/>
                <w:szCs w:val="16"/>
                <w:lang w:eastAsia="en-US"/>
              </w:rPr>
            </w:pPr>
            <w:r>
              <w:rPr>
                <w:color w:val="000000"/>
                <w:sz w:val="16"/>
                <w:szCs w:val="16"/>
                <w:lang w:eastAsia="en-US"/>
              </w:rPr>
              <w:t>5,9</w:t>
            </w:r>
          </w:p>
        </w:tc>
        <w:tc>
          <w:tcPr>
            <w:tcW w:w="762" w:type="dxa"/>
            <w:shd w:val="clear" w:color="auto" w:fill="auto"/>
            <w:vAlign w:val="center"/>
          </w:tcPr>
          <w:p w14:paraId="4932E2F4" w14:textId="1565558A" w:rsidR="00AC01CC" w:rsidRPr="00AC01CC" w:rsidRDefault="00AC01CC" w:rsidP="00AC01CC">
            <w:pPr>
              <w:jc w:val="right"/>
              <w:rPr>
                <w:color w:val="000000"/>
                <w:sz w:val="16"/>
                <w:szCs w:val="16"/>
                <w:lang w:eastAsia="en-US"/>
              </w:rPr>
            </w:pPr>
            <w:r>
              <w:rPr>
                <w:color w:val="000000"/>
                <w:sz w:val="16"/>
                <w:szCs w:val="16"/>
                <w:lang w:eastAsia="en-US"/>
              </w:rPr>
              <w:t>5,7</w:t>
            </w:r>
          </w:p>
        </w:tc>
      </w:tr>
      <w:tr w:rsidR="00AC01CC" w:rsidRPr="00F05515" w14:paraId="59F7BA25" w14:textId="77777777" w:rsidTr="00AC01CC">
        <w:trPr>
          <w:trHeight w:val="308"/>
          <w:jc w:val="center"/>
        </w:trPr>
        <w:tc>
          <w:tcPr>
            <w:tcW w:w="3953" w:type="dxa"/>
            <w:gridSpan w:val="2"/>
            <w:shd w:val="clear" w:color="auto" w:fill="auto"/>
            <w:noWrap/>
            <w:vAlign w:val="center"/>
            <w:hideMark/>
          </w:tcPr>
          <w:p w14:paraId="7C9BB1D2" w14:textId="77777777" w:rsidR="00AC01CC" w:rsidRPr="00AC01CC" w:rsidRDefault="00AC01CC" w:rsidP="00AC01CC">
            <w:pPr>
              <w:rPr>
                <w:color w:val="000000"/>
                <w:sz w:val="16"/>
                <w:szCs w:val="16"/>
                <w:lang w:eastAsia="en-US"/>
              </w:rPr>
            </w:pPr>
            <w:r w:rsidRPr="00AC01CC">
              <w:rPr>
                <w:color w:val="000000"/>
                <w:sz w:val="16"/>
                <w:szCs w:val="16"/>
                <w:lang w:eastAsia="en-US"/>
              </w:rPr>
              <w:t>Reálna mzda, rast</w:t>
            </w:r>
          </w:p>
        </w:tc>
        <w:tc>
          <w:tcPr>
            <w:tcW w:w="747" w:type="dxa"/>
            <w:shd w:val="clear" w:color="auto" w:fill="auto"/>
            <w:noWrap/>
            <w:vAlign w:val="center"/>
            <w:hideMark/>
          </w:tcPr>
          <w:p w14:paraId="7C01D140" w14:textId="6A9AB466" w:rsidR="00AC01CC" w:rsidRPr="00AC01CC" w:rsidRDefault="00AC01CC" w:rsidP="00AC01CC">
            <w:pPr>
              <w:jc w:val="right"/>
              <w:rPr>
                <w:color w:val="000000"/>
                <w:sz w:val="16"/>
                <w:szCs w:val="16"/>
                <w:lang w:eastAsia="en-US"/>
              </w:rPr>
            </w:pPr>
            <w:r w:rsidRPr="00AC01CC">
              <w:rPr>
                <w:color w:val="000000"/>
                <w:sz w:val="16"/>
                <w:szCs w:val="16"/>
                <w:lang w:eastAsia="en-US"/>
              </w:rPr>
              <w:t>3,3</w:t>
            </w:r>
          </w:p>
        </w:tc>
        <w:tc>
          <w:tcPr>
            <w:tcW w:w="749" w:type="dxa"/>
            <w:shd w:val="clear" w:color="auto" w:fill="auto"/>
            <w:noWrap/>
            <w:vAlign w:val="center"/>
            <w:hideMark/>
          </w:tcPr>
          <w:p w14:paraId="6CC59024" w14:textId="302552E4" w:rsidR="00AC01CC" w:rsidRPr="00AC01CC" w:rsidRDefault="00AC01CC" w:rsidP="00AC01CC">
            <w:pPr>
              <w:jc w:val="right"/>
              <w:rPr>
                <w:color w:val="000000"/>
                <w:sz w:val="16"/>
                <w:szCs w:val="16"/>
                <w:lang w:eastAsia="en-US"/>
              </w:rPr>
            </w:pPr>
            <w:r w:rsidRPr="00AC01CC">
              <w:rPr>
                <w:color w:val="000000"/>
                <w:sz w:val="16"/>
                <w:szCs w:val="16"/>
                <w:lang w:eastAsia="en-US"/>
              </w:rPr>
              <w:t>3,8</w:t>
            </w:r>
          </w:p>
        </w:tc>
        <w:tc>
          <w:tcPr>
            <w:tcW w:w="739" w:type="dxa"/>
            <w:shd w:val="clear" w:color="auto" w:fill="auto"/>
            <w:noWrap/>
            <w:vAlign w:val="center"/>
          </w:tcPr>
          <w:p w14:paraId="723793B6" w14:textId="6B8F411C" w:rsidR="00AC01CC" w:rsidRPr="00AC01CC" w:rsidRDefault="00AC01CC" w:rsidP="00AC01CC">
            <w:pPr>
              <w:jc w:val="right"/>
              <w:rPr>
                <w:color w:val="000000"/>
                <w:sz w:val="16"/>
                <w:szCs w:val="16"/>
                <w:lang w:eastAsia="en-US"/>
              </w:rPr>
            </w:pPr>
            <w:r>
              <w:rPr>
                <w:color w:val="000000"/>
                <w:sz w:val="16"/>
                <w:szCs w:val="16"/>
                <w:lang w:eastAsia="en-US"/>
              </w:rPr>
              <w:t>3,3</w:t>
            </w:r>
          </w:p>
        </w:tc>
        <w:tc>
          <w:tcPr>
            <w:tcW w:w="750" w:type="dxa"/>
            <w:shd w:val="clear" w:color="auto" w:fill="auto"/>
            <w:noWrap/>
            <w:vAlign w:val="center"/>
          </w:tcPr>
          <w:p w14:paraId="592A96D7" w14:textId="71C1AEED" w:rsidR="00AC01CC" w:rsidRPr="00AC01CC" w:rsidRDefault="00AC01CC" w:rsidP="00AC01CC">
            <w:pPr>
              <w:jc w:val="right"/>
              <w:rPr>
                <w:color w:val="000000"/>
                <w:sz w:val="16"/>
                <w:szCs w:val="16"/>
                <w:lang w:eastAsia="en-US"/>
              </w:rPr>
            </w:pPr>
            <w:r>
              <w:rPr>
                <w:color w:val="000000"/>
                <w:sz w:val="16"/>
                <w:szCs w:val="16"/>
                <w:lang w:eastAsia="en-US"/>
              </w:rPr>
              <w:t>3,6</w:t>
            </w:r>
          </w:p>
        </w:tc>
        <w:tc>
          <w:tcPr>
            <w:tcW w:w="732" w:type="dxa"/>
            <w:shd w:val="clear" w:color="auto" w:fill="auto"/>
            <w:noWrap/>
            <w:vAlign w:val="center"/>
          </w:tcPr>
          <w:p w14:paraId="51E99B55" w14:textId="2E60BFB2" w:rsidR="00AC01CC" w:rsidRPr="00AC01CC" w:rsidRDefault="00AC01CC" w:rsidP="00AC01CC">
            <w:pPr>
              <w:jc w:val="right"/>
              <w:rPr>
                <w:color w:val="000000"/>
                <w:sz w:val="16"/>
                <w:szCs w:val="16"/>
                <w:lang w:eastAsia="en-US"/>
              </w:rPr>
            </w:pPr>
            <w:r>
              <w:rPr>
                <w:color w:val="000000"/>
                <w:sz w:val="16"/>
                <w:szCs w:val="16"/>
                <w:lang w:eastAsia="en-US"/>
              </w:rPr>
              <w:t>3,7</w:t>
            </w:r>
          </w:p>
        </w:tc>
        <w:tc>
          <w:tcPr>
            <w:tcW w:w="758" w:type="dxa"/>
            <w:vAlign w:val="center"/>
          </w:tcPr>
          <w:p w14:paraId="09F8F4EF" w14:textId="50A6E468" w:rsidR="00AC01CC" w:rsidRPr="00AC01CC" w:rsidRDefault="00AC01CC" w:rsidP="00AC01CC">
            <w:pPr>
              <w:jc w:val="right"/>
              <w:rPr>
                <w:color w:val="000000"/>
                <w:sz w:val="16"/>
                <w:szCs w:val="16"/>
                <w:lang w:eastAsia="en-US"/>
              </w:rPr>
            </w:pPr>
            <w:r>
              <w:rPr>
                <w:color w:val="000000"/>
                <w:sz w:val="16"/>
                <w:szCs w:val="16"/>
                <w:lang w:eastAsia="en-US"/>
              </w:rPr>
              <w:t>3,6</w:t>
            </w:r>
          </w:p>
        </w:tc>
        <w:tc>
          <w:tcPr>
            <w:tcW w:w="762" w:type="dxa"/>
            <w:shd w:val="clear" w:color="auto" w:fill="auto"/>
            <w:vAlign w:val="center"/>
          </w:tcPr>
          <w:p w14:paraId="2ED91B44" w14:textId="2D955455" w:rsidR="00AC01CC" w:rsidRPr="00AC01CC" w:rsidRDefault="00AC01CC" w:rsidP="00AC01CC">
            <w:pPr>
              <w:jc w:val="right"/>
              <w:rPr>
                <w:color w:val="000000"/>
                <w:sz w:val="16"/>
                <w:szCs w:val="16"/>
                <w:lang w:eastAsia="en-US"/>
              </w:rPr>
            </w:pPr>
            <w:r>
              <w:rPr>
                <w:color w:val="000000"/>
                <w:sz w:val="16"/>
                <w:szCs w:val="16"/>
                <w:lang w:eastAsia="en-US"/>
              </w:rPr>
              <w:t>2,9</w:t>
            </w:r>
          </w:p>
        </w:tc>
      </w:tr>
      <w:tr w:rsidR="00AC01CC" w:rsidRPr="00F05515" w14:paraId="512DAD41" w14:textId="77777777" w:rsidTr="00AC01CC">
        <w:trPr>
          <w:trHeight w:val="308"/>
          <w:jc w:val="center"/>
        </w:trPr>
        <w:tc>
          <w:tcPr>
            <w:tcW w:w="3953" w:type="dxa"/>
            <w:gridSpan w:val="2"/>
            <w:shd w:val="clear" w:color="auto" w:fill="auto"/>
            <w:noWrap/>
            <w:vAlign w:val="center"/>
            <w:hideMark/>
          </w:tcPr>
          <w:p w14:paraId="0FAD115C" w14:textId="77777777" w:rsidR="00AC01CC" w:rsidRPr="00AC01CC" w:rsidRDefault="00AC01CC" w:rsidP="00AC01CC">
            <w:pPr>
              <w:rPr>
                <w:color w:val="000000"/>
                <w:sz w:val="16"/>
                <w:szCs w:val="16"/>
                <w:lang w:eastAsia="en-US"/>
              </w:rPr>
            </w:pPr>
            <w:r w:rsidRPr="00AC01CC">
              <w:rPr>
                <w:color w:val="000000"/>
                <w:sz w:val="16"/>
                <w:szCs w:val="16"/>
                <w:lang w:eastAsia="en-US"/>
              </w:rPr>
              <w:t>Inflácia, priemerná  ročná; HICP</w:t>
            </w:r>
          </w:p>
        </w:tc>
        <w:tc>
          <w:tcPr>
            <w:tcW w:w="747" w:type="dxa"/>
            <w:shd w:val="clear" w:color="auto" w:fill="auto"/>
            <w:noWrap/>
            <w:vAlign w:val="center"/>
            <w:hideMark/>
          </w:tcPr>
          <w:p w14:paraId="7D7FA9D2" w14:textId="5D5DB0D8" w:rsidR="00AC01CC" w:rsidRPr="00AC01CC" w:rsidRDefault="00AC01CC" w:rsidP="00AC01CC">
            <w:pPr>
              <w:jc w:val="right"/>
              <w:rPr>
                <w:color w:val="000000"/>
                <w:sz w:val="16"/>
                <w:szCs w:val="16"/>
                <w:lang w:eastAsia="en-US"/>
              </w:rPr>
            </w:pPr>
            <w:r w:rsidRPr="00AC01CC">
              <w:rPr>
                <w:color w:val="000000"/>
                <w:sz w:val="16"/>
                <w:szCs w:val="16"/>
                <w:lang w:eastAsia="en-US"/>
              </w:rPr>
              <w:t>-0,3</w:t>
            </w:r>
          </w:p>
        </w:tc>
        <w:tc>
          <w:tcPr>
            <w:tcW w:w="749" w:type="dxa"/>
            <w:shd w:val="clear" w:color="auto" w:fill="auto"/>
            <w:noWrap/>
            <w:vAlign w:val="center"/>
            <w:hideMark/>
          </w:tcPr>
          <w:p w14:paraId="25A2CE5C" w14:textId="7D235961" w:rsidR="00AC01CC" w:rsidRPr="00AC01CC" w:rsidRDefault="00AC01CC" w:rsidP="00AC01CC">
            <w:pPr>
              <w:jc w:val="right"/>
              <w:rPr>
                <w:color w:val="000000"/>
                <w:sz w:val="16"/>
                <w:szCs w:val="16"/>
                <w:lang w:eastAsia="en-US"/>
              </w:rPr>
            </w:pPr>
            <w:r w:rsidRPr="00AC01CC">
              <w:rPr>
                <w:color w:val="000000"/>
                <w:sz w:val="16"/>
                <w:szCs w:val="16"/>
                <w:lang w:eastAsia="en-US"/>
              </w:rPr>
              <w:t>-0,5</w:t>
            </w:r>
          </w:p>
        </w:tc>
        <w:tc>
          <w:tcPr>
            <w:tcW w:w="739" w:type="dxa"/>
            <w:shd w:val="clear" w:color="auto" w:fill="auto"/>
            <w:noWrap/>
            <w:vAlign w:val="center"/>
          </w:tcPr>
          <w:p w14:paraId="71D356A4" w14:textId="54D0FF98" w:rsidR="00AC01CC" w:rsidRPr="00AC01CC" w:rsidRDefault="00AC01CC" w:rsidP="00AC01CC">
            <w:pPr>
              <w:jc w:val="right"/>
              <w:rPr>
                <w:color w:val="000000"/>
                <w:sz w:val="16"/>
                <w:szCs w:val="16"/>
                <w:lang w:eastAsia="en-US"/>
              </w:rPr>
            </w:pPr>
            <w:r>
              <w:rPr>
                <w:color w:val="000000"/>
                <w:sz w:val="16"/>
                <w:szCs w:val="16"/>
                <w:lang w:eastAsia="en-US"/>
              </w:rPr>
              <w:t>1,3</w:t>
            </w:r>
          </w:p>
        </w:tc>
        <w:tc>
          <w:tcPr>
            <w:tcW w:w="750" w:type="dxa"/>
            <w:shd w:val="clear" w:color="auto" w:fill="auto"/>
            <w:noWrap/>
            <w:vAlign w:val="center"/>
          </w:tcPr>
          <w:p w14:paraId="53AFCCC2" w14:textId="70EA4554" w:rsidR="00AC01CC" w:rsidRPr="00AC01CC" w:rsidRDefault="00AC01CC" w:rsidP="00AC01CC">
            <w:pPr>
              <w:jc w:val="right"/>
              <w:rPr>
                <w:color w:val="000000"/>
                <w:sz w:val="16"/>
                <w:szCs w:val="16"/>
                <w:lang w:eastAsia="en-US"/>
              </w:rPr>
            </w:pPr>
            <w:r>
              <w:rPr>
                <w:color w:val="000000"/>
                <w:sz w:val="16"/>
                <w:szCs w:val="16"/>
                <w:lang w:eastAsia="en-US"/>
              </w:rPr>
              <w:t>2,5</w:t>
            </w:r>
          </w:p>
        </w:tc>
        <w:tc>
          <w:tcPr>
            <w:tcW w:w="732" w:type="dxa"/>
            <w:shd w:val="clear" w:color="auto" w:fill="auto"/>
            <w:noWrap/>
            <w:vAlign w:val="center"/>
          </w:tcPr>
          <w:p w14:paraId="1A4F1FFF" w14:textId="6672A2EC" w:rsidR="00AC01CC" w:rsidRPr="00AC01CC" w:rsidRDefault="00AC01CC" w:rsidP="00AC01CC">
            <w:pPr>
              <w:jc w:val="right"/>
              <w:rPr>
                <w:color w:val="000000"/>
                <w:sz w:val="16"/>
                <w:szCs w:val="16"/>
                <w:lang w:eastAsia="en-US"/>
              </w:rPr>
            </w:pPr>
            <w:r>
              <w:rPr>
                <w:color w:val="000000"/>
                <w:sz w:val="16"/>
                <w:szCs w:val="16"/>
                <w:lang w:eastAsia="en-US"/>
              </w:rPr>
              <w:t>2,5</w:t>
            </w:r>
          </w:p>
        </w:tc>
        <w:tc>
          <w:tcPr>
            <w:tcW w:w="758" w:type="dxa"/>
            <w:vAlign w:val="center"/>
          </w:tcPr>
          <w:p w14:paraId="688B343A" w14:textId="56E117DE" w:rsidR="00AC01CC" w:rsidRPr="00AC01CC" w:rsidRDefault="00AC01CC" w:rsidP="00AC01CC">
            <w:pPr>
              <w:jc w:val="right"/>
              <w:rPr>
                <w:color w:val="000000"/>
                <w:sz w:val="16"/>
                <w:szCs w:val="16"/>
                <w:lang w:eastAsia="en-US"/>
              </w:rPr>
            </w:pPr>
            <w:r>
              <w:rPr>
                <w:color w:val="000000"/>
                <w:sz w:val="16"/>
                <w:szCs w:val="16"/>
                <w:lang w:eastAsia="en-US"/>
              </w:rPr>
              <w:t>2,5</w:t>
            </w:r>
          </w:p>
        </w:tc>
        <w:tc>
          <w:tcPr>
            <w:tcW w:w="762" w:type="dxa"/>
            <w:shd w:val="clear" w:color="auto" w:fill="auto"/>
            <w:vAlign w:val="center"/>
          </w:tcPr>
          <w:p w14:paraId="3F5F96EC" w14:textId="145D7B37" w:rsidR="00AC01CC" w:rsidRPr="00AC01CC" w:rsidRDefault="00AC01CC" w:rsidP="00AC01CC">
            <w:pPr>
              <w:jc w:val="right"/>
              <w:rPr>
                <w:color w:val="000000"/>
                <w:sz w:val="16"/>
                <w:szCs w:val="16"/>
                <w:lang w:eastAsia="en-US"/>
              </w:rPr>
            </w:pPr>
            <w:r>
              <w:rPr>
                <w:color w:val="000000"/>
                <w:sz w:val="16"/>
                <w:szCs w:val="16"/>
                <w:lang w:eastAsia="en-US"/>
              </w:rPr>
              <w:t>2,5</w:t>
            </w:r>
          </w:p>
        </w:tc>
      </w:tr>
      <w:tr w:rsidR="00AC01CC" w:rsidRPr="00F05515" w14:paraId="7C0F7076" w14:textId="77777777" w:rsidTr="00AC01CC">
        <w:trPr>
          <w:trHeight w:val="308"/>
          <w:jc w:val="center"/>
        </w:trPr>
        <w:tc>
          <w:tcPr>
            <w:tcW w:w="3953" w:type="dxa"/>
            <w:gridSpan w:val="2"/>
            <w:tcBorders>
              <w:bottom w:val="single" w:sz="4" w:space="0" w:color="auto"/>
            </w:tcBorders>
            <w:shd w:val="clear" w:color="auto" w:fill="auto"/>
            <w:noWrap/>
            <w:vAlign w:val="center"/>
            <w:hideMark/>
          </w:tcPr>
          <w:p w14:paraId="605C886D" w14:textId="77777777" w:rsidR="00AC01CC" w:rsidRPr="00AC01CC" w:rsidRDefault="00AC01CC" w:rsidP="00AC01CC">
            <w:pPr>
              <w:rPr>
                <w:color w:val="000000"/>
                <w:sz w:val="16"/>
                <w:szCs w:val="16"/>
                <w:lang w:eastAsia="en-US"/>
              </w:rPr>
            </w:pPr>
            <w:r w:rsidRPr="00AC01CC">
              <w:rPr>
                <w:color w:val="000000"/>
                <w:sz w:val="16"/>
                <w:szCs w:val="16"/>
                <w:lang w:eastAsia="en-US"/>
              </w:rPr>
              <w:t>Bežný účet, podiel na HDP</w:t>
            </w:r>
          </w:p>
        </w:tc>
        <w:tc>
          <w:tcPr>
            <w:tcW w:w="747" w:type="dxa"/>
            <w:tcBorders>
              <w:bottom w:val="single" w:sz="4" w:space="0" w:color="auto"/>
            </w:tcBorders>
            <w:shd w:val="clear" w:color="auto" w:fill="auto"/>
            <w:noWrap/>
            <w:vAlign w:val="center"/>
            <w:hideMark/>
          </w:tcPr>
          <w:p w14:paraId="58EABA6D" w14:textId="6B8B082A" w:rsidR="00AC01CC" w:rsidRPr="00AC01CC" w:rsidRDefault="000B4E42" w:rsidP="00AC01CC">
            <w:pPr>
              <w:jc w:val="right"/>
              <w:rPr>
                <w:color w:val="000000"/>
                <w:sz w:val="16"/>
                <w:szCs w:val="16"/>
                <w:lang w:eastAsia="en-US"/>
              </w:rPr>
            </w:pPr>
            <w:r>
              <w:rPr>
                <w:color w:val="000000"/>
                <w:sz w:val="16"/>
                <w:szCs w:val="16"/>
                <w:lang w:eastAsia="en-US"/>
              </w:rPr>
              <w:t>-1,7</w:t>
            </w:r>
          </w:p>
        </w:tc>
        <w:tc>
          <w:tcPr>
            <w:tcW w:w="749" w:type="dxa"/>
            <w:tcBorders>
              <w:bottom w:val="single" w:sz="4" w:space="0" w:color="auto"/>
            </w:tcBorders>
            <w:shd w:val="clear" w:color="auto" w:fill="auto"/>
            <w:noWrap/>
            <w:vAlign w:val="center"/>
            <w:hideMark/>
          </w:tcPr>
          <w:p w14:paraId="3FFED8F7" w14:textId="33B37D9E" w:rsidR="00AC01CC" w:rsidRPr="000B4E42" w:rsidRDefault="000B4E42" w:rsidP="00AC01CC">
            <w:pPr>
              <w:jc w:val="right"/>
              <w:rPr>
                <w:color w:val="000000"/>
                <w:sz w:val="16"/>
                <w:szCs w:val="16"/>
                <w:lang w:eastAsia="en-US"/>
              </w:rPr>
            </w:pPr>
            <w:r w:rsidRPr="000B4E42">
              <w:rPr>
                <w:color w:val="000000"/>
                <w:sz w:val="16"/>
                <w:szCs w:val="16"/>
                <w:lang w:eastAsia="en-US"/>
              </w:rPr>
              <w:t>-1,5</w:t>
            </w:r>
          </w:p>
        </w:tc>
        <w:tc>
          <w:tcPr>
            <w:tcW w:w="739" w:type="dxa"/>
            <w:tcBorders>
              <w:bottom w:val="single" w:sz="4" w:space="0" w:color="auto"/>
            </w:tcBorders>
            <w:shd w:val="clear" w:color="auto" w:fill="auto"/>
            <w:noWrap/>
            <w:vAlign w:val="center"/>
          </w:tcPr>
          <w:p w14:paraId="2ED64EC1" w14:textId="614C9F1B" w:rsidR="00AC01CC" w:rsidRPr="00AC01CC" w:rsidRDefault="00AC01CC" w:rsidP="00AC01CC">
            <w:pPr>
              <w:jc w:val="right"/>
              <w:rPr>
                <w:color w:val="000000"/>
                <w:sz w:val="16"/>
                <w:szCs w:val="16"/>
                <w:lang w:eastAsia="en-US"/>
              </w:rPr>
            </w:pPr>
            <w:r>
              <w:rPr>
                <w:color w:val="000000"/>
                <w:sz w:val="16"/>
                <w:szCs w:val="16"/>
                <w:lang w:eastAsia="en-US"/>
              </w:rPr>
              <w:t>-2,1</w:t>
            </w:r>
          </w:p>
        </w:tc>
        <w:tc>
          <w:tcPr>
            <w:tcW w:w="750" w:type="dxa"/>
            <w:tcBorders>
              <w:bottom w:val="single" w:sz="4" w:space="0" w:color="auto"/>
            </w:tcBorders>
            <w:shd w:val="clear" w:color="auto" w:fill="auto"/>
            <w:noWrap/>
            <w:vAlign w:val="center"/>
          </w:tcPr>
          <w:p w14:paraId="6E97FF7A" w14:textId="5380BC81" w:rsidR="00AC01CC" w:rsidRPr="00AC01CC" w:rsidRDefault="00AC01CC" w:rsidP="00AC01CC">
            <w:pPr>
              <w:jc w:val="right"/>
              <w:rPr>
                <w:color w:val="000000"/>
                <w:sz w:val="16"/>
                <w:szCs w:val="16"/>
                <w:lang w:eastAsia="en-US"/>
              </w:rPr>
            </w:pPr>
            <w:r>
              <w:rPr>
                <w:color w:val="000000"/>
                <w:sz w:val="16"/>
                <w:szCs w:val="16"/>
                <w:lang w:eastAsia="en-US"/>
              </w:rPr>
              <w:t>-2,2</w:t>
            </w:r>
          </w:p>
        </w:tc>
        <w:tc>
          <w:tcPr>
            <w:tcW w:w="732" w:type="dxa"/>
            <w:tcBorders>
              <w:bottom w:val="single" w:sz="4" w:space="0" w:color="auto"/>
            </w:tcBorders>
            <w:shd w:val="clear" w:color="auto" w:fill="auto"/>
            <w:noWrap/>
            <w:vAlign w:val="center"/>
          </w:tcPr>
          <w:p w14:paraId="5830E275" w14:textId="0CCC77B5" w:rsidR="00AC01CC" w:rsidRPr="00AC01CC" w:rsidRDefault="00AC01CC" w:rsidP="00AC01CC">
            <w:pPr>
              <w:jc w:val="right"/>
              <w:rPr>
                <w:color w:val="000000"/>
                <w:sz w:val="16"/>
                <w:szCs w:val="16"/>
                <w:lang w:eastAsia="en-US"/>
              </w:rPr>
            </w:pPr>
            <w:r>
              <w:rPr>
                <w:color w:val="000000"/>
                <w:sz w:val="16"/>
                <w:szCs w:val="16"/>
                <w:lang w:eastAsia="en-US"/>
              </w:rPr>
              <w:t>-1,5</w:t>
            </w:r>
          </w:p>
        </w:tc>
        <w:tc>
          <w:tcPr>
            <w:tcW w:w="758" w:type="dxa"/>
            <w:tcBorders>
              <w:bottom w:val="single" w:sz="4" w:space="0" w:color="auto"/>
            </w:tcBorders>
            <w:vAlign w:val="center"/>
          </w:tcPr>
          <w:p w14:paraId="666C7526" w14:textId="1B19223D" w:rsidR="00AC01CC" w:rsidRPr="00AC01CC" w:rsidRDefault="00AC01CC" w:rsidP="00AC01CC">
            <w:pPr>
              <w:jc w:val="right"/>
              <w:rPr>
                <w:color w:val="000000"/>
                <w:sz w:val="16"/>
                <w:szCs w:val="16"/>
                <w:lang w:eastAsia="en-US"/>
              </w:rPr>
            </w:pPr>
            <w:r>
              <w:rPr>
                <w:color w:val="000000"/>
                <w:sz w:val="16"/>
                <w:szCs w:val="16"/>
                <w:lang w:eastAsia="en-US"/>
              </w:rPr>
              <w:t>-0,8</w:t>
            </w:r>
          </w:p>
        </w:tc>
        <w:tc>
          <w:tcPr>
            <w:tcW w:w="762" w:type="dxa"/>
            <w:tcBorders>
              <w:bottom w:val="single" w:sz="4" w:space="0" w:color="auto"/>
            </w:tcBorders>
            <w:shd w:val="clear" w:color="auto" w:fill="auto"/>
            <w:vAlign w:val="center"/>
          </w:tcPr>
          <w:p w14:paraId="69D71A0E" w14:textId="2E433C94" w:rsidR="00AC01CC" w:rsidRPr="00AC01CC" w:rsidRDefault="00AC01CC" w:rsidP="00AC01CC">
            <w:pPr>
              <w:jc w:val="right"/>
              <w:rPr>
                <w:color w:val="000000"/>
                <w:sz w:val="16"/>
                <w:szCs w:val="16"/>
                <w:lang w:eastAsia="en-US"/>
              </w:rPr>
            </w:pPr>
            <w:r>
              <w:rPr>
                <w:color w:val="000000"/>
                <w:sz w:val="16"/>
                <w:szCs w:val="16"/>
                <w:lang w:eastAsia="en-US"/>
              </w:rPr>
              <w:t>-0,4</w:t>
            </w:r>
          </w:p>
        </w:tc>
      </w:tr>
      <w:tr w:rsidR="00AC01CC" w:rsidRPr="00AC01CC" w14:paraId="10929B89" w14:textId="77777777" w:rsidTr="007B4261">
        <w:trPr>
          <w:trHeight w:val="308"/>
          <w:jc w:val="center"/>
        </w:trPr>
        <w:tc>
          <w:tcPr>
            <w:tcW w:w="758" w:type="dxa"/>
            <w:tcBorders>
              <w:top w:val="single" w:sz="4" w:space="0" w:color="auto"/>
              <w:left w:val="nil"/>
              <w:bottom w:val="nil"/>
              <w:right w:val="nil"/>
            </w:tcBorders>
          </w:tcPr>
          <w:p w14:paraId="775A55DA" w14:textId="77777777" w:rsidR="00AC01CC" w:rsidRPr="00F05515" w:rsidRDefault="00AC01CC" w:rsidP="00AC01CC">
            <w:pPr>
              <w:contextualSpacing/>
              <w:jc w:val="right"/>
              <w:rPr>
                <w:i/>
                <w:iCs/>
                <w:color w:val="000000"/>
                <w:sz w:val="16"/>
                <w:szCs w:val="16"/>
                <w:highlight w:val="yellow"/>
                <w:lang w:val="en-US" w:eastAsia="en-US"/>
              </w:rPr>
            </w:pPr>
          </w:p>
        </w:tc>
        <w:tc>
          <w:tcPr>
            <w:tcW w:w="8432" w:type="dxa"/>
            <w:gridSpan w:val="8"/>
            <w:tcBorders>
              <w:top w:val="single" w:sz="4" w:space="0" w:color="auto"/>
              <w:left w:val="nil"/>
              <w:bottom w:val="nil"/>
              <w:right w:val="nil"/>
            </w:tcBorders>
            <w:shd w:val="clear" w:color="auto" w:fill="auto"/>
            <w:noWrap/>
            <w:vAlign w:val="center"/>
            <w:hideMark/>
          </w:tcPr>
          <w:p w14:paraId="5F9C771E" w14:textId="3345580A" w:rsidR="00AC01CC" w:rsidRPr="00AC01CC" w:rsidRDefault="00AC01CC" w:rsidP="00AC01CC">
            <w:pPr>
              <w:contextualSpacing/>
              <w:jc w:val="right"/>
              <w:rPr>
                <w:i/>
                <w:iCs/>
                <w:color w:val="000000"/>
                <w:sz w:val="16"/>
                <w:szCs w:val="16"/>
              </w:rPr>
            </w:pPr>
            <w:r w:rsidRPr="00AC01CC">
              <w:rPr>
                <w:i/>
                <w:iCs/>
                <w:color w:val="000000"/>
                <w:sz w:val="16"/>
                <w:szCs w:val="16"/>
                <w:lang w:val="en-US" w:eastAsia="en-US"/>
              </w:rPr>
              <w:t>Zdroj: MF SR</w:t>
            </w:r>
          </w:p>
        </w:tc>
      </w:tr>
    </w:tbl>
    <w:p w14:paraId="63657DE1" w14:textId="0CE66441" w:rsidR="004C21D5" w:rsidRDefault="004C21D5" w:rsidP="004C21D5">
      <w:pPr>
        <w:pStyle w:val="Nadpis2"/>
        <w:keepLines/>
        <w:numPr>
          <w:ilvl w:val="1"/>
          <w:numId w:val="9"/>
        </w:numPr>
        <w:spacing w:before="200" w:after="240" w:line="276" w:lineRule="auto"/>
        <w:ind w:left="720" w:hanging="720"/>
        <w:jc w:val="both"/>
        <w:rPr>
          <w:rFonts w:ascii="Times New Roman" w:hAnsi="Times New Roman" w:cs="Times New Roman"/>
          <w:bCs w:val="0"/>
          <w:i w:val="0"/>
          <w:iCs w:val="0"/>
          <w:color w:val="000000" w:themeColor="text1"/>
          <w:sz w:val="24"/>
        </w:rPr>
      </w:pPr>
      <w:bookmarkStart w:id="22" w:name="_Toc394471515"/>
      <w:bookmarkStart w:id="23" w:name="_Toc422906269"/>
      <w:bookmarkStart w:id="24" w:name="_Toc494382337"/>
      <w:bookmarkStart w:id="25" w:name="_Toc394471516"/>
      <w:bookmarkStart w:id="26" w:name="_Toc422906270"/>
      <w:r w:rsidRPr="008A0FB7">
        <w:rPr>
          <w:rFonts w:ascii="Times New Roman" w:hAnsi="Times New Roman" w:cs="Times New Roman"/>
          <w:bCs w:val="0"/>
          <w:i w:val="0"/>
          <w:iCs w:val="0"/>
          <w:color w:val="000000" w:themeColor="text1"/>
          <w:sz w:val="24"/>
        </w:rPr>
        <w:t>Fiškálny výhľad</w:t>
      </w:r>
      <w:bookmarkEnd w:id="22"/>
      <w:bookmarkEnd w:id="23"/>
      <w:bookmarkEnd w:id="24"/>
    </w:p>
    <w:p w14:paraId="5BA00363" w14:textId="0BFDED28" w:rsidR="008B7B8B" w:rsidRDefault="008B7B8B" w:rsidP="00FA07EE">
      <w:pPr>
        <w:spacing w:before="240" w:after="240"/>
        <w:ind w:firstLine="708"/>
        <w:jc w:val="both"/>
        <w:rPr>
          <w:szCs w:val="22"/>
        </w:rPr>
      </w:pPr>
      <w:r w:rsidRPr="008B7B8B">
        <w:rPr>
          <w:szCs w:val="22"/>
        </w:rPr>
        <w:t xml:space="preserve">Konsolidácia verejných financií bude v rokoch 2019 až 2021 prebiehať v súlade s programovým vyhlásením vlády SR z roku </w:t>
      </w:r>
      <w:r>
        <w:rPr>
          <w:szCs w:val="22"/>
        </w:rPr>
        <w:t>2016</w:t>
      </w:r>
      <w:r w:rsidRPr="008B7B8B">
        <w:rPr>
          <w:szCs w:val="22"/>
        </w:rPr>
        <w:t xml:space="preserve">. </w:t>
      </w:r>
      <w:r>
        <w:rPr>
          <w:szCs w:val="22"/>
        </w:rPr>
        <w:t>Cieľ vyrovnaného rozpočtu by mal byť dosiahnutý do roku 2020.</w:t>
      </w:r>
      <w:r w:rsidR="00193EE1">
        <w:rPr>
          <w:szCs w:val="22"/>
        </w:rPr>
        <w:t xml:space="preserve"> Hrubý dlh verejnej správy by mohol klesnúť pod najnižšie sankčné pásma od roku 2018 a udržať sa pod nimi na celom horizonte rozpočtu.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74"/>
        <w:gridCol w:w="746"/>
        <w:gridCol w:w="804"/>
        <w:gridCol w:w="133"/>
        <w:gridCol w:w="671"/>
        <w:gridCol w:w="804"/>
        <w:gridCol w:w="804"/>
        <w:gridCol w:w="804"/>
        <w:gridCol w:w="886"/>
      </w:tblGrid>
      <w:tr w:rsidR="00193EE1" w:rsidRPr="007B4261" w14:paraId="6B4012FA" w14:textId="77777777" w:rsidTr="00637072">
        <w:trPr>
          <w:trHeight w:val="327"/>
          <w:jc w:val="center"/>
        </w:trPr>
        <w:tc>
          <w:tcPr>
            <w:tcW w:w="8926" w:type="dxa"/>
            <w:gridSpan w:val="9"/>
            <w:shd w:val="clear" w:color="auto" w:fill="A6A6A6" w:themeFill="background1" w:themeFillShade="A6"/>
            <w:vAlign w:val="center"/>
          </w:tcPr>
          <w:p w14:paraId="4AA65CB9" w14:textId="77777777" w:rsidR="00193EE1" w:rsidRPr="007B4261" w:rsidRDefault="00193EE1" w:rsidP="00637072">
            <w:pPr>
              <w:rPr>
                <w:b/>
                <w:bCs/>
                <w:sz w:val="16"/>
                <w:szCs w:val="16"/>
                <w:lang w:eastAsia="en-US"/>
              </w:rPr>
            </w:pPr>
            <w:r w:rsidRPr="007B4261">
              <w:rPr>
                <w:b/>
                <w:sz w:val="16"/>
                <w:szCs w:val="16"/>
              </w:rPr>
              <w:lastRenderedPageBreak/>
              <w:t>Vývoj salda (ESA 2010, % HDP) a dlhu verejnej správy (cash, % HDP)</w:t>
            </w:r>
          </w:p>
        </w:tc>
      </w:tr>
      <w:tr w:rsidR="00193EE1" w:rsidRPr="007B4261" w14:paraId="38B373FF" w14:textId="77777777" w:rsidTr="00637072">
        <w:trPr>
          <w:trHeight w:val="327"/>
          <w:jc w:val="center"/>
        </w:trPr>
        <w:tc>
          <w:tcPr>
            <w:tcW w:w="3274" w:type="dxa"/>
            <w:shd w:val="clear" w:color="auto" w:fill="BFBFBF" w:themeFill="background1" w:themeFillShade="BF"/>
            <w:noWrap/>
            <w:vAlign w:val="center"/>
          </w:tcPr>
          <w:p w14:paraId="1424DEA2" w14:textId="77777777" w:rsidR="00193EE1" w:rsidRPr="007B4261" w:rsidRDefault="00193EE1" w:rsidP="00637072">
            <w:pPr>
              <w:jc w:val="center"/>
              <w:rPr>
                <w:b/>
                <w:bCs/>
                <w:color w:val="000000"/>
                <w:sz w:val="16"/>
                <w:szCs w:val="16"/>
                <w:lang w:eastAsia="en-US"/>
              </w:rPr>
            </w:pPr>
          </w:p>
        </w:tc>
        <w:tc>
          <w:tcPr>
            <w:tcW w:w="746" w:type="dxa"/>
            <w:shd w:val="clear" w:color="auto" w:fill="BFBFBF" w:themeFill="background1" w:themeFillShade="BF"/>
            <w:noWrap/>
            <w:vAlign w:val="center"/>
          </w:tcPr>
          <w:p w14:paraId="657DB036" w14:textId="77777777" w:rsidR="00193EE1" w:rsidRPr="007B4261" w:rsidRDefault="00193EE1" w:rsidP="00637072">
            <w:pPr>
              <w:jc w:val="center"/>
              <w:rPr>
                <w:b/>
                <w:bCs/>
                <w:color w:val="000000"/>
                <w:sz w:val="16"/>
                <w:szCs w:val="16"/>
                <w:lang w:eastAsia="en-GB"/>
              </w:rPr>
            </w:pPr>
            <w:r w:rsidRPr="007B4261">
              <w:rPr>
                <w:b/>
                <w:bCs/>
                <w:color w:val="000000"/>
                <w:sz w:val="16"/>
                <w:szCs w:val="16"/>
                <w:lang w:eastAsia="en-US"/>
              </w:rPr>
              <w:t>2016 S</w:t>
            </w:r>
          </w:p>
        </w:tc>
        <w:tc>
          <w:tcPr>
            <w:tcW w:w="804" w:type="dxa"/>
            <w:shd w:val="clear" w:color="auto" w:fill="BFBFBF" w:themeFill="background1" w:themeFillShade="BF"/>
            <w:noWrap/>
            <w:vAlign w:val="center"/>
          </w:tcPr>
          <w:p w14:paraId="21DDECC6" w14:textId="77235B0A" w:rsidR="00193EE1" w:rsidRPr="007B4261" w:rsidRDefault="00193EE1" w:rsidP="00637072">
            <w:pPr>
              <w:jc w:val="center"/>
              <w:rPr>
                <w:b/>
                <w:bCs/>
                <w:color w:val="000000"/>
                <w:sz w:val="16"/>
                <w:szCs w:val="16"/>
              </w:rPr>
            </w:pPr>
            <w:r w:rsidRPr="007B4261">
              <w:rPr>
                <w:b/>
                <w:bCs/>
                <w:color w:val="000000"/>
                <w:sz w:val="16"/>
                <w:szCs w:val="16"/>
                <w:lang w:eastAsia="en-US"/>
              </w:rPr>
              <w:t>2017</w:t>
            </w:r>
            <w:r w:rsidR="00AD6EBF">
              <w:rPr>
                <w:b/>
                <w:bCs/>
                <w:color w:val="000000"/>
                <w:sz w:val="16"/>
                <w:szCs w:val="16"/>
                <w:lang w:eastAsia="en-US"/>
              </w:rPr>
              <w:t xml:space="preserve"> </w:t>
            </w:r>
            <w:r>
              <w:rPr>
                <w:b/>
                <w:bCs/>
                <w:color w:val="000000"/>
                <w:sz w:val="16"/>
                <w:szCs w:val="16"/>
                <w:lang w:eastAsia="en-US"/>
              </w:rPr>
              <w:t>S</w:t>
            </w:r>
          </w:p>
        </w:tc>
        <w:tc>
          <w:tcPr>
            <w:tcW w:w="804" w:type="dxa"/>
            <w:gridSpan w:val="2"/>
            <w:shd w:val="clear" w:color="auto" w:fill="BFBFBF" w:themeFill="background1" w:themeFillShade="BF"/>
            <w:noWrap/>
            <w:vAlign w:val="center"/>
          </w:tcPr>
          <w:p w14:paraId="59D123A5" w14:textId="77777777" w:rsidR="00193EE1" w:rsidRPr="007B4261" w:rsidRDefault="00193EE1" w:rsidP="00637072">
            <w:pPr>
              <w:jc w:val="center"/>
              <w:rPr>
                <w:b/>
                <w:bCs/>
                <w:color w:val="000000"/>
                <w:sz w:val="16"/>
                <w:szCs w:val="16"/>
              </w:rPr>
            </w:pPr>
            <w:r w:rsidRPr="007B4261">
              <w:rPr>
                <w:b/>
                <w:bCs/>
                <w:color w:val="000000"/>
                <w:sz w:val="16"/>
                <w:szCs w:val="16"/>
                <w:lang w:eastAsia="en-US"/>
              </w:rPr>
              <w:t>201</w:t>
            </w:r>
            <w:r>
              <w:rPr>
                <w:b/>
                <w:bCs/>
                <w:color w:val="000000"/>
                <w:sz w:val="16"/>
                <w:szCs w:val="16"/>
                <w:lang w:eastAsia="en-US"/>
              </w:rPr>
              <w:t>8</w:t>
            </w:r>
            <w:r w:rsidRPr="007B4261">
              <w:rPr>
                <w:b/>
                <w:bCs/>
                <w:color w:val="000000"/>
                <w:sz w:val="16"/>
                <w:szCs w:val="16"/>
                <w:lang w:eastAsia="en-US"/>
              </w:rPr>
              <w:t xml:space="preserve"> </w:t>
            </w:r>
            <w:r>
              <w:rPr>
                <w:b/>
                <w:bCs/>
                <w:color w:val="000000"/>
                <w:sz w:val="16"/>
                <w:szCs w:val="16"/>
                <w:lang w:eastAsia="en-US"/>
              </w:rPr>
              <w:t>R</w:t>
            </w:r>
          </w:p>
        </w:tc>
        <w:tc>
          <w:tcPr>
            <w:tcW w:w="804" w:type="dxa"/>
            <w:shd w:val="clear" w:color="auto" w:fill="BFBFBF" w:themeFill="background1" w:themeFillShade="BF"/>
            <w:vAlign w:val="center"/>
          </w:tcPr>
          <w:p w14:paraId="4751683A" w14:textId="77777777" w:rsidR="00193EE1" w:rsidRPr="007B4261" w:rsidRDefault="00193EE1" w:rsidP="00637072">
            <w:pPr>
              <w:jc w:val="center"/>
              <w:rPr>
                <w:b/>
                <w:bCs/>
                <w:color w:val="000000"/>
                <w:sz w:val="16"/>
                <w:szCs w:val="16"/>
              </w:rPr>
            </w:pPr>
            <w:r w:rsidRPr="007B4261">
              <w:rPr>
                <w:b/>
                <w:bCs/>
                <w:color w:val="000000"/>
                <w:sz w:val="16"/>
                <w:szCs w:val="16"/>
                <w:lang w:eastAsia="en-US"/>
              </w:rPr>
              <w:t xml:space="preserve">2018 </w:t>
            </w:r>
            <w:r>
              <w:rPr>
                <w:b/>
                <w:bCs/>
                <w:color w:val="000000"/>
                <w:sz w:val="16"/>
                <w:szCs w:val="16"/>
                <w:lang w:eastAsia="en-US"/>
              </w:rPr>
              <w:t>OS</w:t>
            </w:r>
          </w:p>
        </w:tc>
        <w:tc>
          <w:tcPr>
            <w:tcW w:w="804" w:type="dxa"/>
            <w:shd w:val="clear" w:color="auto" w:fill="BFBFBF" w:themeFill="background1" w:themeFillShade="BF"/>
            <w:noWrap/>
            <w:vAlign w:val="center"/>
          </w:tcPr>
          <w:p w14:paraId="19185981" w14:textId="77777777" w:rsidR="00193EE1" w:rsidRPr="007B4261" w:rsidRDefault="00193EE1" w:rsidP="00637072">
            <w:pPr>
              <w:jc w:val="center"/>
              <w:rPr>
                <w:b/>
                <w:bCs/>
                <w:color w:val="000000"/>
                <w:sz w:val="16"/>
                <w:szCs w:val="16"/>
              </w:rPr>
            </w:pPr>
            <w:r w:rsidRPr="007B4261">
              <w:rPr>
                <w:b/>
                <w:bCs/>
                <w:color w:val="000000"/>
                <w:sz w:val="16"/>
                <w:szCs w:val="16"/>
                <w:lang w:eastAsia="en-US"/>
              </w:rPr>
              <w:t>2019 N</w:t>
            </w:r>
          </w:p>
        </w:tc>
        <w:tc>
          <w:tcPr>
            <w:tcW w:w="804" w:type="dxa"/>
            <w:shd w:val="clear" w:color="auto" w:fill="BFBFBF" w:themeFill="background1" w:themeFillShade="BF"/>
            <w:noWrap/>
            <w:vAlign w:val="center"/>
          </w:tcPr>
          <w:p w14:paraId="562E7AEF" w14:textId="77777777" w:rsidR="00193EE1" w:rsidRPr="007B4261" w:rsidRDefault="00193EE1" w:rsidP="00637072">
            <w:pPr>
              <w:jc w:val="center"/>
              <w:rPr>
                <w:b/>
                <w:bCs/>
                <w:color w:val="000000"/>
                <w:sz w:val="16"/>
                <w:szCs w:val="16"/>
              </w:rPr>
            </w:pPr>
            <w:r w:rsidRPr="007B4261">
              <w:rPr>
                <w:b/>
                <w:bCs/>
                <w:color w:val="000000"/>
                <w:sz w:val="16"/>
                <w:szCs w:val="16"/>
                <w:lang w:eastAsia="en-US"/>
              </w:rPr>
              <w:t>2020 N</w:t>
            </w:r>
          </w:p>
        </w:tc>
        <w:tc>
          <w:tcPr>
            <w:tcW w:w="886" w:type="dxa"/>
            <w:shd w:val="clear" w:color="auto" w:fill="BFBFBF" w:themeFill="background1" w:themeFillShade="BF"/>
            <w:noWrap/>
            <w:vAlign w:val="center"/>
          </w:tcPr>
          <w:p w14:paraId="502F1131" w14:textId="77777777" w:rsidR="00193EE1" w:rsidRPr="007B4261" w:rsidRDefault="00193EE1" w:rsidP="00637072">
            <w:pPr>
              <w:jc w:val="center"/>
              <w:rPr>
                <w:b/>
                <w:bCs/>
                <w:color w:val="000000"/>
                <w:sz w:val="16"/>
                <w:szCs w:val="16"/>
              </w:rPr>
            </w:pPr>
            <w:r w:rsidRPr="007B4261">
              <w:rPr>
                <w:b/>
                <w:bCs/>
                <w:color w:val="000000"/>
                <w:sz w:val="16"/>
                <w:szCs w:val="16"/>
                <w:lang w:eastAsia="en-US"/>
              </w:rPr>
              <w:t>202</w:t>
            </w:r>
            <w:r>
              <w:rPr>
                <w:b/>
                <w:bCs/>
                <w:color w:val="000000"/>
                <w:sz w:val="16"/>
                <w:szCs w:val="16"/>
                <w:lang w:eastAsia="en-US"/>
              </w:rPr>
              <w:t>1</w:t>
            </w:r>
            <w:r w:rsidRPr="007B4261">
              <w:rPr>
                <w:b/>
                <w:bCs/>
                <w:color w:val="000000"/>
                <w:sz w:val="16"/>
                <w:szCs w:val="16"/>
                <w:lang w:eastAsia="en-US"/>
              </w:rPr>
              <w:t xml:space="preserve"> N</w:t>
            </w:r>
          </w:p>
        </w:tc>
      </w:tr>
      <w:tr w:rsidR="00193EE1" w:rsidRPr="007B4261" w14:paraId="5CEFDE73" w14:textId="77777777" w:rsidTr="00637072">
        <w:trPr>
          <w:trHeight w:val="327"/>
          <w:jc w:val="center"/>
        </w:trPr>
        <w:tc>
          <w:tcPr>
            <w:tcW w:w="3274" w:type="dxa"/>
            <w:shd w:val="clear" w:color="auto" w:fill="auto"/>
            <w:noWrap/>
            <w:vAlign w:val="center"/>
          </w:tcPr>
          <w:p w14:paraId="5775C664" w14:textId="77777777" w:rsidR="00193EE1" w:rsidRPr="007B4261" w:rsidRDefault="00193EE1" w:rsidP="00637072">
            <w:pPr>
              <w:rPr>
                <w:color w:val="000000"/>
                <w:sz w:val="16"/>
                <w:szCs w:val="16"/>
                <w:lang w:eastAsia="en-US"/>
              </w:rPr>
            </w:pPr>
            <w:r w:rsidRPr="007B4261">
              <w:rPr>
                <w:color w:val="000000"/>
                <w:sz w:val="16"/>
                <w:szCs w:val="16"/>
                <w:lang w:eastAsia="en-US"/>
              </w:rPr>
              <w:t>Saldo VS</w:t>
            </w:r>
          </w:p>
        </w:tc>
        <w:tc>
          <w:tcPr>
            <w:tcW w:w="746" w:type="dxa"/>
            <w:shd w:val="clear" w:color="auto" w:fill="auto"/>
            <w:noWrap/>
            <w:vAlign w:val="center"/>
          </w:tcPr>
          <w:p w14:paraId="5C48D27A" w14:textId="7D58519B" w:rsidR="00193EE1" w:rsidRPr="007B4261" w:rsidRDefault="00193EE1" w:rsidP="00637072">
            <w:pPr>
              <w:jc w:val="center"/>
              <w:rPr>
                <w:color w:val="000000"/>
                <w:sz w:val="16"/>
                <w:szCs w:val="16"/>
                <w:lang w:eastAsia="en-GB"/>
              </w:rPr>
            </w:pPr>
            <w:r>
              <w:rPr>
                <w:color w:val="000000"/>
                <w:sz w:val="16"/>
                <w:szCs w:val="16"/>
              </w:rPr>
              <w:t>-2,2</w:t>
            </w:r>
            <w:r w:rsidR="001E35B7">
              <w:rPr>
                <w:color w:val="000000"/>
                <w:sz w:val="16"/>
                <w:szCs w:val="16"/>
              </w:rPr>
              <w:t>2</w:t>
            </w:r>
          </w:p>
        </w:tc>
        <w:tc>
          <w:tcPr>
            <w:tcW w:w="804" w:type="dxa"/>
            <w:shd w:val="clear" w:color="auto" w:fill="auto"/>
            <w:noWrap/>
            <w:vAlign w:val="center"/>
          </w:tcPr>
          <w:p w14:paraId="70BF7E97" w14:textId="77777777" w:rsidR="00193EE1" w:rsidRPr="007B4261" w:rsidRDefault="00193EE1" w:rsidP="00637072">
            <w:pPr>
              <w:jc w:val="center"/>
              <w:rPr>
                <w:color w:val="000000"/>
                <w:sz w:val="16"/>
                <w:szCs w:val="16"/>
              </w:rPr>
            </w:pPr>
            <w:r w:rsidRPr="007B4261">
              <w:rPr>
                <w:color w:val="000000"/>
                <w:sz w:val="16"/>
                <w:szCs w:val="16"/>
              </w:rPr>
              <w:t>-</w:t>
            </w:r>
            <w:r>
              <w:rPr>
                <w:color w:val="000000"/>
                <w:sz w:val="16"/>
                <w:szCs w:val="16"/>
              </w:rPr>
              <w:t>0</w:t>
            </w:r>
            <w:r w:rsidRPr="007B4261">
              <w:rPr>
                <w:color w:val="000000"/>
                <w:sz w:val="16"/>
                <w:szCs w:val="16"/>
              </w:rPr>
              <w:t>,</w:t>
            </w:r>
            <w:r>
              <w:rPr>
                <w:color w:val="000000"/>
                <w:sz w:val="16"/>
                <w:szCs w:val="16"/>
              </w:rPr>
              <w:t>78</w:t>
            </w:r>
          </w:p>
        </w:tc>
        <w:tc>
          <w:tcPr>
            <w:tcW w:w="804" w:type="dxa"/>
            <w:gridSpan w:val="2"/>
            <w:shd w:val="clear" w:color="auto" w:fill="auto"/>
            <w:noWrap/>
            <w:vAlign w:val="center"/>
          </w:tcPr>
          <w:p w14:paraId="7D6852C0" w14:textId="77777777" w:rsidR="00193EE1" w:rsidRPr="007B4261" w:rsidRDefault="00193EE1" w:rsidP="00637072">
            <w:pPr>
              <w:jc w:val="center"/>
              <w:rPr>
                <w:color w:val="000000"/>
                <w:sz w:val="16"/>
                <w:szCs w:val="16"/>
              </w:rPr>
            </w:pPr>
            <w:r w:rsidRPr="007B4261">
              <w:rPr>
                <w:color w:val="000000"/>
                <w:sz w:val="16"/>
                <w:szCs w:val="16"/>
              </w:rPr>
              <w:t>-</w:t>
            </w:r>
            <w:r>
              <w:rPr>
                <w:color w:val="000000"/>
                <w:sz w:val="16"/>
                <w:szCs w:val="16"/>
              </w:rPr>
              <w:t>0,83</w:t>
            </w:r>
          </w:p>
        </w:tc>
        <w:tc>
          <w:tcPr>
            <w:tcW w:w="804" w:type="dxa"/>
            <w:vAlign w:val="center"/>
          </w:tcPr>
          <w:p w14:paraId="263B7F2C" w14:textId="77777777" w:rsidR="00193EE1" w:rsidRPr="007B4261" w:rsidRDefault="00193EE1" w:rsidP="00637072">
            <w:pPr>
              <w:jc w:val="center"/>
              <w:rPr>
                <w:color w:val="000000"/>
                <w:sz w:val="16"/>
                <w:szCs w:val="16"/>
              </w:rPr>
            </w:pPr>
            <w:r w:rsidRPr="007B4261">
              <w:rPr>
                <w:color w:val="000000"/>
                <w:sz w:val="16"/>
                <w:szCs w:val="16"/>
              </w:rPr>
              <w:t>-0,</w:t>
            </w:r>
            <w:r>
              <w:rPr>
                <w:color w:val="000000"/>
                <w:sz w:val="16"/>
                <w:szCs w:val="16"/>
              </w:rPr>
              <w:t>60</w:t>
            </w:r>
          </w:p>
        </w:tc>
        <w:tc>
          <w:tcPr>
            <w:tcW w:w="804" w:type="dxa"/>
            <w:shd w:val="clear" w:color="auto" w:fill="auto"/>
            <w:noWrap/>
            <w:vAlign w:val="center"/>
          </w:tcPr>
          <w:p w14:paraId="538A725B" w14:textId="46150F7E" w:rsidR="00193EE1" w:rsidRPr="007B4261" w:rsidRDefault="0004575C" w:rsidP="0004575C">
            <w:pPr>
              <w:jc w:val="center"/>
              <w:rPr>
                <w:color w:val="000000"/>
                <w:sz w:val="16"/>
                <w:szCs w:val="16"/>
              </w:rPr>
            </w:pPr>
            <w:r w:rsidRPr="0004575C">
              <w:rPr>
                <w:color w:val="000000"/>
                <w:sz w:val="16"/>
                <w:szCs w:val="16"/>
              </w:rPr>
              <w:t>-0</w:t>
            </w:r>
            <w:r w:rsidR="00193EE1" w:rsidRPr="0004575C">
              <w:rPr>
                <w:color w:val="000000"/>
                <w:sz w:val="16"/>
                <w:szCs w:val="16"/>
              </w:rPr>
              <w:t>,</w:t>
            </w:r>
            <w:r w:rsidRPr="0004575C">
              <w:rPr>
                <w:color w:val="000000"/>
                <w:sz w:val="16"/>
                <w:szCs w:val="16"/>
              </w:rPr>
              <w:t>10</w:t>
            </w:r>
          </w:p>
        </w:tc>
        <w:tc>
          <w:tcPr>
            <w:tcW w:w="804" w:type="dxa"/>
            <w:shd w:val="clear" w:color="auto" w:fill="auto"/>
            <w:noWrap/>
            <w:vAlign w:val="center"/>
          </w:tcPr>
          <w:p w14:paraId="0151EFD1" w14:textId="77777777" w:rsidR="00193EE1" w:rsidRPr="007B4261" w:rsidRDefault="00193EE1" w:rsidP="00637072">
            <w:pPr>
              <w:jc w:val="center"/>
              <w:rPr>
                <w:color w:val="000000"/>
                <w:sz w:val="16"/>
                <w:szCs w:val="16"/>
              </w:rPr>
            </w:pPr>
            <w:r w:rsidRPr="007B4261">
              <w:rPr>
                <w:color w:val="000000"/>
                <w:sz w:val="16"/>
                <w:szCs w:val="16"/>
              </w:rPr>
              <w:t>0,00</w:t>
            </w:r>
          </w:p>
        </w:tc>
        <w:tc>
          <w:tcPr>
            <w:tcW w:w="886" w:type="dxa"/>
            <w:shd w:val="clear" w:color="auto" w:fill="auto"/>
            <w:noWrap/>
            <w:vAlign w:val="center"/>
          </w:tcPr>
          <w:p w14:paraId="3F69E7D6" w14:textId="6B317467" w:rsidR="00193EE1" w:rsidRPr="007B4261" w:rsidRDefault="00193EE1" w:rsidP="0004575C">
            <w:pPr>
              <w:jc w:val="center"/>
              <w:rPr>
                <w:color w:val="000000"/>
                <w:sz w:val="16"/>
                <w:szCs w:val="16"/>
              </w:rPr>
            </w:pPr>
            <w:r w:rsidRPr="007B4261">
              <w:rPr>
                <w:color w:val="000000"/>
                <w:sz w:val="16"/>
                <w:szCs w:val="16"/>
              </w:rPr>
              <w:t>0</w:t>
            </w:r>
            <w:r w:rsidR="0004575C">
              <w:rPr>
                <w:color w:val="000000"/>
                <w:sz w:val="16"/>
                <w:szCs w:val="16"/>
              </w:rPr>
              <w:t>,2</w:t>
            </w:r>
            <w:r w:rsidRPr="007B4261">
              <w:rPr>
                <w:color w:val="000000"/>
                <w:sz w:val="16"/>
                <w:szCs w:val="16"/>
              </w:rPr>
              <w:t>0</w:t>
            </w:r>
          </w:p>
        </w:tc>
      </w:tr>
      <w:tr w:rsidR="00193EE1" w:rsidRPr="007B4261" w14:paraId="0B8A8893" w14:textId="77777777" w:rsidTr="00637072">
        <w:trPr>
          <w:trHeight w:val="327"/>
          <w:jc w:val="center"/>
        </w:trPr>
        <w:tc>
          <w:tcPr>
            <w:tcW w:w="3274" w:type="dxa"/>
            <w:shd w:val="clear" w:color="auto" w:fill="auto"/>
            <w:noWrap/>
            <w:vAlign w:val="center"/>
          </w:tcPr>
          <w:p w14:paraId="7935C1AF" w14:textId="77777777" w:rsidR="00193EE1" w:rsidRPr="007B4261" w:rsidRDefault="00193EE1" w:rsidP="00637072">
            <w:pPr>
              <w:rPr>
                <w:color w:val="000000"/>
                <w:sz w:val="16"/>
                <w:szCs w:val="16"/>
                <w:lang w:eastAsia="en-US"/>
              </w:rPr>
            </w:pPr>
            <w:r w:rsidRPr="007B4261">
              <w:rPr>
                <w:color w:val="000000"/>
                <w:sz w:val="16"/>
                <w:szCs w:val="16"/>
                <w:lang w:eastAsia="en-US"/>
              </w:rPr>
              <w:t>Hrubý dlh VS</w:t>
            </w:r>
          </w:p>
        </w:tc>
        <w:tc>
          <w:tcPr>
            <w:tcW w:w="746" w:type="dxa"/>
            <w:shd w:val="clear" w:color="auto" w:fill="auto"/>
            <w:noWrap/>
            <w:vAlign w:val="center"/>
          </w:tcPr>
          <w:p w14:paraId="1E544399" w14:textId="77777777" w:rsidR="00193EE1" w:rsidRPr="007B4261" w:rsidRDefault="00193EE1" w:rsidP="00637072">
            <w:pPr>
              <w:jc w:val="center"/>
              <w:rPr>
                <w:color w:val="000000"/>
                <w:sz w:val="16"/>
                <w:szCs w:val="16"/>
              </w:rPr>
            </w:pPr>
            <w:r w:rsidRPr="007B4261">
              <w:rPr>
                <w:color w:val="000000"/>
                <w:sz w:val="16"/>
                <w:szCs w:val="16"/>
              </w:rPr>
              <w:t>51,</w:t>
            </w:r>
            <w:r>
              <w:rPr>
                <w:color w:val="000000"/>
                <w:sz w:val="16"/>
                <w:szCs w:val="16"/>
              </w:rPr>
              <w:t>8</w:t>
            </w:r>
          </w:p>
        </w:tc>
        <w:tc>
          <w:tcPr>
            <w:tcW w:w="804" w:type="dxa"/>
            <w:shd w:val="clear" w:color="auto" w:fill="auto"/>
            <w:noWrap/>
            <w:vAlign w:val="center"/>
          </w:tcPr>
          <w:p w14:paraId="21B20326" w14:textId="77777777" w:rsidR="00193EE1" w:rsidRPr="007B4261" w:rsidRDefault="00193EE1" w:rsidP="00637072">
            <w:pPr>
              <w:jc w:val="center"/>
              <w:rPr>
                <w:color w:val="000000"/>
                <w:sz w:val="16"/>
                <w:szCs w:val="16"/>
              </w:rPr>
            </w:pPr>
            <w:r>
              <w:rPr>
                <w:color w:val="000000"/>
                <w:sz w:val="16"/>
                <w:szCs w:val="16"/>
              </w:rPr>
              <w:t>50</w:t>
            </w:r>
            <w:r w:rsidRPr="007B4261">
              <w:rPr>
                <w:color w:val="000000"/>
                <w:sz w:val="16"/>
                <w:szCs w:val="16"/>
              </w:rPr>
              <w:t>,</w:t>
            </w:r>
            <w:r>
              <w:rPr>
                <w:color w:val="000000"/>
                <w:sz w:val="16"/>
                <w:szCs w:val="16"/>
              </w:rPr>
              <w:t>9</w:t>
            </w:r>
          </w:p>
        </w:tc>
        <w:tc>
          <w:tcPr>
            <w:tcW w:w="804" w:type="dxa"/>
            <w:gridSpan w:val="2"/>
            <w:shd w:val="clear" w:color="auto" w:fill="auto"/>
            <w:noWrap/>
            <w:vAlign w:val="center"/>
          </w:tcPr>
          <w:p w14:paraId="452F95FB" w14:textId="77777777" w:rsidR="00193EE1" w:rsidRPr="007B4261" w:rsidRDefault="00193EE1" w:rsidP="00637072">
            <w:pPr>
              <w:jc w:val="center"/>
              <w:rPr>
                <w:color w:val="000000"/>
                <w:sz w:val="16"/>
                <w:szCs w:val="16"/>
              </w:rPr>
            </w:pPr>
            <w:r>
              <w:rPr>
                <w:color w:val="000000"/>
                <w:sz w:val="16"/>
                <w:szCs w:val="16"/>
              </w:rPr>
              <w:t>49</w:t>
            </w:r>
            <w:r w:rsidRPr="007B4261">
              <w:rPr>
                <w:color w:val="000000"/>
                <w:sz w:val="16"/>
                <w:szCs w:val="16"/>
              </w:rPr>
              <w:t>,</w:t>
            </w:r>
            <w:r>
              <w:rPr>
                <w:color w:val="000000"/>
                <w:sz w:val="16"/>
                <w:szCs w:val="16"/>
              </w:rPr>
              <w:t>9</w:t>
            </w:r>
          </w:p>
        </w:tc>
        <w:tc>
          <w:tcPr>
            <w:tcW w:w="804" w:type="dxa"/>
            <w:vAlign w:val="center"/>
          </w:tcPr>
          <w:p w14:paraId="4D999B78" w14:textId="77777777" w:rsidR="00193EE1" w:rsidRPr="007B4261" w:rsidRDefault="00193EE1" w:rsidP="00637072">
            <w:pPr>
              <w:jc w:val="center"/>
              <w:rPr>
                <w:color w:val="000000"/>
                <w:sz w:val="16"/>
                <w:szCs w:val="16"/>
              </w:rPr>
            </w:pPr>
            <w:r w:rsidRPr="007B4261">
              <w:rPr>
                <w:color w:val="000000"/>
                <w:sz w:val="16"/>
                <w:szCs w:val="16"/>
              </w:rPr>
              <w:t>4</w:t>
            </w:r>
            <w:r>
              <w:rPr>
                <w:color w:val="000000"/>
                <w:sz w:val="16"/>
                <w:szCs w:val="16"/>
              </w:rPr>
              <w:t>8</w:t>
            </w:r>
            <w:r w:rsidRPr="007B4261">
              <w:rPr>
                <w:color w:val="000000"/>
                <w:sz w:val="16"/>
                <w:szCs w:val="16"/>
              </w:rPr>
              <w:t>,</w:t>
            </w:r>
            <w:r>
              <w:rPr>
                <w:color w:val="000000"/>
                <w:sz w:val="16"/>
                <w:szCs w:val="16"/>
              </w:rPr>
              <w:t>7</w:t>
            </w:r>
          </w:p>
        </w:tc>
        <w:tc>
          <w:tcPr>
            <w:tcW w:w="804" w:type="dxa"/>
            <w:shd w:val="clear" w:color="auto" w:fill="auto"/>
            <w:noWrap/>
            <w:vAlign w:val="center"/>
          </w:tcPr>
          <w:p w14:paraId="18EE29E8" w14:textId="77777777" w:rsidR="00193EE1" w:rsidRPr="007B4261" w:rsidRDefault="00193EE1" w:rsidP="00637072">
            <w:pPr>
              <w:jc w:val="center"/>
              <w:rPr>
                <w:color w:val="000000"/>
                <w:sz w:val="16"/>
                <w:szCs w:val="16"/>
              </w:rPr>
            </w:pPr>
            <w:r w:rsidRPr="007B4261">
              <w:rPr>
                <w:color w:val="000000"/>
                <w:sz w:val="16"/>
                <w:szCs w:val="16"/>
              </w:rPr>
              <w:t>47,</w:t>
            </w:r>
            <w:r>
              <w:rPr>
                <w:color w:val="000000"/>
                <w:sz w:val="16"/>
                <w:szCs w:val="16"/>
              </w:rPr>
              <w:t>3</w:t>
            </w:r>
          </w:p>
        </w:tc>
        <w:tc>
          <w:tcPr>
            <w:tcW w:w="804" w:type="dxa"/>
            <w:shd w:val="clear" w:color="auto" w:fill="auto"/>
            <w:noWrap/>
            <w:vAlign w:val="center"/>
          </w:tcPr>
          <w:p w14:paraId="03CA5E8F" w14:textId="77777777" w:rsidR="00193EE1" w:rsidRPr="007B4261" w:rsidRDefault="00193EE1" w:rsidP="00637072">
            <w:pPr>
              <w:jc w:val="center"/>
              <w:rPr>
                <w:color w:val="000000"/>
                <w:sz w:val="16"/>
                <w:szCs w:val="16"/>
              </w:rPr>
            </w:pPr>
            <w:r w:rsidRPr="007B4261">
              <w:rPr>
                <w:color w:val="000000"/>
                <w:sz w:val="16"/>
                <w:szCs w:val="16"/>
              </w:rPr>
              <w:t>4</w:t>
            </w:r>
            <w:r>
              <w:rPr>
                <w:color w:val="000000"/>
                <w:sz w:val="16"/>
                <w:szCs w:val="16"/>
              </w:rPr>
              <w:t>6</w:t>
            </w:r>
            <w:r w:rsidRPr="007B4261">
              <w:rPr>
                <w:color w:val="000000"/>
                <w:sz w:val="16"/>
                <w:szCs w:val="16"/>
              </w:rPr>
              <w:t>,</w:t>
            </w:r>
            <w:r>
              <w:rPr>
                <w:color w:val="000000"/>
                <w:sz w:val="16"/>
                <w:szCs w:val="16"/>
              </w:rPr>
              <w:t>0</w:t>
            </w:r>
          </w:p>
        </w:tc>
        <w:tc>
          <w:tcPr>
            <w:tcW w:w="886" w:type="dxa"/>
            <w:shd w:val="clear" w:color="auto" w:fill="auto"/>
            <w:noWrap/>
            <w:vAlign w:val="center"/>
          </w:tcPr>
          <w:p w14:paraId="059A4D0C" w14:textId="77777777" w:rsidR="00193EE1" w:rsidRPr="007B4261" w:rsidRDefault="00193EE1" w:rsidP="00637072">
            <w:pPr>
              <w:jc w:val="center"/>
              <w:rPr>
                <w:color w:val="000000"/>
                <w:sz w:val="16"/>
                <w:szCs w:val="16"/>
              </w:rPr>
            </w:pPr>
            <w:r w:rsidRPr="007B4261">
              <w:rPr>
                <w:color w:val="000000"/>
                <w:sz w:val="16"/>
                <w:szCs w:val="16"/>
              </w:rPr>
              <w:t>4</w:t>
            </w:r>
            <w:r>
              <w:rPr>
                <w:color w:val="000000"/>
                <w:sz w:val="16"/>
                <w:szCs w:val="16"/>
              </w:rPr>
              <w:t>4</w:t>
            </w:r>
            <w:r w:rsidRPr="007B4261">
              <w:rPr>
                <w:color w:val="000000"/>
                <w:sz w:val="16"/>
                <w:szCs w:val="16"/>
              </w:rPr>
              <w:t>,</w:t>
            </w:r>
            <w:r>
              <w:rPr>
                <w:color w:val="000000"/>
                <w:sz w:val="16"/>
                <w:szCs w:val="16"/>
              </w:rPr>
              <w:t>8</w:t>
            </w:r>
          </w:p>
        </w:tc>
      </w:tr>
      <w:tr w:rsidR="00193EE1" w:rsidRPr="007B4261" w14:paraId="7B46A6D0" w14:textId="77777777" w:rsidTr="00637072">
        <w:trPr>
          <w:trHeight w:val="327"/>
          <w:jc w:val="center"/>
        </w:trPr>
        <w:tc>
          <w:tcPr>
            <w:tcW w:w="3274" w:type="dxa"/>
            <w:tcBorders>
              <w:bottom w:val="single" w:sz="4" w:space="0" w:color="auto"/>
            </w:tcBorders>
            <w:shd w:val="clear" w:color="auto" w:fill="auto"/>
            <w:noWrap/>
            <w:vAlign w:val="center"/>
          </w:tcPr>
          <w:p w14:paraId="5CA62041" w14:textId="77777777" w:rsidR="00193EE1" w:rsidRPr="007B4261" w:rsidRDefault="00193EE1" w:rsidP="00637072">
            <w:pPr>
              <w:rPr>
                <w:color w:val="000000"/>
                <w:sz w:val="16"/>
                <w:szCs w:val="16"/>
                <w:lang w:eastAsia="en-US"/>
              </w:rPr>
            </w:pPr>
            <w:r w:rsidRPr="007B4261">
              <w:rPr>
                <w:color w:val="000000"/>
                <w:sz w:val="16"/>
                <w:szCs w:val="16"/>
                <w:lang w:eastAsia="en-US"/>
              </w:rPr>
              <w:t>Štátny dlh (bez vplyvu EFSF a ESM)</w:t>
            </w:r>
          </w:p>
        </w:tc>
        <w:tc>
          <w:tcPr>
            <w:tcW w:w="746" w:type="dxa"/>
            <w:tcBorders>
              <w:bottom w:val="single" w:sz="4" w:space="0" w:color="auto"/>
            </w:tcBorders>
            <w:shd w:val="clear" w:color="auto" w:fill="auto"/>
            <w:noWrap/>
            <w:vAlign w:val="center"/>
          </w:tcPr>
          <w:p w14:paraId="6C3047EF" w14:textId="77777777" w:rsidR="00193EE1" w:rsidRPr="007B4261" w:rsidRDefault="00193EE1" w:rsidP="00637072">
            <w:pPr>
              <w:jc w:val="center"/>
              <w:rPr>
                <w:color w:val="000000"/>
                <w:sz w:val="16"/>
                <w:szCs w:val="16"/>
              </w:rPr>
            </w:pPr>
            <w:r>
              <w:rPr>
                <w:color w:val="000000"/>
                <w:sz w:val="16"/>
                <w:szCs w:val="16"/>
              </w:rPr>
              <w:t>47,0</w:t>
            </w:r>
          </w:p>
        </w:tc>
        <w:tc>
          <w:tcPr>
            <w:tcW w:w="804" w:type="dxa"/>
            <w:tcBorders>
              <w:bottom w:val="single" w:sz="4" w:space="0" w:color="auto"/>
            </w:tcBorders>
            <w:shd w:val="clear" w:color="auto" w:fill="auto"/>
            <w:noWrap/>
            <w:vAlign w:val="center"/>
          </w:tcPr>
          <w:p w14:paraId="1344925D" w14:textId="77777777" w:rsidR="00193EE1" w:rsidRPr="007B4261" w:rsidRDefault="00193EE1" w:rsidP="00637072">
            <w:pPr>
              <w:jc w:val="center"/>
              <w:rPr>
                <w:color w:val="000000"/>
                <w:sz w:val="16"/>
                <w:szCs w:val="16"/>
              </w:rPr>
            </w:pPr>
            <w:r>
              <w:rPr>
                <w:color w:val="000000"/>
                <w:sz w:val="16"/>
                <w:szCs w:val="16"/>
              </w:rPr>
              <w:t>46,4</w:t>
            </w:r>
          </w:p>
        </w:tc>
        <w:tc>
          <w:tcPr>
            <w:tcW w:w="804" w:type="dxa"/>
            <w:gridSpan w:val="2"/>
            <w:tcBorders>
              <w:bottom w:val="single" w:sz="4" w:space="0" w:color="auto"/>
            </w:tcBorders>
            <w:shd w:val="clear" w:color="auto" w:fill="auto"/>
            <w:noWrap/>
            <w:vAlign w:val="center"/>
          </w:tcPr>
          <w:p w14:paraId="48AFBB0C" w14:textId="77777777" w:rsidR="00193EE1" w:rsidRPr="007B4261" w:rsidRDefault="00193EE1" w:rsidP="00637072">
            <w:pPr>
              <w:jc w:val="center"/>
              <w:rPr>
                <w:color w:val="000000"/>
                <w:sz w:val="16"/>
                <w:szCs w:val="16"/>
              </w:rPr>
            </w:pPr>
            <w:r>
              <w:rPr>
                <w:color w:val="000000"/>
                <w:sz w:val="16"/>
                <w:szCs w:val="16"/>
              </w:rPr>
              <w:t>45</w:t>
            </w:r>
            <w:r w:rsidRPr="007B4261">
              <w:rPr>
                <w:color w:val="000000"/>
                <w:sz w:val="16"/>
                <w:szCs w:val="16"/>
              </w:rPr>
              <w:t>,</w:t>
            </w:r>
            <w:r>
              <w:rPr>
                <w:color w:val="000000"/>
                <w:sz w:val="16"/>
                <w:szCs w:val="16"/>
              </w:rPr>
              <w:t>7</w:t>
            </w:r>
          </w:p>
        </w:tc>
        <w:tc>
          <w:tcPr>
            <w:tcW w:w="804" w:type="dxa"/>
            <w:tcBorders>
              <w:bottom w:val="single" w:sz="4" w:space="0" w:color="auto"/>
            </w:tcBorders>
            <w:vAlign w:val="center"/>
          </w:tcPr>
          <w:p w14:paraId="18A79D38" w14:textId="77777777" w:rsidR="00193EE1" w:rsidRPr="007B4261" w:rsidRDefault="00193EE1" w:rsidP="00637072">
            <w:pPr>
              <w:jc w:val="center"/>
              <w:rPr>
                <w:color w:val="000000"/>
                <w:sz w:val="16"/>
                <w:szCs w:val="16"/>
              </w:rPr>
            </w:pPr>
            <w:r>
              <w:rPr>
                <w:color w:val="000000"/>
                <w:sz w:val="16"/>
                <w:szCs w:val="16"/>
              </w:rPr>
              <w:t>44,4</w:t>
            </w:r>
          </w:p>
        </w:tc>
        <w:tc>
          <w:tcPr>
            <w:tcW w:w="804" w:type="dxa"/>
            <w:tcBorders>
              <w:bottom w:val="single" w:sz="4" w:space="0" w:color="auto"/>
            </w:tcBorders>
            <w:shd w:val="clear" w:color="auto" w:fill="auto"/>
            <w:noWrap/>
            <w:vAlign w:val="center"/>
          </w:tcPr>
          <w:p w14:paraId="7147295C" w14:textId="77777777" w:rsidR="00193EE1" w:rsidRPr="007B4261" w:rsidRDefault="00193EE1" w:rsidP="00637072">
            <w:pPr>
              <w:jc w:val="center"/>
              <w:rPr>
                <w:color w:val="000000"/>
                <w:sz w:val="16"/>
                <w:szCs w:val="16"/>
              </w:rPr>
            </w:pPr>
            <w:r>
              <w:rPr>
                <w:color w:val="000000"/>
                <w:sz w:val="16"/>
                <w:szCs w:val="16"/>
              </w:rPr>
              <w:t>43,4</w:t>
            </w:r>
          </w:p>
        </w:tc>
        <w:tc>
          <w:tcPr>
            <w:tcW w:w="804" w:type="dxa"/>
            <w:tcBorders>
              <w:bottom w:val="single" w:sz="4" w:space="0" w:color="auto"/>
            </w:tcBorders>
            <w:shd w:val="clear" w:color="auto" w:fill="auto"/>
            <w:noWrap/>
            <w:vAlign w:val="center"/>
          </w:tcPr>
          <w:p w14:paraId="520A9B38" w14:textId="77777777" w:rsidR="00193EE1" w:rsidRPr="007B4261" w:rsidRDefault="00193EE1" w:rsidP="00637072">
            <w:pPr>
              <w:jc w:val="center"/>
              <w:rPr>
                <w:color w:val="000000"/>
                <w:sz w:val="16"/>
                <w:szCs w:val="16"/>
              </w:rPr>
            </w:pPr>
            <w:r>
              <w:rPr>
                <w:color w:val="000000"/>
                <w:sz w:val="16"/>
                <w:szCs w:val="16"/>
              </w:rPr>
              <w:t>42,5</w:t>
            </w:r>
          </w:p>
        </w:tc>
        <w:tc>
          <w:tcPr>
            <w:tcW w:w="886" w:type="dxa"/>
            <w:tcBorders>
              <w:bottom w:val="single" w:sz="4" w:space="0" w:color="auto"/>
            </w:tcBorders>
            <w:shd w:val="clear" w:color="auto" w:fill="auto"/>
            <w:noWrap/>
            <w:vAlign w:val="center"/>
          </w:tcPr>
          <w:p w14:paraId="7BF1834A" w14:textId="77777777" w:rsidR="00193EE1" w:rsidRPr="007B4261" w:rsidRDefault="00193EE1" w:rsidP="00637072">
            <w:pPr>
              <w:jc w:val="center"/>
              <w:rPr>
                <w:color w:val="000000"/>
                <w:sz w:val="16"/>
                <w:szCs w:val="16"/>
              </w:rPr>
            </w:pPr>
            <w:r>
              <w:rPr>
                <w:color w:val="000000"/>
                <w:sz w:val="16"/>
                <w:szCs w:val="16"/>
              </w:rPr>
              <w:t>41,6</w:t>
            </w:r>
          </w:p>
        </w:tc>
      </w:tr>
      <w:tr w:rsidR="00193EE1" w:rsidRPr="007B4261" w14:paraId="17572204" w14:textId="77777777" w:rsidTr="00AD6EBF">
        <w:trPr>
          <w:trHeight w:val="52"/>
          <w:jc w:val="center"/>
        </w:trPr>
        <w:tc>
          <w:tcPr>
            <w:tcW w:w="4957" w:type="dxa"/>
            <w:gridSpan w:val="4"/>
            <w:tcBorders>
              <w:top w:val="single" w:sz="4" w:space="0" w:color="auto"/>
              <w:left w:val="nil"/>
              <w:bottom w:val="nil"/>
              <w:right w:val="nil"/>
            </w:tcBorders>
            <w:vAlign w:val="center"/>
          </w:tcPr>
          <w:p w14:paraId="607A805B" w14:textId="2A1EAD7B" w:rsidR="00193EE1" w:rsidRPr="007B4261" w:rsidRDefault="00AD6EBF" w:rsidP="00637072">
            <w:pPr>
              <w:rPr>
                <w:i/>
                <w:iCs/>
                <w:color w:val="000000"/>
                <w:sz w:val="16"/>
                <w:szCs w:val="16"/>
                <w:lang w:eastAsia="en-US"/>
              </w:rPr>
            </w:pPr>
            <w:r>
              <w:rPr>
                <w:iCs/>
                <w:color w:val="000000"/>
                <w:sz w:val="16"/>
                <w:szCs w:val="16"/>
                <w:lang w:eastAsia="en-US"/>
              </w:rPr>
              <w:t>Pozn.:</w:t>
            </w:r>
            <w:r w:rsidR="00193EE1" w:rsidRPr="007B4261">
              <w:rPr>
                <w:i/>
                <w:iCs/>
                <w:color w:val="000000"/>
                <w:sz w:val="16"/>
                <w:szCs w:val="16"/>
                <w:lang w:eastAsia="en-US"/>
              </w:rPr>
              <w:t xml:space="preserve"> </w:t>
            </w:r>
            <w:r w:rsidR="00193EE1" w:rsidRPr="00AD6EBF">
              <w:rPr>
                <w:iCs/>
                <w:color w:val="000000"/>
                <w:sz w:val="16"/>
                <w:szCs w:val="16"/>
                <w:lang w:eastAsia="en-US"/>
              </w:rPr>
              <w:t xml:space="preserve">Predbežné údaje pre účely jesennej notifikácie Eurostatu za </w:t>
            </w:r>
            <w:r>
              <w:rPr>
                <w:iCs/>
                <w:color w:val="000000"/>
                <w:sz w:val="16"/>
                <w:szCs w:val="16"/>
                <w:lang w:eastAsia="en-US"/>
              </w:rPr>
              <w:t xml:space="preserve">rok </w:t>
            </w:r>
            <w:r w:rsidR="00193EE1" w:rsidRPr="00AD6EBF">
              <w:rPr>
                <w:iCs/>
                <w:color w:val="000000"/>
                <w:sz w:val="16"/>
                <w:szCs w:val="16"/>
                <w:lang w:eastAsia="en-US"/>
              </w:rPr>
              <w:t>2017</w:t>
            </w:r>
            <w:r>
              <w:rPr>
                <w:iCs/>
                <w:color w:val="000000"/>
                <w:sz w:val="16"/>
                <w:szCs w:val="16"/>
                <w:lang w:eastAsia="en-US"/>
              </w:rPr>
              <w:t>.</w:t>
            </w:r>
            <w:r w:rsidR="00193EE1" w:rsidRPr="00AD6EBF">
              <w:rPr>
                <w:iCs/>
                <w:color w:val="000000"/>
                <w:sz w:val="16"/>
                <w:szCs w:val="16"/>
                <w:lang w:eastAsia="en-US"/>
              </w:rPr>
              <w:t xml:space="preserve"> </w:t>
            </w:r>
          </w:p>
        </w:tc>
        <w:tc>
          <w:tcPr>
            <w:tcW w:w="3969" w:type="dxa"/>
            <w:gridSpan w:val="5"/>
            <w:tcBorders>
              <w:top w:val="single" w:sz="4" w:space="0" w:color="auto"/>
              <w:left w:val="nil"/>
              <w:bottom w:val="nil"/>
              <w:right w:val="nil"/>
            </w:tcBorders>
            <w:vAlign w:val="center"/>
          </w:tcPr>
          <w:p w14:paraId="569B1A91" w14:textId="77777777" w:rsidR="00193EE1" w:rsidRPr="007B4261" w:rsidRDefault="00193EE1" w:rsidP="00637072">
            <w:pPr>
              <w:jc w:val="right"/>
              <w:rPr>
                <w:i/>
                <w:iCs/>
                <w:color w:val="000000"/>
                <w:sz w:val="16"/>
                <w:szCs w:val="16"/>
                <w:lang w:eastAsia="en-US"/>
              </w:rPr>
            </w:pPr>
            <w:r w:rsidRPr="007B4261">
              <w:rPr>
                <w:i/>
                <w:iCs/>
                <w:color w:val="000000"/>
                <w:sz w:val="16"/>
                <w:szCs w:val="16"/>
                <w:lang w:eastAsia="en-US"/>
              </w:rPr>
              <w:t>Zdroj: MF SR</w:t>
            </w:r>
          </w:p>
        </w:tc>
      </w:tr>
      <w:tr w:rsidR="00193EE1" w:rsidRPr="007B4261" w14:paraId="7065EC63" w14:textId="77777777" w:rsidTr="00637072">
        <w:trPr>
          <w:trHeight w:val="52"/>
          <w:jc w:val="center"/>
        </w:trPr>
        <w:tc>
          <w:tcPr>
            <w:tcW w:w="8926" w:type="dxa"/>
            <w:gridSpan w:val="9"/>
            <w:tcBorders>
              <w:top w:val="nil"/>
              <w:left w:val="nil"/>
              <w:bottom w:val="nil"/>
              <w:right w:val="nil"/>
            </w:tcBorders>
            <w:vAlign w:val="center"/>
          </w:tcPr>
          <w:p w14:paraId="04C0B82B" w14:textId="77777777" w:rsidR="00193EE1" w:rsidRPr="007B4261" w:rsidRDefault="00193EE1" w:rsidP="00637072">
            <w:pPr>
              <w:rPr>
                <w:i/>
                <w:iCs/>
                <w:color w:val="000000"/>
                <w:sz w:val="16"/>
                <w:szCs w:val="16"/>
                <w:lang w:eastAsia="en-US"/>
              </w:rPr>
            </w:pPr>
          </w:p>
        </w:tc>
      </w:tr>
    </w:tbl>
    <w:p w14:paraId="04049DBD" w14:textId="5F2B508C" w:rsidR="00193EE1" w:rsidRPr="00A67CA0" w:rsidRDefault="00193EE1" w:rsidP="008B7B8B">
      <w:pPr>
        <w:spacing w:before="240" w:after="240"/>
        <w:jc w:val="both"/>
        <w:rPr>
          <w:b/>
          <w:szCs w:val="22"/>
        </w:rPr>
      </w:pPr>
      <w:r w:rsidRPr="00A67CA0">
        <w:rPr>
          <w:b/>
          <w:szCs w:val="22"/>
        </w:rPr>
        <w:t>Saldo verejnej správy</w:t>
      </w:r>
    </w:p>
    <w:p w14:paraId="24AED3EB" w14:textId="1DD6F8D3" w:rsidR="008B7B8B" w:rsidRPr="008B7B8B" w:rsidRDefault="008B7B8B" w:rsidP="00FA07EE">
      <w:pPr>
        <w:spacing w:before="240" w:after="240"/>
        <w:ind w:firstLine="708"/>
        <w:jc w:val="both"/>
        <w:rPr>
          <w:szCs w:val="22"/>
        </w:rPr>
      </w:pPr>
      <w:r w:rsidRPr="008B7B8B">
        <w:rPr>
          <w:szCs w:val="22"/>
        </w:rPr>
        <w:t xml:space="preserve">V roku 2017 bol stanovený cieľ nominálneho deficitu vo výške 1,29 % HDP. Na základe predbežných údajov za rok 2017 pre účely jesennej notifikácie Eurostatu </w:t>
      </w:r>
      <w:r w:rsidR="00EC0148">
        <w:rPr>
          <w:szCs w:val="22"/>
        </w:rPr>
        <w:t>by</w:t>
      </w:r>
      <w:r w:rsidRPr="008B7B8B">
        <w:rPr>
          <w:szCs w:val="22"/>
        </w:rPr>
        <w:t xml:space="preserve"> deficit verejných financií </w:t>
      </w:r>
      <w:r w:rsidR="00EC0148">
        <w:rPr>
          <w:szCs w:val="22"/>
        </w:rPr>
        <w:t xml:space="preserve">mohol dosiahnuť </w:t>
      </w:r>
      <w:r w:rsidRPr="008B7B8B">
        <w:rPr>
          <w:szCs w:val="22"/>
        </w:rPr>
        <w:t>úroveň 0,78 % HDP.</w:t>
      </w:r>
    </w:p>
    <w:p w14:paraId="6204A7E0" w14:textId="49D8BB86" w:rsidR="008B7B8B" w:rsidRPr="008B7B8B" w:rsidRDefault="008B7B8B" w:rsidP="00FA07EE">
      <w:pPr>
        <w:spacing w:before="240" w:after="240"/>
        <w:ind w:firstLine="708"/>
        <w:jc w:val="both"/>
        <w:rPr>
          <w:szCs w:val="22"/>
        </w:rPr>
      </w:pPr>
      <w:r w:rsidRPr="008B7B8B">
        <w:rPr>
          <w:szCs w:val="22"/>
        </w:rPr>
        <w:t>V strednodobom horizonte je hlavným cieľom vytvorenie podmienok pre dosiahnutie dlhodobej udržateľnosti verejných financií. To si vyžaduje pokračovanie v konsolidácii verejných financií aj po roku 2018 tak, aby Slovensko naďalej smerovalo k svojmu strednodobému rozpočtovému cieľu.</w:t>
      </w:r>
    </w:p>
    <w:p w14:paraId="67A91D7B" w14:textId="1ED5F094" w:rsidR="008B7B8B" w:rsidRPr="008B7B8B" w:rsidRDefault="008B7B8B" w:rsidP="00FA07EE">
      <w:pPr>
        <w:spacing w:before="240" w:after="240"/>
        <w:ind w:firstLine="708"/>
        <w:jc w:val="both"/>
        <w:rPr>
          <w:szCs w:val="22"/>
        </w:rPr>
      </w:pPr>
      <w:r w:rsidRPr="008B7B8B">
        <w:rPr>
          <w:szCs w:val="22"/>
        </w:rPr>
        <w:t>Strednodobý rozpočtový výhľad na roky 2019 až 2021 stanovuje fiškálne ciele na nasledujúce roky v podobe nominálneho deficitu verejnej správy</w:t>
      </w:r>
      <w:r w:rsidR="0004575C">
        <w:rPr>
          <w:szCs w:val="22"/>
        </w:rPr>
        <w:t xml:space="preserve"> </w:t>
      </w:r>
      <w:r w:rsidRPr="008B7B8B">
        <w:rPr>
          <w:szCs w:val="22"/>
        </w:rPr>
        <w:t xml:space="preserve">na </w:t>
      </w:r>
      <w:r w:rsidRPr="0004575C">
        <w:rPr>
          <w:szCs w:val="22"/>
        </w:rPr>
        <w:t>úrovni 0,</w:t>
      </w:r>
      <w:r w:rsidR="0004575C" w:rsidRPr="0004575C">
        <w:rPr>
          <w:szCs w:val="22"/>
        </w:rPr>
        <w:t>10</w:t>
      </w:r>
      <w:r w:rsidRPr="0004575C">
        <w:rPr>
          <w:szCs w:val="22"/>
        </w:rPr>
        <w:t xml:space="preserve"> % HDP v roku 2019.</w:t>
      </w:r>
      <w:r w:rsidRPr="008B7B8B">
        <w:rPr>
          <w:szCs w:val="22"/>
        </w:rPr>
        <w:t xml:space="preserve"> </w:t>
      </w:r>
      <w:r w:rsidR="00193EE1">
        <w:rPr>
          <w:szCs w:val="22"/>
        </w:rPr>
        <w:t xml:space="preserve">Rozpočet </w:t>
      </w:r>
      <w:r w:rsidR="002A3BEF">
        <w:rPr>
          <w:szCs w:val="22"/>
        </w:rPr>
        <w:t xml:space="preserve">naďalej </w:t>
      </w:r>
      <w:r w:rsidR="00193EE1">
        <w:rPr>
          <w:szCs w:val="22"/>
        </w:rPr>
        <w:t>potvrdzuje</w:t>
      </w:r>
      <w:r w:rsidR="00193EE1" w:rsidRPr="008B7B8B">
        <w:rPr>
          <w:szCs w:val="22"/>
        </w:rPr>
        <w:t xml:space="preserve"> </w:t>
      </w:r>
      <w:r w:rsidRPr="008B7B8B">
        <w:rPr>
          <w:szCs w:val="22"/>
        </w:rPr>
        <w:t>plán dosiahnuť</w:t>
      </w:r>
      <w:r w:rsidR="00BF415A">
        <w:rPr>
          <w:szCs w:val="22"/>
        </w:rPr>
        <w:t xml:space="preserve"> strednodobý rozpočtový cieľ</w:t>
      </w:r>
      <w:r w:rsidR="002A3BEF">
        <w:rPr>
          <w:szCs w:val="22"/>
        </w:rPr>
        <w:t xml:space="preserve"> v roku 2019</w:t>
      </w:r>
      <w:r w:rsidR="002A3BEF" w:rsidRPr="007B4261">
        <w:rPr>
          <w:vertAlign w:val="superscript"/>
        </w:rPr>
        <w:footnoteReference w:id="2"/>
      </w:r>
      <w:r w:rsidR="00BF415A">
        <w:rPr>
          <w:szCs w:val="22"/>
        </w:rPr>
        <w:t xml:space="preserve"> a</w:t>
      </w:r>
      <w:r w:rsidRPr="008B7B8B">
        <w:rPr>
          <w:szCs w:val="22"/>
        </w:rPr>
        <w:t xml:space="preserve"> vyrovnané hospodárenie rozpo</w:t>
      </w:r>
      <w:r w:rsidR="0004575C">
        <w:rPr>
          <w:szCs w:val="22"/>
        </w:rPr>
        <w:t>čtu</w:t>
      </w:r>
      <w:r w:rsidR="002A3BEF">
        <w:rPr>
          <w:szCs w:val="22"/>
        </w:rPr>
        <w:t xml:space="preserve"> do</w:t>
      </w:r>
      <w:r w:rsidR="0004575C">
        <w:rPr>
          <w:szCs w:val="22"/>
        </w:rPr>
        <w:t xml:space="preserve"> roku 2020</w:t>
      </w:r>
      <w:r w:rsidR="002A3BEF">
        <w:rPr>
          <w:rStyle w:val="Odkaznapoznmkupodiarou"/>
          <w:szCs w:val="22"/>
        </w:rPr>
        <w:footnoteReference w:id="3"/>
      </w:r>
      <w:r w:rsidR="0004575C">
        <w:rPr>
          <w:szCs w:val="22"/>
        </w:rPr>
        <w:t>. V</w:t>
      </w:r>
      <w:r w:rsidRPr="008B7B8B">
        <w:rPr>
          <w:szCs w:val="22"/>
        </w:rPr>
        <w:t xml:space="preserve"> poslednom roku </w:t>
      </w:r>
      <w:r w:rsidR="0004575C">
        <w:rPr>
          <w:szCs w:val="22"/>
        </w:rPr>
        <w:t xml:space="preserve">rozpočtového obdobia sa už predpokladá dosiahnutie </w:t>
      </w:r>
      <w:r w:rsidR="0004575C" w:rsidRPr="008B7B8B">
        <w:rPr>
          <w:szCs w:val="22"/>
        </w:rPr>
        <w:t>historicky prvé</w:t>
      </w:r>
      <w:r w:rsidR="0004575C">
        <w:rPr>
          <w:szCs w:val="22"/>
        </w:rPr>
        <w:t>ho prebytkového hospodárenia verejnej správy</w:t>
      </w:r>
      <w:r w:rsidRPr="008B7B8B">
        <w:rPr>
          <w:szCs w:val="22"/>
        </w:rPr>
        <w:t>.</w:t>
      </w:r>
    </w:p>
    <w:p w14:paraId="11822152" w14:textId="64C91C29" w:rsidR="00193EE1" w:rsidRPr="00A67CA0" w:rsidRDefault="00193EE1" w:rsidP="008B7B8B">
      <w:pPr>
        <w:spacing w:before="240" w:after="240"/>
        <w:jc w:val="both"/>
        <w:rPr>
          <w:b/>
          <w:szCs w:val="22"/>
        </w:rPr>
      </w:pPr>
      <w:r w:rsidRPr="00A67CA0">
        <w:rPr>
          <w:b/>
          <w:szCs w:val="22"/>
        </w:rPr>
        <w:t>Hrubý dlh verejnej správy</w:t>
      </w:r>
    </w:p>
    <w:p w14:paraId="5DDCE11B" w14:textId="658E91A0" w:rsidR="008B7B8B" w:rsidRPr="00A67CA0" w:rsidRDefault="008B7B8B" w:rsidP="00FA07EE">
      <w:pPr>
        <w:spacing w:before="240" w:after="240"/>
        <w:ind w:firstLine="708"/>
        <w:jc w:val="both"/>
        <w:rPr>
          <w:szCs w:val="22"/>
        </w:rPr>
      </w:pPr>
      <w:r w:rsidRPr="008B7B8B">
        <w:rPr>
          <w:szCs w:val="22"/>
        </w:rPr>
        <w:t xml:space="preserve">Hrubý dlh verejnej správy za rok 2017 </w:t>
      </w:r>
      <w:r w:rsidR="002C113D">
        <w:rPr>
          <w:szCs w:val="22"/>
        </w:rPr>
        <w:t xml:space="preserve">by mal dosiahnuť </w:t>
      </w:r>
      <w:r w:rsidRPr="008B7B8B">
        <w:rPr>
          <w:szCs w:val="22"/>
        </w:rPr>
        <w:t>úroveň 50,9 % HDP, čím došlo k medziročnému poklesu hrubého dlhu o 0,8 p. b.</w:t>
      </w:r>
      <w:r w:rsidRPr="008B7B8B">
        <w:rPr>
          <w:sz w:val="28"/>
        </w:rPr>
        <w:t xml:space="preserve"> </w:t>
      </w:r>
      <w:r w:rsidRPr="008B7B8B">
        <w:rPr>
          <w:szCs w:val="22"/>
        </w:rPr>
        <w:t>Na pokles dlhu v pomere k HDP v roku 2017 pozitívne vplývali najmä dosiahnut</w:t>
      </w:r>
      <w:r>
        <w:rPr>
          <w:szCs w:val="22"/>
        </w:rPr>
        <w:t xml:space="preserve">ie </w:t>
      </w:r>
      <w:r w:rsidRPr="008B7B8B">
        <w:rPr>
          <w:szCs w:val="22"/>
        </w:rPr>
        <w:t>historicky prvého prebytku primárneho salda</w:t>
      </w:r>
      <w:r>
        <w:rPr>
          <w:szCs w:val="22"/>
        </w:rPr>
        <w:t xml:space="preserve"> a pokračovanie </w:t>
      </w:r>
      <w:r w:rsidRPr="008B7B8B">
        <w:rPr>
          <w:szCs w:val="22"/>
        </w:rPr>
        <w:t>rast</w:t>
      </w:r>
      <w:r>
        <w:rPr>
          <w:szCs w:val="22"/>
        </w:rPr>
        <w:t>u</w:t>
      </w:r>
      <w:r w:rsidRPr="008B7B8B">
        <w:rPr>
          <w:szCs w:val="22"/>
        </w:rPr>
        <w:t xml:space="preserve"> ekonomiky Slovenska</w:t>
      </w:r>
      <w:r>
        <w:rPr>
          <w:szCs w:val="22"/>
        </w:rPr>
        <w:t>, aj</w:t>
      </w:r>
      <w:r w:rsidRPr="008B7B8B">
        <w:rPr>
          <w:szCs w:val="22"/>
        </w:rPr>
        <w:t xml:space="preserve"> za pomoci obnovenia inflačného vývoja</w:t>
      </w:r>
      <w:r w:rsidR="00193EE1">
        <w:rPr>
          <w:szCs w:val="22"/>
        </w:rPr>
        <w:t>.</w:t>
      </w:r>
      <w:r w:rsidRPr="008B7B8B">
        <w:rPr>
          <w:szCs w:val="22"/>
        </w:rPr>
        <w:t xml:space="preserve"> </w:t>
      </w:r>
    </w:p>
    <w:p w14:paraId="5FF0A0CE" w14:textId="78B2CFB3" w:rsidR="001F1BB7" w:rsidRDefault="001F1BB7" w:rsidP="00FA07EE">
      <w:pPr>
        <w:autoSpaceDE w:val="0"/>
        <w:autoSpaceDN w:val="0"/>
        <w:adjustRightInd w:val="0"/>
        <w:spacing w:after="240"/>
        <w:ind w:firstLine="708"/>
        <w:jc w:val="both"/>
        <w:rPr>
          <w:szCs w:val="22"/>
        </w:rPr>
      </w:pPr>
      <w:r>
        <w:rPr>
          <w:szCs w:val="22"/>
        </w:rPr>
        <w:t>V roku 2018 by</w:t>
      </w:r>
      <w:r w:rsidR="00193EE1">
        <w:rPr>
          <w:szCs w:val="22"/>
        </w:rPr>
        <w:t xml:space="preserve"> </w:t>
      </w:r>
      <w:r>
        <w:rPr>
          <w:szCs w:val="22"/>
        </w:rPr>
        <w:t>mal hrubý dlh po prvýkrát</w:t>
      </w:r>
      <w:r w:rsidR="00BF415A">
        <w:rPr>
          <w:szCs w:val="22"/>
        </w:rPr>
        <w:t xml:space="preserve"> klesnúť</w:t>
      </w:r>
      <w:r>
        <w:rPr>
          <w:szCs w:val="22"/>
        </w:rPr>
        <w:t xml:space="preserve"> pod najnižšiu </w:t>
      </w:r>
      <w:r w:rsidRPr="008B7B8B">
        <w:rPr>
          <w:szCs w:val="22"/>
        </w:rPr>
        <w:t>hranicu prvého sankčného pásma ústavného zákona o rozpočtovej zodpovednosti.</w:t>
      </w:r>
      <w:r>
        <w:rPr>
          <w:szCs w:val="22"/>
        </w:rPr>
        <w:t xml:space="preserve"> </w:t>
      </w:r>
      <w:r w:rsidRPr="001F1BB7">
        <w:rPr>
          <w:szCs w:val="22"/>
        </w:rPr>
        <w:t>Predpokladaná výška hrubého dlhu na rok 2018 sa nachádza na úrovni 48,7 % HDP</w:t>
      </w:r>
      <w:r w:rsidRPr="007B4261">
        <w:rPr>
          <w:rStyle w:val="Odkaznapoznmkupodiarou"/>
          <w:szCs w:val="22"/>
        </w:rPr>
        <w:footnoteReference w:id="4"/>
      </w:r>
      <w:r w:rsidRPr="001F1BB7">
        <w:rPr>
          <w:szCs w:val="22"/>
        </w:rPr>
        <w:t xml:space="preserve">. </w:t>
      </w:r>
      <w:r w:rsidR="00B81A11">
        <w:rPr>
          <w:szCs w:val="22"/>
        </w:rPr>
        <w:t>Hlavným</w:t>
      </w:r>
      <w:r w:rsidRPr="001F1BB7">
        <w:rPr>
          <w:szCs w:val="22"/>
        </w:rPr>
        <w:t xml:space="preserve"> dôvodom medziročného poklesu hrubého dlhu je </w:t>
      </w:r>
      <w:r w:rsidR="00B81A11">
        <w:rPr>
          <w:szCs w:val="22"/>
        </w:rPr>
        <w:t>na</w:t>
      </w:r>
      <w:r w:rsidR="00193EE1">
        <w:rPr>
          <w:szCs w:val="22"/>
        </w:rPr>
        <w:t xml:space="preserve">ďalej </w:t>
      </w:r>
      <w:r w:rsidRPr="001F1BB7">
        <w:rPr>
          <w:szCs w:val="22"/>
        </w:rPr>
        <w:t>zrýchľujúci sa rast HDP a </w:t>
      </w:r>
      <w:r w:rsidR="0004575C">
        <w:rPr>
          <w:szCs w:val="22"/>
        </w:rPr>
        <w:t>pokračujúci primárny prebytok hospodárenia verejnej správy</w:t>
      </w:r>
      <w:r w:rsidR="00193EE1">
        <w:rPr>
          <w:szCs w:val="22"/>
        </w:rPr>
        <w:t>.</w:t>
      </w:r>
      <w:r>
        <w:rPr>
          <w:szCs w:val="22"/>
        </w:rPr>
        <w:t xml:space="preserve"> </w:t>
      </w:r>
    </w:p>
    <w:p w14:paraId="7DB4B873" w14:textId="599B3E32" w:rsidR="008B7B8B" w:rsidRPr="008B7B8B" w:rsidRDefault="001F1BB7" w:rsidP="00FA07EE">
      <w:pPr>
        <w:autoSpaceDE w:val="0"/>
        <w:autoSpaceDN w:val="0"/>
        <w:adjustRightInd w:val="0"/>
        <w:spacing w:after="240"/>
        <w:ind w:firstLine="708"/>
        <w:jc w:val="both"/>
        <w:rPr>
          <w:szCs w:val="22"/>
        </w:rPr>
      </w:pPr>
      <w:r>
        <w:rPr>
          <w:szCs w:val="22"/>
        </w:rPr>
        <w:t>H</w:t>
      </w:r>
      <w:r w:rsidRPr="008B7B8B">
        <w:rPr>
          <w:szCs w:val="22"/>
        </w:rPr>
        <w:t xml:space="preserve">lbšie pod </w:t>
      </w:r>
      <w:r>
        <w:rPr>
          <w:szCs w:val="22"/>
        </w:rPr>
        <w:t>sankčné pásma by sa mal</w:t>
      </w:r>
      <w:r w:rsidR="00BF415A">
        <w:rPr>
          <w:szCs w:val="22"/>
        </w:rPr>
        <w:t xml:space="preserve"> dlh</w:t>
      </w:r>
      <w:r>
        <w:rPr>
          <w:szCs w:val="22"/>
        </w:rPr>
        <w:t xml:space="preserve"> dostať v</w:t>
      </w:r>
      <w:r w:rsidRPr="008B7B8B">
        <w:rPr>
          <w:szCs w:val="22"/>
        </w:rPr>
        <w:t xml:space="preserve"> rok</w:t>
      </w:r>
      <w:r>
        <w:rPr>
          <w:szCs w:val="22"/>
        </w:rPr>
        <w:t>och</w:t>
      </w:r>
      <w:r w:rsidRPr="008B7B8B">
        <w:rPr>
          <w:szCs w:val="22"/>
        </w:rPr>
        <w:t xml:space="preserve"> </w:t>
      </w:r>
      <w:r w:rsidR="008B7B8B" w:rsidRPr="008B7B8B">
        <w:rPr>
          <w:szCs w:val="22"/>
        </w:rPr>
        <w:t>2019 až 2021</w:t>
      </w:r>
      <w:r w:rsidR="00193EE1">
        <w:rPr>
          <w:szCs w:val="22"/>
        </w:rPr>
        <w:t>.</w:t>
      </w:r>
      <w:r w:rsidR="008B7B8B" w:rsidRPr="008B7B8B">
        <w:rPr>
          <w:szCs w:val="22"/>
        </w:rPr>
        <w:t xml:space="preserve"> </w:t>
      </w:r>
      <w:r w:rsidR="00193EE1">
        <w:rPr>
          <w:szCs w:val="22"/>
        </w:rPr>
        <w:t>P</w:t>
      </w:r>
      <w:r w:rsidR="00193EE1" w:rsidRPr="001F1BB7">
        <w:rPr>
          <w:szCs w:val="22"/>
        </w:rPr>
        <w:t xml:space="preserve">redpokladá </w:t>
      </w:r>
      <w:r w:rsidR="00193EE1">
        <w:rPr>
          <w:szCs w:val="22"/>
        </w:rPr>
        <w:t xml:space="preserve">sa </w:t>
      </w:r>
      <w:r w:rsidR="00193EE1" w:rsidRPr="001F1BB7">
        <w:rPr>
          <w:szCs w:val="22"/>
        </w:rPr>
        <w:t>dosahovanie vyššieho primárneho prebytku</w:t>
      </w:r>
      <w:r w:rsidR="00193EE1" w:rsidRPr="007B4261">
        <w:rPr>
          <w:rStyle w:val="Odkaznapoznmkupodiarou"/>
          <w:szCs w:val="22"/>
        </w:rPr>
        <w:footnoteReference w:id="5"/>
      </w:r>
      <w:r w:rsidR="00BF415A">
        <w:rPr>
          <w:szCs w:val="22"/>
        </w:rPr>
        <w:t>.</w:t>
      </w:r>
      <w:r w:rsidR="00193EE1" w:rsidRPr="001F1BB7">
        <w:rPr>
          <w:szCs w:val="22"/>
        </w:rPr>
        <w:t xml:space="preserve"> </w:t>
      </w:r>
      <w:r w:rsidR="00BF415A">
        <w:rPr>
          <w:szCs w:val="22"/>
        </w:rPr>
        <w:t>Ten</w:t>
      </w:r>
      <w:r w:rsidR="00193EE1" w:rsidRPr="001F1BB7">
        <w:rPr>
          <w:szCs w:val="22"/>
        </w:rPr>
        <w:t xml:space="preserve"> spolu s odhadom akcelerujúceho </w:t>
      </w:r>
      <w:r w:rsidR="00193EE1">
        <w:rPr>
          <w:szCs w:val="22"/>
        </w:rPr>
        <w:t xml:space="preserve">reálneho </w:t>
      </w:r>
      <w:r w:rsidR="00193EE1" w:rsidRPr="001F1BB7">
        <w:rPr>
          <w:szCs w:val="22"/>
        </w:rPr>
        <w:t xml:space="preserve">rastu HDP </w:t>
      </w:r>
      <w:r w:rsidR="00193EE1">
        <w:rPr>
          <w:szCs w:val="22"/>
        </w:rPr>
        <w:t>nad 4 %</w:t>
      </w:r>
      <w:r w:rsidR="00971AC3">
        <w:rPr>
          <w:szCs w:val="22"/>
        </w:rPr>
        <w:t xml:space="preserve"> a</w:t>
      </w:r>
      <w:r w:rsidR="00193EE1" w:rsidRPr="001F1BB7">
        <w:rPr>
          <w:szCs w:val="22"/>
        </w:rPr>
        <w:t xml:space="preserve"> infláci</w:t>
      </w:r>
      <w:r w:rsidR="00971AC3">
        <w:rPr>
          <w:szCs w:val="22"/>
        </w:rPr>
        <w:t>ou</w:t>
      </w:r>
      <w:r w:rsidR="00193EE1" w:rsidRPr="001F1BB7">
        <w:rPr>
          <w:szCs w:val="22"/>
        </w:rPr>
        <w:t xml:space="preserve"> </w:t>
      </w:r>
      <w:r w:rsidR="00193EE1">
        <w:rPr>
          <w:szCs w:val="22"/>
        </w:rPr>
        <w:t>nad inflačný</w:t>
      </w:r>
      <w:r w:rsidR="00971AC3">
        <w:rPr>
          <w:szCs w:val="22"/>
        </w:rPr>
        <w:t>m</w:t>
      </w:r>
      <w:r w:rsidR="00193EE1">
        <w:rPr>
          <w:szCs w:val="22"/>
        </w:rPr>
        <w:t xml:space="preserve"> cieľ</w:t>
      </w:r>
      <w:r w:rsidR="00971AC3">
        <w:rPr>
          <w:szCs w:val="22"/>
        </w:rPr>
        <w:t>om</w:t>
      </w:r>
      <w:r w:rsidR="00193EE1">
        <w:rPr>
          <w:szCs w:val="22"/>
        </w:rPr>
        <w:t xml:space="preserve"> Európskej centrálnej banky</w:t>
      </w:r>
      <w:r w:rsidR="00193EE1" w:rsidRPr="001F1BB7">
        <w:rPr>
          <w:szCs w:val="22"/>
        </w:rPr>
        <w:t xml:space="preserve"> prispeje k výraznejšiemu poklesu dlhu. V roku 2021 sa prognózuje hrubý dlh verejnej správy vo výške 44,8 % HDP</w:t>
      </w:r>
      <w:r w:rsidR="00971AC3">
        <w:rPr>
          <w:szCs w:val="22"/>
        </w:rPr>
        <w:t xml:space="preserve"> (</w:t>
      </w:r>
      <w:r w:rsidR="00193EE1" w:rsidRPr="001F1BB7">
        <w:rPr>
          <w:szCs w:val="22"/>
        </w:rPr>
        <w:t>1,2 p.</w:t>
      </w:r>
      <w:r w:rsidR="00FA07EE">
        <w:rPr>
          <w:szCs w:val="22"/>
        </w:rPr>
        <w:t xml:space="preserve"> </w:t>
      </w:r>
      <w:r w:rsidR="00193EE1" w:rsidRPr="001F1BB7">
        <w:rPr>
          <w:szCs w:val="22"/>
        </w:rPr>
        <w:t>b. pod najnižším sankčným pásmom</w:t>
      </w:r>
      <w:r w:rsidR="00971AC3">
        <w:rPr>
          <w:szCs w:val="22"/>
        </w:rPr>
        <w:t>)</w:t>
      </w:r>
      <w:r w:rsidR="00193EE1">
        <w:rPr>
          <w:szCs w:val="22"/>
        </w:rPr>
        <w:t>.</w:t>
      </w:r>
      <w:r w:rsidR="00193EE1" w:rsidRPr="001F1BB7">
        <w:rPr>
          <w:szCs w:val="22"/>
        </w:rPr>
        <w:t xml:space="preserve"> </w:t>
      </w:r>
    </w:p>
    <w:p w14:paraId="7DA0CD2E" w14:textId="77777777" w:rsidR="008B7B8B" w:rsidRPr="008B7B8B" w:rsidRDefault="008B7B8B" w:rsidP="00A67CA0">
      <w:pPr>
        <w:spacing w:before="240" w:after="120"/>
        <w:jc w:val="both"/>
      </w:pPr>
    </w:p>
    <w:p w14:paraId="32CC4C61" w14:textId="77777777" w:rsidR="00B9754C" w:rsidRPr="007B4261" w:rsidRDefault="00B9754C" w:rsidP="00B9754C">
      <w:pPr>
        <w:pStyle w:val="Nadpis1"/>
        <w:numPr>
          <w:ilvl w:val="0"/>
          <w:numId w:val="9"/>
        </w:numPr>
        <w:spacing w:before="0" w:after="360"/>
        <w:ind w:left="357" w:hanging="357"/>
        <w:jc w:val="both"/>
        <w:rPr>
          <w:rFonts w:ascii="Times New Roman" w:hAnsi="Times New Roman" w:cs="Times New Roman"/>
          <w:sz w:val="28"/>
        </w:rPr>
      </w:pPr>
      <w:bookmarkStart w:id="27" w:name="_Toc494382338"/>
      <w:bookmarkEnd w:id="8"/>
      <w:bookmarkEnd w:id="25"/>
      <w:bookmarkEnd w:id="26"/>
      <w:r w:rsidRPr="007B4261">
        <w:rPr>
          <w:rFonts w:ascii="Times New Roman" w:hAnsi="Times New Roman" w:cs="Times New Roman"/>
          <w:sz w:val="28"/>
        </w:rPr>
        <w:lastRenderedPageBreak/>
        <w:t>Zhodnotenie plnenia Stratégie riadenia štátneho dlhu k 30.</w:t>
      </w:r>
      <w:r>
        <w:rPr>
          <w:rFonts w:ascii="Times New Roman" w:hAnsi="Times New Roman" w:cs="Times New Roman"/>
          <w:sz w:val="28"/>
        </w:rPr>
        <w:t xml:space="preserve"> 6</w:t>
      </w:r>
      <w:r w:rsidRPr="007B4261">
        <w:rPr>
          <w:rFonts w:ascii="Times New Roman" w:hAnsi="Times New Roman" w:cs="Times New Roman"/>
          <w:sz w:val="28"/>
        </w:rPr>
        <w:t>.</w:t>
      </w:r>
      <w:r>
        <w:rPr>
          <w:rFonts w:ascii="Times New Roman" w:hAnsi="Times New Roman" w:cs="Times New Roman"/>
          <w:sz w:val="28"/>
        </w:rPr>
        <w:t xml:space="preserve"> </w:t>
      </w:r>
      <w:r w:rsidRPr="007B4261">
        <w:rPr>
          <w:rFonts w:ascii="Times New Roman" w:hAnsi="Times New Roman" w:cs="Times New Roman"/>
          <w:sz w:val="28"/>
        </w:rPr>
        <w:t>201</w:t>
      </w:r>
      <w:bookmarkEnd w:id="27"/>
      <w:r>
        <w:rPr>
          <w:rFonts w:ascii="Times New Roman" w:hAnsi="Times New Roman" w:cs="Times New Roman"/>
          <w:sz w:val="28"/>
        </w:rPr>
        <w:t>8</w:t>
      </w:r>
    </w:p>
    <w:p w14:paraId="629AFAF4" w14:textId="452EAA87" w:rsidR="00B9754C" w:rsidRDefault="00B9754C" w:rsidP="00FA07EE">
      <w:pPr>
        <w:ind w:firstLine="709"/>
        <w:jc w:val="both"/>
      </w:pPr>
      <w:r w:rsidRPr="00FA07EE">
        <w:t>Ciele riadenia štátneho dlhu sa oproti predchádzajúcej Stratégii riadenia štátneho dlhu</w:t>
      </w:r>
      <w:r w:rsidR="00BA7173">
        <w:t xml:space="preserve"> významne nezmenili a aktuálna S</w:t>
      </w:r>
      <w:bookmarkStart w:id="28" w:name="_GoBack"/>
      <w:bookmarkEnd w:id="28"/>
      <w:r w:rsidRPr="00FA07EE">
        <w:t xml:space="preserve">tratégia kontinuálne nadviazala na predchádzajúce stratégie. Zachované zostali primárne ciele, ktorými sú zabezpečenie likvidity a prístupu na trh pre financovanie potrieb štátu transparentným, obozretným a nákladovo úsporným spôsobom a súčasne udržanie rizík obsiahnutých v dlhu na akceptovateľnej úrovni. Dosiahnuté výsledky pri riadení dlhu, pri rešpektovaní vývoja na finančných trhoch potvrdili, že ciele v Stratégii boli nastavené správne. </w:t>
      </w:r>
    </w:p>
    <w:p w14:paraId="796F5BB6" w14:textId="77777777" w:rsidR="00FA07EE" w:rsidRPr="00FA07EE" w:rsidRDefault="00FA07EE" w:rsidP="00FA07EE">
      <w:pPr>
        <w:ind w:firstLine="709"/>
        <w:jc w:val="both"/>
        <w:rPr>
          <w:bCs/>
          <w:i/>
          <w:iCs/>
        </w:rPr>
      </w:pPr>
    </w:p>
    <w:p w14:paraId="6E9A5B0C" w14:textId="77777777" w:rsidR="00B9754C" w:rsidRDefault="00B9754C" w:rsidP="00FA07EE">
      <w:r w:rsidRPr="00FA07EE">
        <w:t>Plnenie parciálnych cieľov:</w:t>
      </w:r>
    </w:p>
    <w:p w14:paraId="5AF1D03F" w14:textId="77777777" w:rsidR="00FA07EE" w:rsidRPr="00FA07EE" w:rsidRDefault="00FA07EE" w:rsidP="00FA07EE"/>
    <w:p w14:paraId="32A3D797" w14:textId="77777777" w:rsidR="00B9754C" w:rsidRPr="00FA07EE" w:rsidRDefault="00B9754C" w:rsidP="00FA07EE">
      <w:pPr>
        <w:spacing w:after="120"/>
        <w:rPr>
          <w:u w:val="single"/>
        </w:rPr>
      </w:pPr>
      <w:r w:rsidRPr="00FA07EE">
        <w:rPr>
          <w:u w:val="single"/>
        </w:rPr>
        <w:t>1 - Štandardizovanie vlastností nových emisií cenných papierov</w:t>
      </w:r>
    </w:p>
    <w:p w14:paraId="52929BFD" w14:textId="0891924F" w:rsidR="00B9754C" w:rsidRDefault="00B9754C" w:rsidP="00FA07EE">
      <w:pPr>
        <w:ind w:firstLine="708"/>
        <w:jc w:val="both"/>
      </w:pPr>
      <w:r w:rsidRPr="00FA07EE">
        <w:t>V rokoch 2015 až 2018 bolo na domácom trhu otvorených celkovo 8 nových línií dlhopisov so splatnosťami od 7,5 roka až do 50 rokov. Dve z týchto nových línií boli nebenchmarkové, každá v celkovej maximál</w:t>
      </w:r>
      <w:r w:rsidR="00ED4294">
        <w:t>nej menovitej hodnote 1,5 mld. e</w:t>
      </w:r>
      <w:r w:rsidRPr="00FA07EE">
        <w:t>ur. Tieto línie boli otvorené prostredníctvom aukcie pre Primárnych dealerov. Zvyšných 6 nových línií dlhopisov bolo otvorených prostredníctvom syndikovaného predaja a sú považované za benchmarkové emisie. Štyri emisie majú štandardizovanú max</w:t>
      </w:r>
      <w:r w:rsidR="00F85569">
        <w:t>imálnu menovitú hodnotu 3 mld. e</w:t>
      </w:r>
      <w:r w:rsidRPr="00FA07EE">
        <w:t>ur a dve emisie majú max</w:t>
      </w:r>
      <w:r w:rsidR="00F85569">
        <w:t>imálnu menovitú hodnotu 5 mld. e</w:t>
      </w:r>
      <w:r w:rsidRPr="00FA07EE">
        <w:t>ur. Dôvodom zvýšenia maximálnej menovitej hodnoty pri týchto dlho</w:t>
      </w:r>
      <w:r w:rsidR="00F85569">
        <w:t>pisoch na 5 mld. e</w:t>
      </w:r>
      <w:r w:rsidRPr="00FA07EE">
        <w:t>ur bola ich dlhá splatnosť (30, respektíve 50 rokov), pričom sa predpokladá, že v čase ich splatnosti</w:t>
      </w:r>
      <w:r w:rsidR="00F85569">
        <w:t xml:space="preserve"> bude nominálna hodnota 5 mld. e</w:t>
      </w:r>
      <w:r w:rsidRPr="00FA07EE">
        <w:t>ur bežnou menovitou hodnotou dlhopisov.</w:t>
      </w:r>
    </w:p>
    <w:p w14:paraId="53A69B71" w14:textId="77777777" w:rsidR="00F85569" w:rsidRPr="00FA07EE" w:rsidRDefault="00F85569" w:rsidP="00FA07EE">
      <w:pPr>
        <w:ind w:firstLine="708"/>
        <w:jc w:val="both"/>
      </w:pPr>
    </w:p>
    <w:p w14:paraId="5D771479" w14:textId="03AE5579" w:rsidR="00B9754C" w:rsidRPr="0003036D" w:rsidRDefault="00B9754C" w:rsidP="00F85569">
      <w:pPr>
        <w:ind w:firstLine="708"/>
        <w:jc w:val="both"/>
        <w:rPr>
          <w:sz w:val="22"/>
          <w:szCs w:val="22"/>
        </w:rPr>
      </w:pPr>
      <w:r w:rsidRPr="00FA07EE">
        <w:t>Všetky verejne obchodovateľné emitované štátne cenné papiere (denominované v </w:t>
      </w:r>
      <w:r w:rsidR="006A441F">
        <w:t>e</w:t>
      </w:r>
      <w:r w:rsidRPr="00FA07EE">
        <w:t>ur) spĺňajú podmienku akceptovateľnosti aktív ECB, takže môžu byť použité v priamych operáciách ECB/NBS alebo ako zábezpeka pri operáciách súvisiacich s výkonom menovej politiky.</w:t>
      </w:r>
    </w:p>
    <w:p w14:paraId="3C593E73" w14:textId="77777777" w:rsidR="00B9754C" w:rsidRPr="00FA07EE" w:rsidRDefault="00B9754C" w:rsidP="00B9754C">
      <w:pPr>
        <w:spacing w:before="240" w:after="120"/>
        <w:jc w:val="center"/>
        <w:rPr>
          <w:b/>
        </w:rPr>
      </w:pPr>
      <w:r w:rsidRPr="00FA07EE">
        <w:rPr>
          <w:b/>
        </w:rPr>
        <w:t>Dopyt a akceptovaný dopyt v syndikátoch a domácich aukciách ŠD (mld. Eur) a úroková sadzba z aukcií (% p. a.)</w:t>
      </w:r>
    </w:p>
    <w:p w14:paraId="46BD891C" w14:textId="77777777" w:rsidR="00B9754C" w:rsidRPr="0003036D" w:rsidRDefault="00B9754C" w:rsidP="00B9754C">
      <w:pPr>
        <w:jc w:val="both"/>
        <w:rPr>
          <w:sz w:val="22"/>
          <w:szCs w:val="22"/>
        </w:rPr>
      </w:pPr>
      <w:r w:rsidRPr="001333D9">
        <w:rPr>
          <w:noProof/>
        </w:rPr>
        <w:drawing>
          <wp:inline distT="0" distB="0" distL="0" distR="0" wp14:anchorId="1E203ACA" wp14:editId="557C144C">
            <wp:extent cx="5848350" cy="2543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2543175"/>
                    </a:xfrm>
                    <a:prstGeom prst="rect">
                      <a:avLst/>
                    </a:prstGeom>
                    <a:noFill/>
                    <a:ln>
                      <a:noFill/>
                    </a:ln>
                  </pic:spPr>
                </pic:pic>
              </a:graphicData>
            </a:graphic>
          </wp:inline>
        </w:drawing>
      </w:r>
    </w:p>
    <w:p w14:paraId="7041CE03" w14:textId="77777777" w:rsidR="00B9754C" w:rsidRPr="0003036D" w:rsidRDefault="00B9754C" w:rsidP="00B9754C">
      <w:pPr>
        <w:spacing w:after="120"/>
        <w:jc w:val="right"/>
        <w:rPr>
          <w:i/>
          <w:sz w:val="16"/>
          <w:szCs w:val="16"/>
        </w:rPr>
      </w:pPr>
      <w:r w:rsidRPr="0003036D">
        <w:rPr>
          <w:i/>
          <w:sz w:val="16"/>
          <w:szCs w:val="16"/>
        </w:rPr>
        <w:t>Zdroj: ARDAL</w:t>
      </w:r>
    </w:p>
    <w:p w14:paraId="278936F0" w14:textId="77777777" w:rsidR="00B9754C" w:rsidRDefault="00B9754C" w:rsidP="00B9754C">
      <w:pPr>
        <w:spacing w:before="240" w:after="120"/>
        <w:rPr>
          <w:sz w:val="22"/>
          <w:szCs w:val="22"/>
          <w:u w:val="single"/>
        </w:rPr>
      </w:pPr>
    </w:p>
    <w:p w14:paraId="560D53C0" w14:textId="77777777" w:rsidR="00B9754C" w:rsidRPr="00FA07EE" w:rsidRDefault="00B9754C" w:rsidP="00B9754C">
      <w:pPr>
        <w:spacing w:before="240" w:after="120"/>
        <w:rPr>
          <w:u w:val="single"/>
        </w:rPr>
      </w:pPr>
      <w:r>
        <w:rPr>
          <w:sz w:val="22"/>
          <w:szCs w:val="22"/>
          <w:u w:val="single"/>
        </w:rPr>
        <w:br w:type="page"/>
      </w:r>
      <w:r w:rsidRPr="00FA07EE">
        <w:rPr>
          <w:u w:val="single"/>
        </w:rPr>
        <w:lastRenderedPageBreak/>
        <w:t>2 - Optimalizovanie štruktúry neobchodovateľného dlhu</w:t>
      </w:r>
    </w:p>
    <w:p w14:paraId="5852E04A" w14:textId="0EA7FFE7" w:rsidR="00B9754C" w:rsidRPr="00FA07EE" w:rsidRDefault="00B9754C" w:rsidP="00FA07EE">
      <w:pPr>
        <w:spacing w:before="240" w:after="120"/>
        <w:ind w:firstLine="708"/>
        <w:jc w:val="both"/>
      </w:pPr>
      <w:r w:rsidRPr="00FA07EE">
        <w:t>V minulosti bola ukončená intenzívna fáza optimalizácie štruktúry neobchodovateľného dlhu. Všetky úvery, pri ktorých bolo možné predčasné splatenie za finančne priaznivých alebo neutrálnych podmienok, boli predčasne splatené a neobchodovateľný dlh bol nahradený obchodovateľným dlhom (dlhopismi). Nové úvery (okrem realizovaných záruk) boli schvaľované len v prípade ich ekonomickej výhodnosti. V roku 2015 boli čerpané úver</w:t>
      </w:r>
      <w:r w:rsidR="003B4A87">
        <w:t>y v súhrnnej sume 395,0 mil. eur</w:t>
      </w:r>
      <w:r w:rsidRPr="00FA07EE">
        <w:t xml:space="preserve"> (</w:t>
      </w:r>
      <w:r w:rsidR="003B4A87">
        <w:t>195 mil. od CEB a 200,0 mil. eur</w:t>
      </w:r>
      <w:r w:rsidRPr="00FA07EE">
        <w:t xml:space="preserve"> od EIB).  V roku 2016 boli čerpané úvery</w:t>
      </w:r>
      <w:r w:rsidR="003B4A87">
        <w:t xml:space="preserve"> v celkovej hodnote 330 mil. eur (75,0 mil. eur od CEB a 105,0 mil. eur</w:t>
      </w:r>
      <w:r w:rsidRPr="00FA07EE">
        <w:t xml:space="preserve"> od EIB). Začiatkom roku 2017 bol čerpaný úv</w:t>
      </w:r>
      <w:r w:rsidR="003B4A87">
        <w:t>ery od EIB v hodnote 75 mil. eur</w:t>
      </w:r>
      <w:r w:rsidRPr="00FA07EE">
        <w:t>. Pri všetkých úveroch boli pod</w:t>
      </w:r>
      <w:r w:rsidR="003B4A87">
        <w:t>mienky ich čerpania výhodnejšie</w:t>
      </w:r>
      <w:r w:rsidRPr="00FA07EE">
        <w:t xml:space="preserve"> alebo rovnaké</w:t>
      </w:r>
      <w:r w:rsidR="003B4A87">
        <w:t>,</w:t>
      </w:r>
      <w:r w:rsidRPr="00FA07EE">
        <w:t xml:space="preserve"> ako pri emisii porovnateľných cenných papierov. </w:t>
      </w:r>
    </w:p>
    <w:p w14:paraId="7E73542A" w14:textId="77777777" w:rsidR="00B9754C" w:rsidRPr="00FA07EE" w:rsidRDefault="00B9754C" w:rsidP="00B9754C">
      <w:pPr>
        <w:spacing w:before="240" w:after="120"/>
        <w:rPr>
          <w:u w:val="single"/>
        </w:rPr>
      </w:pPr>
      <w:r w:rsidRPr="00FA07EE">
        <w:rPr>
          <w:u w:val="single"/>
        </w:rPr>
        <w:t>3 - Dodržiavanie parametrov refinančného, úrokového a cudzomenového rizika štátneho dlhu</w:t>
      </w:r>
    </w:p>
    <w:p w14:paraId="2970D4EE" w14:textId="18F7B938" w:rsidR="00B9754C" w:rsidRDefault="00F21269" w:rsidP="00FA07EE">
      <w:pPr>
        <w:spacing w:before="240" w:after="120"/>
        <w:ind w:firstLine="708"/>
        <w:jc w:val="both"/>
      </w:pPr>
      <w:r>
        <w:t xml:space="preserve">Stratégia </w:t>
      </w:r>
      <w:r w:rsidR="00B9754C" w:rsidRPr="00FA07EE">
        <w:t>nadväzoval</w:t>
      </w:r>
      <w:r>
        <w:t>a v princípoch na predchádzajúcu</w:t>
      </w:r>
      <w:r w:rsidR="00B9754C" w:rsidRPr="00FA07EE">
        <w:t xml:space="preserve"> stratégiu. Pre refinančné riziko bolo strategickým zámerom udržiavanie hodnoty finančných záväzkov štátu splatných v prvom roku blízko úrovne 20 % z celkových finančných záväzkov, kumulatívne za päť rokov je strategickým zámerom hodnota 55 %. Pre riziko z precenenia bolo zámerom udržiavanie hodnoty preceňovaných finančných záväzkov štátu v prvom roku blízko úrovne 25 % z celkových finančných záväzkov štátu, kumulatívne za päť rokov je zámerom 55 %. Dodržiavanie uvedených cieľov posúva portfólio štátu oproti uplynulému obdobiu do oblasti menšieho rizika v zmysle refinancovania a zmeny úrokových sadzieb.</w:t>
      </w:r>
    </w:p>
    <w:p w14:paraId="566FB212" w14:textId="77777777" w:rsidR="00F83AD2" w:rsidRPr="00BA1A27" w:rsidRDefault="00F83AD2" w:rsidP="00FA07EE">
      <w:pPr>
        <w:spacing w:before="240" w:after="120"/>
        <w:ind w:firstLine="708"/>
        <w:jc w:val="both"/>
        <w:rPr>
          <w:sz w:val="22"/>
          <w:szCs w:val="22"/>
        </w:rPr>
      </w:pPr>
    </w:p>
    <w:tbl>
      <w:tblPr>
        <w:tblW w:w="6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4"/>
        <w:gridCol w:w="1330"/>
        <w:gridCol w:w="1330"/>
        <w:gridCol w:w="1295"/>
        <w:gridCol w:w="1295"/>
      </w:tblGrid>
      <w:tr w:rsidR="00B9754C" w:rsidRPr="0095057F" w14:paraId="31AFC08B" w14:textId="77777777" w:rsidTr="000B6A73">
        <w:trPr>
          <w:trHeight w:val="205"/>
          <w:jc w:val="center"/>
        </w:trPr>
        <w:tc>
          <w:tcPr>
            <w:tcW w:w="6544" w:type="dxa"/>
            <w:gridSpan w:val="5"/>
            <w:shd w:val="clear" w:color="auto" w:fill="A6A6A6" w:themeFill="background1" w:themeFillShade="A6"/>
            <w:noWrap/>
            <w:vAlign w:val="center"/>
          </w:tcPr>
          <w:p w14:paraId="68A58A19" w14:textId="77777777" w:rsidR="00B9754C" w:rsidRPr="00FA07EE" w:rsidRDefault="00B9754C" w:rsidP="001F1BB7">
            <w:pPr>
              <w:jc w:val="center"/>
              <w:rPr>
                <w:b/>
                <w:bCs/>
                <w:sz w:val="16"/>
                <w:szCs w:val="16"/>
              </w:rPr>
            </w:pPr>
            <w:r w:rsidRPr="00FA07EE">
              <w:rPr>
                <w:b/>
                <w:bCs/>
                <w:sz w:val="16"/>
                <w:szCs w:val="16"/>
              </w:rPr>
              <w:t>Ukazovatele refinančného rizika a rizika z precenia</w:t>
            </w:r>
          </w:p>
        </w:tc>
      </w:tr>
      <w:tr w:rsidR="00B9754C" w:rsidRPr="0095057F" w14:paraId="02294BC6" w14:textId="77777777" w:rsidTr="000B6A73">
        <w:trPr>
          <w:trHeight w:val="575"/>
          <w:jc w:val="center"/>
        </w:trPr>
        <w:tc>
          <w:tcPr>
            <w:tcW w:w="1294" w:type="dxa"/>
            <w:shd w:val="clear" w:color="auto" w:fill="BFBFBF" w:themeFill="background1" w:themeFillShade="BF"/>
            <w:noWrap/>
            <w:vAlign w:val="bottom"/>
          </w:tcPr>
          <w:p w14:paraId="3E7A57B5" w14:textId="77777777" w:rsidR="00B9754C" w:rsidRPr="00FA07EE" w:rsidRDefault="00B9754C" w:rsidP="001F1BB7">
            <w:pPr>
              <w:jc w:val="center"/>
              <w:rPr>
                <w:b/>
                <w:bCs/>
                <w:sz w:val="16"/>
                <w:szCs w:val="16"/>
              </w:rPr>
            </w:pPr>
            <w:r w:rsidRPr="00FA07EE">
              <w:rPr>
                <w:b/>
                <w:bCs/>
                <w:sz w:val="16"/>
                <w:szCs w:val="16"/>
              </w:rPr>
              <w:t> </w:t>
            </w:r>
          </w:p>
        </w:tc>
        <w:tc>
          <w:tcPr>
            <w:tcW w:w="1330" w:type="dxa"/>
            <w:shd w:val="clear" w:color="auto" w:fill="BFBFBF" w:themeFill="background1" w:themeFillShade="BF"/>
            <w:vAlign w:val="bottom"/>
          </w:tcPr>
          <w:p w14:paraId="768391F8" w14:textId="77777777" w:rsidR="00B9754C" w:rsidRPr="00FA07EE" w:rsidRDefault="00B9754C" w:rsidP="001F1BB7">
            <w:pPr>
              <w:jc w:val="center"/>
              <w:rPr>
                <w:b/>
                <w:bCs/>
                <w:sz w:val="16"/>
                <w:szCs w:val="16"/>
              </w:rPr>
            </w:pPr>
            <w:r w:rsidRPr="00FA07EE">
              <w:rPr>
                <w:b/>
                <w:bCs/>
                <w:sz w:val="16"/>
                <w:szCs w:val="16"/>
              </w:rPr>
              <w:t>Refinancovanie</w:t>
            </w:r>
          </w:p>
          <w:p w14:paraId="3083C16B" w14:textId="77777777" w:rsidR="00B9754C" w:rsidRPr="00FA07EE" w:rsidRDefault="00B9754C" w:rsidP="001F1BB7">
            <w:pPr>
              <w:jc w:val="center"/>
              <w:rPr>
                <w:b/>
                <w:bCs/>
                <w:sz w:val="16"/>
                <w:szCs w:val="16"/>
              </w:rPr>
            </w:pPr>
            <w:r w:rsidRPr="00FA07EE">
              <w:rPr>
                <w:b/>
                <w:bCs/>
                <w:sz w:val="16"/>
                <w:szCs w:val="16"/>
              </w:rPr>
              <w:t>v 1 roku*</w:t>
            </w:r>
          </w:p>
          <w:p w14:paraId="499FF61E" w14:textId="77777777" w:rsidR="00B9754C" w:rsidRPr="00FA07EE" w:rsidRDefault="00B9754C" w:rsidP="001F1BB7">
            <w:pPr>
              <w:jc w:val="center"/>
              <w:rPr>
                <w:b/>
                <w:bCs/>
                <w:sz w:val="16"/>
                <w:szCs w:val="16"/>
              </w:rPr>
            </w:pPr>
            <w:r w:rsidRPr="00FA07EE">
              <w:rPr>
                <w:b/>
                <w:bCs/>
                <w:sz w:val="16"/>
                <w:szCs w:val="16"/>
              </w:rPr>
              <w:t>(opt. 20%)</w:t>
            </w:r>
          </w:p>
          <w:p w14:paraId="18B1CB58" w14:textId="77777777" w:rsidR="00B9754C" w:rsidRPr="00FA07EE" w:rsidRDefault="00B9754C" w:rsidP="001F1BB7">
            <w:pPr>
              <w:jc w:val="center"/>
              <w:rPr>
                <w:b/>
                <w:bCs/>
                <w:sz w:val="16"/>
                <w:szCs w:val="16"/>
              </w:rPr>
            </w:pPr>
            <w:r w:rsidRPr="00FA07EE">
              <w:rPr>
                <w:b/>
                <w:bCs/>
                <w:sz w:val="16"/>
                <w:szCs w:val="16"/>
              </w:rPr>
              <w:t>[%]</w:t>
            </w:r>
          </w:p>
        </w:tc>
        <w:tc>
          <w:tcPr>
            <w:tcW w:w="1330" w:type="dxa"/>
            <w:shd w:val="clear" w:color="auto" w:fill="BFBFBF" w:themeFill="background1" w:themeFillShade="BF"/>
            <w:vAlign w:val="bottom"/>
          </w:tcPr>
          <w:p w14:paraId="77D2BEC4" w14:textId="77777777" w:rsidR="00B9754C" w:rsidRPr="00FA07EE" w:rsidRDefault="00B9754C" w:rsidP="001F1BB7">
            <w:pPr>
              <w:jc w:val="center"/>
              <w:rPr>
                <w:b/>
                <w:bCs/>
                <w:sz w:val="16"/>
                <w:szCs w:val="16"/>
              </w:rPr>
            </w:pPr>
            <w:r w:rsidRPr="00FA07EE">
              <w:rPr>
                <w:b/>
                <w:bCs/>
                <w:sz w:val="16"/>
                <w:szCs w:val="16"/>
              </w:rPr>
              <w:t>Refinancovanie</w:t>
            </w:r>
          </w:p>
          <w:p w14:paraId="6AED5033" w14:textId="77777777" w:rsidR="00B9754C" w:rsidRPr="00FA07EE" w:rsidRDefault="00B9754C" w:rsidP="001F1BB7">
            <w:pPr>
              <w:jc w:val="center"/>
              <w:rPr>
                <w:b/>
                <w:bCs/>
                <w:sz w:val="16"/>
                <w:szCs w:val="16"/>
              </w:rPr>
            </w:pPr>
            <w:r w:rsidRPr="00FA07EE">
              <w:rPr>
                <w:b/>
                <w:bCs/>
                <w:sz w:val="16"/>
                <w:szCs w:val="16"/>
              </w:rPr>
              <w:t>v 5 rokoch*</w:t>
            </w:r>
          </w:p>
          <w:p w14:paraId="2D2A9D0E" w14:textId="77777777" w:rsidR="00B9754C" w:rsidRPr="00FA07EE" w:rsidRDefault="00B9754C" w:rsidP="001F1BB7">
            <w:pPr>
              <w:jc w:val="center"/>
              <w:rPr>
                <w:b/>
                <w:bCs/>
                <w:sz w:val="16"/>
                <w:szCs w:val="16"/>
              </w:rPr>
            </w:pPr>
            <w:r w:rsidRPr="00FA07EE">
              <w:rPr>
                <w:b/>
                <w:bCs/>
                <w:sz w:val="16"/>
                <w:szCs w:val="16"/>
              </w:rPr>
              <w:t>(opt. 55 %)</w:t>
            </w:r>
          </w:p>
          <w:p w14:paraId="56D7E48C" w14:textId="77777777" w:rsidR="00B9754C" w:rsidRPr="00FA07EE" w:rsidRDefault="00B9754C" w:rsidP="001F1BB7">
            <w:pPr>
              <w:jc w:val="center"/>
              <w:rPr>
                <w:b/>
                <w:bCs/>
                <w:sz w:val="16"/>
                <w:szCs w:val="16"/>
              </w:rPr>
            </w:pPr>
            <w:r w:rsidRPr="00FA07EE">
              <w:rPr>
                <w:b/>
                <w:bCs/>
                <w:sz w:val="16"/>
                <w:szCs w:val="16"/>
              </w:rPr>
              <w:t>[%]</w:t>
            </w:r>
          </w:p>
        </w:tc>
        <w:tc>
          <w:tcPr>
            <w:tcW w:w="1295" w:type="dxa"/>
            <w:shd w:val="clear" w:color="auto" w:fill="BFBFBF" w:themeFill="background1" w:themeFillShade="BF"/>
            <w:vAlign w:val="bottom"/>
          </w:tcPr>
          <w:p w14:paraId="3367AD1F" w14:textId="77777777" w:rsidR="00B9754C" w:rsidRPr="00FA07EE" w:rsidRDefault="00B9754C" w:rsidP="001F1BB7">
            <w:pPr>
              <w:jc w:val="center"/>
              <w:rPr>
                <w:b/>
                <w:bCs/>
                <w:sz w:val="16"/>
                <w:szCs w:val="16"/>
              </w:rPr>
            </w:pPr>
            <w:r w:rsidRPr="00FA07EE">
              <w:rPr>
                <w:b/>
                <w:bCs/>
                <w:sz w:val="16"/>
                <w:szCs w:val="16"/>
              </w:rPr>
              <w:t>Zmena úroku</w:t>
            </w:r>
          </w:p>
          <w:p w14:paraId="2B694512" w14:textId="77777777" w:rsidR="00B9754C" w:rsidRPr="00FA07EE" w:rsidRDefault="00B9754C" w:rsidP="001F1BB7">
            <w:pPr>
              <w:jc w:val="center"/>
              <w:rPr>
                <w:b/>
                <w:bCs/>
                <w:sz w:val="16"/>
                <w:szCs w:val="16"/>
              </w:rPr>
            </w:pPr>
            <w:r w:rsidRPr="00FA07EE">
              <w:rPr>
                <w:b/>
                <w:bCs/>
                <w:sz w:val="16"/>
                <w:szCs w:val="16"/>
              </w:rPr>
              <w:t>v 1 roku*</w:t>
            </w:r>
          </w:p>
          <w:p w14:paraId="008B8FF8" w14:textId="77777777" w:rsidR="00B9754C" w:rsidRPr="00FA07EE" w:rsidRDefault="00B9754C" w:rsidP="001F1BB7">
            <w:pPr>
              <w:jc w:val="center"/>
              <w:rPr>
                <w:b/>
                <w:bCs/>
                <w:sz w:val="16"/>
                <w:szCs w:val="16"/>
              </w:rPr>
            </w:pPr>
            <w:r w:rsidRPr="00FA07EE">
              <w:rPr>
                <w:b/>
                <w:bCs/>
                <w:sz w:val="16"/>
                <w:szCs w:val="16"/>
              </w:rPr>
              <w:t>(opt. 25 %)</w:t>
            </w:r>
          </w:p>
          <w:p w14:paraId="051EDB10" w14:textId="77777777" w:rsidR="00B9754C" w:rsidRPr="00FA07EE" w:rsidRDefault="00B9754C" w:rsidP="001F1BB7">
            <w:pPr>
              <w:jc w:val="center"/>
              <w:rPr>
                <w:b/>
                <w:bCs/>
                <w:sz w:val="16"/>
                <w:szCs w:val="16"/>
              </w:rPr>
            </w:pPr>
            <w:r w:rsidRPr="00FA07EE">
              <w:rPr>
                <w:b/>
                <w:bCs/>
                <w:sz w:val="16"/>
                <w:szCs w:val="16"/>
              </w:rPr>
              <w:t>[%]</w:t>
            </w:r>
          </w:p>
        </w:tc>
        <w:tc>
          <w:tcPr>
            <w:tcW w:w="1295" w:type="dxa"/>
            <w:shd w:val="clear" w:color="auto" w:fill="BFBFBF" w:themeFill="background1" w:themeFillShade="BF"/>
            <w:vAlign w:val="bottom"/>
          </w:tcPr>
          <w:p w14:paraId="0BC6B09C" w14:textId="77777777" w:rsidR="00B9754C" w:rsidRPr="00FA07EE" w:rsidRDefault="00B9754C" w:rsidP="001F1BB7">
            <w:pPr>
              <w:jc w:val="center"/>
              <w:rPr>
                <w:b/>
                <w:bCs/>
                <w:sz w:val="16"/>
                <w:szCs w:val="16"/>
              </w:rPr>
            </w:pPr>
            <w:r w:rsidRPr="00FA07EE">
              <w:rPr>
                <w:b/>
                <w:bCs/>
                <w:sz w:val="16"/>
                <w:szCs w:val="16"/>
              </w:rPr>
              <w:t>Zmena úroku</w:t>
            </w:r>
          </w:p>
          <w:p w14:paraId="60720DB2" w14:textId="77777777" w:rsidR="00B9754C" w:rsidRPr="00FA07EE" w:rsidRDefault="00B9754C" w:rsidP="001F1BB7">
            <w:pPr>
              <w:jc w:val="center"/>
              <w:rPr>
                <w:b/>
                <w:bCs/>
                <w:sz w:val="16"/>
                <w:szCs w:val="16"/>
              </w:rPr>
            </w:pPr>
            <w:r w:rsidRPr="00FA07EE">
              <w:rPr>
                <w:b/>
                <w:bCs/>
                <w:sz w:val="16"/>
                <w:szCs w:val="16"/>
              </w:rPr>
              <w:t>v 5 rokoch*</w:t>
            </w:r>
          </w:p>
          <w:p w14:paraId="12844901" w14:textId="77777777" w:rsidR="00B9754C" w:rsidRPr="00FA07EE" w:rsidRDefault="00B9754C" w:rsidP="001F1BB7">
            <w:pPr>
              <w:jc w:val="center"/>
              <w:rPr>
                <w:b/>
                <w:bCs/>
                <w:sz w:val="16"/>
                <w:szCs w:val="16"/>
              </w:rPr>
            </w:pPr>
            <w:r w:rsidRPr="00FA07EE">
              <w:rPr>
                <w:b/>
                <w:bCs/>
                <w:sz w:val="16"/>
                <w:szCs w:val="16"/>
              </w:rPr>
              <w:t>(opt. 55 %)</w:t>
            </w:r>
          </w:p>
          <w:p w14:paraId="77F16129" w14:textId="77777777" w:rsidR="00B9754C" w:rsidRPr="00FA07EE" w:rsidRDefault="00B9754C" w:rsidP="001F1BB7">
            <w:pPr>
              <w:jc w:val="center"/>
              <w:rPr>
                <w:b/>
                <w:bCs/>
                <w:sz w:val="16"/>
                <w:szCs w:val="16"/>
              </w:rPr>
            </w:pPr>
            <w:r w:rsidRPr="00FA07EE">
              <w:rPr>
                <w:b/>
                <w:bCs/>
                <w:sz w:val="16"/>
                <w:szCs w:val="16"/>
              </w:rPr>
              <w:t>[%]</w:t>
            </w:r>
          </w:p>
        </w:tc>
      </w:tr>
      <w:tr w:rsidR="00B9754C" w:rsidRPr="0095057F" w14:paraId="618DBE15" w14:textId="77777777" w:rsidTr="001F1BB7">
        <w:trPr>
          <w:trHeight w:hRule="exact" w:val="202"/>
          <w:jc w:val="center"/>
        </w:trPr>
        <w:tc>
          <w:tcPr>
            <w:tcW w:w="1294" w:type="dxa"/>
            <w:shd w:val="clear" w:color="000000" w:fill="FFFFFF"/>
            <w:noWrap/>
          </w:tcPr>
          <w:p w14:paraId="054C915F" w14:textId="77777777" w:rsidR="00B9754C" w:rsidRPr="00FA07EE" w:rsidRDefault="00B9754C" w:rsidP="001F1BB7">
            <w:pPr>
              <w:jc w:val="center"/>
              <w:rPr>
                <w:sz w:val="16"/>
                <w:szCs w:val="16"/>
              </w:rPr>
            </w:pPr>
            <w:r w:rsidRPr="00FA07EE">
              <w:rPr>
                <w:sz w:val="16"/>
                <w:szCs w:val="16"/>
              </w:rPr>
              <w:t>1Q 2015</w:t>
            </w:r>
          </w:p>
        </w:tc>
        <w:tc>
          <w:tcPr>
            <w:tcW w:w="1330" w:type="dxa"/>
            <w:shd w:val="clear" w:color="000000" w:fill="FFFFFF"/>
            <w:noWrap/>
          </w:tcPr>
          <w:p w14:paraId="6571A3F5" w14:textId="77777777" w:rsidR="00B9754C" w:rsidRPr="00FA07EE" w:rsidRDefault="00B9754C" w:rsidP="001F1BB7">
            <w:pPr>
              <w:jc w:val="center"/>
              <w:rPr>
                <w:sz w:val="16"/>
                <w:szCs w:val="16"/>
              </w:rPr>
            </w:pPr>
            <w:r w:rsidRPr="00FA07EE">
              <w:rPr>
                <w:sz w:val="16"/>
                <w:szCs w:val="16"/>
              </w:rPr>
              <w:t>16,14</w:t>
            </w:r>
          </w:p>
        </w:tc>
        <w:tc>
          <w:tcPr>
            <w:tcW w:w="1330" w:type="dxa"/>
            <w:shd w:val="clear" w:color="000000" w:fill="FFFFFF"/>
            <w:noWrap/>
          </w:tcPr>
          <w:p w14:paraId="53ABD28C" w14:textId="77777777" w:rsidR="00B9754C" w:rsidRPr="00FA07EE" w:rsidRDefault="00B9754C" w:rsidP="001F1BB7">
            <w:pPr>
              <w:jc w:val="center"/>
              <w:rPr>
                <w:sz w:val="16"/>
                <w:szCs w:val="16"/>
              </w:rPr>
            </w:pPr>
            <w:r w:rsidRPr="00FA07EE">
              <w:rPr>
                <w:sz w:val="16"/>
                <w:szCs w:val="16"/>
              </w:rPr>
              <w:t>41,95</w:t>
            </w:r>
          </w:p>
        </w:tc>
        <w:tc>
          <w:tcPr>
            <w:tcW w:w="1295" w:type="dxa"/>
            <w:shd w:val="clear" w:color="000000" w:fill="FFFFFF"/>
            <w:noWrap/>
          </w:tcPr>
          <w:p w14:paraId="01B92CA4" w14:textId="77777777" w:rsidR="00B9754C" w:rsidRPr="00FA07EE" w:rsidRDefault="00B9754C" w:rsidP="001F1BB7">
            <w:pPr>
              <w:jc w:val="center"/>
              <w:rPr>
                <w:sz w:val="16"/>
                <w:szCs w:val="16"/>
              </w:rPr>
            </w:pPr>
            <w:r w:rsidRPr="00FA07EE">
              <w:rPr>
                <w:sz w:val="16"/>
                <w:szCs w:val="16"/>
              </w:rPr>
              <w:t>20,17</w:t>
            </w:r>
          </w:p>
        </w:tc>
        <w:tc>
          <w:tcPr>
            <w:tcW w:w="1295" w:type="dxa"/>
            <w:shd w:val="clear" w:color="000000" w:fill="FFFFFF"/>
            <w:noWrap/>
          </w:tcPr>
          <w:p w14:paraId="37F232A5" w14:textId="77777777" w:rsidR="00B9754C" w:rsidRPr="00FA07EE" w:rsidRDefault="00B9754C" w:rsidP="001F1BB7">
            <w:pPr>
              <w:jc w:val="center"/>
              <w:rPr>
                <w:sz w:val="16"/>
                <w:szCs w:val="16"/>
              </w:rPr>
            </w:pPr>
            <w:r w:rsidRPr="00FA07EE">
              <w:rPr>
                <w:sz w:val="16"/>
                <w:szCs w:val="16"/>
              </w:rPr>
              <w:t>41,98</w:t>
            </w:r>
          </w:p>
        </w:tc>
      </w:tr>
      <w:tr w:rsidR="00B9754C" w:rsidRPr="0095057F" w14:paraId="14BA4DAD" w14:textId="77777777" w:rsidTr="001F1BB7">
        <w:trPr>
          <w:trHeight w:hRule="exact" w:val="202"/>
          <w:jc w:val="center"/>
        </w:trPr>
        <w:tc>
          <w:tcPr>
            <w:tcW w:w="1294" w:type="dxa"/>
            <w:shd w:val="clear" w:color="000000" w:fill="FFFFFF"/>
            <w:noWrap/>
          </w:tcPr>
          <w:p w14:paraId="15C209D1" w14:textId="77777777" w:rsidR="00B9754C" w:rsidRPr="00FA07EE" w:rsidRDefault="00B9754C" w:rsidP="001F1BB7">
            <w:pPr>
              <w:jc w:val="center"/>
              <w:rPr>
                <w:sz w:val="16"/>
                <w:szCs w:val="16"/>
              </w:rPr>
            </w:pPr>
            <w:r w:rsidRPr="00FA07EE">
              <w:rPr>
                <w:sz w:val="16"/>
                <w:szCs w:val="16"/>
              </w:rPr>
              <w:t>2Q 2015</w:t>
            </w:r>
          </w:p>
        </w:tc>
        <w:tc>
          <w:tcPr>
            <w:tcW w:w="1330" w:type="dxa"/>
            <w:shd w:val="clear" w:color="000000" w:fill="FFFFFF"/>
            <w:noWrap/>
          </w:tcPr>
          <w:p w14:paraId="4FFF56C4" w14:textId="77777777" w:rsidR="00B9754C" w:rsidRPr="00FA07EE" w:rsidRDefault="00B9754C" w:rsidP="001F1BB7">
            <w:pPr>
              <w:jc w:val="center"/>
              <w:rPr>
                <w:sz w:val="16"/>
                <w:szCs w:val="16"/>
              </w:rPr>
            </w:pPr>
            <w:r w:rsidRPr="00FA07EE">
              <w:rPr>
                <w:sz w:val="16"/>
                <w:szCs w:val="16"/>
              </w:rPr>
              <w:t>15,95</w:t>
            </w:r>
          </w:p>
        </w:tc>
        <w:tc>
          <w:tcPr>
            <w:tcW w:w="1330" w:type="dxa"/>
            <w:shd w:val="clear" w:color="000000" w:fill="FFFFFF"/>
            <w:noWrap/>
          </w:tcPr>
          <w:p w14:paraId="11B06DC1" w14:textId="77777777" w:rsidR="00B9754C" w:rsidRPr="00FA07EE" w:rsidRDefault="00B9754C" w:rsidP="001F1BB7">
            <w:pPr>
              <w:jc w:val="center"/>
              <w:rPr>
                <w:sz w:val="16"/>
                <w:szCs w:val="16"/>
              </w:rPr>
            </w:pPr>
            <w:r w:rsidRPr="00FA07EE">
              <w:rPr>
                <w:sz w:val="16"/>
                <w:szCs w:val="16"/>
              </w:rPr>
              <w:t>48,46</w:t>
            </w:r>
          </w:p>
        </w:tc>
        <w:tc>
          <w:tcPr>
            <w:tcW w:w="1295" w:type="dxa"/>
            <w:shd w:val="clear" w:color="000000" w:fill="FFFFFF"/>
            <w:noWrap/>
          </w:tcPr>
          <w:p w14:paraId="386F42B5" w14:textId="77777777" w:rsidR="00B9754C" w:rsidRPr="00FA07EE" w:rsidRDefault="00B9754C" w:rsidP="001F1BB7">
            <w:pPr>
              <w:jc w:val="center"/>
              <w:rPr>
                <w:sz w:val="16"/>
                <w:szCs w:val="16"/>
              </w:rPr>
            </w:pPr>
            <w:r w:rsidRPr="00FA07EE">
              <w:rPr>
                <w:sz w:val="16"/>
                <w:szCs w:val="16"/>
              </w:rPr>
              <w:t>19,16</w:t>
            </w:r>
          </w:p>
        </w:tc>
        <w:tc>
          <w:tcPr>
            <w:tcW w:w="1295" w:type="dxa"/>
            <w:shd w:val="clear" w:color="000000" w:fill="FFFFFF"/>
            <w:noWrap/>
          </w:tcPr>
          <w:p w14:paraId="1F5ED912" w14:textId="77777777" w:rsidR="00B9754C" w:rsidRPr="00FA07EE" w:rsidRDefault="00B9754C" w:rsidP="001F1BB7">
            <w:pPr>
              <w:jc w:val="center"/>
              <w:rPr>
                <w:sz w:val="16"/>
                <w:szCs w:val="16"/>
              </w:rPr>
            </w:pPr>
            <w:r w:rsidRPr="00FA07EE">
              <w:rPr>
                <w:sz w:val="16"/>
                <w:szCs w:val="16"/>
              </w:rPr>
              <w:t>48,48</w:t>
            </w:r>
          </w:p>
        </w:tc>
      </w:tr>
      <w:tr w:rsidR="00B9754C" w:rsidRPr="0095057F" w14:paraId="007F5BFE" w14:textId="77777777" w:rsidTr="001F1BB7">
        <w:trPr>
          <w:trHeight w:hRule="exact" w:val="202"/>
          <w:jc w:val="center"/>
        </w:trPr>
        <w:tc>
          <w:tcPr>
            <w:tcW w:w="1294" w:type="dxa"/>
            <w:shd w:val="clear" w:color="000000" w:fill="FFFFFF"/>
            <w:noWrap/>
          </w:tcPr>
          <w:p w14:paraId="4A4299EC" w14:textId="77777777" w:rsidR="00B9754C" w:rsidRPr="00FA07EE" w:rsidRDefault="00B9754C" w:rsidP="001F1BB7">
            <w:pPr>
              <w:jc w:val="center"/>
              <w:rPr>
                <w:sz w:val="16"/>
                <w:szCs w:val="16"/>
              </w:rPr>
            </w:pPr>
            <w:r w:rsidRPr="00FA07EE">
              <w:rPr>
                <w:sz w:val="16"/>
                <w:szCs w:val="16"/>
              </w:rPr>
              <w:t>3Q 2015</w:t>
            </w:r>
          </w:p>
        </w:tc>
        <w:tc>
          <w:tcPr>
            <w:tcW w:w="1330" w:type="dxa"/>
            <w:shd w:val="clear" w:color="000000" w:fill="FFFFFF"/>
            <w:noWrap/>
          </w:tcPr>
          <w:p w14:paraId="7817D5C9" w14:textId="77777777" w:rsidR="00B9754C" w:rsidRPr="00FA07EE" w:rsidRDefault="00B9754C" w:rsidP="001F1BB7">
            <w:pPr>
              <w:jc w:val="center"/>
              <w:rPr>
                <w:sz w:val="16"/>
                <w:szCs w:val="16"/>
              </w:rPr>
            </w:pPr>
            <w:r w:rsidRPr="00FA07EE">
              <w:rPr>
                <w:sz w:val="16"/>
                <w:szCs w:val="16"/>
              </w:rPr>
              <w:t>15,19</w:t>
            </w:r>
          </w:p>
        </w:tc>
        <w:tc>
          <w:tcPr>
            <w:tcW w:w="1330" w:type="dxa"/>
            <w:shd w:val="clear" w:color="000000" w:fill="FFFFFF"/>
            <w:noWrap/>
          </w:tcPr>
          <w:p w14:paraId="4571852B" w14:textId="77777777" w:rsidR="00B9754C" w:rsidRPr="00FA07EE" w:rsidRDefault="00B9754C" w:rsidP="001F1BB7">
            <w:pPr>
              <w:jc w:val="center"/>
              <w:rPr>
                <w:sz w:val="16"/>
                <w:szCs w:val="16"/>
              </w:rPr>
            </w:pPr>
            <w:r w:rsidRPr="00FA07EE">
              <w:rPr>
                <w:sz w:val="16"/>
                <w:szCs w:val="16"/>
              </w:rPr>
              <w:t>47,78</w:t>
            </w:r>
          </w:p>
        </w:tc>
        <w:tc>
          <w:tcPr>
            <w:tcW w:w="1295" w:type="dxa"/>
            <w:shd w:val="clear" w:color="000000" w:fill="FFFFFF"/>
            <w:noWrap/>
          </w:tcPr>
          <w:p w14:paraId="2F0E93EB" w14:textId="77777777" w:rsidR="00B9754C" w:rsidRPr="00FA07EE" w:rsidRDefault="00B9754C" w:rsidP="001F1BB7">
            <w:pPr>
              <w:jc w:val="center"/>
              <w:rPr>
                <w:sz w:val="16"/>
                <w:szCs w:val="16"/>
              </w:rPr>
            </w:pPr>
            <w:r w:rsidRPr="00FA07EE">
              <w:rPr>
                <w:sz w:val="16"/>
                <w:szCs w:val="16"/>
              </w:rPr>
              <w:t>18,36</w:t>
            </w:r>
          </w:p>
        </w:tc>
        <w:tc>
          <w:tcPr>
            <w:tcW w:w="1295" w:type="dxa"/>
            <w:shd w:val="clear" w:color="000000" w:fill="FFFFFF"/>
            <w:noWrap/>
          </w:tcPr>
          <w:p w14:paraId="5D4D7B48" w14:textId="77777777" w:rsidR="00B9754C" w:rsidRPr="00FA07EE" w:rsidRDefault="00B9754C" w:rsidP="001F1BB7">
            <w:pPr>
              <w:jc w:val="center"/>
              <w:rPr>
                <w:sz w:val="16"/>
                <w:szCs w:val="16"/>
              </w:rPr>
            </w:pPr>
            <w:r w:rsidRPr="00FA07EE">
              <w:rPr>
                <w:sz w:val="16"/>
                <w:szCs w:val="16"/>
              </w:rPr>
              <w:t>47,80</w:t>
            </w:r>
          </w:p>
        </w:tc>
      </w:tr>
      <w:tr w:rsidR="00B9754C" w:rsidRPr="0095057F" w14:paraId="330547DD" w14:textId="77777777" w:rsidTr="001F1BB7">
        <w:trPr>
          <w:trHeight w:hRule="exact" w:val="202"/>
          <w:jc w:val="center"/>
        </w:trPr>
        <w:tc>
          <w:tcPr>
            <w:tcW w:w="1294" w:type="dxa"/>
            <w:shd w:val="clear" w:color="000000" w:fill="FFFFFF"/>
            <w:noWrap/>
          </w:tcPr>
          <w:p w14:paraId="30F8C2CA" w14:textId="77777777" w:rsidR="00B9754C" w:rsidRPr="00FA07EE" w:rsidRDefault="00B9754C" w:rsidP="001F1BB7">
            <w:pPr>
              <w:jc w:val="center"/>
              <w:rPr>
                <w:sz w:val="16"/>
                <w:szCs w:val="16"/>
              </w:rPr>
            </w:pPr>
            <w:r w:rsidRPr="00FA07EE">
              <w:rPr>
                <w:sz w:val="16"/>
                <w:szCs w:val="16"/>
              </w:rPr>
              <w:t>4Q 2015</w:t>
            </w:r>
          </w:p>
        </w:tc>
        <w:tc>
          <w:tcPr>
            <w:tcW w:w="1330" w:type="dxa"/>
            <w:shd w:val="clear" w:color="000000" w:fill="FFFFFF"/>
            <w:noWrap/>
          </w:tcPr>
          <w:p w14:paraId="52559CF8" w14:textId="77777777" w:rsidR="00B9754C" w:rsidRPr="00FA07EE" w:rsidRDefault="00B9754C" w:rsidP="001F1BB7">
            <w:pPr>
              <w:jc w:val="center"/>
              <w:rPr>
                <w:sz w:val="16"/>
                <w:szCs w:val="16"/>
              </w:rPr>
            </w:pPr>
            <w:r w:rsidRPr="00FA07EE">
              <w:rPr>
                <w:sz w:val="16"/>
                <w:szCs w:val="16"/>
              </w:rPr>
              <w:t>18,52</w:t>
            </w:r>
          </w:p>
        </w:tc>
        <w:tc>
          <w:tcPr>
            <w:tcW w:w="1330" w:type="dxa"/>
            <w:shd w:val="clear" w:color="000000" w:fill="FFFFFF"/>
            <w:noWrap/>
          </w:tcPr>
          <w:p w14:paraId="3973B66A" w14:textId="77777777" w:rsidR="00B9754C" w:rsidRPr="00FA07EE" w:rsidRDefault="00B9754C" w:rsidP="001F1BB7">
            <w:pPr>
              <w:jc w:val="center"/>
              <w:rPr>
                <w:sz w:val="16"/>
                <w:szCs w:val="16"/>
              </w:rPr>
            </w:pPr>
            <w:r w:rsidRPr="00FA07EE">
              <w:rPr>
                <w:sz w:val="16"/>
                <w:szCs w:val="16"/>
              </w:rPr>
              <w:t>48,23</w:t>
            </w:r>
          </w:p>
        </w:tc>
        <w:tc>
          <w:tcPr>
            <w:tcW w:w="1295" w:type="dxa"/>
            <w:shd w:val="clear" w:color="000000" w:fill="FFFFFF"/>
            <w:noWrap/>
          </w:tcPr>
          <w:p w14:paraId="2729DA46" w14:textId="77777777" w:rsidR="00B9754C" w:rsidRPr="00FA07EE" w:rsidRDefault="00B9754C" w:rsidP="001F1BB7">
            <w:pPr>
              <w:jc w:val="center"/>
              <w:rPr>
                <w:sz w:val="16"/>
                <w:szCs w:val="16"/>
              </w:rPr>
            </w:pPr>
            <w:r w:rsidRPr="00FA07EE">
              <w:rPr>
                <w:sz w:val="16"/>
                <w:szCs w:val="16"/>
              </w:rPr>
              <w:t>18,61</w:t>
            </w:r>
          </w:p>
        </w:tc>
        <w:tc>
          <w:tcPr>
            <w:tcW w:w="1295" w:type="dxa"/>
            <w:shd w:val="clear" w:color="000000" w:fill="FFFFFF"/>
            <w:noWrap/>
          </w:tcPr>
          <w:p w14:paraId="0BA77A23" w14:textId="77777777" w:rsidR="00B9754C" w:rsidRPr="00FA07EE" w:rsidRDefault="00B9754C" w:rsidP="001F1BB7">
            <w:pPr>
              <w:jc w:val="center"/>
              <w:rPr>
                <w:sz w:val="16"/>
                <w:szCs w:val="16"/>
              </w:rPr>
            </w:pPr>
            <w:r w:rsidRPr="00FA07EE">
              <w:rPr>
                <w:sz w:val="16"/>
                <w:szCs w:val="16"/>
              </w:rPr>
              <w:t>48,25</w:t>
            </w:r>
          </w:p>
        </w:tc>
      </w:tr>
      <w:tr w:rsidR="00B9754C" w:rsidRPr="0095057F" w14:paraId="7DC4E900" w14:textId="77777777" w:rsidTr="001F1BB7">
        <w:trPr>
          <w:trHeight w:hRule="exact" w:val="202"/>
          <w:jc w:val="center"/>
        </w:trPr>
        <w:tc>
          <w:tcPr>
            <w:tcW w:w="1294" w:type="dxa"/>
            <w:shd w:val="clear" w:color="000000" w:fill="FFFFFF"/>
            <w:noWrap/>
          </w:tcPr>
          <w:p w14:paraId="6CA2B722" w14:textId="77777777" w:rsidR="00B9754C" w:rsidRPr="00FA07EE" w:rsidRDefault="00B9754C" w:rsidP="001F1BB7">
            <w:pPr>
              <w:jc w:val="center"/>
              <w:rPr>
                <w:sz w:val="16"/>
                <w:szCs w:val="16"/>
              </w:rPr>
            </w:pPr>
            <w:r w:rsidRPr="00FA07EE">
              <w:rPr>
                <w:sz w:val="16"/>
                <w:szCs w:val="16"/>
              </w:rPr>
              <w:t>1Q 2016</w:t>
            </w:r>
          </w:p>
        </w:tc>
        <w:tc>
          <w:tcPr>
            <w:tcW w:w="1330" w:type="dxa"/>
            <w:shd w:val="clear" w:color="000000" w:fill="FFFFFF"/>
            <w:noWrap/>
          </w:tcPr>
          <w:p w14:paraId="395888FD" w14:textId="77777777" w:rsidR="00B9754C" w:rsidRPr="00FA07EE" w:rsidRDefault="00B9754C" w:rsidP="001F1BB7">
            <w:pPr>
              <w:jc w:val="center"/>
              <w:rPr>
                <w:sz w:val="16"/>
                <w:szCs w:val="16"/>
              </w:rPr>
            </w:pPr>
            <w:r w:rsidRPr="00FA07EE">
              <w:rPr>
                <w:sz w:val="16"/>
                <w:szCs w:val="16"/>
              </w:rPr>
              <w:t>21,31</w:t>
            </w:r>
          </w:p>
        </w:tc>
        <w:tc>
          <w:tcPr>
            <w:tcW w:w="1330" w:type="dxa"/>
            <w:shd w:val="clear" w:color="000000" w:fill="FFFFFF"/>
            <w:noWrap/>
          </w:tcPr>
          <w:p w14:paraId="148C32A5" w14:textId="77777777" w:rsidR="00B9754C" w:rsidRPr="00FA07EE" w:rsidRDefault="00B9754C" w:rsidP="001F1BB7">
            <w:pPr>
              <w:jc w:val="center"/>
              <w:rPr>
                <w:sz w:val="16"/>
                <w:szCs w:val="16"/>
              </w:rPr>
            </w:pPr>
            <w:r w:rsidRPr="00FA07EE">
              <w:rPr>
                <w:sz w:val="16"/>
                <w:szCs w:val="16"/>
              </w:rPr>
              <w:t>48,96</w:t>
            </w:r>
          </w:p>
        </w:tc>
        <w:tc>
          <w:tcPr>
            <w:tcW w:w="1295" w:type="dxa"/>
            <w:shd w:val="clear" w:color="000000" w:fill="FFFFFF"/>
            <w:noWrap/>
          </w:tcPr>
          <w:p w14:paraId="617FAA86" w14:textId="77777777" w:rsidR="00B9754C" w:rsidRPr="00FA07EE" w:rsidRDefault="00B9754C" w:rsidP="001F1BB7">
            <w:pPr>
              <w:jc w:val="center"/>
              <w:rPr>
                <w:sz w:val="16"/>
                <w:szCs w:val="16"/>
              </w:rPr>
            </w:pPr>
            <w:r w:rsidRPr="00FA07EE">
              <w:rPr>
                <w:sz w:val="16"/>
                <w:szCs w:val="16"/>
              </w:rPr>
              <w:t>21,40</w:t>
            </w:r>
          </w:p>
        </w:tc>
        <w:tc>
          <w:tcPr>
            <w:tcW w:w="1295" w:type="dxa"/>
            <w:shd w:val="clear" w:color="000000" w:fill="FFFFFF"/>
            <w:noWrap/>
          </w:tcPr>
          <w:p w14:paraId="79BDB490" w14:textId="77777777" w:rsidR="00B9754C" w:rsidRPr="00FA07EE" w:rsidRDefault="00B9754C" w:rsidP="001F1BB7">
            <w:pPr>
              <w:jc w:val="center"/>
              <w:rPr>
                <w:sz w:val="16"/>
                <w:szCs w:val="16"/>
              </w:rPr>
            </w:pPr>
            <w:r w:rsidRPr="00FA07EE">
              <w:rPr>
                <w:sz w:val="16"/>
                <w:szCs w:val="16"/>
              </w:rPr>
              <w:t>48,98</w:t>
            </w:r>
          </w:p>
        </w:tc>
      </w:tr>
      <w:tr w:rsidR="00B9754C" w:rsidRPr="0095057F" w14:paraId="4B680488" w14:textId="77777777" w:rsidTr="001F1BB7">
        <w:trPr>
          <w:trHeight w:hRule="exact" w:val="202"/>
          <w:jc w:val="center"/>
        </w:trPr>
        <w:tc>
          <w:tcPr>
            <w:tcW w:w="1294" w:type="dxa"/>
            <w:shd w:val="clear" w:color="000000" w:fill="FFFFFF"/>
            <w:noWrap/>
          </w:tcPr>
          <w:p w14:paraId="062BAC66" w14:textId="77777777" w:rsidR="00B9754C" w:rsidRPr="00FA07EE" w:rsidRDefault="00B9754C" w:rsidP="001F1BB7">
            <w:pPr>
              <w:jc w:val="center"/>
              <w:rPr>
                <w:sz w:val="16"/>
                <w:szCs w:val="16"/>
              </w:rPr>
            </w:pPr>
            <w:r w:rsidRPr="00FA07EE">
              <w:rPr>
                <w:sz w:val="16"/>
                <w:szCs w:val="16"/>
              </w:rPr>
              <w:t>2Q 2016</w:t>
            </w:r>
          </w:p>
        </w:tc>
        <w:tc>
          <w:tcPr>
            <w:tcW w:w="1330" w:type="dxa"/>
            <w:shd w:val="clear" w:color="000000" w:fill="FFFFFF"/>
            <w:noWrap/>
          </w:tcPr>
          <w:p w14:paraId="54818139" w14:textId="77777777" w:rsidR="00B9754C" w:rsidRPr="00FA07EE" w:rsidRDefault="00B9754C" w:rsidP="001F1BB7">
            <w:pPr>
              <w:jc w:val="center"/>
              <w:rPr>
                <w:sz w:val="16"/>
                <w:szCs w:val="16"/>
              </w:rPr>
            </w:pPr>
            <w:r w:rsidRPr="00FA07EE">
              <w:rPr>
                <w:sz w:val="16"/>
                <w:szCs w:val="16"/>
              </w:rPr>
              <w:t>22,64</w:t>
            </w:r>
          </w:p>
        </w:tc>
        <w:tc>
          <w:tcPr>
            <w:tcW w:w="1330" w:type="dxa"/>
            <w:shd w:val="clear" w:color="000000" w:fill="FFFFFF"/>
            <w:noWrap/>
          </w:tcPr>
          <w:p w14:paraId="07473C14" w14:textId="77777777" w:rsidR="00B9754C" w:rsidRPr="00FA07EE" w:rsidRDefault="00B9754C" w:rsidP="001F1BB7">
            <w:pPr>
              <w:jc w:val="center"/>
              <w:rPr>
                <w:sz w:val="16"/>
                <w:szCs w:val="16"/>
              </w:rPr>
            </w:pPr>
            <w:r w:rsidRPr="00FA07EE">
              <w:rPr>
                <w:sz w:val="16"/>
                <w:szCs w:val="16"/>
              </w:rPr>
              <w:t>45,60</w:t>
            </w:r>
          </w:p>
        </w:tc>
        <w:tc>
          <w:tcPr>
            <w:tcW w:w="1295" w:type="dxa"/>
            <w:shd w:val="clear" w:color="000000" w:fill="FFFFFF"/>
            <w:noWrap/>
          </w:tcPr>
          <w:p w14:paraId="52D892F9" w14:textId="77777777" w:rsidR="00B9754C" w:rsidRPr="00FA07EE" w:rsidRDefault="00B9754C" w:rsidP="001F1BB7">
            <w:pPr>
              <w:jc w:val="center"/>
              <w:rPr>
                <w:sz w:val="16"/>
                <w:szCs w:val="16"/>
              </w:rPr>
            </w:pPr>
            <w:r w:rsidRPr="00FA07EE">
              <w:rPr>
                <w:sz w:val="16"/>
                <w:szCs w:val="16"/>
              </w:rPr>
              <w:t>22,73</w:t>
            </w:r>
          </w:p>
        </w:tc>
        <w:tc>
          <w:tcPr>
            <w:tcW w:w="1295" w:type="dxa"/>
            <w:shd w:val="clear" w:color="000000" w:fill="FFFFFF"/>
            <w:noWrap/>
          </w:tcPr>
          <w:p w14:paraId="598B2DC7" w14:textId="77777777" w:rsidR="00B9754C" w:rsidRPr="00FA07EE" w:rsidRDefault="00B9754C" w:rsidP="001F1BB7">
            <w:pPr>
              <w:jc w:val="center"/>
              <w:rPr>
                <w:sz w:val="16"/>
                <w:szCs w:val="16"/>
              </w:rPr>
            </w:pPr>
            <w:r w:rsidRPr="00FA07EE">
              <w:rPr>
                <w:sz w:val="16"/>
                <w:szCs w:val="16"/>
              </w:rPr>
              <w:t>45,62</w:t>
            </w:r>
          </w:p>
        </w:tc>
      </w:tr>
      <w:tr w:rsidR="00B9754C" w:rsidRPr="0095057F" w14:paraId="7A777788" w14:textId="77777777" w:rsidTr="001F1BB7">
        <w:trPr>
          <w:trHeight w:hRule="exact" w:val="202"/>
          <w:jc w:val="center"/>
        </w:trPr>
        <w:tc>
          <w:tcPr>
            <w:tcW w:w="1294" w:type="dxa"/>
            <w:shd w:val="clear" w:color="000000" w:fill="FFFFFF"/>
            <w:noWrap/>
          </w:tcPr>
          <w:p w14:paraId="7082BC0E" w14:textId="77777777" w:rsidR="00B9754C" w:rsidRPr="00FA07EE" w:rsidRDefault="00B9754C" w:rsidP="001F1BB7">
            <w:pPr>
              <w:jc w:val="center"/>
              <w:rPr>
                <w:sz w:val="16"/>
                <w:szCs w:val="16"/>
              </w:rPr>
            </w:pPr>
            <w:r w:rsidRPr="00FA07EE">
              <w:rPr>
                <w:sz w:val="16"/>
                <w:szCs w:val="16"/>
              </w:rPr>
              <w:t>3Q 2016</w:t>
            </w:r>
          </w:p>
        </w:tc>
        <w:tc>
          <w:tcPr>
            <w:tcW w:w="1330" w:type="dxa"/>
            <w:shd w:val="clear" w:color="000000" w:fill="FFFFFF"/>
            <w:noWrap/>
          </w:tcPr>
          <w:p w14:paraId="62755F71" w14:textId="77777777" w:rsidR="00B9754C" w:rsidRPr="00FA07EE" w:rsidRDefault="00B9754C" w:rsidP="001F1BB7">
            <w:pPr>
              <w:jc w:val="center"/>
              <w:rPr>
                <w:sz w:val="16"/>
                <w:szCs w:val="16"/>
              </w:rPr>
            </w:pPr>
            <w:r w:rsidRPr="00FA07EE">
              <w:rPr>
                <w:sz w:val="16"/>
                <w:szCs w:val="16"/>
              </w:rPr>
              <w:t>22,13</w:t>
            </w:r>
          </w:p>
        </w:tc>
        <w:tc>
          <w:tcPr>
            <w:tcW w:w="1330" w:type="dxa"/>
            <w:shd w:val="clear" w:color="000000" w:fill="FFFFFF"/>
            <w:noWrap/>
          </w:tcPr>
          <w:p w14:paraId="4BDB63B7" w14:textId="77777777" w:rsidR="00B9754C" w:rsidRPr="00FA07EE" w:rsidRDefault="00B9754C" w:rsidP="001F1BB7">
            <w:pPr>
              <w:jc w:val="center"/>
              <w:rPr>
                <w:sz w:val="16"/>
                <w:szCs w:val="16"/>
              </w:rPr>
            </w:pPr>
            <w:r w:rsidRPr="00FA07EE">
              <w:rPr>
                <w:sz w:val="16"/>
                <w:szCs w:val="16"/>
              </w:rPr>
              <w:t>45,06</w:t>
            </w:r>
          </w:p>
        </w:tc>
        <w:tc>
          <w:tcPr>
            <w:tcW w:w="1295" w:type="dxa"/>
            <w:shd w:val="clear" w:color="000000" w:fill="FFFFFF"/>
            <w:noWrap/>
          </w:tcPr>
          <w:p w14:paraId="3A8D5260" w14:textId="77777777" w:rsidR="00B9754C" w:rsidRPr="00FA07EE" w:rsidRDefault="00B9754C" w:rsidP="001F1BB7">
            <w:pPr>
              <w:jc w:val="center"/>
              <w:rPr>
                <w:sz w:val="16"/>
                <w:szCs w:val="16"/>
              </w:rPr>
            </w:pPr>
            <w:r w:rsidRPr="00FA07EE">
              <w:rPr>
                <w:sz w:val="16"/>
                <w:szCs w:val="16"/>
              </w:rPr>
              <w:t>22,22</w:t>
            </w:r>
          </w:p>
        </w:tc>
        <w:tc>
          <w:tcPr>
            <w:tcW w:w="1295" w:type="dxa"/>
            <w:shd w:val="clear" w:color="000000" w:fill="FFFFFF"/>
            <w:noWrap/>
          </w:tcPr>
          <w:p w14:paraId="5A9E001E" w14:textId="77777777" w:rsidR="00B9754C" w:rsidRPr="00FA07EE" w:rsidRDefault="00B9754C" w:rsidP="001F1BB7">
            <w:pPr>
              <w:jc w:val="center"/>
              <w:rPr>
                <w:sz w:val="16"/>
                <w:szCs w:val="16"/>
              </w:rPr>
            </w:pPr>
            <w:r w:rsidRPr="00FA07EE">
              <w:rPr>
                <w:sz w:val="16"/>
                <w:szCs w:val="16"/>
              </w:rPr>
              <w:t>45,08</w:t>
            </w:r>
          </w:p>
        </w:tc>
      </w:tr>
      <w:tr w:rsidR="00B9754C" w:rsidRPr="0095057F" w14:paraId="70B6998D" w14:textId="77777777" w:rsidTr="001F1BB7">
        <w:trPr>
          <w:trHeight w:hRule="exact" w:val="202"/>
          <w:jc w:val="center"/>
        </w:trPr>
        <w:tc>
          <w:tcPr>
            <w:tcW w:w="1294" w:type="dxa"/>
            <w:shd w:val="clear" w:color="000000" w:fill="FFFFFF"/>
            <w:noWrap/>
          </w:tcPr>
          <w:p w14:paraId="5431872E" w14:textId="77777777" w:rsidR="00B9754C" w:rsidRPr="00FA07EE" w:rsidRDefault="00B9754C" w:rsidP="001F1BB7">
            <w:pPr>
              <w:jc w:val="center"/>
              <w:rPr>
                <w:sz w:val="16"/>
                <w:szCs w:val="16"/>
              </w:rPr>
            </w:pPr>
            <w:r w:rsidRPr="00FA07EE">
              <w:rPr>
                <w:sz w:val="16"/>
                <w:szCs w:val="16"/>
              </w:rPr>
              <w:t>4Q2016</w:t>
            </w:r>
          </w:p>
        </w:tc>
        <w:tc>
          <w:tcPr>
            <w:tcW w:w="1330" w:type="dxa"/>
            <w:shd w:val="clear" w:color="000000" w:fill="FFFFFF"/>
            <w:noWrap/>
          </w:tcPr>
          <w:p w14:paraId="0B1BC369" w14:textId="77777777" w:rsidR="00B9754C" w:rsidRPr="00FA07EE" w:rsidRDefault="00B9754C" w:rsidP="001F1BB7">
            <w:pPr>
              <w:jc w:val="center"/>
              <w:rPr>
                <w:sz w:val="16"/>
                <w:szCs w:val="16"/>
              </w:rPr>
            </w:pPr>
            <w:r w:rsidRPr="00FA07EE">
              <w:rPr>
                <w:sz w:val="16"/>
                <w:szCs w:val="16"/>
              </w:rPr>
              <w:t>20,29</w:t>
            </w:r>
          </w:p>
        </w:tc>
        <w:tc>
          <w:tcPr>
            <w:tcW w:w="1330" w:type="dxa"/>
            <w:shd w:val="clear" w:color="000000" w:fill="FFFFFF"/>
            <w:noWrap/>
          </w:tcPr>
          <w:p w14:paraId="43244280" w14:textId="77777777" w:rsidR="00B9754C" w:rsidRPr="00FA07EE" w:rsidRDefault="00B9754C" w:rsidP="001F1BB7">
            <w:pPr>
              <w:jc w:val="center"/>
              <w:rPr>
                <w:sz w:val="16"/>
                <w:szCs w:val="16"/>
              </w:rPr>
            </w:pPr>
            <w:r w:rsidRPr="00FA07EE">
              <w:rPr>
                <w:sz w:val="16"/>
                <w:szCs w:val="16"/>
              </w:rPr>
              <w:t>42,97</w:t>
            </w:r>
          </w:p>
        </w:tc>
        <w:tc>
          <w:tcPr>
            <w:tcW w:w="1295" w:type="dxa"/>
            <w:shd w:val="clear" w:color="000000" w:fill="FFFFFF"/>
            <w:noWrap/>
          </w:tcPr>
          <w:p w14:paraId="6117FA8B" w14:textId="77777777" w:rsidR="00B9754C" w:rsidRPr="00FA07EE" w:rsidRDefault="00B9754C" w:rsidP="001F1BB7">
            <w:pPr>
              <w:jc w:val="center"/>
              <w:rPr>
                <w:sz w:val="16"/>
                <w:szCs w:val="16"/>
              </w:rPr>
            </w:pPr>
            <w:r w:rsidRPr="00FA07EE">
              <w:rPr>
                <w:sz w:val="16"/>
                <w:szCs w:val="16"/>
              </w:rPr>
              <w:t>20,38</w:t>
            </w:r>
          </w:p>
        </w:tc>
        <w:tc>
          <w:tcPr>
            <w:tcW w:w="1295" w:type="dxa"/>
            <w:shd w:val="clear" w:color="000000" w:fill="FFFFFF"/>
            <w:noWrap/>
          </w:tcPr>
          <w:p w14:paraId="6FF3A2B9" w14:textId="77777777" w:rsidR="00B9754C" w:rsidRPr="00FA07EE" w:rsidRDefault="00B9754C" w:rsidP="001F1BB7">
            <w:pPr>
              <w:jc w:val="center"/>
              <w:rPr>
                <w:sz w:val="16"/>
                <w:szCs w:val="16"/>
              </w:rPr>
            </w:pPr>
            <w:r w:rsidRPr="00FA07EE">
              <w:rPr>
                <w:sz w:val="16"/>
                <w:szCs w:val="16"/>
              </w:rPr>
              <w:t>42,98</w:t>
            </w:r>
          </w:p>
        </w:tc>
      </w:tr>
      <w:tr w:rsidR="00B9754C" w:rsidRPr="0095057F" w14:paraId="02A66472" w14:textId="77777777" w:rsidTr="001F1BB7">
        <w:trPr>
          <w:trHeight w:hRule="exact" w:val="202"/>
          <w:jc w:val="center"/>
        </w:trPr>
        <w:tc>
          <w:tcPr>
            <w:tcW w:w="1294" w:type="dxa"/>
            <w:shd w:val="clear" w:color="000000" w:fill="FFFFFF"/>
            <w:noWrap/>
          </w:tcPr>
          <w:p w14:paraId="282DAA4A" w14:textId="77777777" w:rsidR="00B9754C" w:rsidRPr="00FA07EE" w:rsidRDefault="00B9754C" w:rsidP="001F1BB7">
            <w:pPr>
              <w:jc w:val="center"/>
              <w:rPr>
                <w:sz w:val="16"/>
                <w:szCs w:val="16"/>
              </w:rPr>
            </w:pPr>
            <w:r w:rsidRPr="00FA07EE">
              <w:rPr>
                <w:sz w:val="16"/>
                <w:szCs w:val="16"/>
              </w:rPr>
              <w:t>1Q2017</w:t>
            </w:r>
          </w:p>
        </w:tc>
        <w:tc>
          <w:tcPr>
            <w:tcW w:w="1330" w:type="dxa"/>
            <w:shd w:val="clear" w:color="000000" w:fill="FFFFFF"/>
            <w:noWrap/>
          </w:tcPr>
          <w:p w14:paraId="7AEA9A4B" w14:textId="77777777" w:rsidR="00B9754C" w:rsidRPr="00FA07EE" w:rsidRDefault="00B9754C" w:rsidP="001F1BB7">
            <w:pPr>
              <w:jc w:val="center"/>
              <w:rPr>
                <w:sz w:val="16"/>
                <w:szCs w:val="16"/>
              </w:rPr>
            </w:pPr>
            <w:r w:rsidRPr="00FA07EE">
              <w:rPr>
                <w:sz w:val="16"/>
                <w:szCs w:val="16"/>
              </w:rPr>
              <w:t>13,31</w:t>
            </w:r>
          </w:p>
        </w:tc>
        <w:tc>
          <w:tcPr>
            <w:tcW w:w="1330" w:type="dxa"/>
            <w:shd w:val="clear" w:color="000000" w:fill="FFFFFF"/>
            <w:noWrap/>
          </w:tcPr>
          <w:p w14:paraId="152E1F0B" w14:textId="77777777" w:rsidR="00B9754C" w:rsidRPr="00FA07EE" w:rsidRDefault="00B9754C" w:rsidP="001F1BB7">
            <w:pPr>
              <w:jc w:val="center"/>
              <w:rPr>
                <w:sz w:val="16"/>
                <w:szCs w:val="16"/>
              </w:rPr>
            </w:pPr>
            <w:r w:rsidRPr="00FA07EE">
              <w:rPr>
                <w:sz w:val="16"/>
                <w:szCs w:val="16"/>
              </w:rPr>
              <w:t>36,06</w:t>
            </w:r>
          </w:p>
        </w:tc>
        <w:tc>
          <w:tcPr>
            <w:tcW w:w="1295" w:type="dxa"/>
            <w:shd w:val="clear" w:color="000000" w:fill="FFFFFF"/>
            <w:noWrap/>
          </w:tcPr>
          <w:p w14:paraId="25699CC6" w14:textId="77777777" w:rsidR="00B9754C" w:rsidRPr="00FA07EE" w:rsidRDefault="00B9754C" w:rsidP="001F1BB7">
            <w:pPr>
              <w:jc w:val="center"/>
              <w:rPr>
                <w:sz w:val="16"/>
                <w:szCs w:val="16"/>
              </w:rPr>
            </w:pPr>
            <w:r w:rsidRPr="00FA07EE">
              <w:rPr>
                <w:sz w:val="16"/>
                <w:szCs w:val="16"/>
              </w:rPr>
              <w:t>13,40</w:t>
            </w:r>
          </w:p>
        </w:tc>
        <w:tc>
          <w:tcPr>
            <w:tcW w:w="1295" w:type="dxa"/>
            <w:shd w:val="clear" w:color="000000" w:fill="FFFFFF"/>
            <w:noWrap/>
          </w:tcPr>
          <w:p w14:paraId="5FB01F1C" w14:textId="77777777" w:rsidR="00B9754C" w:rsidRPr="00FA07EE" w:rsidRDefault="00B9754C" w:rsidP="001F1BB7">
            <w:pPr>
              <w:jc w:val="center"/>
              <w:rPr>
                <w:sz w:val="16"/>
                <w:szCs w:val="16"/>
              </w:rPr>
            </w:pPr>
            <w:r w:rsidRPr="00FA07EE">
              <w:rPr>
                <w:sz w:val="16"/>
                <w:szCs w:val="16"/>
              </w:rPr>
              <w:t>36,07</w:t>
            </w:r>
          </w:p>
        </w:tc>
      </w:tr>
      <w:tr w:rsidR="00B9754C" w:rsidRPr="0095057F" w14:paraId="748509F6" w14:textId="77777777" w:rsidTr="001F1BB7">
        <w:trPr>
          <w:trHeight w:hRule="exact" w:val="202"/>
          <w:jc w:val="center"/>
        </w:trPr>
        <w:tc>
          <w:tcPr>
            <w:tcW w:w="1294" w:type="dxa"/>
            <w:shd w:val="clear" w:color="000000" w:fill="FFFFFF"/>
            <w:noWrap/>
          </w:tcPr>
          <w:p w14:paraId="446812C6" w14:textId="77777777" w:rsidR="00B9754C" w:rsidRPr="00FA07EE" w:rsidRDefault="00B9754C" w:rsidP="001F1BB7">
            <w:pPr>
              <w:jc w:val="center"/>
              <w:rPr>
                <w:sz w:val="16"/>
                <w:szCs w:val="16"/>
              </w:rPr>
            </w:pPr>
            <w:r w:rsidRPr="00FA07EE">
              <w:rPr>
                <w:sz w:val="16"/>
                <w:szCs w:val="16"/>
              </w:rPr>
              <w:t>2Q2017</w:t>
            </w:r>
          </w:p>
        </w:tc>
        <w:tc>
          <w:tcPr>
            <w:tcW w:w="1330" w:type="dxa"/>
            <w:shd w:val="clear" w:color="000000" w:fill="FFFFFF"/>
            <w:noWrap/>
          </w:tcPr>
          <w:p w14:paraId="67A519F6" w14:textId="77777777" w:rsidR="00B9754C" w:rsidRPr="00FA07EE" w:rsidRDefault="00B9754C" w:rsidP="001F1BB7">
            <w:pPr>
              <w:jc w:val="center"/>
              <w:rPr>
                <w:sz w:val="16"/>
                <w:szCs w:val="16"/>
              </w:rPr>
            </w:pPr>
            <w:r w:rsidRPr="00FA07EE">
              <w:rPr>
                <w:sz w:val="16"/>
                <w:szCs w:val="16"/>
              </w:rPr>
              <w:t>12,58</w:t>
            </w:r>
          </w:p>
        </w:tc>
        <w:tc>
          <w:tcPr>
            <w:tcW w:w="1330" w:type="dxa"/>
            <w:shd w:val="clear" w:color="000000" w:fill="FFFFFF"/>
            <w:noWrap/>
          </w:tcPr>
          <w:p w14:paraId="43E1CFA7" w14:textId="77777777" w:rsidR="00B9754C" w:rsidRPr="00FA07EE" w:rsidRDefault="00B9754C" w:rsidP="001F1BB7">
            <w:pPr>
              <w:jc w:val="center"/>
              <w:rPr>
                <w:sz w:val="16"/>
                <w:szCs w:val="16"/>
              </w:rPr>
            </w:pPr>
            <w:r w:rsidRPr="00FA07EE">
              <w:rPr>
                <w:sz w:val="16"/>
                <w:szCs w:val="16"/>
              </w:rPr>
              <w:t>37,34</w:t>
            </w:r>
          </w:p>
        </w:tc>
        <w:tc>
          <w:tcPr>
            <w:tcW w:w="1295" w:type="dxa"/>
            <w:shd w:val="clear" w:color="000000" w:fill="FFFFFF"/>
            <w:noWrap/>
          </w:tcPr>
          <w:p w14:paraId="48E818FA" w14:textId="77777777" w:rsidR="00B9754C" w:rsidRPr="00FA07EE" w:rsidRDefault="00B9754C" w:rsidP="001F1BB7">
            <w:pPr>
              <w:jc w:val="center"/>
              <w:rPr>
                <w:sz w:val="16"/>
                <w:szCs w:val="16"/>
              </w:rPr>
            </w:pPr>
            <w:r w:rsidRPr="00FA07EE">
              <w:rPr>
                <w:sz w:val="16"/>
                <w:szCs w:val="16"/>
              </w:rPr>
              <w:t>12,60</w:t>
            </w:r>
          </w:p>
        </w:tc>
        <w:tc>
          <w:tcPr>
            <w:tcW w:w="1295" w:type="dxa"/>
            <w:shd w:val="clear" w:color="000000" w:fill="FFFFFF"/>
            <w:noWrap/>
          </w:tcPr>
          <w:p w14:paraId="0B130A76" w14:textId="77777777" w:rsidR="00B9754C" w:rsidRPr="00FA07EE" w:rsidRDefault="00B9754C" w:rsidP="001F1BB7">
            <w:pPr>
              <w:jc w:val="center"/>
              <w:rPr>
                <w:sz w:val="16"/>
                <w:szCs w:val="16"/>
              </w:rPr>
            </w:pPr>
            <w:r w:rsidRPr="00FA07EE">
              <w:rPr>
                <w:sz w:val="16"/>
                <w:szCs w:val="16"/>
              </w:rPr>
              <w:t>37,36</w:t>
            </w:r>
          </w:p>
        </w:tc>
      </w:tr>
      <w:tr w:rsidR="00B9754C" w:rsidRPr="0095057F" w14:paraId="17C517CC" w14:textId="77777777" w:rsidTr="001F1BB7">
        <w:trPr>
          <w:trHeight w:hRule="exact" w:val="202"/>
          <w:jc w:val="center"/>
        </w:trPr>
        <w:tc>
          <w:tcPr>
            <w:tcW w:w="1294" w:type="dxa"/>
            <w:shd w:val="clear" w:color="000000" w:fill="FFFFFF"/>
            <w:noWrap/>
          </w:tcPr>
          <w:p w14:paraId="2EDC0BF1" w14:textId="77777777" w:rsidR="00B9754C" w:rsidRPr="00FA07EE" w:rsidRDefault="00B9754C" w:rsidP="001F1BB7">
            <w:pPr>
              <w:jc w:val="center"/>
              <w:rPr>
                <w:sz w:val="16"/>
                <w:szCs w:val="16"/>
              </w:rPr>
            </w:pPr>
            <w:r w:rsidRPr="00FA07EE">
              <w:rPr>
                <w:sz w:val="16"/>
                <w:szCs w:val="16"/>
              </w:rPr>
              <w:t>3Q2017</w:t>
            </w:r>
          </w:p>
        </w:tc>
        <w:tc>
          <w:tcPr>
            <w:tcW w:w="1330" w:type="dxa"/>
            <w:shd w:val="clear" w:color="000000" w:fill="FFFFFF"/>
            <w:noWrap/>
          </w:tcPr>
          <w:p w14:paraId="4AC2F3D8" w14:textId="77777777" w:rsidR="00B9754C" w:rsidRPr="00FA07EE" w:rsidRDefault="00B9754C" w:rsidP="001F1BB7">
            <w:pPr>
              <w:jc w:val="center"/>
              <w:rPr>
                <w:sz w:val="16"/>
                <w:szCs w:val="16"/>
              </w:rPr>
            </w:pPr>
            <w:r w:rsidRPr="00FA07EE">
              <w:rPr>
                <w:sz w:val="16"/>
                <w:szCs w:val="16"/>
              </w:rPr>
              <w:t>12,38</w:t>
            </w:r>
          </w:p>
        </w:tc>
        <w:tc>
          <w:tcPr>
            <w:tcW w:w="1330" w:type="dxa"/>
            <w:shd w:val="clear" w:color="000000" w:fill="FFFFFF"/>
            <w:noWrap/>
          </w:tcPr>
          <w:p w14:paraId="34117066" w14:textId="77777777" w:rsidR="00B9754C" w:rsidRPr="00FA07EE" w:rsidRDefault="00B9754C" w:rsidP="001F1BB7">
            <w:pPr>
              <w:jc w:val="center"/>
              <w:rPr>
                <w:sz w:val="16"/>
                <w:szCs w:val="16"/>
              </w:rPr>
            </w:pPr>
            <w:r w:rsidRPr="00FA07EE">
              <w:rPr>
                <w:sz w:val="16"/>
                <w:szCs w:val="16"/>
              </w:rPr>
              <w:t>37,00</w:t>
            </w:r>
          </w:p>
        </w:tc>
        <w:tc>
          <w:tcPr>
            <w:tcW w:w="1295" w:type="dxa"/>
            <w:shd w:val="clear" w:color="000000" w:fill="FFFFFF"/>
            <w:noWrap/>
          </w:tcPr>
          <w:p w14:paraId="1C11C51C" w14:textId="77777777" w:rsidR="00B9754C" w:rsidRPr="00FA07EE" w:rsidRDefault="00B9754C" w:rsidP="001F1BB7">
            <w:pPr>
              <w:jc w:val="center"/>
              <w:rPr>
                <w:sz w:val="16"/>
                <w:szCs w:val="16"/>
              </w:rPr>
            </w:pPr>
            <w:r w:rsidRPr="00FA07EE">
              <w:rPr>
                <w:sz w:val="16"/>
                <w:szCs w:val="16"/>
              </w:rPr>
              <w:t>12,40</w:t>
            </w:r>
          </w:p>
        </w:tc>
        <w:tc>
          <w:tcPr>
            <w:tcW w:w="1295" w:type="dxa"/>
            <w:shd w:val="clear" w:color="000000" w:fill="FFFFFF"/>
            <w:noWrap/>
          </w:tcPr>
          <w:p w14:paraId="70C384A8" w14:textId="77777777" w:rsidR="00B9754C" w:rsidRPr="00FA07EE" w:rsidRDefault="00B9754C" w:rsidP="001F1BB7">
            <w:pPr>
              <w:jc w:val="center"/>
              <w:rPr>
                <w:sz w:val="16"/>
                <w:szCs w:val="16"/>
              </w:rPr>
            </w:pPr>
            <w:r w:rsidRPr="00FA07EE">
              <w:rPr>
                <w:sz w:val="16"/>
                <w:szCs w:val="16"/>
              </w:rPr>
              <w:t>37,01</w:t>
            </w:r>
          </w:p>
        </w:tc>
      </w:tr>
      <w:tr w:rsidR="00B9754C" w:rsidRPr="0095057F" w14:paraId="716FB69F" w14:textId="77777777" w:rsidTr="001F1BB7">
        <w:trPr>
          <w:trHeight w:hRule="exact" w:val="202"/>
          <w:jc w:val="center"/>
        </w:trPr>
        <w:tc>
          <w:tcPr>
            <w:tcW w:w="1294" w:type="dxa"/>
            <w:shd w:val="clear" w:color="000000" w:fill="FFFFFF"/>
            <w:noWrap/>
          </w:tcPr>
          <w:p w14:paraId="7F2E9CD6" w14:textId="77777777" w:rsidR="00B9754C" w:rsidRPr="00FA07EE" w:rsidRDefault="00B9754C" w:rsidP="001F1BB7">
            <w:pPr>
              <w:jc w:val="center"/>
              <w:rPr>
                <w:sz w:val="16"/>
                <w:szCs w:val="16"/>
              </w:rPr>
            </w:pPr>
            <w:r w:rsidRPr="00FA07EE">
              <w:rPr>
                <w:sz w:val="16"/>
                <w:szCs w:val="16"/>
              </w:rPr>
              <w:t>4Q2017</w:t>
            </w:r>
          </w:p>
        </w:tc>
        <w:tc>
          <w:tcPr>
            <w:tcW w:w="1330" w:type="dxa"/>
            <w:shd w:val="clear" w:color="000000" w:fill="FFFFFF"/>
            <w:noWrap/>
          </w:tcPr>
          <w:p w14:paraId="3A43B2A2" w14:textId="77777777" w:rsidR="00B9754C" w:rsidRPr="00FA07EE" w:rsidRDefault="00B9754C" w:rsidP="001F1BB7">
            <w:pPr>
              <w:jc w:val="center"/>
              <w:rPr>
                <w:sz w:val="16"/>
                <w:szCs w:val="16"/>
              </w:rPr>
            </w:pPr>
            <w:r w:rsidRPr="00FA07EE">
              <w:rPr>
                <w:sz w:val="16"/>
                <w:szCs w:val="16"/>
              </w:rPr>
              <w:t>15,47</w:t>
            </w:r>
          </w:p>
        </w:tc>
        <w:tc>
          <w:tcPr>
            <w:tcW w:w="1330" w:type="dxa"/>
            <w:shd w:val="clear" w:color="000000" w:fill="FFFFFF"/>
            <w:noWrap/>
          </w:tcPr>
          <w:p w14:paraId="5228B21D" w14:textId="77777777" w:rsidR="00B9754C" w:rsidRPr="00FA07EE" w:rsidRDefault="00B9754C" w:rsidP="001F1BB7">
            <w:pPr>
              <w:jc w:val="center"/>
              <w:rPr>
                <w:sz w:val="16"/>
                <w:szCs w:val="16"/>
              </w:rPr>
            </w:pPr>
            <w:r w:rsidRPr="00FA07EE">
              <w:rPr>
                <w:sz w:val="16"/>
                <w:szCs w:val="16"/>
              </w:rPr>
              <w:t>33,48</w:t>
            </w:r>
          </w:p>
        </w:tc>
        <w:tc>
          <w:tcPr>
            <w:tcW w:w="1295" w:type="dxa"/>
            <w:shd w:val="clear" w:color="000000" w:fill="FFFFFF"/>
            <w:noWrap/>
          </w:tcPr>
          <w:p w14:paraId="7E45E463" w14:textId="77777777" w:rsidR="00B9754C" w:rsidRPr="00FA07EE" w:rsidRDefault="00B9754C" w:rsidP="001F1BB7">
            <w:pPr>
              <w:jc w:val="center"/>
              <w:rPr>
                <w:sz w:val="16"/>
                <w:szCs w:val="16"/>
              </w:rPr>
            </w:pPr>
            <w:r w:rsidRPr="00FA07EE">
              <w:rPr>
                <w:sz w:val="16"/>
                <w:szCs w:val="16"/>
              </w:rPr>
              <w:t>15,49</w:t>
            </w:r>
          </w:p>
        </w:tc>
        <w:tc>
          <w:tcPr>
            <w:tcW w:w="1295" w:type="dxa"/>
            <w:shd w:val="clear" w:color="000000" w:fill="FFFFFF"/>
            <w:noWrap/>
          </w:tcPr>
          <w:p w14:paraId="5A57B2B5" w14:textId="77777777" w:rsidR="00B9754C" w:rsidRPr="00FA07EE" w:rsidRDefault="00B9754C" w:rsidP="001F1BB7">
            <w:pPr>
              <w:jc w:val="center"/>
              <w:rPr>
                <w:sz w:val="16"/>
                <w:szCs w:val="16"/>
              </w:rPr>
            </w:pPr>
            <w:r w:rsidRPr="00FA07EE">
              <w:rPr>
                <w:sz w:val="16"/>
                <w:szCs w:val="16"/>
              </w:rPr>
              <w:t>33,49</w:t>
            </w:r>
          </w:p>
        </w:tc>
      </w:tr>
      <w:tr w:rsidR="00B9754C" w:rsidRPr="0095057F" w14:paraId="313434C9" w14:textId="77777777" w:rsidTr="001F1BB7">
        <w:trPr>
          <w:trHeight w:hRule="exact" w:val="202"/>
          <w:jc w:val="center"/>
        </w:trPr>
        <w:tc>
          <w:tcPr>
            <w:tcW w:w="1294" w:type="dxa"/>
            <w:tcBorders>
              <w:bottom w:val="single" w:sz="4" w:space="0" w:color="auto"/>
            </w:tcBorders>
            <w:shd w:val="clear" w:color="000000" w:fill="FFFFFF"/>
            <w:noWrap/>
          </w:tcPr>
          <w:p w14:paraId="65BDEF0A" w14:textId="77777777" w:rsidR="00B9754C" w:rsidRPr="00FA07EE" w:rsidRDefault="00B9754C" w:rsidP="001F1BB7">
            <w:pPr>
              <w:jc w:val="center"/>
              <w:rPr>
                <w:sz w:val="16"/>
                <w:szCs w:val="16"/>
              </w:rPr>
            </w:pPr>
            <w:r w:rsidRPr="00FA07EE">
              <w:rPr>
                <w:sz w:val="16"/>
                <w:szCs w:val="16"/>
              </w:rPr>
              <w:t>1Q2018</w:t>
            </w:r>
          </w:p>
        </w:tc>
        <w:tc>
          <w:tcPr>
            <w:tcW w:w="1330" w:type="dxa"/>
            <w:tcBorders>
              <w:bottom w:val="single" w:sz="4" w:space="0" w:color="auto"/>
            </w:tcBorders>
            <w:shd w:val="clear" w:color="000000" w:fill="FFFFFF"/>
            <w:noWrap/>
          </w:tcPr>
          <w:p w14:paraId="42884772" w14:textId="77777777" w:rsidR="00B9754C" w:rsidRPr="00FA07EE" w:rsidRDefault="00B9754C" w:rsidP="001F1BB7">
            <w:pPr>
              <w:jc w:val="center"/>
              <w:rPr>
                <w:sz w:val="16"/>
                <w:szCs w:val="16"/>
              </w:rPr>
            </w:pPr>
            <w:r w:rsidRPr="00FA07EE">
              <w:rPr>
                <w:sz w:val="16"/>
                <w:szCs w:val="16"/>
              </w:rPr>
              <w:t>15,35</w:t>
            </w:r>
          </w:p>
        </w:tc>
        <w:tc>
          <w:tcPr>
            <w:tcW w:w="1330" w:type="dxa"/>
            <w:tcBorders>
              <w:bottom w:val="single" w:sz="4" w:space="0" w:color="auto"/>
            </w:tcBorders>
            <w:shd w:val="clear" w:color="000000" w:fill="FFFFFF"/>
            <w:noWrap/>
          </w:tcPr>
          <w:p w14:paraId="0129C113" w14:textId="77777777" w:rsidR="00B9754C" w:rsidRPr="00FA07EE" w:rsidRDefault="00B9754C" w:rsidP="001F1BB7">
            <w:pPr>
              <w:jc w:val="center"/>
              <w:rPr>
                <w:sz w:val="16"/>
                <w:szCs w:val="16"/>
              </w:rPr>
            </w:pPr>
            <w:r w:rsidRPr="00FA07EE">
              <w:rPr>
                <w:sz w:val="16"/>
                <w:szCs w:val="16"/>
              </w:rPr>
              <w:t>39,79</w:t>
            </w:r>
          </w:p>
        </w:tc>
        <w:tc>
          <w:tcPr>
            <w:tcW w:w="1295" w:type="dxa"/>
            <w:tcBorders>
              <w:bottom w:val="single" w:sz="4" w:space="0" w:color="auto"/>
            </w:tcBorders>
            <w:shd w:val="clear" w:color="000000" w:fill="FFFFFF"/>
            <w:noWrap/>
          </w:tcPr>
          <w:p w14:paraId="39E0B584" w14:textId="77777777" w:rsidR="00B9754C" w:rsidRPr="00FA07EE" w:rsidRDefault="00B9754C" w:rsidP="001F1BB7">
            <w:pPr>
              <w:jc w:val="center"/>
              <w:rPr>
                <w:sz w:val="16"/>
                <w:szCs w:val="16"/>
              </w:rPr>
            </w:pPr>
            <w:r w:rsidRPr="00FA07EE">
              <w:rPr>
                <w:sz w:val="16"/>
                <w:szCs w:val="16"/>
              </w:rPr>
              <w:t>15,37</w:t>
            </w:r>
          </w:p>
        </w:tc>
        <w:tc>
          <w:tcPr>
            <w:tcW w:w="1295" w:type="dxa"/>
            <w:tcBorders>
              <w:bottom w:val="single" w:sz="4" w:space="0" w:color="auto"/>
            </w:tcBorders>
            <w:shd w:val="clear" w:color="000000" w:fill="FFFFFF"/>
            <w:noWrap/>
          </w:tcPr>
          <w:p w14:paraId="7CA06AF5" w14:textId="77777777" w:rsidR="00B9754C" w:rsidRPr="00FA07EE" w:rsidRDefault="00B9754C" w:rsidP="001F1BB7">
            <w:pPr>
              <w:jc w:val="center"/>
              <w:rPr>
                <w:sz w:val="16"/>
                <w:szCs w:val="16"/>
              </w:rPr>
            </w:pPr>
            <w:r w:rsidRPr="00FA07EE">
              <w:rPr>
                <w:sz w:val="16"/>
                <w:szCs w:val="16"/>
              </w:rPr>
              <w:t>39,80</w:t>
            </w:r>
          </w:p>
        </w:tc>
      </w:tr>
      <w:tr w:rsidR="00B9754C" w:rsidRPr="0095057F" w14:paraId="7F28654E" w14:textId="77777777" w:rsidTr="001F1BB7">
        <w:trPr>
          <w:trHeight w:hRule="exact" w:val="202"/>
          <w:jc w:val="center"/>
        </w:trPr>
        <w:tc>
          <w:tcPr>
            <w:tcW w:w="1294" w:type="dxa"/>
            <w:tcBorders>
              <w:bottom w:val="single" w:sz="4" w:space="0" w:color="auto"/>
            </w:tcBorders>
            <w:shd w:val="clear" w:color="000000" w:fill="FFFFFF"/>
            <w:noWrap/>
          </w:tcPr>
          <w:p w14:paraId="3AD9DF8E" w14:textId="77777777" w:rsidR="00B9754C" w:rsidRPr="00FA07EE" w:rsidRDefault="00B9754C" w:rsidP="001F1BB7">
            <w:pPr>
              <w:jc w:val="center"/>
              <w:rPr>
                <w:sz w:val="16"/>
                <w:szCs w:val="16"/>
              </w:rPr>
            </w:pPr>
            <w:r w:rsidRPr="00FA07EE">
              <w:rPr>
                <w:sz w:val="16"/>
                <w:szCs w:val="16"/>
              </w:rPr>
              <w:t>2Q2018</w:t>
            </w:r>
          </w:p>
        </w:tc>
        <w:tc>
          <w:tcPr>
            <w:tcW w:w="1330" w:type="dxa"/>
            <w:tcBorders>
              <w:bottom w:val="single" w:sz="4" w:space="0" w:color="auto"/>
            </w:tcBorders>
            <w:shd w:val="clear" w:color="000000" w:fill="FFFFFF"/>
            <w:noWrap/>
          </w:tcPr>
          <w:p w14:paraId="536230F0" w14:textId="77777777" w:rsidR="00B9754C" w:rsidRPr="00FA07EE" w:rsidRDefault="00B9754C" w:rsidP="001F1BB7">
            <w:pPr>
              <w:jc w:val="center"/>
              <w:rPr>
                <w:sz w:val="16"/>
                <w:szCs w:val="16"/>
              </w:rPr>
            </w:pPr>
            <w:r w:rsidRPr="00FA07EE">
              <w:rPr>
                <w:sz w:val="16"/>
                <w:szCs w:val="16"/>
              </w:rPr>
              <w:t>14,44</w:t>
            </w:r>
          </w:p>
        </w:tc>
        <w:tc>
          <w:tcPr>
            <w:tcW w:w="1330" w:type="dxa"/>
            <w:tcBorders>
              <w:bottom w:val="single" w:sz="4" w:space="0" w:color="auto"/>
            </w:tcBorders>
            <w:shd w:val="clear" w:color="000000" w:fill="FFFFFF"/>
            <w:noWrap/>
          </w:tcPr>
          <w:p w14:paraId="78FC45AB" w14:textId="77777777" w:rsidR="00B9754C" w:rsidRPr="00FA07EE" w:rsidRDefault="00B9754C" w:rsidP="001F1BB7">
            <w:pPr>
              <w:jc w:val="center"/>
              <w:rPr>
                <w:sz w:val="16"/>
                <w:szCs w:val="16"/>
              </w:rPr>
            </w:pPr>
            <w:r w:rsidRPr="00FA07EE">
              <w:rPr>
                <w:sz w:val="16"/>
                <w:szCs w:val="16"/>
              </w:rPr>
              <w:t>35,77</w:t>
            </w:r>
          </w:p>
        </w:tc>
        <w:tc>
          <w:tcPr>
            <w:tcW w:w="1295" w:type="dxa"/>
            <w:tcBorders>
              <w:bottom w:val="single" w:sz="4" w:space="0" w:color="auto"/>
            </w:tcBorders>
            <w:shd w:val="clear" w:color="000000" w:fill="FFFFFF"/>
            <w:noWrap/>
          </w:tcPr>
          <w:p w14:paraId="0109B333" w14:textId="77777777" w:rsidR="00B9754C" w:rsidRPr="00FA07EE" w:rsidRDefault="00B9754C" w:rsidP="001F1BB7">
            <w:pPr>
              <w:jc w:val="center"/>
              <w:rPr>
                <w:sz w:val="16"/>
                <w:szCs w:val="16"/>
              </w:rPr>
            </w:pPr>
            <w:r w:rsidRPr="00FA07EE">
              <w:rPr>
                <w:sz w:val="16"/>
                <w:szCs w:val="16"/>
              </w:rPr>
              <w:t>14,45</w:t>
            </w:r>
          </w:p>
        </w:tc>
        <w:tc>
          <w:tcPr>
            <w:tcW w:w="1295" w:type="dxa"/>
            <w:tcBorders>
              <w:bottom w:val="single" w:sz="4" w:space="0" w:color="auto"/>
            </w:tcBorders>
            <w:shd w:val="clear" w:color="000000" w:fill="FFFFFF"/>
            <w:noWrap/>
          </w:tcPr>
          <w:p w14:paraId="6C2C6B97" w14:textId="77777777" w:rsidR="00B9754C" w:rsidRPr="00FA07EE" w:rsidRDefault="00B9754C" w:rsidP="001F1BB7">
            <w:pPr>
              <w:jc w:val="center"/>
              <w:rPr>
                <w:sz w:val="16"/>
                <w:szCs w:val="16"/>
              </w:rPr>
            </w:pPr>
            <w:r w:rsidRPr="00FA07EE">
              <w:rPr>
                <w:sz w:val="16"/>
                <w:szCs w:val="16"/>
              </w:rPr>
              <w:t>35,77</w:t>
            </w:r>
          </w:p>
        </w:tc>
      </w:tr>
    </w:tbl>
    <w:p w14:paraId="4BC36AD4" w14:textId="2BEAD92D" w:rsidR="00B9754C" w:rsidRPr="00FA07EE" w:rsidRDefault="00B9754C" w:rsidP="00FA07EE">
      <w:pPr>
        <w:ind w:left="1418"/>
        <w:rPr>
          <w:b/>
        </w:rPr>
      </w:pPr>
      <w:r w:rsidRPr="00FA07EE">
        <w:rPr>
          <w:iCs/>
          <w:sz w:val="16"/>
          <w:szCs w:val="16"/>
        </w:rPr>
        <w:t>* Štátne dlhopisy, Štátne pokladničné poukážky, úvery, peňažný trh a Štátna pokladnica</w:t>
      </w:r>
      <w:r w:rsidR="00FA07EE">
        <w:rPr>
          <w:iCs/>
          <w:sz w:val="16"/>
          <w:szCs w:val="16"/>
        </w:rPr>
        <w:t>.</w:t>
      </w:r>
    </w:p>
    <w:p w14:paraId="22E62CD8" w14:textId="77777777" w:rsidR="00B9754C" w:rsidRDefault="00B9754C" w:rsidP="00B9754C">
      <w:pPr>
        <w:spacing w:before="240" w:after="120"/>
        <w:jc w:val="both"/>
        <w:rPr>
          <w:sz w:val="22"/>
          <w:szCs w:val="22"/>
        </w:rPr>
      </w:pPr>
    </w:p>
    <w:p w14:paraId="73532E89" w14:textId="77777777" w:rsidR="00B9754C" w:rsidRDefault="00B9754C" w:rsidP="00B9754C">
      <w:pPr>
        <w:spacing w:before="360" w:after="120"/>
        <w:jc w:val="center"/>
        <w:rPr>
          <w:b/>
          <w:sz w:val="22"/>
          <w:szCs w:val="22"/>
        </w:rPr>
      </w:pPr>
    </w:p>
    <w:p w14:paraId="592D3654" w14:textId="77777777" w:rsidR="00B9754C" w:rsidRDefault="00B9754C" w:rsidP="00B9754C">
      <w:pPr>
        <w:spacing w:before="360" w:after="120"/>
        <w:jc w:val="center"/>
        <w:rPr>
          <w:b/>
          <w:sz w:val="22"/>
          <w:szCs w:val="22"/>
        </w:rPr>
      </w:pPr>
    </w:p>
    <w:p w14:paraId="368A1865" w14:textId="77777777" w:rsidR="00B9754C" w:rsidRDefault="00B9754C" w:rsidP="00B9754C">
      <w:pPr>
        <w:spacing w:before="360" w:after="120"/>
        <w:jc w:val="center"/>
        <w:rPr>
          <w:b/>
          <w:sz w:val="22"/>
          <w:szCs w:val="22"/>
        </w:rPr>
      </w:pPr>
    </w:p>
    <w:p w14:paraId="6AD6B966" w14:textId="77777777" w:rsidR="00B9754C" w:rsidRDefault="00B9754C" w:rsidP="00B9754C">
      <w:pPr>
        <w:spacing w:before="360" w:after="120"/>
        <w:jc w:val="center"/>
        <w:rPr>
          <w:b/>
          <w:sz w:val="22"/>
          <w:szCs w:val="22"/>
        </w:rPr>
      </w:pPr>
    </w:p>
    <w:p w14:paraId="4A936EAC" w14:textId="77777777" w:rsidR="00B9754C" w:rsidRDefault="00B9754C" w:rsidP="00B9754C">
      <w:pPr>
        <w:spacing w:before="360" w:after="120"/>
        <w:jc w:val="center"/>
        <w:rPr>
          <w:b/>
          <w:sz w:val="22"/>
          <w:szCs w:val="22"/>
        </w:rPr>
      </w:pPr>
    </w:p>
    <w:p w14:paraId="2BE43F4F" w14:textId="77777777" w:rsidR="00B9754C" w:rsidRPr="00FA07EE" w:rsidRDefault="00B9754C" w:rsidP="00FA07EE">
      <w:pPr>
        <w:spacing w:after="120"/>
        <w:jc w:val="center"/>
        <w:rPr>
          <w:b/>
        </w:rPr>
      </w:pPr>
      <w:r w:rsidRPr="00FA07EE">
        <w:rPr>
          <w:b/>
        </w:rPr>
        <w:lastRenderedPageBreak/>
        <w:t>Vývoj ukazovateľov refinančného rizika a rizika z precenenia:</w:t>
      </w:r>
    </w:p>
    <w:tbl>
      <w:tblPr>
        <w:tblW w:w="9072" w:type="dxa"/>
        <w:tblCellMar>
          <w:left w:w="70" w:type="dxa"/>
          <w:right w:w="70" w:type="dxa"/>
        </w:tblCellMar>
        <w:tblLook w:val="0000" w:firstRow="0" w:lastRow="0" w:firstColumn="0" w:lastColumn="0" w:noHBand="0" w:noVBand="0"/>
      </w:tblPr>
      <w:tblGrid>
        <w:gridCol w:w="43"/>
        <w:gridCol w:w="4263"/>
        <w:gridCol w:w="145"/>
        <w:gridCol w:w="531"/>
        <w:gridCol w:w="3973"/>
        <w:gridCol w:w="117"/>
      </w:tblGrid>
      <w:tr w:rsidR="00E076F2" w:rsidRPr="00275310" w14:paraId="29E192A6" w14:textId="77777777" w:rsidTr="00EA5713">
        <w:trPr>
          <w:gridBefore w:val="1"/>
          <w:wBefore w:w="74" w:type="dxa"/>
          <w:trHeight w:val="558"/>
        </w:trPr>
        <w:tc>
          <w:tcPr>
            <w:tcW w:w="4234" w:type="dxa"/>
            <w:tcBorders>
              <w:top w:val="nil"/>
              <w:left w:val="nil"/>
              <w:bottom w:val="nil"/>
              <w:right w:val="nil"/>
            </w:tcBorders>
            <w:shd w:val="clear" w:color="auto" w:fill="auto"/>
            <w:noWrap/>
            <w:vAlign w:val="center"/>
          </w:tcPr>
          <w:p w14:paraId="14684409" w14:textId="77777777" w:rsidR="00B9754C" w:rsidRPr="00BA1A27" w:rsidRDefault="00B9754C" w:rsidP="001F1BB7">
            <w:pPr>
              <w:jc w:val="center"/>
              <w:rPr>
                <w:b/>
                <w:bCs/>
                <w:sz w:val="22"/>
                <w:szCs w:val="22"/>
              </w:rPr>
            </w:pPr>
            <w:r w:rsidRPr="00BA1A27">
              <w:rPr>
                <w:b/>
                <w:bCs/>
                <w:sz w:val="22"/>
                <w:szCs w:val="22"/>
              </w:rPr>
              <w:t>Vývoj ukazovateľov refinančného a úrokového rizika v prvom roku (%)</w:t>
            </w:r>
          </w:p>
        </w:tc>
        <w:tc>
          <w:tcPr>
            <w:tcW w:w="671" w:type="dxa"/>
            <w:gridSpan w:val="2"/>
            <w:tcBorders>
              <w:top w:val="nil"/>
              <w:left w:val="nil"/>
              <w:bottom w:val="nil"/>
              <w:right w:val="nil"/>
            </w:tcBorders>
            <w:shd w:val="clear" w:color="auto" w:fill="auto"/>
            <w:noWrap/>
            <w:vAlign w:val="center"/>
          </w:tcPr>
          <w:p w14:paraId="7F06CAEF" w14:textId="77777777" w:rsidR="00B9754C" w:rsidRPr="00275310" w:rsidRDefault="00B9754C" w:rsidP="001F1BB7">
            <w:pPr>
              <w:rPr>
                <w:b/>
                <w:bCs/>
              </w:rPr>
            </w:pPr>
          </w:p>
          <w:p w14:paraId="42A41F78" w14:textId="77777777" w:rsidR="00B9754C" w:rsidRPr="00275310" w:rsidRDefault="00B9754C" w:rsidP="001F1BB7">
            <w:pPr>
              <w:rPr>
                <w:b/>
                <w:bCs/>
              </w:rPr>
            </w:pPr>
          </w:p>
        </w:tc>
        <w:tc>
          <w:tcPr>
            <w:tcW w:w="4093" w:type="dxa"/>
            <w:gridSpan w:val="2"/>
            <w:tcBorders>
              <w:top w:val="nil"/>
              <w:left w:val="nil"/>
              <w:bottom w:val="nil"/>
              <w:right w:val="nil"/>
            </w:tcBorders>
            <w:shd w:val="clear" w:color="auto" w:fill="auto"/>
            <w:noWrap/>
            <w:vAlign w:val="center"/>
          </w:tcPr>
          <w:p w14:paraId="2D58271F" w14:textId="77777777" w:rsidR="00B9754C" w:rsidRPr="00BA1A27" w:rsidRDefault="00B9754C" w:rsidP="001F1BB7">
            <w:pPr>
              <w:jc w:val="center"/>
              <w:rPr>
                <w:b/>
                <w:bCs/>
                <w:sz w:val="22"/>
                <w:szCs w:val="22"/>
              </w:rPr>
            </w:pPr>
            <w:bookmarkStart w:id="29" w:name="_Toc394047557"/>
            <w:r w:rsidRPr="00BA1A27">
              <w:rPr>
                <w:b/>
                <w:bCs/>
                <w:sz w:val="22"/>
                <w:szCs w:val="22"/>
              </w:rPr>
              <w:t>Vývoj ukazovateľov refinančného a úrokového rizika v piatich rokoch (%)</w:t>
            </w:r>
            <w:bookmarkEnd w:id="29"/>
          </w:p>
        </w:tc>
      </w:tr>
      <w:tr w:rsidR="00E076F2" w:rsidRPr="00E75948" w14:paraId="4299516E" w14:textId="77777777" w:rsidTr="00EA5713">
        <w:trPr>
          <w:gridAfter w:val="1"/>
          <w:wAfter w:w="119" w:type="dxa"/>
          <w:trHeight w:val="2609"/>
        </w:trPr>
        <w:tc>
          <w:tcPr>
            <w:tcW w:w="4450" w:type="dxa"/>
            <w:gridSpan w:val="3"/>
            <w:tcBorders>
              <w:top w:val="nil"/>
              <w:left w:val="nil"/>
              <w:bottom w:val="nil"/>
              <w:right w:val="nil"/>
            </w:tcBorders>
            <w:noWrap/>
            <w:vAlign w:val="center"/>
          </w:tcPr>
          <w:p w14:paraId="4DC3C198" w14:textId="77777777" w:rsidR="00E076F2" w:rsidRPr="00E75948" w:rsidRDefault="00E076F2" w:rsidP="001F1BB7">
            <w:pPr>
              <w:ind w:left="162"/>
              <w:jc w:val="center"/>
              <w:rPr>
                <w:sz w:val="20"/>
                <w:szCs w:val="20"/>
              </w:rPr>
            </w:pPr>
            <w:r>
              <w:rPr>
                <w:noProof/>
                <w:sz w:val="20"/>
                <w:szCs w:val="20"/>
              </w:rPr>
              <w:drawing>
                <wp:inline distT="0" distB="0" distL="0" distR="0" wp14:anchorId="14239B4D" wp14:editId="60FE035D">
                  <wp:extent cx="2676525" cy="2707797"/>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193" cy="2713531"/>
                          </a:xfrm>
                          <a:prstGeom prst="rect">
                            <a:avLst/>
                          </a:prstGeom>
                          <a:noFill/>
                        </pic:spPr>
                      </pic:pic>
                    </a:graphicData>
                  </a:graphic>
                </wp:inline>
              </w:drawing>
            </w:r>
          </w:p>
        </w:tc>
        <w:tc>
          <w:tcPr>
            <w:tcW w:w="4503" w:type="dxa"/>
            <w:gridSpan w:val="2"/>
            <w:tcBorders>
              <w:top w:val="nil"/>
              <w:left w:val="nil"/>
              <w:bottom w:val="nil"/>
              <w:right w:val="nil"/>
            </w:tcBorders>
            <w:noWrap/>
            <w:vAlign w:val="center"/>
          </w:tcPr>
          <w:p w14:paraId="5799CEA4" w14:textId="77777777" w:rsidR="00E076F2" w:rsidRPr="00E75948" w:rsidRDefault="00E076F2" w:rsidP="001F1BB7">
            <w:pPr>
              <w:ind w:left="143"/>
              <w:jc w:val="center"/>
              <w:rPr>
                <w:sz w:val="20"/>
                <w:szCs w:val="20"/>
              </w:rPr>
            </w:pPr>
            <w:r>
              <w:rPr>
                <w:noProof/>
                <w:sz w:val="20"/>
                <w:szCs w:val="20"/>
              </w:rPr>
              <w:drawing>
                <wp:inline distT="0" distB="0" distL="0" distR="0" wp14:anchorId="4CF8CB72" wp14:editId="3781A074">
                  <wp:extent cx="2724150" cy="280416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2804160"/>
                          </a:xfrm>
                          <a:prstGeom prst="rect">
                            <a:avLst/>
                          </a:prstGeom>
                          <a:noFill/>
                        </pic:spPr>
                      </pic:pic>
                    </a:graphicData>
                  </a:graphic>
                </wp:inline>
              </w:drawing>
            </w:r>
          </w:p>
        </w:tc>
      </w:tr>
    </w:tbl>
    <w:p w14:paraId="0ED5B95D" w14:textId="77777777" w:rsidR="00B9754C" w:rsidRPr="00024472" w:rsidRDefault="00B9754C" w:rsidP="00B9754C">
      <w:pPr>
        <w:spacing w:before="240" w:after="120"/>
        <w:jc w:val="right"/>
        <w:rPr>
          <w:b/>
          <w:szCs w:val="20"/>
          <w:highlight w:val="green"/>
        </w:rPr>
      </w:pPr>
      <w:r>
        <w:rPr>
          <w:i/>
          <w:iCs/>
          <w:sz w:val="16"/>
          <w:szCs w:val="16"/>
        </w:rPr>
        <w:t>Zd</w:t>
      </w:r>
      <w:r w:rsidRPr="0095057F">
        <w:rPr>
          <w:i/>
          <w:iCs/>
          <w:sz w:val="16"/>
          <w:szCs w:val="16"/>
        </w:rPr>
        <w:t>roj: ARDAL</w:t>
      </w:r>
    </w:p>
    <w:p w14:paraId="3834D471" w14:textId="26F84701" w:rsidR="00B9754C" w:rsidRPr="00FA07EE" w:rsidRDefault="00B9754C" w:rsidP="00FA07EE">
      <w:pPr>
        <w:spacing w:before="240" w:after="120"/>
        <w:ind w:firstLine="708"/>
        <w:jc w:val="both"/>
      </w:pPr>
      <w:r w:rsidRPr="00FA07EE">
        <w:t>Stabilizácia finančných trhov prostredníctvom operácií ECB pokračovala aj po roku 2015. Úrokové sadzby členských krajín eurozóny hlavne pod vplyvom nákupov dlhopisov v rámci programu ECB PSPP dosahovali stále nové rekordné minimá. To, spolu so zmenšenou dôverou investorov v „okrajové“ krajiny, znamenalo pre Slovensko v týchto rokoch prílev nových investorov, najmä v oblasti stále väčších splatností. Rekordne malé úrokové sadzby sa prejavili aj pri slovenských dlhopisoch, a preto boli uvedené podmienky využité na vydávanie dlhopisov (dlhu) s čo najväčšou dobou do splatnosti (20, 30 a 50 rokov). Parametre portfólia sa takto dostali do oblasti menšieho rizika, ale vzhľadom k malým a postupne klesajúcim úrokovým sadzbám došlo k poklesu nákladov na obsluhu dlhu.</w:t>
      </w:r>
    </w:p>
    <w:p w14:paraId="5DC6BA9B" w14:textId="173572E5" w:rsidR="00B9754C" w:rsidRPr="00FA07EE" w:rsidRDefault="00C276FA" w:rsidP="00B9754C">
      <w:pPr>
        <w:spacing w:before="240" w:after="120"/>
        <w:jc w:val="center"/>
      </w:pPr>
      <w:r w:rsidRPr="00FA07EE">
        <w:rPr>
          <w:noProof/>
        </w:rPr>
        <w:drawing>
          <wp:anchor distT="0" distB="0" distL="114300" distR="114300" simplePos="0" relativeHeight="251659264" behindDoc="0" locked="0" layoutInCell="1" allowOverlap="1" wp14:anchorId="790880E3" wp14:editId="31064025">
            <wp:simplePos x="0" y="0"/>
            <wp:positionH relativeFrom="margin">
              <wp:align>center</wp:align>
            </wp:positionH>
            <wp:positionV relativeFrom="paragraph">
              <wp:posOffset>407670</wp:posOffset>
            </wp:positionV>
            <wp:extent cx="6038850" cy="2516505"/>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8850" cy="25165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54C" w:rsidRPr="00FA07EE">
        <w:rPr>
          <w:b/>
        </w:rPr>
        <w:t>Vývoj priemernej splatnosti (roky) a durácie (roky) štátneho dlhu</w:t>
      </w:r>
    </w:p>
    <w:p w14:paraId="2BF1B80F" w14:textId="4F7F42B7" w:rsidR="00B9754C" w:rsidRDefault="00B9754C" w:rsidP="00B9754C">
      <w:pPr>
        <w:jc w:val="right"/>
        <w:rPr>
          <w:i/>
          <w:sz w:val="16"/>
          <w:szCs w:val="16"/>
        </w:rPr>
      </w:pPr>
    </w:p>
    <w:p w14:paraId="732ED291" w14:textId="3A4CBB2B" w:rsidR="00B9754C" w:rsidRPr="002C3F14" w:rsidRDefault="00B9754C" w:rsidP="00B9754C">
      <w:pPr>
        <w:jc w:val="right"/>
      </w:pPr>
      <w:r w:rsidRPr="002C3F14">
        <w:rPr>
          <w:i/>
          <w:sz w:val="16"/>
          <w:szCs w:val="16"/>
        </w:rPr>
        <w:t>Zdroj: ARDAL</w:t>
      </w:r>
    </w:p>
    <w:p w14:paraId="6650EA94" w14:textId="01479338" w:rsidR="00B9754C" w:rsidRPr="00FA07EE" w:rsidRDefault="00B9754C" w:rsidP="00FA07EE">
      <w:pPr>
        <w:spacing w:before="240" w:after="120"/>
        <w:ind w:firstLine="708"/>
        <w:jc w:val="both"/>
      </w:pPr>
      <w:r>
        <w:rPr>
          <w:sz w:val="22"/>
          <w:szCs w:val="22"/>
        </w:rPr>
        <w:br w:type="page"/>
      </w:r>
      <w:r w:rsidRPr="00FA07EE">
        <w:lastRenderedPageBreak/>
        <w:t xml:space="preserve">Pre riadenie cudzomenového rizika je stanovený limit nezabezpečenej cudzomenovej pozície štátneho dlhu, a to úrovni 3 % v pomere k celkovému štátnemu dlhu. Ku koncu júna 2018 bola hodnota nezabezpečeného dlhu v cudzej mene 0,07 % z celkového dlhu. </w:t>
      </w:r>
    </w:p>
    <w:p w14:paraId="49440ACE" w14:textId="77777777" w:rsidR="00B9754C" w:rsidRPr="00FA07EE" w:rsidRDefault="00B9754C" w:rsidP="00B9754C">
      <w:pPr>
        <w:spacing w:before="240" w:after="120"/>
        <w:rPr>
          <w:u w:val="single"/>
        </w:rPr>
      </w:pPr>
      <w:r w:rsidRPr="00FA07EE">
        <w:rPr>
          <w:u w:val="single"/>
        </w:rPr>
        <w:t>4 - Diverzifikácia investorskej základne</w:t>
      </w:r>
    </w:p>
    <w:p w14:paraId="525F4EE9" w14:textId="77777777" w:rsidR="00B9754C" w:rsidRPr="00FA07EE" w:rsidRDefault="00B9754C" w:rsidP="00FA07EE">
      <w:pPr>
        <w:spacing w:after="120"/>
        <w:ind w:firstLine="708"/>
        <w:jc w:val="both"/>
      </w:pPr>
      <w:r w:rsidRPr="00FA07EE">
        <w:t>Diverzifikácia investorskej základne je nevyhnutná najmä z  dôvodu každoročných deficitov štátneho rozpočtu, ktoré sú spolu so splatným dlhom väčšie ako absorpčná kapacita domáceho a regionálneho finančného trhu. Táto diverzifikácia prináša tiež zmenu podielu štátneho dlhu vlastneného domácimi investormi a zahraničnými investormi v prospech zahraničných investorov (väčšie refinančné riziko).</w:t>
      </w:r>
    </w:p>
    <w:p w14:paraId="2D6324D3" w14:textId="456F6E22" w:rsidR="00B9754C" w:rsidRPr="00FA07EE" w:rsidRDefault="005732C3" w:rsidP="00FA07EE">
      <w:pPr>
        <w:spacing w:after="120"/>
        <w:ind w:firstLine="708"/>
        <w:jc w:val="both"/>
      </w:pPr>
      <w:r>
        <w:t>V celom horizonte minulej s</w:t>
      </w:r>
      <w:r w:rsidR="00B9754C" w:rsidRPr="00FA07EE">
        <w:t>tratégie nebola vydaná žiadna emisia v cudzej mene. V budúcnosti môže ARDAL vydať takúto emisiu v závislosti od podmieno</w:t>
      </w:r>
      <w:r>
        <w:t>k na trhu, od vývoja deficitu štátneho rozpočtu</w:t>
      </w:r>
      <w:r w:rsidR="00B9754C" w:rsidRPr="00FA07EE">
        <w:t xml:space="preserve"> a očakávaných zmien zákona o rozpočtovej zodpovednosti.</w:t>
      </w:r>
    </w:p>
    <w:p w14:paraId="4F8886DF" w14:textId="1541898E" w:rsidR="00B9754C" w:rsidRPr="00FA07EE" w:rsidRDefault="00B9754C" w:rsidP="004E6BA5">
      <w:pPr>
        <w:spacing w:before="240" w:after="120"/>
        <w:ind w:left="284" w:right="-142" w:hanging="284"/>
        <w:rPr>
          <w:u w:val="single"/>
        </w:rPr>
      </w:pPr>
      <w:r w:rsidRPr="00FA07EE">
        <w:rPr>
          <w:u w:val="single"/>
        </w:rPr>
        <w:t xml:space="preserve">5 - Skvalitnenie infraštruktúry riadenia štátneho dlhu </w:t>
      </w:r>
      <w:r w:rsidR="004E6BA5">
        <w:rPr>
          <w:u w:val="single"/>
        </w:rPr>
        <w:t xml:space="preserve">(primárni dealeri, ISDA zmluvy, </w:t>
      </w:r>
      <w:r w:rsidRPr="00FA07EE">
        <w:rPr>
          <w:u w:val="single"/>
        </w:rPr>
        <w:t>brokeri, zlepšenie podmienok vysporiadania CP)</w:t>
      </w:r>
    </w:p>
    <w:p w14:paraId="43AAF925" w14:textId="77777777" w:rsidR="00B9754C" w:rsidRPr="00FA07EE" w:rsidRDefault="00B9754C" w:rsidP="00FA07EE">
      <w:pPr>
        <w:spacing w:before="120" w:after="120"/>
        <w:ind w:firstLine="708"/>
        <w:jc w:val="both"/>
      </w:pPr>
      <w:r w:rsidRPr="00FA07EE">
        <w:t xml:space="preserve">Vo februári 2017 Centrálny depozitár cenných papierov SR, a. s. (CDCP) úspešne prešiel na európsku platformu Target 2-Securities (T2S). Týmto významným míľnikom sa Slovensko stalo integrovanou súčasťou jednotného kapitálového trhu EÚ. Implementáciou štandardného vysporiadania transakcií (DVP) sa vytvorili vhodné podmienky pre zavedenie elektronickej platformy pre sekundárny trh slovenských štátnych cenných papierov. </w:t>
      </w:r>
    </w:p>
    <w:p w14:paraId="1124DC02" w14:textId="77777777" w:rsidR="00B9754C" w:rsidRPr="00FA07EE" w:rsidRDefault="00B9754C" w:rsidP="00FA07EE">
      <w:pPr>
        <w:spacing w:before="120" w:after="120"/>
        <w:ind w:firstLine="708"/>
        <w:jc w:val="both"/>
      </w:pPr>
      <w:r w:rsidRPr="00FA07EE">
        <w:t xml:space="preserve">Vo februári 2018 začala na Slovensku fungovať elektronická platforma pre obchodovanie štátnych dlhopisov na sekundárnom trhu - MTS Slovakia. Hlavným cieľom zavedenia bola podpora transparentnosti a likvidity štátnych cenných papierov na sekundárnom trhu. Táto platforma je v krajinách EÚ najviac rozšírená a predstavuje nevyhnutný štandard pre zlepšenie likvidity štátnych cenných papierov na sekundárnom trhu.  Slovensko sa aj vďaka tomu začlenilo medzi krajiny s vyspelou infraštruktúrou v oblasti riadenia a správy štátneho dlhu. </w:t>
      </w:r>
    </w:p>
    <w:p w14:paraId="4E18EADA" w14:textId="7CF03253" w:rsidR="00B9754C" w:rsidRPr="00FA07EE" w:rsidRDefault="00B9754C" w:rsidP="00FA07EE">
      <w:pPr>
        <w:spacing w:before="120" w:after="120"/>
        <w:ind w:firstLine="708"/>
        <w:jc w:val="both"/>
      </w:pPr>
      <w:r w:rsidRPr="00FA07EE">
        <w:t>Systém primárnych dealerov fungoval stabilne a štandardne s mierne sa meniacim počtom primárnych dealerov. V uvedenom období boli podpísané zmluvy s celkovo desiatimi až trinástimi primárnymi dealermi a s niekoľkými spolupracujúci</w:t>
      </w:r>
      <w:r w:rsidR="00435181" w:rsidRPr="00FA07EE">
        <w:t>mi</w:t>
      </w:r>
      <w:r w:rsidRPr="00FA07EE">
        <w:t xml:space="preserve"> dealer</w:t>
      </w:r>
      <w:r w:rsidR="002549DA" w:rsidRPr="00FA07EE">
        <w:t>m</w:t>
      </w:r>
      <w:r w:rsidRPr="00FA07EE">
        <w:t xml:space="preserve">i v závislosti od jednotlivých rokov. </w:t>
      </w:r>
    </w:p>
    <w:p w14:paraId="2CF69AE4" w14:textId="77777777" w:rsidR="00B9754C" w:rsidRPr="00FA07EE" w:rsidRDefault="00B9754C" w:rsidP="00FA07EE">
      <w:pPr>
        <w:spacing w:before="120" w:after="120"/>
        <w:ind w:firstLine="708"/>
        <w:jc w:val="both"/>
      </w:pPr>
      <w:r w:rsidRPr="00FA07EE">
        <w:t xml:space="preserve">V období od začiatku roka 2012 boli uzatvorené zmluvy s jedenástimi bankami (ISDA Master Agreement). Banky, s ktorými má Slovensko platné zmluvy, môžu byť pozvané do tendra na uzatvorenie zabezpečovacích a iných transakcií. Služby brokerských spoločností (zahraničných) využíva Slovensko na transakcie na peňažnom a na sekundárnom kapitálovom trhu v menšom rozsahu. </w:t>
      </w:r>
    </w:p>
    <w:p w14:paraId="0BA0F3AC" w14:textId="77777777" w:rsidR="00B9754C" w:rsidRPr="00191554" w:rsidRDefault="00B9754C" w:rsidP="00B9754C"/>
    <w:p w14:paraId="38B0D4F7" w14:textId="78858AD6" w:rsidR="00B9754C" w:rsidRPr="007B4261" w:rsidRDefault="00B9754C" w:rsidP="00B9754C">
      <w:pPr>
        <w:pStyle w:val="Nadpis1"/>
        <w:numPr>
          <w:ilvl w:val="0"/>
          <w:numId w:val="9"/>
        </w:numPr>
        <w:spacing w:before="0" w:after="360"/>
        <w:ind w:left="357" w:hanging="357"/>
        <w:rPr>
          <w:rFonts w:ascii="Times New Roman" w:hAnsi="Times New Roman" w:cs="Times New Roman"/>
          <w:sz w:val="28"/>
        </w:rPr>
      </w:pPr>
      <w:bookmarkStart w:id="30" w:name="_Toc494382339"/>
      <w:r w:rsidRPr="007B4261">
        <w:rPr>
          <w:rFonts w:ascii="Times New Roman" w:hAnsi="Times New Roman" w:cs="Times New Roman"/>
          <w:sz w:val="28"/>
        </w:rPr>
        <w:t xml:space="preserve">Strategické ciele riadenia štátneho dlhu </w:t>
      </w:r>
      <w:bookmarkEnd w:id="30"/>
    </w:p>
    <w:p w14:paraId="72E6EC82" w14:textId="14BD3432" w:rsidR="00B9754C" w:rsidRDefault="00B9754C" w:rsidP="00B9754C">
      <w:pPr>
        <w:ind w:firstLine="708"/>
        <w:jc w:val="both"/>
        <w:rPr>
          <w:szCs w:val="22"/>
        </w:rPr>
      </w:pPr>
      <w:r w:rsidRPr="007B4261">
        <w:rPr>
          <w:szCs w:val="22"/>
        </w:rPr>
        <w:t>Hlavným cieľom riadenia štátneho dlhu je zabezpečiť plnenie finančných záväzkov štátu a zabezpečiť spoľahlivé refinancovanie na kapitálovom trhu pri primeraných úrokových nákladoch a únosnej mi</w:t>
      </w:r>
      <w:r w:rsidR="00C643B6">
        <w:rPr>
          <w:szCs w:val="22"/>
        </w:rPr>
        <w:t>ere rizík. Ciele formulované v S</w:t>
      </w:r>
      <w:r w:rsidRPr="007B4261">
        <w:rPr>
          <w:szCs w:val="22"/>
        </w:rPr>
        <w:t>tratégii sú v súlade s aktuálnou situáciou na finančnom trhu a s vývojom riadenia štátneho dlhu. Nastavenie cieľov riadenia štátneho dlhu a likvidity je vyhovujúce pre podmienky slovenskej ekonomiky a dostatočné pre systém riadenia dlhu v SR. Aktuálna aktualizácia nevyžaduje modifikovať kvantitatívne ciele riadenia rizika</w:t>
      </w:r>
      <w:r w:rsidR="006D50A2">
        <w:rPr>
          <w:szCs w:val="22"/>
        </w:rPr>
        <w:t xml:space="preserve"> ani ostatné ciele stanovené v s</w:t>
      </w:r>
      <w:r w:rsidRPr="007B4261">
        <w:rPr>
          <w:szCs w:val="22"/>
        </w:rPr>
        <w:t>tratégii.</w:t>
      </w:r>
    </w:p>
    <w:p w14:paraId="200C1CD5" w14:textId="77777777" w:rsidR="00B9754C" w:rsidRPr="007B4261" w:rsidRDefault="00B9754C" w:rsidP="00B9754C">
      <w:pPr>
        <w:ind w:firstLine="708"/>
        <w:jc w:val="both"/>
        <w:rPr>
          <w:szCs w:val="22"/>
        </w:rPr>
      </w:pPr>
    </w:p>
    <w:p w14:paraId="0BBAD68C" w14:textId="77777777" w:rsidR="00B9754C" w:rsidRPr="007B4261" w:rsidRDefault="00B9754C" w:rsidP="00B9754C">
      <w:pPr>
        <w:pStyle w:val="Nadpis1"/>
        <w:numPr>
          <w:ilvl w:val="0"/>
          <w:numId w:val="9"/>
        </w:numPr>
        <w:spacing w:before="0" w:after="240"/>
        <w:rPr>
          <w:rFonts w:ascii="Times New Roman" w:hAnsi="Times New Roman" w:cs="Times New Roman"/>
          <w:sz w:val="28"/>
        </w:rPr>
      </w:pPr>
      <w:bookmarkStart w:id="31" w:name="_Toc494382340"/>
      <w:r w:rsidRPr="007B4261">
        <w:rPr>
          <w:rFonts w:ascii="Times New Roman" w:hAnsi="Times New Roman" w:cs="Times New Roman"/>
          <w:sz w:val="28"/>
        </w:rPr>
        <w:lastRenderedPageBreak/>
        <w:t>Záver</w:t>
      </w:r>
      <w:bookmarkEnd w:id="31"/>
    </w:p>
    <w:p w14:paraId="19C5710F" w14:textId="6BB18402" w:rsidR="00B9754C" w:rsidRPr="007B4261" w:rsidRDefault="00B9754C" w:rsidP="00B9754C">
      <w:pPr>
        <w:spacing w:after="120"/>
        <w:ind w:firstLine="708"/>
        <w:jc w:val="both"/>
        <w:rPr>
          <w:szCs w:val="22"/>
        </w:rPr>
      </w:pPr>
      <w:r w:rsidRPr="007B4261">
        <w:rPr>
          <w:szCs w:val="22"/>
        </w:rPr>
        <w:t xml:space="preserve">Slovensko </w:t>
      </w:r>
      <w:r w:rsidR="00AF2EEC">
        <w:rPr>
          <w:szCs w:val="22"/>
        </w:rPr>
        <w:t>plní všetky kritériá stanovené stratégiou. Ciele formulované v</w:t>
      </w:r>
      <w:r w:rsidR="00C643B6">
        <w:rPr>
          <w:szCs w:val="22"/>
        </w:rPr>
        <w:t> S</w:t>
      </w:r>
      <w:r w:rsidRPr="007B4261">
        <w:rPr>
          <w:szCs w:val="22"/>
        </w:rPr>
        <w:t>tratégii</w:t>
      </w:r>
      <w:r w:rsidR="00C643B6">
        <w:rPr>
          <w:szCs w:val="22"/>
        </w:rPr>
        <w:t xml:space="preserve"> </w:t>
      </w:r>
      <w:r w:rsidRPr="007B4261">
        <w:rPr>
          <w:szCs w:val="22"/>
        </w:rPr>
        <w:t xml:space="preserve">sú v súlade s aktuálnou situáciou na finančnom trhu. Rozhodnutie sprísniť parametre splatnosti štátneho dlhu do piatich a jedného roka a úrokového rizika do piatich rokov sa ukázalo ako správne. Vývoj verejných financií, nákladov na správu štátneho dlhu v posledných rokoch a najmä hodnotenie Slovenska investormi, bankami a ratingovými spoločnosťami taktiež ukazujú, že nastavenie cieľov riadenia štátneho dlhu a likvidity je vyhovujúce pre podmienky ekonomiky a dostatočné pre systém riadenia dlhu v SR. </w:t>
      </w:r>
    </w:p>
    <w:p w14:paraId="468F08C4" w14:textId="75D19D70" w:rsidR="00B9754C" w:rsidRPr="007B4261" w:rsidRDefault="00B9754C" w:rsidP="00B9754C">
      <w:pPr>
        <w:spacing w:after="120"/>
        <w:ind w:firstLine="708"/>
        <w:jc w:val="both"/>
        <w:rPr>
          <w:szCs w:val="22"/>
        </w:rPr>
      </w:pPr>
      <w:r w:rsidRPr="007B4261">
        <w:rPr>
          <w:szCs w:val="22"/>
        </w:rPr>
        <w:t>Aktuálna aktualizácia nevyžaduje modifikovať kvantitatívne ciele riadenia rizika</w:t>
      </w:r>
      <w:r w:rsidR="00AF2EEC">
        <w:rPr>
          <w:szCs w:val="22"/>
        </w:rPr>
        <w:t xml:space="preserve"> ani ostatné ciele stanovené v s</w:t>
      </w:r>
      <w:r w:rsidRPr="007B4261">
        <w:rPr>
          <w:szCs w:val="22"/>
        </w:rPr>
        <w:t>tratégii.</w:t>
      </w:r>
    </w:p>
    <w:p w14:paraId="78502982" w14:textId="77777777" w:rsidR="00B9754C" w:rsidRDefault="00B9754C" w:rsidP="00B9754C">
      <w:pPr>
        <w:rPr>
          <w:b/>
          <w:sz w:val="32"/>
        </w:rPr>
      </w:pPr>
      <w:r>
        <w:rPr>
          <w:b/>
          <w:sz w:val="32"/>
        </w:rPr>
        <w:br w:type="page"/>
      </w:r>
    </w:p>
    <w:p w14:paraId="3655460E" w14:textId="77777777" w:rsidR="00B9754C" w:rsidRDefault="00B9754C" w:rsidP="00506037">
      <w:pPr>
        <w:rPr>
          <w:b/>
          <w:sz w:val="28"/>
        </w:rPr>
      </w:pPr>
      <w:r w:rsidRPr="007B4261">
        <w:rPr>
          <w:b/>
          <w:sz w:val="28"/>
        </w:rPr>
        <w:lastRenderedPageBreak/>
        <w:t>Príloha: Riadenie finančných rizík štátneho dlhu</w:t>
      </w:r>
    </w:p>
    <w:p w14:paraId="787C580B" w14:textId="77777777" w:rsidR="00506037" w:rsidRPr="007B4261" w:rsidRDefault="00506037" w:rsidP="00506037">
      <w:pPr>
        <w:rPr>
          <w:b/>
          <w:sz w:val="28"/>
        </w:rPr>
      </w:pPr>
    </w:p>
    <w:p w14:paraId="006D5B3C" w14:textId="77777777" w:rsidR="00B9754C" w:rsidRPr="00506037" w:rsidRDefault="00B9754C" w:rsidP="00506037">
      <w:pPr>
        <w:ind w:firstLine="708"/>
        <w:jc w:val="both"/>
      </w:pPr>
      <w:r w:rsidRPr="00506037">
        <w:t>Riadenie parametrov portfólia štátneho dlhu je založené na nastavení cieľových hodnôt rizík a dodržiavaní nastavených hodnôt v určitom rozsahu odchýlok od stanovených úrovní. Nastavením hodnôt rizík sú determinované výdavky spojené s obsluhou dlhového portfólia. Medzi najdôležitejšie riziká štátneho dlhu patria nasledovné:</w:t>
      </w:r>
    </w:p>
    <w:p w14:paraId="7E51BF98" w14:textId="77777777" w:rsidR="00B9754C" w:rsidRPr="00506037" w:rsidRDefault="00B9754C" w:rsidP="00B9754C">
      <w:pPr>
        <w:spacing w:before="360" w:after="120"/>
        <w:jc w:val="center"/>
        <w:rPr>
          <w:b/>
        </w:rPr>
      </w:pPr>
      <w:bookmarkStart w:id="32" w:name="_Toc252805711"/>
      <w:bookmarkStart w:id="33" w:name="_Toc275948238"/>
      <w:r w:rsidRPr="00506037">
        <w:rPr>
          <w:b/>
        </w:rPr>
        <w:t>REFINANČNÉ RIZIKO</w:t>
      </w:r>
      <w:bookmarkEnd w:id="32"/>
      <w:bookmarkEnd w:id="33"/>
    </w:p>
    <w:p w14:paraId="21303045" w14:textId="77777777" w:rsidR="00B9754C" w:rsidRPr="00506037" w:rsidRDefault="00B9754C" w:rsidP="00506037">
      <w:pPr>
        <w:spacing w:before="120" w:after="120"/>
        <w:ind w:firstLine="708"/>
        <w:jc w:val="both"/>
      </w:pPr>
      <w:r w:rsidRPr="00506037">
        <w:t>Refinančné riziko predstavuje možnosť straty schopnosti štátu refinancovať sa a plniť svoje záväzky v čase ich splatnosti, resp. schopnosť splniť si svoje záväzky len pomocou núdzových opatrení, pravdepodobne za oveľa väčšiu cenu ako obvykle. Riziko vyplýva aj z neistoty, či požadované obchody budú môcť byť na finančných trhoch v plnej miere realizované. Toto riziko je sledované prostredníctvom ukazovateľov kumulatívnej splatnosti, to znamená súčtu všetkých splatných záväzkov v stanovenom období.</w:t>
      </w:r>
    </w:p>
    <w:p w14:paraId="50B8846F" w14:textId="77777777" w:rsidR="00B9754C" w:rsidRPr="00506037" w:rsidRDefault="00B9754C" w:rsidP="00B9754C">
      <w:pPr>
        <w:numPr>
          <w:ilvl w:val="0"/>
          <w:numId w:val="28"/>
        </w:numPr>
        <w:spacing w:before="80" w:after="80"/>
        <w:ind w:left="714" w:hanging="357"/>
        <w:jc w:val="both"/>
      </w:pPr>
      <w:r w:rsidRPr="00506037">
        <w:t>Ukazovateľ kumulatívnej splatnosti v prvom roku</w:t>
      </w:r>
    </w:p>
    <w:p w14:paraId="51BD6719" w14:textId="77777777" w:rsidR="00B9754C" w:rsidRPr="00506037" w:rsidRDefault="00B9754C" w:rsidP="00B9754C">
      <w:pPr>
        <w:numPr>
          <w:ilvl w:val="0"/>
          <w:numId w:val="28"/>
        </w:numPr>
        <w:spacing w:before="80" w:after="80"/>
        <w:ind w:left="714" w:hanging="357"/>
        <w:jc w:val="both"/>
      </w:pPr>
      <w:r w:rsidRPr="00506037">
        <w:t>Ukazovateľ kumulatívnej splatnosti do 5 rokov</w:t>
      </w:r>
    </w:p>
    <w:p w14:paraId="6A28FC93" w14:textId="2F363B2C" w:rsidR="00B9754C" w:rsidRPr="00506037" w:rsidRDefault="00B9754C" w:rsidP="00506037">
      <w:pPr>
        <w:spacing w:before="120" w:after="120"/>
        <w:ind w:firstLine="708"/>
        <w:jc w:val="both"/>
      </w:pPr>
      <w:r w:rsidRPr="00506037">
        <w:t xml:space="preserve">V období </w:t>
      </w:r>
      <w:r w:rsidR="00C643B6">
        <w:t xml:space="preserve">súčasnej Stratégie </w:t>
      </w:r>
      <w:r w:rsidRPr="00506037">
        <w:t>je zámerom udržiavanie podielu súčtu všetkých splatných záväzkov v období do jedného roka k celkovým finančným záväzkom čo najbližšie k hodnote 20 % a udržiavanie podielu súčtu všetkých splatných záväzkov v období do piatich rokov k celkovým finančným záväzkom čo najbližšie k hodnote 55 %. Dodržanie týchto parametrov predpokladá štandardné podmienky vývoja finančných trhov, makroekonomického a fiškálneho vývoja ekonomiky SR v rámci eurozóny. Rozhodnutie o dodržaní parametrov, aj v prípade neštandardných podmienok, môže viesť k podstatnému zvýšeniu výdavkov štátneho rozpočtu na obsluhu dlhu.</w:t>
      </w:r>
    </w:p>
    <w:p w14:paraId="416E9315" w14:textId="77777777" w:rsidR="00B9754C" w:rsidRPr="00506037" w:rsidRDefault="00B9754C" w:rsidP="00B9754C">
      <w:pPr>
        <w:jc w:val="both"/>
        <w:rPr>
          <w:b/>
          <w:color w:val="FF0000"/>
        </w:rPr>
      </w:pPr>
    </w:p>
    <w:p w14:paraId="4A0D53E3" w14:textId="77777777" w:rsidR="00B9754C" w:rsidRPr="00506037" w:rsidRDefault="00B9754C" w:rsidP="00B9754C">
      <w:pPr>
        <w:jc w:val="center"/>
        <w:rPr>
          <w:b/>
        </w:rPr>
      </w:pPr>
      <w:r w:rsidRPr="00506037">
        <w:rPr>
          <w:b/>
        </w:rPr>
        <w:t>Kumulatívne refinančné riziko v jednotlivých rokoch (%, k 30. 6. 2018)</w:t>
      </w:r>
    </w:p>
    <w:p w14:paraId="7C57FB56" w14:textId="77777777" w:rsidR="00B9754C" w:rsidRPr="008C053D" w:rsidRDefault="00B9754C" w:rsidP="00B9754C">
      <w:pPr>
        <w:ind w:left="-283"/>
        <w:jc w:val="both"/>
        <w:rPr>
          <w:i/>
          <w:sz w:val="22"/>
          <w:szCs w:val="22"/>
        </w:rPr>
      </w:pPr>
      <w:r w:rsidRPr="00311262">
        <w:rPr>
          <w:noProof/>
        </w:rPr>
        <w:drawing>
          <wp:inline distT="0" distB="0" distL="0" distR="0" wp14:anchorId="402E11D7" wp14:editId="426F332E">
            <wp:extent cx="6200775" cy="1990725"/>
            <wp:effectExtent l="0" t="0" r="9525"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0775" cy="1990725"/>
                    </a:xfrm>
                    <a:prstGeom prst="rect">
                      <a:avLst/>
                    </a:prstGeom>
                    <a:noFill/>
                    <a:ln>
                      <a:noFill/>
                    </a:ln>
                  </pic:spPr>
                </pic:pic>
              </a:graphicData>
            </a:graphic>
          </wp:inline>
        </w:drawing>
      </w:r>
    </w:p>
    <w:p w14:paraId="56520435" w14:textId="77777777" w:rsidR="00B9754C" w:rsidRPr="002C3F14" w:rsidRDefault="00B9754C" w:rsidP="00B9754C">
      <w:pPr>
        <w:jc w:val="right"/>
      </w:pPr>
      <w:bookmarkStart w:id="34" w:name="_Toc252805712"/>
      <w:bookmarkStart w:id="35" w:name="_Toc275948239"/>
      <w:r w:rsidRPr="002C3F14">
        <w:rPr>
          <w:i/>
          <w:sz w:val="16"/>
          <w:szCs w:val="16"/>
        </w:rPr>
        <w:t>Zdroj: ARDAL</w:t>
      </w:r>
    </w:p>
    <w:p w14:paraId="237849BC" w14:textId="77777777" w:rsidR="00B9754C" w:rsidRPr="00506037" w:rsidRDefault="00B9754C" w:rsidP="00B9754C">
      <w:pPr>
        <w:spacing w:before="360" w:after="120"/>
        <w:jc w:val="center"/>
        <w:rPr>
          <w:b/>
        </w:rPr>
      </w:pPr>
      <w:r w:rsidRPr="00506037">
        <w:rPr>
          <w:b/>
        </w:rPr>
        <w:t>ÚROKOVÉ RIZIKO</w:t>
      </w:r>
      <w:bookmarkEnd w:id="34"/>
      <w:bookmarkEnd w:id="35"/>
    </w:p>
    <w:p w14:paraId="58B17B06" w14:textId="77777777" w:rsidR="00B9754C" w:rsidRPr="00506037" w:rsidRDefault="00B9754C" w:rsidP="00506037">
      <w:pPr>
        <w:spacing w:before="120" w:after="120"/>
        <w:ind w:firstLine="708"/>
        <w:jc w:val="both"/>
      </w:pPr>
      <w:r w:rsidRPr="00506037">
        <w:t>Úrokové riziko predstavuje riziko zmeny výdavkov spojených s portfóliom štátneho dlhu v dôsledku zmien trhových úrokových sadzieb. Ukazovatele precenenia dlhu, ktorými sa toto riziko riadi, vyjadrujú mieru ohrozenia – rastu (poklesu) výdavkov v dôsledku nepriaznivých (priaznivých) pohybov úrokových sadzieb. Sekundárne sa pri úrokovom riziku sleduje priemerná splatnosť a vývoj celkovej durácie portfólia.</w:t>
      </w:r>
    </w:p>
    <w:p w14:paraId="2BC98B31" w14:textId="77777777" w:rsidR="00B9754C" w:rsidRPr="00506037" w:rsidRDefault="00B9754C" w:rsidP="00B9754C">
      <w:pPr>
        <w:numPr>
          <w:ilvl w:val="0"/>
          <w:numId w:val="28"/>
        </w:numPr>
        <w:spacing w:before="80" w:after="80"/>
        <w:ind w:left="714" w:hanging="357"/>
        <w:jc w:val="both"/>
      </w:pPr>
      <w:r w:rsidRPr="00506037">
        <w:t>Ukazovateľ precenenia dlhu v prvom roku</w:t>
      </w:r>
    </w:p>
    <w:p w14:paraId="6DEDB3DC" w14:textId="77777777" w:rsidR="00B9754C" w:rsidRPr="00506037" w:rsidRDefault="00B9754C" w:rsidP="00B9754C">
      <w:pPr>
        <w:numPr>
          <w:ilvl w:val="0"/>
          <w:numId w:val="28"/>
        </w:numPr>
        <w:spacing w:before="80" w:after="80"/>
        <w:ind w:left="714" w:hanging="357"/>
        <w:jc w:val="both"/>
      </w:pPr>
      <w:r w:rsidRPr="00506037">
        <w:t>Ukazovateľ precenenia dlhu do 5 rokov</w:t>
      </w:r>
    </w:p>
    <w:p w14:paraId="5319EFB0" w14:textId="77777777" w:rsidR="00B9754C" w:rsidRPr="00506037" w:rsidRDefault="00B9754C" w:rsidP="00B9754C">
      <w:pPr>
        <w:spacing w:before="120" w:after="120"/>
        <w:ind w:firstLine="648"/>
        <w:jc w:val="both"/>
      </w:pPr>
      <w:r w:rsidRPr="00506037">
        <w:lastRenderedPageBreak/>
        <w:t>Podobne, ako pri refinančnom riziku, aj tu je strategickým zámerom udržiavanie podielu súčtu všetkých záväzkov preceňovaných v období do jedného roka k celkovým finančným záväzkom čo</w:t>
      </w:r>
      <w:r w:rsidRPr="00506037">
        <w:rPr>
          <w:color w:val="FF0000"/>
        </w:rPr>
        <w:t xml:space="preserve"> </w:t>
      </w:r>
      <w:r w:rsidRPr="00506037">
        <w:t>najbližšie k hodnote 25 % a udržiavanie podielu súčtu všetkých splatných záväzkov preceňovaných v období do piatich rokov k celkovým finančným záväzkom čo najbližšie k hodnote 55 %. Splnenie týchto parametrov tiež predpokladá štandardné podmienky vývoja finančných trhov, ekonomiky a fiškálnej pozície štátu.</w:t>
      </w:r>
    </w:p>
    <w:p w14:paraId="250D1B04" w14:textId="77777777" w:rsidR="00B9754C" w:rsidRPr="00506037" w:rsidRDefault="00B9754C" w:rsidP="00B9754C">
      <w:pPr>
        <w:spacing w:before="120" w:after="120"/>
        <w:jc w:val="both"/>
        <w:rPr>
          <w:color w:val="FF0000"/>
        </w:rPr>
      </w:pPr>
    </w:p>
    <w:p w14:paraId="02D22766" w14:textId="77777777" w:rsidR="00B9754C" w:rsidRPr="00506037" w:rsidRDefault="00B9754C" w:rsidP="00B9754C">
      <w:pPr>
        <w:spacing w:before="120" w:after="120"/>
        <w:jc w:val="center"/>
        <w:rPr>
          <w:b/>
        </w:rPr>
      </w:pPr>
      <w:r w:rsidRPr="00506037">
        <w:rPr>
          <w:b/>
        </w:rPr>
        <w:t>Kumulatívne úrokové riziko v jednotlivých rokoch (%, k 30. 6. 2018)</w:t>
      </w:r>
    </w:p>
    <w:p w14:paraId="533E1758" w14:textId="77777777" w:rsidR="00B9754C" w:rsidRPr="0088521D" w:rsidRDefault="00B9754C" w:rsidP="00B9754C">
      <w:pPr>
        <w:spacing w:before="120" w:after="120"/>
        <w:ind w:left="-340"/>
        <w:jc w:val="center"/>
        <w:rPr>
          <w:b/>
          <w:color w:val="FF0000"/>
          <w:sz w:val="22"/>
          <w:szCs w:val="22"/>
        </w:rPr>
      </w:pPr>
      <w:r w:rsidRPr="00311262">
        <w:rPr>
          <w:noProof/>
        </w:rPr>
        <w:drawing>
          <wp:inline distT="0" distB="0" distL="0" distR="0" wp14:anchorId="3F0B4FE4" wp14:editId="3004B20C">
            <wp:extent cx="6038850" cy="18954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38850" cy="1895475"/>
                    </a:xfrm>
                    <a:prstGeom prst="rect">
                      <a:avLst/>
                    </a:prstGeom>
                    <a:noFill/>
                    <a:ln>
                      <a:noFill/>
                    </a:ln>
                  </pic:spPr>
                </pic:pic>
              </a:graphicData>
            </a:graphic>
          </wp:inline>
        </w:drawing>
      </w:r>
    </w:p>
    <w:p w14:paraId="10127A05" w14:textId="77777777" w:rsidR="00B9754C" w:rsidRPr="002C3F14" w:rsidRDefault="00B9754C" w:rsidP="00B9754C">
      <w:pPr>
        <w:jc w:val="right"/>
      </w:pPr>
      <w:r w:rsidRPr="002C3F14">
        <w:rPr>
          <w:i/>
          <w:sz w:val="16"/>
          <w:szCs w:val="16"/>
        </w:rPr>
        <w:t>Zdroj: ARDAL</w:t>
      </w:r>
    </w:p>
    <w:p w14:paraId="2FDFBD47" w14:textId="77777777" w:rsidR="00B9754C" w:rsidRPr="00506037" w:rsidRDefault="00B9754C" w:rsidP="00B9754C">
      <w:pPr>
        <w:spacing w:before="240" w:after="120"/>
        <w:jc w:val="center"/>
        <w:rPr>
          <w:b/>
        </w:rPr>
      </w:pPr>
      <w:bookmarkStart w:id="36" w:name="_Toc252805713"/>
      <w:bookmarkStart w:id="37" w:name="_Toc275948240"/>
      <w:r w:rsidRPr="00506037">
        <w:rPr>
          <w:b/>
        </w:rPr>
        <w:t>KURZOVÉ RIZIKO</w:t>
      </w:r>
      <w:bookmarkEnd w:id="36"/>
      <w:bookmarkEnd w:id="37"/>
    </w:p>
    <w:p w14:paraId="356D0DC2" w14:textId="77777777" w:rsidR="00B9754C" w:rsidRPr="00506037" w:rsidRDefault="00B9754C" w:rsidP="00506037">
      <w:pPr>
        <w:spacing w:before="120" w:after="120"/>
        <w:ind w:firstLine="708"/>
        <w:jc w:val="both"/>
      </w:pPr>
      <w:r w:rsidRPr="00506037">
        <w:t>Kurzové riziko predstavuje riziko straty spôsobenej zmenou kurzov iných mien a ich vplyv na aktíva a pasíva štátu. Vzhľadom na činnosti, ktoré vykonáva ARDAL v mene MF SR, toto riziko môže vzniknúť len v prípade, že na financovanie záväzkov štátu budú prijaté zdroje v cudzej mene a tie budú bez zabezpečovacích operácií konvertované do eur.</w:t>
      </w:r>
    </w:p>
    <w:p w14:paraId="33B59176" w14:textId="77777777" w:rsidR="00B9754C" w:rsidRPr="00506037" w:rsidRDefault="00B9754C" w:rsidP="00B9754C">
      <w:pPr>
        <w:numPr>
          <w:ilvl w:val="0"/>
          <w:numId w:val="28"/>
        </w:numPr>
        <w:spacing w:before="120" w:after="120"/>
        <w:jc w:val="both"/>
      </w:pPr>
      <w:r w:rsidRPr="00506037">
        <w:t>Ukazovateľ otvorenej nezabezpečenej cudzomenovej pozície finančných záväzkov štátu</w:t>
      </w:r>
    </w:p>
    <w:p w14:paraId="579A285E" w14:textId="77777777" w:rsidR="00B9754C" w:rsidRPr="00506037" w:rsidRDefault="00B9754C" w:rsidP="00506037">
      <w:pPr>
        <w:spacing w:before="120" w:after="120"/>
        <w:ind w:firstLine="708"/>
        <w:jc w:val="both"/>
      </w:pPr>
      <w:r w:rsidRPr="00506037">
        <w:t>V prípade výhodných podmienok na trhu bude snahou udržiavať diverzifikované dlhové portfólio aj z hľadiska menovej štruktúry. Strategickým zámerom štátu bude udržanie zatvorenej – zabezpečenej cudzomenovej pozície finančných záväzkov štátu. Otvorená nezabezpečená cudzomenová pozícia finančných záväzkov štátu môže krátkodobo dosiahnuť maximálne 3 % v pomere k celkovým finančným záväzkom štátu. Ku koncu júna 2018 bola hodnota nezabezpečeného dlhu v cudzej mene 0,07 % z celého dlhu.</w:t>
      </w:r>
    </w:p>
    <w:p w14:paraId="500B8972" w14:textId="77777777" w:rsidR="00B9754C" w:rsidRPr="00506037" w:rsidRDefault="00B9754C" w:rsidP="00B9754C">
      <w:pPr>
        <w:spacing w:before="240" w:after="120"/>
        <w:jc w:val="center"/>
        <w:rPr>
          <w:b/>
        </w:rPr>
      </w:pPr>
      <w:bookmarkStart w:id="38" w:name="_Toc252805714"/>
      <w:bookmarkStart w:id="39" w:name="_Toc275948241"/>
      <w:r w:rsidRPr="00506037">
        <w:rPr>
          <w:b/>
        </w:rPr>
        <w:t>KREDITNÉ RIZIKO</w:t>
      </w:r>
      <w:bookmarkEnd w:id="38"/>
      <w:bookmarkEnd w:id="39"/>
    </w:p>
    <w:p w14:paraId="65A4B872" w14:textId="77777777" w:rsidR="00B9754C" w:rsidRPr="00506037" w:rsidRDefault="00B9754C" w:rsidP="00506037">
      <w:pPr>
        <w:spacing w:before="120" w:after="120"/>
        <w:ind w:firstLine="708"/>
        <w:jc w:val="both"/>
      </w:pPr>
      <w:r w:rsidRPr="00506037">
        <w:t>Kreditné riziko predstavuje riziko straty vyplývajúce z toho, že dlžník alebo iná zmluvná strana zlyhá pri plnení svojich záväzkov vyplývajúcich z dohodnutých podmienok. Kreditné riziko zahŕňa aj riziko druhého štátu (napr. ak príslušné orgány štátu alebo centrálnej banky nebudú schopné alebo ochotné splniť svoje záväzky voči zahraničiu a ostatní dlžníci v príslušnom štáte nebudú schopní splniť svoje záväzky z dôvodu, že sú rezidentmi tohto štátu), riziko koncentrácie, riziko protistrany, či riziko vysporiadania obchodov vyplývajúce z toho, že vysporiadanie finančnej transakcie sa nemusí realizovať podľa dohodnutých podmienok. Kreditné riziko je riadené prostredníctvom limitov, ktoré predstavujú maximálnu hodnotu finančných prostriedkov v jednom okamihu deponovaných (uložených) u konkrétnej obchodnej protistrany, či už štátu, bankovej skupiny alebo konkrétnej banky. Stanovenie metodiky a limitov a spôsobu ich kontroly sú v kompetencii vedenia MF SR.</w:t>
      </w:r>
    </w:p>
    <w:p w14:paraId="7B44EC0A" w14:textId="77777777" w:rsidR="00B9754C" w:rsidRPr="00506037" w:rsidRDefault="00B9754C" w:rsidP="00B9754C">
      <w:pPr>
        <w:spacing w:before="240"/>
        <w:ind w:firstLine="708"/>
        <w:jc w:val="both"/>
      </w:pPr>
      <w:r w:rsidRPr="00506037">
        <w:lastRenderedPageBreak/>
        <w:t>Princíp stanovenia a kontroly kreditných limitov je založený na základe externých ratingov najvýznamnejších nezávislých ratingových agentúr (Moody’s, S&amp;P, Fitch). Pre  kreditné limity na jednotlivé protistrany je zavedený systém priebežnej kontroly ich dodržiavania. Napriek viacerým možným výhradám voči spoľahlivosti externých ratingov, predstavuje ich využitie v dnešnom finančnom svete jedinú dostupnú alternatívu získania informácií o finančnom zdraví a kredibilite obchodných protistrán. Vychádzajúc z princípu obozretnosti sa pri kreditnom riziku okrem využitia ratingov kontinuálne monitoruje situácia na finančných trhoch, vyhodnocujú sa všetky dostupné informácie z trhu (napr. „credit default spreads“), prípadne sa využívajú aj vlastné ratingové alebo skóringové hodnotenia jednotlivých subjektov.</w:t>
      </w:r>
    </w:p>
    <w:p w14:paraId="286D045E" w14:textId="543C927B" w:rsidR="00191554" w:rsidRPr="007B4261" w:rsidRDefault="00191554" w:rsidP="00B9754C">
      <w:pPr>
        <w:pStyle w:val="Nadpis1"/>
        <w:spacing w:before="0" w:after="360"/>
        <w:ind w:left="357"/>
        <w:jc w:val="both"/>
        <w:rPr>
          <w:szCs w:val="22"/>
        </w:rPr>
      </w:pPr>
    </w:p>
    <w:sectPr w:rsidR="00191554" w:rsidRPr="007B4261" w:rsidSect="008B09B9">
      <w:footerReference w:type="default" r:id="rId16"/>
      <w:pgSz w:w="11906" w:h="16838"/>
      <w:pgMar w:top="1135"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A5EE0" w14:textId="77777777" w:rsidR="00453F3B" w:rsidRDefault="00453F3B" w:rsidP="00F449C1">
      <w:r>
        <w:separator/>
      </w:r>
    </w:p>
  </w:endnote>
  <w:endnote w:type="continuationSeparator" w:id="0">
    <w:p w14:paraId="381C6EC6" w14:textId="77777777" w:rsidR="00453F3B" w:rsidRDefault="00453F3B" w:rsidP="00F449C1">
      <w:r>
        <w:continuationSeparator/>
      </w:r>
    </w:p>
  </w:endnote>
  <w:endnote w:type="continuationNotice" w:id="1">
    <w:p w14:paraId="680B18EA" w14:textId="77777777" w:rsidR="00453F3B" w:rsidRDefault="00453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94028"/>
      <w:docPartObj>
        <w:docPartGallery w:val="Page Numbers (Bottom of Page)"/>
        <w:docPartUnique/>
      </w:docPartObj>
    </w:sdtPr>
    <w:sdtEndPr/>
    <w:sdtContent>
      <w:p w14:paraId="02CBF78F" w14:textId="6AC42281" w:rsidR="001F1BB7" w:rsidRDefault="001F1BB7">
        <w:pPr>
          <w:pStyle w:val="Pta"/>
          <w:jc w:val="center"/>
        </w:pPr>
        <w:r>
          <w:fldChar w:fldCharType="begin"/>
        </w:r>
        <w:r>
          <w:instrText>PAGE   \* MERGEFORMAT</w:instrText>
        </w:r>
        <w:r>
          <w:fldChar w:fldCharType="separate"/>
        </w:r>
        <w:r w:rsidR="00BA7173">
          <w:rPr>
            <w:noProof/>
          </w:rPr>
          <w:t>5</w:t>
        </w:r>
        <w:r>
          <w:fldChar w:fldCharType="end"/>
        </w:r>
      </w:p>
    </w:sdtContent>
  </w:sdt>
  <w:p w14:paraId="1F5A15B3" w14:textId="77777777" w:rsidR="001F1BB7" w:rsidRDefault="001F1B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C9DBB" w14:textId="77777777" w:rsidR="00453F3B" w:rsidRDefault="00453F3B" w:rsidP="00F449C1">
      <w:r>
        <w:separator/>
      </w:r>
    </w:p>
  </w:footnote>
  <w:footnote w:type="continuationSeparator" w:id="0">
    <w:p w14:paraId="727A6B40" w14:textId="77777777" w:rsidR="00453F3B" w:rsidRDefault="00453F3B" w:rsidP="00F449C1">
      <w:r>
        <w:continuationSeparator/>
      </w:r>
    </w:p>
  </w:footnote>
  <w:footnote w:type="continuationNotice" w:id="1">
    <w:p w14:paraId="633F044E" w14:textId="77777777" w:rsidR="00453F3B" w:rsidRDefault="00453F3B"/>
  </w:footnote>
  <w:footnote w:id="2">
    <w:p w14:paraId="5C4321E0" w14:textId="6DE8A275" w:rsidR="002A3BEF" w:rsidRPr="007B4261" w:rsidRDefault="002A3BEF" w:rsidP="002A3BEF">
      <w:pPr>
        <w:pStyle w:val="Textpoznmkypodiarou"/>
        <w:ind w:left="142" w:hanging="142"/>
        <w:jc w:val="both"/>
        <w:rPr>
          <w:sz w:val="16"/>
          <w:szCs w:val="16"/>
        </w:rPr>
      </w:pPr>
      <w:r w:rsidRPr="007B4261">
        <w:rPr>
          <w:rStyle w:val="Odkaznapoznmkupodiarou"/>
          <w:sz w:val="16"/>
          <w:szCs w:val="16"/>
        </w:rPr>
        <w:footnoteRef/>
      </w:r>
      <w:r w:rsidRPr="007B4261">
        <w:rPr>
          <w:sz w:val="16"/>
          <w:szCs w:val="16"/>
        </w:rPr>
        <w:t xml:space="preserve"> Strednodobý rozpočtový cieľ Slovenska je dosiahnutie štrukturálneho deficitu vo výške 0,5 % HDP, pričom p</w:t>
      </w:r>
      <w:r w:rsidR="00CE6261">
        <w:rPr>
          <w:sz w:val="16"/>
          <w:szCs w:val="16"/>
        </w:rPr>
        <w:t xml:space="preserve">odľa Programu stability na roky </w:t>
      </w:r>
      <w:r w:rsidRPr="007B4261">
        <w:rPr>
          <w:sz w:val="16"/>
          <w:szCs w:val="16"/>
        </w:rPr>
        <w:t>2016 až 2019 by mal byť dosiahnutý v roku 2019.</w:t>
      </w:r>
    </w:p>
  </w:footnote>
  <w:footnote w:id="3">
    <w:p w14:paraId="107B1524" w14:textId="1F86C709" w:rsidR="002A3BEF" w:rsidRPr="002A3BEF" w:rsidRDefault="002A3BEF">
      <w:pPr>
        <w:pStyle w:val="Textpoznmkypodiarou"/>
        <w:rPr>
          <w:sz w:val="16"/>
          <w:szCs w:val="16"/>
        </w:rPr>
      </w:pPr>
      <w:r w:rsidRPr="002A3BEF">
        <w:rPr>
          <w:rStyle w:val="Odkaznapoznmkupodiarou"/>
          <w:sz w:val="16"/>
          <w:szCs w:val="16"/>
        </w:rPr>
        <w:footnoteRef/>
      </w:r>
      <w:r w:rsidRPr="002A3BEF">
        <w:rPr>
          <w:sz w:val="16"/>
          <w:szCs w:val="16"/>
        </w:rPr>
        <w:t xml:space="preserve"> V súlade s Programovým vyhlásením vlády SR z roku 2018.</w:t>
      </w:r>
    </w:p>
  </w:footnote>
  <w:footnote w:id="4">
    <w:p w14:paraId="256925B6" w14:textId="77777777" w:rsidR="001F1BB7" w:rsidRPr="007B4261" w:rsidRDefault="001F1BB7" w:rsidP="001F1BB7">
      <w:pPr>
        <w:pStyle w:val="Textpoznmkypodiarou"/>
        <w:jc w:val="both"/>
        <w:rPr>
          <w:sz w:val="16"/>
          <w:szCs w:val="16"/>
        </w:rPr>
      </w:pPr>
      <w:r w:rsidRPr="007B4261">
        <w:rPr>
          <w:rStyle w:val="Odkaznapoznmkupodiarou"/>
          <w:sz w:val="16"/>
          <w:szCs w:val="16"/>
        </w:rPr>
        <w:footnoteRef/>
      </w:r>
      <w:r w:rsidRPr="007B4261">
        <w:rPr>
          <w:sz w:val="16"/>
          <w:szCs w:val="16"/>
        </w:rPr>
        <w:t xml:space="preserve"> </w:t>
      </w:r>
      <w:r>
        <w:rPr>
          <w:sz w:val="16"/>
          <w:szCs w:val="16"/>
        </w:rPr>
        <w:t xml:space="preserve">Hodnota zodpovedá úrovni dlhu mimo </w:t>
      </w:r>
      <w:r w:rsidRPr="007B4261">
        <w:rPr>
          <w:sz w:val="16"/>
          <w:szCs w:val="16"/>
        </w:rPr>
        <w:t>sankčn</w:t>
      </w:r>
      <w:r>
        <w:rPr>
          <w:sz w:val="16"/>
          <w:szCs w:val="16"/>
        </w:rPr>
        <w:t>ých</w:t>
      </w:r>
      <w:r w:rsidRPr="007B4261">
        <w:rPr>
          <w:sz w:val="16"/>
          <w:szCs w:val="16"/>
        </w:rPr>
        <w:t xml:space="preserve"> pás</w:t>
      </w:r>
      <w:r>
        <w:rPr>
          <w:sz w:val="16"/>
          <w:szCs w:val="16"/>
        </w:rPr>
        <w:t>iem</w:t>
      </w:r>
      <w:r w:rsidRPr="007B4261">
        <w:rPr>
          <w:sz w:val="16"/>
          <w:szCs w:val="16"/>
        </w:rPr>
        <w:t xml:space="preserve"> podľa ústavného zákona č. 493/2011 </w:t>
      </w:r>
      <w:r>
        <w:rPr>
          <w:sz w:val="16"/>
          <w:szCs w:val="16"/>
        </w:rPr>
        <w:t xml:space="preserve">Z. z. </w:t>
      </w:r>
      <w:r w:rsidRPr="007B4261">
        <w:rPr>
          <w:sz w:val="16"/>
          <w:szCs w:val="16"/>
        </w:rPr>
        <w:t>o rozpočtovej zodpovednosti</w:t>
      </w:r>
      <w:r>
        <w:rPr>
          <w:sz w:val="16"/>
          <w:szCs w:val="16"/>
        </w:rPr>
        <w:t>.</w:t>
      </w:r>
    </w:p>
  </w:footnote>
  <w:footnote w:id="5">
    <w:p w14:paraId="24196EF9" w14:textId="77777777" w:rsidR="00193EE1" w:rsidRPr="007B4261" w:rsidRDefault="00193EE1" w:rsidP="00193EE1">
      <w:pPr>
        <w:pStyle w:val="Textpoznmkypodiarou"/>
        <w:jc w:val="both"/>
        <w:rPr>
          <w:sz w:val="16"/>
          <w:szCs w:val="16"/>
        </w:rPr>
      </w:pPr>
      <w:r w:rsidRPr="007B4261">
        <w:rPr>
          <w:rStyle w:val="Odkaznapoznmkupodiarou"/>
          <w:sz w:val="16"/>
          <w:szCs w:val="16"/>
        </w:rPr>
        <w:footnoteRef/>
      </w:r>
      <w:r w:rsidRPr="007B4261">
        <w:rPr>
          <w:sz w:val="16"/>
          <w:szCs w:val="16"/>
        </w:rPr>
        <w:t xml:space="preserve"> Primárne saldo predstavuje saldo verejnej správy očistené o úrokové náklady.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386"/>
    <w:multiLevelType w:val="hybridMultilevel"/>
    <w:tmpl w:val="7AD4A914"/>
    <w:lvl w:ilvl="0" w:tplc="96E44412">
      <w:start w:val="1"/>
      <w:numFmt w:val="decimal"/>
      <w:lvlText w:val="%1."/>
      <w:lvlJc w:val="left"/>
      <w:pPr>
        <w:tabs>
          <w:tab w:val="num" w:pos="510"/>
        </w:tabs>
        <w:ind w:left="510" w:hanging="226"/>
      </w:pPr>
      <w:rPr>
        <w:rFonts w:ascii="Arial Narrow" w:hAnsi="Arial Narrow"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2F34DFF"/>
    <w:multiLevelType w:val="hybridMultilevel"/>
    <w:tmpl w:val="DBE8129C"/>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34C5"/>
    <w:multiLevelType w:val="hybridMultilevel"/>
    <w:tmpl w:val="DC4CF880"/>
    <w:lvl w:ilvl="0" w:tplc="4716A0FE">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E47DD7"/>
    <w:multiLevelType w:val="hybridMultilevel"/>
    <w:tmpl w:val="1FC63F12"/>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D4C1D"/>
    <w:multiLevelType w:val="hybridMultilevel"/>
    <w:tmpl w:val="F38A7DCA"/>
    <w:lvl w:ilvl="0" w:tplc="ECC4AB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62F7C"/>
    <w:multiLevelType w:val="hybridMultilevel"/>
    <w:tmpl w:val="ED1611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950170"/>
    <w:multiLevelType w:val="singleLevel"/>
    <w:tmpl w:val="8AD46048"/>
    <w:lvl w:ilvl="0">
      <w:start w:val="1"/>
      <w:numFmt w:val="decimal"/>
      <w:lvlText w:val="(%1)"/>
      <w:lvlJc w:val="left"/>
      <w:pPr>
        <w:tabs>
          <w:tab w:val="num" w:pos="360"/>
        </w:tabs>
        <w:ind w:left="360" w:hanging="360"/>
      </w:pPr>
      <w:rPr>
        <w:rFonts w:hint="default"/>
      </w:rPr>
    </w:lvl>
  </w:abstractNum>
  <w:abstractNum w:abstractNumId="7" w15:restartNumberingAfterBreak="0">
    <w:nsid w:val="31FF38D0"/>
    <w:multiLevelType w:val="hybridMultilevel"/>
    <w:tmpl w:val="7828291C"/>
    <w:lvl w:ilvl="0" w:tplc="C1345AA2">
      <w:start w:val="2"/>
      <w:numFmt w:val="bullet"/>
      <w:lvlText w:val="-"/>
      <w:lvlJc w:val="left"/>
      <w:pPr>
        <w:tabs>
          <w:tab w:val="num" w:pos="1055"/>
        </w:tabs>
        <w:ind w:left="1055" w:hanging="360"/>
      </w:pPr>
      <w:rPr>
        <w:rFonts w:ascii="Arial" w:eastAsia="Cordia New" w:hAnsi="Arial" w:cs="Arial" w:hint="default"/>
      </w:rPr>
    </w:lvl>
    <w:lvl w:ilvl="1" w:tplc="041B0003" w:tentative="1">
      <w:start w:val="1"/>
      <w:numFmt w:val="bullet"/>
      <w:lvlText w:val="o"/>
      <w:lvlJc w:val="left"/>
      <w:pPr>
        <w:tabs>
          <w:tab w:val="num" w:pos="1775"/>
        </w:tabs>
        <w:ind w:left="1775" w:hanging="360"/>
      </w:pPr>
      <w:rPr>
        <w:rFonts w:ascii="Courier New" w:hAnsi="Courier New" w:cs="Courier New" w:hint="default"/>
      </w:rPr>
    </w:lvl>
    <w:lvl w:ilvl="2" w:tplc="041B0005" w:tentative="1">
      <w:start w:val="1"/>
      <w:numFmt w:val="bullet"/>
      <w:lvlText w:val=""/>
      <w:lvlJc w:val="left"/>
      <w:pPr>
        <w:tabs>
          <w:tab w:val="num" w:pos="2495"/>
        </w:tabs>
        <w:ind w:left="2495" w:hanging="360"/>
      </w:pPr>
      <w:rPr>
        <w:rFonts w:ascii="Wingdings" w:hAnsi="Wingdings" w:hint="default"/>
      </w:rPr>
    </w:lvl>
    <w:lvl w:ilvl="3" w:tplc="041B0001" w:tentative="1">
      <w:start w:val="1"/>
      <w:numFmt w:val="bullet"/>
      <w:lvlText w:val=""/>
      <w:lvlJc w:val="left"/>
      <w:pPr>
        <w:tabs>
          <w:tab w:val="num" w:pos="3215"/>
        </w:tabs>
        <w:ind w:left="3215" w:hanging="360"/>
      </w:pPr>
      <w:rPr>
        <w:rFonts w:ascii="Symbol" w:hAnsi="Symbol" w:hint="default"/>
      </w:rPr>
    </w:lvl>
    <w:lvl w:ilvl="4" w:tplc="041B0003" w:tentative="1">
      <w:start w:val="1"/>
      <w:numFmt w:val="bullet"/>
      <w:lvlText w:val="o"/>
      <w:lvlJc w:val="left"/>
      <w:pPr>
        <w:tabs>
          <w:tab w:val="num" w:pos="3935"/>
        </w:tabs>
        <w:ind w:left="3935" w:hanging="360"/>
      </w:pPr>
      <w:rPr>
        <w:rFonts w:ascii="Courier New" w:hAnsi="Courier New" w:cs="Courier New" w:hint="default"/>
      </w:rPr>
    </w:lvl>
    <w:lvl w:ilvl="5" w:tplc="041B0005" w:tentative="1">
      <w:start w:val="1"/>
      <w:numFmt w:val="bullet"/>
      <w:lvlText w:val=""/>
      <w:lvlJc w:val="left"/>
      <w:pPr>
        <w:tabs>
          <w:tab w:val="num" w:pos="4655"/>
        </w:tabs>
        <w:ind w:left="4655" w:hanging="360"/>
      </w:pPr>
      <w:rPr>
        <w:rFonts w:ascii="Wingdings" w:hAnsi="Wingdings" w:hint="default"/>
      </w:rPr>
    </w:lvl>
    <w:lvl w:ilvl="6" w:tplc="041B0001" w:tentative="1">
      <w:start w:val="1"/>
      <w:numFmt w:val="bullet"/>
      <w:lvlText w:val=""/>
      <w:lvlJc w:val="left"/>
      <w:pPr>
        <w:tabs>
          <w:tab w:val="num" w:pos="5375"/>
        </w:tabs>
        <w:ind w:left="5375" w:hanging="360"/>
      </w:pPr>
      <w:rPr>
        <w:rFonts w:ascii="Symbol" w:hAnsi="Symbol" w:hint="default"/>
      </w:rPr>
    </w:lvl>
    <w:lvl w:ilvl="7" w:tplc="041B0003" w:tentative="1">
      <w:start w:val="1"/>
      <w:numFmt w:val="bullet"/>
      <w:lvlText w:val="o"/>
      <w:lvlJc w:val="left"/>
      <w:pPr>
        <w:tabs>
          <w:tab w:val="num" w:pos="6095"/>
        </w:tabs>
        <w:ind w:left="6095" w:hanging="360"/>
      </w:pPr>
      <w:rPr>
        <w:rFonts w:ascii="Courier New" w:hAnsi="Courier New" w:cs="Courier New" w:hint="default"/>
      </w:rPr>
    </w:lvl>
    <w:lvl w:ilvl="8" w:tplc="041B0005" w:tentative="1">
      <w:start w:val="1"/>
      <w:numFmt w:val="bullet"/>
      <w:lvlText w:val=""/>
      <w:lvlJc w:val="left"/>
      <w:pPr>
        <w:tabs>
          <w:tab w:val="num" w:pos="6815"/>
        </w:tabs>
        <w:ind w:left="6815" w:hanging="360"/>
      </w:pPr>
      <w:rPr>
        <w:rFonts w:ascii="Wingdings" w:hAnsi="Wingdings" w:hint="default"/>
      </w:rPr>
    </w:lvl>
  </w:abstractNum>
  <w:abstractNum w:abstractNumId="8" w15:restartNumberingAfterBreak="0">
    <w:nsid w:val="349A42EA"/>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A4528CA"/>
    <w:multiLevelType w:val="hybridMultilevel"/>
    <w:tmpl w:val="1B2A7A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3DD"/>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AFD479B"/>
    <w:multiLevelType w:val="hybridMultilevel"/>
    <w:tmpl w:val="A74EF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A23E4"/>
    <w:multiLevelType w:val="hybridMultilevel"/>
    <w:tmpl w:val="1AD004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244FC06">
      <w:start w:val="3"/>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407EBA"/>
    <w:multiLevelType w:val="hybridMultilevel"/>
    <w:tmpl w:val="1B2A7A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F4708"/>
    <w:multiLevelType w:val="multilevel"/>
    <w:tmpl w:val="109EFB2A"/>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EF3A9E"/>
    <w:multiLevelType w:val="hybridMultilevel"/>
    <w:tmpl w:val="E5D4759A"/>
    <w:lvl w:ilvl="0" w:tplc="C1345AA2">
      <w:start w:val="2"/>
      <w:numFmt w:val="bullet"/>
      <w:lvlText w:val="-"/>
      <w:lvlJc w:val="left"/>
      <w:pPr>
        <w:tabs>
          <w:tab w:val="num" w:pos="1055"/>
        </w:tabs>
        <w:ind w:left="1055" w:hanging="360"/>
      </w:pPr>
      <w:rPr>
        <w:rFonts w:ascii="Arial" w:eastAsia="Cordia New" w:hAnsi="Arial" w:cs="Arial" w:hint="default"/>
      </w:rPr>
    </w:lvl>
    <w:lvl w:ilvl="1" w:tplc="041B0003" w:tentative="1">
      <w:start w:val="1"/>
      <w:numFmt w:val="bullet"/>
      <w:lvlText w:val="o"/>
      <w:lvlJc w:val="left"/>
      <w:pPr>
        <w:tabs>
          <w:tab w:val="num" w:pos="1775"/>
        </w:tabs>
        <w:ind w:left="1775" w:hanging="360"/>
      </w:pPr>
      <w:rPr>
        <w:rFonts w:ascii="Courier New" w:hAnsi="Courier New" w:cs="Courier New" w:hint="default"/>
      </w:rPr>
    </w:lvl>
    <w:lvl w:ilvl="2" w:tplc="041B0005" w:tentative="1">
      <w:start w:val="1"/>
      <w:numFmt w:val="bullet"/>
      <w:lvlText w:val=""/>
      <w:lvlJc w:val="left"/>
      <w:pPr>
        <w:tabs>
          <w:tab w:val="num" w:pos="2495"/>
        </w:tabs>
        <w:ind w:left="2495" w:hanging="360"/>
      </w:pPr>
      <w:rPr>
        <w:rFonts w:ascii="Wingdings" w:hAnsi="Wingdings" w:hint="default"/>
      </w:rPr>
    </w:lvl>
    <w:lvl w:ilvl="3" w:tplc="041B0001" w:tentative="1">
      <w:start w:val="1"/>
      <w:numFmt w:val="bullet"/>
      <w:lvlText w:val=""/>
      <w:lvlJc w:val="left"/>
      <w:pPr>
        <w:tabs>
          <w:tab w:val="num" w:pos="3215"/>
        </w:tabs>
        <w:ind w:left="3215" w:hanging="360"/>
      </w:pPr>
      <w:rPr>
        <w:rFonts w:ascii="Symbol" w:hAnsi="Symbol" w:hint="default"/>
      </w:rPr>
    </w:lvl>
    <w:lvl w:ilvl="4" w:tplc="041B0003" w:tentative="1">
      <w:start w:val="1"/>
      <w:numFmt w:val="bullet"/>
      <w:lvlText w:val="o"/>
      <w:lvlJc w:val="left"/>
      <w:pPr>
        <w:tabs>
          <w:tab w:val="num" w:pos="3935"/>
        </w:tabs>
        <w:ind w:left="3935" w:hanging="360"/>
      </w:pPr>
      <w:rPr>
        <w:rFonts w:ascii="Courier New" w:hAnsi="Courier New" w:cs="Courier New" w:hint="default"/>
      </w:rPr>
    </w:lvl>
    <w:lvl w:ilvl="5" w:tplc="041B0005" w:tentative="1">
      <w:start w:val="1"/>
      <w:numFmt w:val="bullet"/>
      <w:lvlText w:val=""/>
      <w:lvlJc w:val="left"/>
      <w:pPr>
        <w:tabs>
          <w:tab w:val="num" w:pos="4655"/>
        </w:tabs>
        <w:ind w:left="4655" w:hanging="360"/>
      </w:pPr>
      <w:rPr>
        <w:rFonts w:ascii="Wingdings" w:hAnsi="Wingdings" w:hint="default"/>
      </w:rPr>
    </w:lvl>
    <w:lvl w:ilvl="6" w:tplc="041B0001" w:tentative="1">
      <w:start w:val="1"/>
      <w:numFmt w:val="bullet"/>
      <w:lvlText w:val=""/>
      <w:lvlJc w:val="left"/>
      <w:pPr>
        <w:tabs>
          <w:tab w:val="num" w:pos="5375"/>
        </w:tabs>
        <w:ind w:left="5375" w:hanging="360"/>
      </w:pPr>
      <w:rPr>
        <w:rFonts w:ascii="Symbol" w:hAnsi="Symbol" w:hint="default"/>
      </w:rPr>
    </w:lvl>
    <w:lvl w:ilvl="7" w:tplc="041B0003" w:tentative="1">
      <w:start w:val="1"/>
      <w:numFmt w:val="bullet"/>
      <w:lvlText w:val="o"/>
      <w:lvlJc w:val="left"/>
      <w:pPr>
        <w:tabs>
          <w:tab w:val="num" w:pos="6095"/>
        </w:tabs>
        <w:ind w:left="6095" w:hanging="360"/>
      </w:pPr>
      <w:rPr>
        <w:rFonts w:ascii="Courier New" w:hAnsi="Courier New" w:cs="Courier New" w:hint="default"/>
      </w:rPr>
    </w:lvl>
    <w:lvl w:ilvl="8" w:tplc="041B0005" w:tentative="1">
      <w:start w:val="1"/>
      <w:numFmt w:val="bullet"/>
      <w:lvlText w:val=""/>
      <w:lvlJc w:val="left"/>
      <w:pPr>
        <w:tabs>
          <w:tab w:val="num" w:pos="6815"/>
        </w:tabs>
        <w:ind w:left="6815" w:hanging="360"/>
      </w:pPr>
      <w:rPr>
        <w:rFonts w:ascii="Wingdings" w:hAnsi="Wingdings" w:hint="default"/>
      </w:rPr>
    </w:lvl>
  </w:abstractNum>
  <w:abstractNum w:abstractNumId="16" w15:restartNumberingAfterBreak="0">
    <w:nsid w:val="554B5523"/>
    <w:multiLevelType w:val="hybridMultilevel"/>
    <w:tmpl w:val="B87848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65E2355"/>
    <w:multiLevelType w:val="hybridMultilevel"/>
    <w:tmpl w:val="3B6E67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244FC06">
      <w:start w:val="3"/>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CE6682"/>
    <w:multiLevelType w:val="hybridMultilevel"/>
    <w:tmpl w:val="CFF8DA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A85319"/>
    <w:multiLevelType w:val="hybridMultilevel"/>
    <w:tmpl w:val="4B789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99843A1"/>
    <w:multiLevelType w:val="hybridMultilevel"/>
    <w:tmpl w:val="A1025D74"/>
    <w:lvl w:ilvl="0" w:tplc="34E8307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9D133A4"/>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1E7023A"/>
    <w:multiLevelType w:val="hybridMultilevel"/>
    <w:tmpl w:val="3946ADA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4763191"/>
    <w:multiLevelType w:val="hybridMultilevel"/>
    <w:tmpl w:val="8E6E7C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892E7B"/>
    <w:multiLevelType w:val="hybridMultilevel"/>
    <w:tmpl w:val="7AD4A914"/>
    <w:lvl w:ilvl="0" w:tplc="96E44412">
      <w:start w:val="1"/>
      <w:numFmt w:val="decimal"/>
      <w:lvlText w:val="%1."/>
      <w:lvlJc w:val="left"/>
      <w:pPr>
        <w:tabs>
          <w:tab w:val="num" w:pos="510"/>
        </w:tabs>
        <w:ind w:left="510" w:hanging="226"/>
      </w:pPr>
      <w:rPr>
        <w:rFonts w:ascii="Arial Narrow" w:hAnsi="Arial Narrow"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7BA11F5C"/>
    <w:multiLevelType w:val="hybridMultilevel"/>
    <w:tmpl w:val="3B6E67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244FC06">
      <w:start w:val="3"/>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332654"/>
    <w:multiLevelType w:val="hybridMultilevel"/>
    <w:tmpl w:val="8D7EB894"/>
    <w:lvl w:ilvl="0" w:tplc="A9049BA4">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3"/>
  </w:num>
  <w:num w:numId="4">
    <w:abstractNumId w:val="18"/>
  </w:num>
  <w:num w:numId="5">
    <w:abstractNumId w:val="20"/>
  </w:num>
  <w:num w:numId="6">
    <w:abstractNumId w:val="3"/>
  </w:num>
  <w:num w:numId="7">
    <w:abstractNumId w:val="1"/>
  </w:num>
  <w:num w:numId="8">
    <w:abstractNumId w:val="8"/>
  </w:num>
  <w:num w:numId="9">
    <w:abstractNumId w:val="1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7"/>
  </w:num>
  <w:num w:numId="14">
    <w:abstractNumId w:val="26"/>
  </w:num>
  <w:num w:numId="15">
    <w:abstractNumId w:val="2"/>
  </w:num>
  <w:num w:numId="16">
    <w:abstractNumId w:val="9"/>
  </w:num>
  <w:num w:numId="17">
    <w:abstractNumId w:val="25"/>
  </w:num>
  <w:num w:numId="18">
    <w:abstractNumId w:val="6"/>
  </w:num>
  <w:num w:numId="19">
    <w:abstractNumId w:val="10"/>
  </w:num>
  <w:num w:numId="20">
    <w:abstractNumId w:val="12"/>
  </w:num>
  <w:num w:numId="21">
    <w:abstractNumId w:val="11"/>
  </w:num>
  <w:num w:numId="22">
    <w:abstractNumId w:val="13"/>
  </w:num>
  <w:num w:numId="23">
    <w:abstractNumId w:val="16"/>
  </w:num>
  <w:num w:numId="24">
    <w:abstractNumId w:val="0"/>
  </w:num>
  <w:num w:numId="25">
    <w:abstractNumId w:val="17"/>
  </w:num>
  <w:num w:numId="26">
    <w:abstractNumId w:val="4"/>
  </w:num>
  <w:num w:numId="27">
    <w:abstractNumId w:val="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FB"/>
    <w:rsid w:val="000013F8"/>
    <w:rsid w:val="00001D3F"/>
    <w:rsid w:val="00003BEC"/>
    <w:rsid w:val="00004044"/>
    <w:rsid w:val="00004E19"/>
    <w:rsid w:val="00004E8F"/>
    <w:rsid w:val="0000533B"/>
    <w:rsid w:val="00010230"/>
    <w:rsid w:val="00010CB3"/>
    <w:rsid w:val="0001274C"/>
    <w:rsid w:val="00012B9A"/>
    <w:rsid w:val="0001586C"/>
    <w:rsid w:val="00015AB7"/>
    <w:rsid w:val="00017BAF"/>
    <w:rsid w:val="000203BB"/>
    <w:rsid w:val="00020FC9"/>
    <w:rsid w:val="000234BB"/>
    <w:rsid w:val="0002489C"/>
    <w:rsid w:val="000250D2"/>
    <w:rsid w:val="00025D0A"/>
    <w:rsid w:val="00026FCD"/>
    <w:rsid w:val="0003036D"/>
    <w:rsid w:val="000314AD"/>
    <w:rsid w:val="00032924"/>
    <w:rsid w:val="00035F01"/>
    <w:rsid w:val="00036B4D"/>
    <w:rsid w:val="00037BB7"/>
    <w:rsid w:val="00040123"/>
    <w:rsid w:val="000407BE"/>
    <w:rsid w:val="00042BAA"/>
    <w:rsid w:val="00043E8B"/>
    <w:rsid w:val="000447E5"/>
    <w:rsid w:val="0004575C"/>
    <w:rsid w:val="0004692B"/>
    <w:rsid w:val="00046952"/>
    <w:rsid w:val="00047350"/>
    <w:rsid w:val="0005083D"/>
    <w:rsid w:val="00052516"/>
    <w:rsid w:val="000532EB"/>
    <w:rsid w:val="00054F0B"/>
    <w:rsid w:val="00056629"/>
    <w:rsid w:val="0005739A"/>
    <w:rsid w:val="00057685"/>
    <w:rsid w:val="00060491"/>
    <w:rsid w:val="00061AC6"/>
    <w:rsid w:val="000636D6"/>
    <w:rsid w:val="00064865"/>
    <w:rsid w:val="00067333"/>
    <w:rsid w:val="000677AA"/>
    <w:rsid w:val="00070D14"/>
    <w:rsid w:val="00070FB5"/>
    <w:rsid w:val="000740C5"/>
    <w:rsid w:val="00074E46"/>
    <w:rsid w:val="00076926"/>
    <w:rsid w:val="00082F85"/>
    <w:rsid w:val="00090D6B"/>
    <w:rsid w:val="00091B1C"/>
    <w:rsid w:val="000926B3"/>
    <w:rsid w:val="000977AB"/>
    <w:rsid w:val="000A075E"/>
    <w:rsid w:val="000A14B4"/>
    <w:rsid w:val="000A175A"/>
    <w:rsid w:val="000A3470"/>
    <w:rsid w:val="000A6712"/>
    <w:rsid w:val="000B10C2"/>
    <w:rsid w:val="000B2E79"/>
    <w:rsid w:val="000B38FF"/>
    <w:rsid w:val="000B4E42"/>
    <w:rsid w:val="000B6A73"/>
    <w:rsid w:val="000B75B3"/>
    <w:rsid w:val="000B76CB"/>
    <w:rsid w:val="000C1106"/>
    <w:rsid w:val="000D0F23"/>
    <w:rsid w:val="000D2080"/>
    <w:rsid w:val="000D2FBF"/>
    <w:rsid w:val="000D4192"/>
    <w:rsid w:val="000D4817"/>
    <w:rsid w:val="000E298F"/>
    <w:rsid w:val="000E4601"/>
    <w:rsid w:val="000E7065"/>
    <w:rsid w:val="000F0DF2"/>
    <w:rsid w:val="000F1887"/>
    <w:rsid w:val="000F2640"/>
    <w:rsid w:val="000F3D4C"/>
    <w:rsid w:val="000F684C"/>
    <w:rsid w:val="000F7EDB"/>
    <w:rsid w:val="00100132"/>
    <w:rsid w:val="00101923"/>
    <w:rsid w:val="00101FBC"/>
    <w:rsid w:val="00102284"/>
    <w:rsid w:val="00103FBC"/>
    <w:rsid w:val="00104010"/>
    <w:rsid w:val="00104B3B"/>
    <w:rsid w:val="00104BB4"/>
    <w:rsid w:val="00107DE0"/>
    <w:rsid w:val="00111D43"/>
    <w:rsid w:val="00112ACA"/>
    <w:rsid w:val="001151D8"/>
    <w:rsid w:val="001163C6"/>
    <w:rsid w:val="0012059C"/>
    <w:rsid w:val="00120FE8"/>
    <w:rsid w:val="00121161"/>
    <w:rsid w:val="001231CC"/>
    <w:rsid w:val="00134359"/>
    <w:rsid w:val="00134B37"/>
    <w:rsid w:val="00142101"/>
    <w:rsid w:val="001424FB"/>
    <w:rsid w:val="00147555"/>
    <w:rsid w:val="00152C82"/>
    <w:rsid w:val="00155D4C"/>
    <w:rsid w:val="001577BE"/>
    <w:rsid w:val="001600C5"/>
    <w:rsid w:val="001607CB"/>
    <w:rsid w:val="00161208"/>
    <w:rsid w:val="001616DE"/>
    <w:rsid w:val="00161C30"/>
    <w:rsid w:val="00161C8B"/>
    <w:rsid w:val="00162FDF"/>
    <w:rsid w:val="0016463B"/>
    <w:rsid w:val="00166708"/>
    <w:rsid w:val="00167378"/>
    <w:rsid w:val="00167F9C"/>
    <w:rsid w:val="00171E69"/>
    <w:rsid w:val="00171FF9"/>
    <w:rsid w:val="00173A98"/>
    <w:rsid w:val="00173E1E"/>
    <w:rsid w:val="00173E55"/>
    <w:rsid w:val="00173F16"/>
    <w:rsid w:val="0017436A"/>
    <w:rsid w:val="001810A5"/>
    <w:rsid w:val="00183258"/>
    <w:rsid w:val="00185312"/>
    <w:rsid w:val="001859B0"/>
    <w:rsid w:val="00191252"/>
    <w:rsid w:val="0019148E"/>
    <w:rsid w:val="00191554"/>
    <w:rsid w:val="00192994"/>
    <w:rsid w:val="00192C08"/>
    <w:rsid w:val="00193EE1"/>
    <w:rsid w:val="00196C13"/>
    <w:rsid w:val="001A104F"/>
    <w:rsid w:val="001A3429"/>
    <w:rsid w:val="001A6ECD"/>
    <w:rsid w:val="001B0E99"/>
    <w:rsid w:val="001B396F"/>
    <w:rsid w:val="001C0705"/>
    <w:rsid w:val="001C51A1"/>
    <w:rsid w:val="001C68DA"/>
    <w:rsid w:val="001D3BCF"/>
    <w:rsid w:val="001D51C4"/>
    <w:rsid w:val="001E0865"/>
    <w:rsid w:val="001E088C"/>
    <w:rsid w:val="001E2103"/>
    <w:rsid w:val="001E35B7"/>
    <w:rsid w:val="001E5F16"/>
    <w:rsid w:val="001F0212"/>
    <w:rsid w:val="001F1BB7"/>
    <w:rsid w:val="001F1BE5"/>
    <w:rsid w:val="001F369D"/>
    <w:rsid w:val="001F5022"/>
    <w:rsid w:val="001F533B"/>
    <w:rsid w:val="001F63CA"/>
    <w:rsid w:val="001F6856"/>
    <w:rsid w:val="002048C2"/>
    <w:rsid w:val="0021198D"/>
    <w:rsid w:val="00214174"/>
    <w:rsid w:val="0022033B"/>
    <w:rsid w:val="002203C3"/>
    <w:rsid w:val="00226186"/>
    <w:rsid w:val="0022639C"/>
    <w:rsid w:val="00226BC9"/>
    <w:rsid w:val="002272A3"/>
    <w:rsid w:val="002275A8"/>
    <w:rsid w:val="0022777B"/>
    <w:rsid w:val="00227F96"/>
    <w:rsid w:val="002338C4"/>
    <w:rsid w:val="00235994"/>
    <w:rsid w:val="002367DB"/>
    <w:rsid w:val="002371A3"/>
    <w:rsid w:val="002374FB"/>
    <w:rsid w:val="002377D0"/>
    <w:rsid w:val="00241339"/>
    <w:rsid w:val="00241F24"/>
    <w:rsid w:val="0024610E"/>
    <w:rsid w:val="00246F2C"/>
    <w:rsid w:val="0025117F"/>
    <w:rsid w:val="0025222C"/>
    <w:rsid w:val="00252CA4"/>
    <w:rsid w:val="00253303"/>
    <w:rsid w:val="00253B08"/>
    <w:rsid w:val="002549DA"/>
    <w:rsid w:val="00254A40"/>
    <w:rsid w:val="00256870"/>
    <w:rsid w:val="00261394"/>
    <w:rsid w:val="00261D75"/>
    <w:rsid w:val="002623FB"/>
    <w:rsid w:val="002713D2"/>
    <w:rsid w:val="00272891"/>
    <w:rsid w:val="002731BD"/>
    <w:rsid w:val="002735E5"/>
    <w:rsid w:val="0027479F"/>
    <w:rsid w:val="00274D04"/>
    <w:rsid w:val="00276C27"/>
    <w:rsid w:val="00277D07"/>
    <w:rsid w:val="00277FDC"/>
    <w:rsid w:val="0028490A"/>
    <w:rsid w:val="00284E7C"/>
    <w:rsid w:val="002861E5"/>
    <w:rsid w:val="002866E5"/>
    <w:rsid w:val="00292A0C"/>
    <w:rsid w:val="002965D0"/>
    <w:rsid w:val="002A3BEF"/>
    <w:rsid w:val="002A3DCE"/>
    <w:rsid w:val="002B4E26"/>
    <w:rsid w:val="002B65FA"/>
    <w:rsid w:val="002C0D9E"/>
    <w:rsid w:val="002C113D"/>
    <w:rsid w:val="002C3D60"/>
    <w:rsid w:val="002C4876"/>
    <w:rsid w:val="002C4B7B"/>
    <w:rsid w:val="002C59B9"/>
    <w:rsid w:val="002C7E83"/>
    <w:rsid w:val="002D0435"/>
    <w:rsid w:val="002D1314"/>
    <w:rsid w:val="002D2D7D"/>
    <w:rsid w:val="002D4441"/>
    <w:rsid w:val="002D51E0"/>
    <w:rsid w:val="002D6729"/>
    <w:rsid w:val="002D672C"/>
    <w:rsid w:val="002E05C6"/>
    <w:rsid w:val="002E3A41"/>
    <w:rsid w:val="002E4DE8"/>
    <w:rsid w:val="002E7333"/>
    <w:rsid w:val="002F0E84"/>
    <w:rsid w:val="002F0FA1"/>
    <w:rsid w:val="002F2DCC"/>
    <w:rsid w:val="002F489E"/>
    <w:rsid w:val="002F5482"/>
    <w:rsid w:val="002F7929"/>
    <w:rsid w:val="003000B9"/>
    <w:rsid w:val="00302E56"/>
    <w:rsid w:val="00303C58"/>
    <w:rsid w:val="00313F02"/>
    <w:rsid w:val="00315100"/>
    <w:rsid w:val="003152A7"/>
    <w:rsid w:val="003201D7"/>
    <w:rsid w:val="0032030B"/>
    <w:rsid w:val="00320540"/>
    <w:rsid w:val="003247FC"/>
    <w:rsid w:val="0032624F"/>
    <w:rsid w:val="00326CE9"/>
    <w:rsid w:val="00327594"/>
    <w:rsid w:val="003308AA"/>
    <w:rsid w:val="0033123C"/>
    <w:rsid w:val="003379EE"/>
    <w:rsid w:val="0034181A"/>
    <w:rsid w:val="003460B9"/>
    <w:rsid w:val="0034691F"/>
    <w:rsid w:val="00354D09"/>
    <w:rsid w:val="00356880"/>
    <w:rsid w:val="003608D8"/>
    <w:rsid w:val="00360D23"/>
    <w:rsid w:val="0036578A"/>
    <w:rsid w:val="003663CC"/>
    <w:rsid w:val="0036754A"/>
    <w:rsid w:val="00370005"/>
    <w:rsid w:val="00370341"/>
    <w:rsid w:val="003717EE"/>
    <w:rsid w:val="00371EE7"/>
    <w:rsid w:val="003750C1"/>
    <w:rsid w:val="003754A3"/>
    <w:rsid w:val="00381F14"/>
    <w:rsid w:val="00385782"/>
    <w:rsid w:val="00385AFD"/>
    <w:rsid w:val="00385DF8"/>
    <w:rsid w:val="0038634B"/>
    <w:rsid w:val="003876A0"/>
    <w:rsid w:val="00390224"/>
    <w:rsid w:val="00390B35"/>
    <w:rsid w:val="003911A5"/>
    <w:rsid w:val="003911BA"/>
    <w:rsid w:val="003915D0"/>
    <w:rsid w:val="00392210"/>
    <w:rsid w:val="003957F8"/>
    <w:rsid w:val="00396376"/>
    <w:rsid w:val="003975C4"/>
    <w:rsid w:val="003A122D"/>
    <w:rsid w:val="003A3F36"/>
    <w:rsid w:val="003A40AB"/>
    <w:rsid w:val="003A45E3"/>
    <w:rsid w:val="003B16A3"/>
    <w:rsid w:val="003B1BD1"/>
    <w:rsid w:val="003B235C"/>
    <w:rsid w:val="003B2AEF"/>
    <w:rsid w:val="003B3F5B"/>
    <w:rsid w:val="003B4A87"/>
    <w:rsid w:val="003B5741"/>
    <w:rsid w:val="003B6122"/>
    <w:rsid w:val="003B665C"/>
    <w:rsid w:val="003B75CB"/>
    <w:rsid w:val="003C0D07"/>
    <w:rsid w:val="003C1843"/>
    <w:rsid w:val="003C2343"/>
    <w:rsid w:val="003C2FAC"/>
    <w:rsid w:val="003C4022"/>
    <w:rsid w:val="003C4264"/>
    <w:rsid w:val="003C47B4"/>
    <w:rsid w:val="003C71E0"/>
    <w:rsid w:val="003C7E26"/>
    <w:rsid w:val="003D1158"/>
    <w:rsid w:val="003D19D8"/>
    <w:rsid w:val="003D3330"/>
    <w:rsid w:val="003D381F"/>
    <w:rsid w:val="003D6D9A"/>
    <w:rsid w:val="003D6F26"/>
    <w:rsid w:val="003E1BD0"/>
    <w:rsid w:val="003E30F7"/>
    <w:rsid w:val="003E7783"/>
    <w:rsid w:val="003F0539"/>
    <w:rsid w:val="003F11F5"/>
    <w:rsid w:val="003F15F4"/>
    <w:rsid w:val="003F1B10"/>
    <w:rsid w:val="003F66D1"/>
    <w:rsid w:val="003F757B"/>
    <w:rsid w:val="004012A1"/>
    <w:rsid w:val="00402583"/>
    <w:rsid w:val="004074C5"/>
    <w:rsid w:val="00410EBD"/>
    <w:rsid w:val="00412C37"/>
    <w:rsid w:val="004134F2"/>
    <w:rsid w:val="00413751"/>
    <w:rsid w:val="00421478"/>
    <w:rsid w:val="00421C02"/>
    <w:rsid w:val="00423744"/>
    <w:rsid w:val="00425A2D"/>
    <w:rsid w:val="0043043B"/>
    <w:rsid w:val="00432E65"/>
    <w:rsid w:val="00435181"/>
    <w:rsid w:val="00435D80"/>
    <w:rsid w:val="00436D5E"/>
    <w:rsid w:val="004400EE"/>
    <w:rsid w:val="00441474"/>
    <w:rsid w:val="00441480"/>
    <w:rsid w:val="00442167"/>
    <w:rsid w:val="00442696"/>
    <w:rsid w:val="00443271"/>
    <w:rsid w:val="00443C5A"/>
    <w:rsid w:val="00445E78"/>
    <w:rsid w:val="0044677F"/>
    <w:rsid w:val="00447CFF"/>
    <w:rsid w:val="004502A8"/>
    <w:rsid w:val="004507B2"/>
    <w:rsid w:val="004524E4"/>
    <w:rsid w:val="00453F3B"/>
    <w:rsid w:val="004553A5"/>
    <w:rsid w:val="00461792"/>
    <w:rsid w:val="00462549"/>
    <w:rsid w:val="004627ED"/>
    <w:rsid w:val="004635EB"/>
    <w:rsid w:val="00467376"/>
    <w:rsid w:val="0046785F"/>
    <w:rsid w:val="00470327"/>
    <w:rsid w:val="00470977"/>
    <w:rsid w:val="00470DEC"/>
    <w:rsid w:val="00471F55"/>
    <w:rsid w:val="00472106"/>
    <w:rsid w:val="004754C1"/>
    <w:rsid w:val="00476B7D"/>
    <w:rsid w:val="00476FB9"/>
    <w:rsid w:val="00483E2A"/>
    <w:rsid w:val="004842AC"/>
    <w:rsid w:val="00484376"/>
    <w:rsid w:val="004846DF"/>
    <w:rsid w:val="00486560"/>
    <w:rsid w:val="004869EF"/>
    <w:rsid w:val="004879F6"/>
    <w:rsid w:val="00487AA4"/>
    <w:rsid w:val="00490D95"/>
    <w:rsid w:val="00492550"/>
    <w:rsid w:val="004945FE"/>
    <w:rsid w:val="00495003"/>
    <w:rsid w:val="0049591A"/>
    <w:rsid w:val="004A62ED"/>
    <w:rsid w:val="004B1892"/>
    <w:rsid w:val="004B1A76"/>
    <w:rsid w:val="004B2CCB"/>
    <w:rsid w:val="004B34EF"/>
    <w:rsid w:val="004B386C"/>
    <w:rsid w:val="004B3C9C"/>
    <w:rsid w:val="004B5122"/>
    <w:rsid w:val="004B5539"/>
    <w:rsid w:val="004B5E3D"/>
    <w:rsid w:val="004B790B"/>
    <w:rsid w:val="004C1FAE"/>
    <w:rsid w:val="004C21D5"/>
    <w:rsid w:val="004C3080"/>
    <w:rsid w:val="004C49A8"/>
    <w:rsid w:val="004C4BD5"/>
    <w:rsid w:val="004C5F0B"/>
    <w:rsid w:val="004C6F7A"/>
    <w:rsid w:val="004C73E7"/>
    <w:rsid w:val="004C7F7D"/>
    <w:rsid w:val="004D0A16"/>
    <w:rsid w:val="004D7352"/>
    <w:rsid w:val="004D7582"/>
    <w:rsid w:val="004D7D11"/>
    <w:rsid w:val="004E57B8"/>
    <w:rsid w:val="004E5D26"/>
    <w:rsid w:val="004E6BA5"/>
    <w:rsid w:val="004E7BBE"/>
    <w:rsid w:val="004F4372"/>
    <w:rsid w:val="00500CDC"/>
    <w:rsid w:val="00501441"/>
    <w:rsid w:val="0050433C"/>
    <w:rsid w:val="005044F2"/>
    <w:rsid w:val="00504CCB"/>
    <w:rsid w:val="00505D34"/>
    <w:rsid w:val="00505E55"/>
    <w:rsid w:val="00505EA6"/>
    <w:rsid w:val="00506037"/>
    <w:rsid w:val="0051390D"/>
    <w:rsid w:val="0051400B"/>
    <w:rsid w:val="00516C28"/>
    <w:rsid w:val="00516E77"/>
    <w:rsid w:val="00516ECE"/>
    <w:rsid w:val="00517FDA"/>
    <w:rsid w:val="00521252"/>
    <w:rsid w:val="00523806"/>
    <w:rsid w:val="00524502"/>
    <w:rsid w:val="00526492"/>
    <w:rsid w:val="00526816"/>
    <w:rsid w:val="00527D8A"/>
    <w:rsid w:val="005319B5"/>
    <w:rsid w:val="005350B3"/>
    <w:rsid w:val="00537A81"/>
    <w:rsid w:val="00537D29"/>
    <w:rsid w:val="00541922"/>
    <w:rsid w:val="005426F4"/>
    <w:rsid w:val="00544688"/>
    <w:rsid w:val="005468C1"/>
    <w:rsid w:val="005508AE"/>
    <w:rsid w:val="005552F1"/>
    <w:rsid w:val="005617D6"/>
    <w:rsid w:val="00561BA5"/>
    <w:rsid w:val="00561EB6"/>
    <w:rsid w:val="005626EE"/>
    <w:rsid w:val="005627B2"/>
    <w:rsid w:val="005632D5"/>
    <w:rsid w:val="005655F7"/>
    <w:rsid w:val="005660C4"/>
    <w:rsid w:val="005676B0"/>
    <w:rsid w:val="005732C3"/>
    <w:rsid w:val="005747A7"/>
    <w:rsid w:val="005751D4"/>
    <w:rsid w:val="00576E26"/>
    <w:rsid w:val="005838B2"/>
    <w:rsid w:val="005840BF"/>
    <w:rsid w:val="00585BFA"/>
    <w:rsid w:val="00586063"/>
    <w:rsid w:val="005861F2"/>
    <w:rsid w:val="00586296"/>
    <w:rsid w:val="005862B4"/>
    <w:rsid w:val="00586AA7"/>
    <w:rsid w:val="005902C3"/>
    <w:rsid w:val="00590F08"/>
    <w:rsid w:val="0059282F"/>
    <w:rsid w:val="00592CF1"/>
    <w:rsid w:val="00593490"/>
    <w:rsid w:val="00594AE2"/>
    <w:rsid w:val="005A005C"/>
    <w:rsid w:val="005A3043"/>
    <w:rsid w:val="005A365E"/>
    <w:rsid w:val="005A4FB1"/>
    <w:rsid w:val="005B1C1A"/>
    <w:rsid w:val="005B505D"/>
    <w:rsid w:val="005B6B50"/>
    <w:rsid w:val="005C1BFF"/>
    <w:rsid w:val="005C35CE"/>
    <w:rsid w:val="005C626B"/>
    <w:rsid w:val="005C682D"/>
    <w:rsid w:val="005C68EA"/>
    <w:rsid w:val="005C6FAE"/>
    <w:rsid w:val="005D5AB4"/>
    <w:rsid w:val="005D5C28"/>
    <w:rsid w:val="005D6322"/>
    <w:rsid w:val="005D6F86"/>
    <w:rsid w:val="005E0651"/>
    <w:rsid w:val="005E2659"/>
    <w:rsid w:val="005E5D8E"/>
    <w:rsid w:val="005F3123"/>
    <w:rsid w:val="005F39A7"/>
    <w:rsid w:val="005F49B9"/>
    <w:rsid w:val="005F583B"/>
    <w:rsid w:val="00603EBB"/>
    <w:rsid w:val="0060496D"/>
    <w:rsid w:val="006059E0"/>
    <w:rsid w:val="0060692E"/>
    <w:rsid w:val="00611FC9"/>
    <w:rsid w:val="0061287C"/>
    <w:rsid w:val="00614F49"/>
    <w:rsid w:val="006150AF"/>
    <w:rsid w:val="00615BDC"/>
    <w:rsid w:val="006228AF"/>
    <w:rsid w:val="006231B4"/>
    <w:rsid w:val="006232EF"/>
    <w:rsid w:val="00623356"/>
    <w:rsid w:val="00625B9B"/>
    <w:rsid w:val="00626A93"/>
    <w:rsid w:val="00627E81"/>
    <w:rsid w:val="00640099"/>
    <w:rsid w:val="00642D8D"/>
    <w:rsid w:val="00642FED"/>
    <w:rsid w:val="00644BAC"/>
    <w:rsid w:val="00645610"/>
    <w:rsid w:val="00646CD0"/>
    <w:rsid w:val="00646F39"/>
    <w:rsid w:val="00650E94"/>
    <w:rsid w:val="0065239E"/>
    <w:rsid w:val="00653BA7"/>
    <w:rsid w:val="00654948"/>
    <w:rsid w:val="00655281"/>
    <w:rsid w:val="00656F47"/>
    <w:rsid w:val="00657592"/>
    <w:rsid w:val="0066078F"/>
    <w:rsid w:val="0066091E"/>
    <w:rsid w:val="00662A2D"/>
    <w:rsid w:val="006652E4"/>
    <w:rsid w:val="00665FE6"/>
    <w:rsid w:val="0066744A"/>
    <w:rsid w:val="0066753C"/>
    <w:rsid w:val="00670B04"/>
    <w:rsid w:val="006719DC"/>
    <w:rsid w:val="00672609"/>
    <w:rsid w:val="0067664D"/>
    <w:rsid w:val="00676F0C"/>
    <w:rsid w:val="00685E6A"/>
    <w:rsid w:val="00685F75"/>
    <w:rsid w:val="006869A0"/>
    <w:rsid w:val="0068723B"/>
    <w:rsid w:val="00687575"/>
    <w:rsid w:val="006906F9"/>
    <w:rsid w:val="006943BE"/>
    <w:rsid w:val="00695526"/>
    <w:rsid w:val="006A0064"/>
    <w:rsid w:val="006A25F7"/>
    <w:rsid w:val="006A296F"/>
    <w:rsid w:val="006A2A21"/>
    <w:rsid w:val="006A3D6C"/>
    <w:rsid w:val="006A439A"/>
    <w:rsid w:val="006A441F"/>
    <w:rsid w:val="006A5774"/>
    <w:rsid w:val="006A6465"/>
    <w:rsid w:val="006A6BB1"/>
    <w:rsid w:val="006A777D"/>
    <w:rsid w:val="006A7DF8"/>
    <w:rsid w:val="006B0671"/>
    <w:rsid w:val="006B1626"/>
    <w:rsid w:val="006B28DF"/>
    <w:rsid w:val="006B2CEB"/>
    <w:rsid w:val="006B37C6"/>
    <w:rsid w:val="006B47B7"/>
    <w:rsid w:val="006B48F2"/>
    <w:rsid w:val="006B560C"/>
    <w:rsid w:val="006C1624"/>
    <w:rsid w:val="006C2C9C"/>
    <w:rsid w:val="006C3AA3"/>
    <w:rsid w:val="006C5547"/>
    <w:rsid w:val="006C7754"/>
    <w:rsid w:val="006D014F"/>
    <w:rsid w:val="006D1D70"/>
    <w:rsid w:val="006D1FFC"/>
    <w:rsid w:val="006D2B95"/>
    <w:rsid w:val="006D50A2"/>
    <w:rsid w:val="006D7382"/>
    <w:rsid w:val="006D7D13"/>
    <w:rsid w:val="006E16E4"/>
    <w:rsid w:val="006E470B"/>
    <w:rsid w:val="006E795D"/>
    <w:rsid w:val="006F4BCD"/>
    <w:rsid w:val="006F4F89"/>
    <w:rsid w:val="006F54CB"/>
    <w:rsid w:val="007051B6"/>
    <w:rsid w:val="00705AB3"/>
    <w:rsid w:val="0070601E"/>
    <w:rsid w:val="00706C55"/>
    <w:rsid w:val="00706ED8"/>
    <w:rsid w:val="007074C1"/>
    <w:rsid w:val="00710178"/>
    <w:rsid w:val="00711C8F"/>
    <w:rsid w:val="007130BC"/>
    <w:rsid w:val="0071659D"/>
    <w:rsid w:val="0071698E"/>
    <w:rsid w:val="00717F25"/>
    <w:rsid w:val="00722653"/>
    <w:rsid w:val="007233D0"/>
    <w:rsid w:val="00724CB1"/>
    <w:rsid w:val="00725114"/>
    <w:rsid w:val="00726121"/>
    <w:rsid w:val="007271D5"/>
    <w:rsid w:val="00727C75"/>
    <w:rsid w:val="007302C0"/>
    <w:rsid w:val="007379FF"/>
    <w:rsid w:val="00737B78"/>
    <w:rsid w:val="00740754"/>
    <w:rsid w:val="00740B69"/>
    <w:rsid w:val="00740FE7"/>
    <w:rsid w:val="00741FFB"/>
    <w:rsid w:val="00744826"/>
    <w:rsid w:val="0074534D"/>
    <w:rsid w:val="007465C0"/>
    <w:rsid w:val="007509DF"/>
    <w:rsid w:val="00750B6B"/>
    <w:rsid w:val="00753EED"/>
    <w:rsid w:val="00756DBA"/>
    <w:rsid w:val="007601CC"/>
    <w:rsid w:val="00767A1F"/>
    <w:rsid w:val="007714A5"/>
    <w:rsid w:val="0077291C"/>
    <w:rsid w:val="007770C4"/>
    <w:rsid w:val="0078254B"/>
    <w:rsid w:val="00783F3E"/>
    <w:rsid w:val="007840DE"/>
    <w:rsid w:val="00785A92"/>
    <w:rsid w:val="00791218"/>
    <w:rsid w:val="00791E3D"/>
    <w:rsid w:val="00793050"/>
    <w:rsid w:val="0079325D"/>
    <w:rsid w:val="00794733"/>
    <w:rsid w:val="0079771C"/>
    <w:rsid w:val="007A07F2"/>
    <w:rsid w:val="007A1214"/>
    <w:rsid w:val="007A35B9"/>
    <w:rsid w:val="007B0FD9"/>
    <w:rsid w:val="007B235A"/>
    <w:rsid w:val="007B33C5"/>
    <w:rsid w:val="007B349B"/>
    <w:rsid w:val="007B4120"/>
    <w:rsid w:val="007B4261"/>
    <w:rsid w:val="007B48D0"/>
    <w:rsid w:val="007B55B9"/>
    <w:rsid w:val="007B605D"/>
    <w:rsid w:val="007B7F27"/>
    <w:rsid w:val="007C69F8"/>
    <w:rsid w:val="007D016F"/>
    <w:rsid w:val="007D24E7"/>
    <w:rsid w:val="007D398C"/>
    <w:rsid w:val="007D3AC5"/>
    <w:rsid w:val="007D4B91"/>
    <w:rsid w:val="007D4CB5"/>
    <w:rsid w:val="007D7B17"/>
    <w:rsid w:val="007E1358"/>
    <w:rsid w:val="007E30CE"/>
    <w:rsid w:val="007E3441"/>
    <w:rsid w:val="007E3AEC"/>
    <w:rsid w:val="007E4D79"/>
    <w:rsid w:val="007E7CDC"/>
    <w:rsid w:val="007F0340"/>
    <w:rsid w:val="007F114A"/>
    <w:rsid w:val="007F1CEE"/>
    <w:rsid w:val="007F4DF0"/>
    <w:rsid w:val="007F66B4"/>
    <w:rsid w:val="007F6912"/>
    <w:rsid w:val="007F7AA6"/>
    <w:rsid w:val="00802436"/>
    <w:rsid w:val="00803CD7"/>
    <w:rsid w:val="00803F97"/>
    <w:rsid w:val="00806764"/>
    <w:rsid w:val="00814652"/>
    <w:rsid w:val="008155C6"/>
    <w:rsid w:val="008157F7"/>
    <w:rsid w:val="00820B3D"/>
    <w:rsid w:val="0082380E"/>
    <w:rsid w:val="008242ED"/>
    <w:rsid w:val="008244F0"/>
    <w:rsid w:val="00825F10"/>
    <w:rsid w:val="00831E8E"/>
    <w:rsid w:val="00833758"/>
    <w:rsid w:val="00834BAB"/>
    <w:rsid w:val="0083509A"/>
    <w:rsid w:val="0083611B"/>
    <w:rsid w:val="008408DE"/>
    <w:rsid w:val="00840B99"/>
    <w:rsid w:val="008410EF"/>
    <w:rsid w:val="008417FD"/>
    <w:rsid w:val="00847B01"/>
    <w:rsid w:val="00847B04"/>
    <w:rsid w:val="00847C00"/>
    <w:rsid w:val="008504A9"/>
    <w:rsid w:val="008540C2"/>
    <w:rsid w:val="00854ADB"/>
    <w:rsid w:val="00854C01"/>
    <w:rsid w:val="008562EE"/>
    <w:rsid w:val="008573DC"/>
    <w:rsid w:val="00860E8D"/>
    <w:rsid w:val="0086267C"/>
    <w:rsid w:val="00865A46"/>
    <w:rsid w:val="0086658B"/>
    <w:rsid w:val="00866703"/>
    <w:rsid w:val="00867BD7"/>
    <w:rsid w:val="00871866"/>
    <w:rsid w:val="00872BDD"/>
    <w:rsid w:val="00874A19"/>
    <w:rsid w:val="008751A0"/>
    <w:rsid w:val="0088291F"/>
    <w:rsid w:val="00882CA2"/>
    <w:rsid w:val="00884EE0"/>
    <w:rsid w:val="00884EF6"/>
    <w:rsid w:val="00885E3D"/>
    <w:rsid w:val="00891CEB"/>
    <w:rsid w:val="00894D6B"/>
    <w:rsid w:val="008960D3"/>
    <w:rsid w:val="008A0FB7"/>
    <w:rsid w:val="008A1657"/>
    <w:rsid w:val="008A26BE"/>
    <w:rsid w:val="008A2AF9"/>
    <w:rsid w:val="008A4341"/>
    <w:rsid w:val="008A4F42"/>
    <w:rsid w:val="008A6A01"/>
    <w:rsid w:val="008A76B8"/>
    <w:rsid w:val="008B09B9"/>
    <w:rsid w:val="008B250A"/>
    <w:rsid w:val="008B3EF4"/>
    <w:rsid w:val="008B6DCC"/>
    <w:rsid w:val="008B7B8B"/>
    <w:rsid w:val="008C0730"/>
    <w:rsid w:val="008C2E90"/>
    <w:rsid w:val="008C37D7"/>
    <w:rsid w:val="008C4240"/>
    <w:rsid w:val="008C4C98"/>
    <w:rsid w:val="008D3ECB"/>
    <w:rsid w:val="008D6A58"/>
    <w:rsid w:val="008D6EDE"/>
    <w:rsid w:val="008D7D33"/>
    <w:rsid w:val="008E0A1A"/>
    <w:rsid w:val="008E13DB"/>
    <w:rsid w:val="008E183B"/>
    <w:rsid w:val="008E6C4A"/>
    <w:rsid w:val="008F48A0"/>
    <w:rsid w:val="009009D1"/>
    <w:rsid w:val="009015A0"/>
    <w:rsid w:val="00901B89"/>
    <w:rsid w:val="00915F64"/>
    <w:rsid w:val="009161E4"/>
    <w:rsid w:val="009173A3"/>
    <w:rsid w:val="009235F7"/>
    <w:rsid w:val="00923629"/>
    <w:rsid w:val="00924616"/>
    <w:rsid w:val="009266D2"/>
    <w:rsid w:val="009320AA"/>
    <w:rsid w:val="00932622"/>
    <w:rsid w:val="009350CC"/>
    <w:rsid w:val="00937746"/>
    <w:rsid w:val="00937A1D"/>
    <w:rsid w:val="00940BDD"/>
    <w:rsid w:val="00941270"/>
    <w:rsid w:val="0094224A"/>
    <w:rsid w:val="00943B76"/>
    <w:rsid w:val="00944846"/>
    <w:rsid w:val="00946191"/>
    <w:rsid w:val="009464CF"/>
    <w:rsid w:val="009511BF"/>
    <w:rsid w:val="009604EC"/>
    <w:rsid w:val="0096347E"/>
    <w:rsid w:val="00964073"/>
    <w:rsid w:val="00965629"/>
    <w:rsid w:val="00966524"/>
    <w:rsid w:val="00967EA9"/>
    <w:rsid w:val="00970DA2"/>
    <w:rsid w:val="009715D4"/>
    <w:rsid w:val="00971AC3"/>
    <w:rsid w:val="00973965"/>
    <w:rsid w:val="00977A8C"/>
    <w:rsid w:val="00981413"/>
    <w:rsid w:val="0098205A"/>
    <w:rsid w:val="009836AB"/>
    <w:rsid w:val="00983999"/>
    <w:rsid w:val="00984F29"/>
    <w:rsid w:val="00985A57"/>
    <w:rsid w:val="00986C5E"/>
    <w:rsid w:val="00990F8A"/>
    <w:rsid w:val="00991E02"/>
    <w:rsid w:val="00993E28"/>
    <w:rsid w:val="00996668"/>
    <w:rsid w:val="00996E63"/>
    <w:rsid w:val="009A044A"/>
    <w:rsid w:val="009A106C"/>
    <w:rsid w:val="009A1B12"/>
    <w:rsid w:val="009A62EC"/>
    <w:rsid w:val="009A7029"/>
    <w:rsid w:val="009B12D9"/>
    <w:rsid w:val="009B31F3"/>
    <w:rsid w:val="009B4C8C"/>
    <w:rsid w:val="009B6368"/>
    <w:rsid w:val="009B63CD"/>
    <w:rsid w:val="009B7936"/>
    <w:rsid w:val="009C35E8"/>
    <w:rsid w:val="009C4AE5"/>
    <w:rsid w:val="009C5415"/>
    <w:rsid w:val="009C6FE4"/>
    <w:rsid w:val="009D50C8"/>
    <w:rsid w:val="009E3B80"/>
    <w:rsid w:val="009F2AA0"/>
    <w:rsid w:val="009F2BE5"/>
    <w:rsid w:val="009F3690"/>
    <w:rsid w:val="009F4613"/>
    <w:rsid w:val="009F4E41"/>
    <w:rsid w:val="009F6ABE"/>
    <w:rsid w:val="00A02971"/>
    <w:rsid w:val="00A04168"/>
    <w:rsid w:val="00A04FFB"/>
    <w:rsid w:val="00A06080"/>
    <w:rsid w:val="00A07BC9"/>
    <w:rsid w:val="00A10F72"/>
    <w:rsid w:val="00A115E9"/>
    <w:rsid w:val="00A12D02"/>
    <w:rsid w:val="00A156A1"/>
    <w:rsid w:val="00A1741B"/>
    <w:rsid w:val="00A216C7"/>
    <w:rsid w:val="00A2277E"/>
    <w:rsid w:val="00A2287C"/>
    <w:rsid w:val="00A26572"/>
    <w:rsid w:val="00A300AF"/>
    <w:rsid w:val="00A316F1"/>
    <w:rsid w:val="00A31FFC"/>
    <w:rsid w:val="00A3227C"/>
    <w:rsid w:val="00A33EF2"/>
    <w:rsid w:val="00A351DB"/>
    <w:rsid w:val="00A36E37"/>
    <w:rsid w:val="00A37439"/>
    <w:rsid w:val="00A37834"/>
    <w:rsid w:val="00A422FC"/>
    <w:rsid w:val="00A42BD5"/>
    <w:rsid w:val="00A43514"/>
    <w:rsid w:val="00A43919"/>
    <w:rsid w:val="00A455BA"/>
    <w:rsid w:val="00A46072"/>
    <w:rsid w:val="00A466DA"/>
    <w:rsid w:val="00A53C7C"/>
    <w:rsid w:val="00A55994"/>
    <w:rsid w:val="00A572B6"/>
    <w:rsid w:val="00A6029B"/>
    <w:rsid w:val="00A62016"/>
    <w:rsid w:val="00A649B2"/>
    <w:rsid w:val="00A67738"/>
    <w:rsid w:val="00A67CA0"/>
    <w:rsid w:val="00A731A9"/>
    <w:rsid w:val="00A74DCA"/>
    <w:rsid w:val="00A76095"/>
    <w:rsid w:val="00A8151F"/>
    <w:rsid w:val="00A820E9"/>
    <w:rsid w:val="00A830DE"/>
    <w:rsid w:val="00A8463E"/>
    <w:rsid w:val="00A902D0"/>
    <w:rsid w:val="00AA09DE"/>
    <w:rsid w:val="00AA0BD9"/>
    <w:rsid w:val="00AA2B95"/>
    <w:rsid w:val="00AA572E"/>
    <w:rsid w:val="00AA7596"/>
    <w:rsid w:val="00AB0D36"/>
    <w:rsid w:val="00AB34A6"/>
    <w:rsid w:val="00AB37CC"/>
    <w:rsid w:val="00AB3C09"/>
    <w:rsid w:val="00AB4EC3"/>
    <w:rsid w:val="00AB5E07"/>
    <w:rsid w:val="00AB6488"/>
    <w:rsid w:val="00AB7A7D"/>
    <w:rsid w:val="00AB7EF9"/>
    <w:rsid w:val="00AC01CC"/>
    <w:rsid w:val="00AC06A4"/>
    <w:rsid w:val="00AC0B27"/>
    <w:rsid w:val="00AC180C"/>
    <w:rsid w:val="00AC1E28"/>
    <w:rsid w:val="00AC3604"/>
    <w:rsid w:val="00AC3721"/>
    <w:rsid w:val="00AC4ECD"/>
    <w:rsid w:val="00AC5360"/>
    <w:rsid w:val="00AC6749"/>
    <w:rsid w:val="00AD0131"/>
    <w:rsid w:val="00AD0CA4"/>
    <w:rsid w:val="00AD16B9"/>
    <w:rsid w:val="00AD2C94"/>
    <w:rsid w:val="00AD6EBF"/>
    <w:rsid w:val="00AE2944"/>
    <w:rsid w:val="00AE2B0D"/>
    <w:rsid w:val="00AE3DE0"/>
    <w:rsid w:val="00AE7B32"/>
    <w:rsid w:val="00AF2EEC"/>
    <w:rsid w:val="00AF6BDC"/>
    <w:rsid w:val="00AF7628"/>
    <w:rsid w:val="00B00C47"/>
    <w:rsid w:val="00B0229B"/>
    <w:rsid w:val="00B031A1"/>
    <w:rsid w:val="00B0785E"/>
    <w:rsid w:val="00B12A7A"/>
    <w:rsid w:val="00B13C6A"/>
    <w:rsid w:val="00B15172"/>
    <w:rsid w:val="00B2592F"/>
    <w:rsid w:val="00B27BC3"/>
    <w:rsid w:val="00B30191"/>
    <w:rsid w:val="00B3180A"/>
    <w:rsid w:val="00B318E8"/>
    <w:rsid w:val="00B32375"/>
    <w:rsid w:val="00B34481"/>
    <w:rsid w:val="00B40A33"/>
    <w:rsid w:val="00B41B37"/>
    <w:rsid w:val="00B4387E"/>
    <w:rsid w:val="00B464FE"/>
    <w:rsid w:val="00B47E5C"/>
    <w:rsid w:val="00B47F02"/>
    <w:rsid w:val="00B50219"/>
    <w:rsid w:val="00B5060E"/>
    <w:rsid w:val="00B51718"/>
    <w:rsid w:val="00B54208"/>
    <w:rsid w:val="00B56A33"/>
    <w:rsid w:val="00B61946"/>
    <w:rsid w:val="00B661B5"/>
    <w:rsid w:val="00B669A9"/>
    <w:rsid w:val="00B6701C"/>
    <w:rsid w:val="00B70058"/>
    <w:rsid w:val="00B736B1"/>
    <w:rsid w:val="00B746DD"/>
    <w:rsid w:val="00B76A63"/>
    <w:rsid w:val="00B8084B"/>
    <w:rsid w:val="00B8167A"/>
    <w:rsid w:val="00B81A11"/>
    <w:rsid w:val="00B85F4E"/>
    <w:rsid w:val="00B87E85"/>
    <w:rsid w:val="00B9072A"/>
    <w:rsid w:val="00B91235"/>
    <w:rsid w:val="00B91AE3"/>
    <w:rsid w:val="00B97060"/>
    <w:rsid w:val="00B9754C"/>
    <w:rsid w:val="00BA1A02"/>
    <w:rsid w:val="00BA2F20"/>
    <w:rsid w:val="00BA548B"/>
    <w:rsid w:val="00BA590C"/>
    <w:rsid w:val="00BA63BB"/>
    <w:rsid w:val="00BA7173"/>
    <w:rsid w:val="00BB1243"/>
    <w:rsid w:val="00BB2D16"/>
    <w:rsid w:val="00BB34CA"/>
    <w:rsid w:val="00BB581F"/>
    <w:rsid w:val="00BC08D9"/>
    <w:rsid w:val="00BC0D65"/>
    <w:rsid w:val="00BC163E"/>
    <w:rsid w:val="00BC39C7"/>
    <w:rsid w:val="00BC7DB3"/>
    <w:rsid w:val="00BD065B"/>
    <w:rsid w:val="00BD15B7"/>
    <w:rsid w:val="00BD2CCE"/>
    <w:rsid w:val="00BD2D79"/>
    <w:rsid w:val="00BD30EB"/>
    <w:rsid w:val="00BD3717"/>
    <w:rsid w:val="00BD48D6"/>
    <w:rsid w:val="00BD5D75"/>
    <w:rsid w:val="00BD6A9D"/>
    <w:rsid w:val="00BD73D1"/>
    <w:rsid w:val="00BD79A3"/>
    <w:rsid w:val="00BD7E48"/>
    <w:rsid w:val="00BE06C7"/>
    <w:rsid w:val="00BE40FB"/>
    <w:rsid w:val="00BF1DE8"/>
    <w:rsid w:val="00BF2021"/>
    <w:rsid w:val="00BF415A"/>
    <w:rsid w:val="00BF5A28"/>
    <w:rsid w:val="00BF6B0A"/>
    <w:rsid w:val="00BF6BA9"/>
    <w:rsid w:val="00C0070C"/>
    <w:rsid w:val="00C02D96"/>
    <w:rsid w:val="00C03A23"/>
    <w:rsid w:val="00C05376"/>
    <w:rsid w:val="00C06891"/>
    <w:rsid w:val="00C07F78"/>
    <w:rsid w:val="00C10EF4"/>
    <w:rsid w:val="00C137DD"/>
    <w:rsid w:val="00C13994"/>
    <w:rsid w:val="00C14C3D"/>
    <w:rsid w:val="00C16B21"/>
    <w:rsid w:val="00C1781F"/>
    <w:rsid w:val="00C20B9B"/>
    <w:rsid w:val="00C20C81"/>
    <w:rsid w:val="00C22C7D"/>
    <w:rsid w:val="00C23122"/>
    <w:rsid w:val="00C26910"/>
    <w:rsid w:val="00C27337"/>
    <w:rsid w:val="00C276FA"/>
    <w:rsid w:val="00C27C6D"/>
    <w:rsid w:val="00C31584"/>
    <w:rsid w:val="00C31C0B"/>
    <w:rsid w:val="00C3501B"/>
    <w:rsid w:val="00C37DDF"/>
    <w:rsid w:val="00C410C9"/>
    <w:rsid w:val="00C424EB"/>
    <w:rsid w:val="00C441D0"/>
    <w:rsid w:val="00C45009"/>
    <w:rsid w:val="00C461B6"/>
    <w:rsid w:val="00C47479"/>
    <w:rsid w:val="00C50A9B"/>
    <w:rsid w:val="00C52122"/>
    <w:rsid w:val="00C5359C"/>
    <w:rsid w:val="00C551D8"/>
    <w:rsid w:val="00C5572A"/>
    <w:rsid w:val="00C60D0A"/>
    <w:rsid w:val="00C60EF7"/>
    <w:rsid w:val="00C611FF"/>
    <w:rsid w:val="00C61F91"/>
    <w:rsid w:val="00C643B6"/>
    <w:rsid w:val="00C64C2F"/>
    <w:rsid w:val="00C6542C"/>
    <w:rsid w:val="00C70D83"/>
    <w:rsid w:val="00C71390"/>
    <w:rsid w:val="00C73ABD"/>
    <w:rsid w:val="00C75814"/>
    <w:rsid w:val="00C75E92"/>
    <w:rsid w:val="00C7794B"/>
    <w:rsid w:val="00C8334B"/>
    <w:rsid w:val="00C857D2"/>
    <w:rsid w:val="00C8581D"/>
    <w:rsid w:val="00C86D15"/>
    <w:rsid w:val="00C91EBE"/>
    <w:rsid w:val="00C92551"/>
    <w:rsid w:val="00C9331C"/>
    <w:rsid w:val="00C95721"/>
    <w:rsid w:val="00C96337"/>
    <w:rsid w:val="00C97DA5"/>
    <w:rsid w:val="00CA0767"/>
    <w:rsid w:val="00CA2DFE"/>
    <w:rsid w:val="00CA49B5"/>
    <w:rsid w:val="00CB36CF"/>
    <w:rsid w:val="00CB64A3"/>
    <w:rsid w:val="00CB693D"/>
    <w:rsid w:val="00CC0112"/>
    <w:rsid w:val="00CC3215"/>
    <w:rsid w:val="00CC5235"/>
    <w:rsid w:val="00CC6D54"/>
    <w:rsid w:val="00CC6D8C"/>
    <w:rsid w:val="00CC7C2E"/>
    <w:rsid w:val="00CD08D8"/>
    <w:rsid w:val="00CD1D1A"/>
    <w:rsid w:val="00CD2526"/>
    <w:rsid w:val="00CD3491"/>
    <w:rsid w:val="00CD380E"/>
    <w:rsid w:val="00CE03AD"/>
    <w:rsid w:val="00CE0F24"/>
    <w:rsid w:val="00CE3636"/>
    <w:rsid w:val="00CE4105"/>
    <w:rsid w:val="00CE51C7"/>
    <w:rsid w:val="00CE5BE4"/>
    <w:rsid w:val="00CE6261"/>
    <w:rsid w:val="00CE74E6"/>
    <w:rsid w:val="00CE7C42"/>
    <w:rsid w:val="00CF020A"/>
    <w:rsid w:val="00CF08F4"/>
    <w:rsid w:val="00CF1566"/>
    <w:rsid w:val="00CF5629"/>
    <w:rsid w:val="00CF782F"/>
    <w:rsid w:val="00CF7EA8"/>
    <w:rsid w:val="00D03DD9"/>
    <w:rsid w:val="00D04BFA"/>
    <w:rsid w:val="00D110CE"/>
    <w:rsid w:val="00D11FAC"/>
    <w:rsid w:val="00D14EA5"/>
    <w:rsid w:val="00D1605C"/>
    <w:rsid w:val="00D16E8B"/>
    <w:rsid w:val="00D17E02"/>
    <w:rsid w:val="00D21437"/>
    <w:rsid w:val="00D215D2"/>
    <w:rsid w:val="00D23908"/>
    <w:rsid w:val="00D26083"/>
    <w:rsid w:val="00D269B2"/>
    <w:rsid w:val="00D272D5"/>
    <w:rsid w:val="00D27FBD"/>
    <w:rsid w:val="00D3150A"/>
    <w:rsid w:val="00D325AE"/>
    <w:rsid w:val="00D3568F"/>
    <w:rsid w:val="00D373B6"/>
    <w:rsid w:val="00D436CC"/>
    <w:rsid w:val="00D43973"/>
    <w:rsid w:val="00D44E88"/>
    <w:rsid w:val="00D450C9"/>
    <w:rsid w:val="00D46D5F"/>
    <w:rsid w:val="00D47F52"/>
    <w:rsid w:val="00D546A3"/>
    <w:rsid w:val="00D63CEA"/>
    <w:rsid w:val="00D66066"/>
    <w:rsid w:val="00D668B1"/>
    <w:rsid w:val="00D7118C"/>
    <w:rsid w:val="00D73C70"/>
    <w:rsid w:val="00D80DFC"/>
    <w:rsid w:val="00D8156A"/>
    <w:rsid w:val="00D82567"/>
    <w:rsid w:val="00D86341"/>
    <w:rsid w:val="00D87A7E"/>
    <w:rsid w:val="00D900E8"/>
    <w:rsid w:val="00D906E8"/>
    <w:rsid w:val="00D90875"/>
    <w:rsid w:val="00D91524"/>
    <w:rsid w:val="00D934BF"/>
    <w:rsid w:val="00D935C0"/>
    <w:rsid w:val="00DA0E9D"/>
    <w:rsid w:val="00DA341F"/>
    <w:rsid w:val="00DA5706"/>
    <w:rsid w:val="00DA6289"/>
    <w:rsid w:val="00DA7872"/>
    <w:rsid w:val="00DA7BD2"/>
    <w:rsid w:val="00DA7D86"/>
    <w:rsid w:val="00DB0691"/>
    <w:rsid w:val="00DB435C"/>
    <w:rsid w:val="00DB781D"/>
    <w:rsid w:val="00DC17E0"/>
    <w:rsid w:val="00DC1AF0"/>
    <w:rsid w:val="00DC1B10"/>
    <w:rsid w:val="00DC2337"/>
    <w:rsid w:val="00DC4212"/>
    <w:rsid w:val="00DC5FA3"/>
    <w:rsid w:val="00DC657E"/>
    <w:rsid w:val="00DC7394"/>
    <w:rsid w:val="00DD2349"/>
    <w:rsid w:val="00DD350A"/>
    <w:rsid w:val="00DD5946"/>
    <w:rsid w:val="00DD6D7D"/>
    <w:rsid w:val="00DE0C40"/>
    <w:rsid w:val="00DE120A"/>
    <w:rsid w:val="00DE13B8"/>
    <w:rsid w:val="00DE351D"/>
    <w:rsid w:val="00DE3569"/>
    <w:rsid w:val="00DF0A31"/>
    <w:rsid w:val="00DF17C8"/>
    <w:rsid w:val="00DF2694"/>
    <w:rsid w:val="00DF35B1"/>
    <w:rsid w:val="00DF5E4C"/>
    <w:rsid w:val="00DF7081"/>
    <w:rsid w:val="00E0037F"/>
    <w:rsid w:val="00E003A4"/>
    <w:rsid w:val="00E0100A"/>
    <w:rsid w:val="00E02835"/>
    <w:rsid w:val="00E02901"/>
    <w:rsid w:val="00E040A5"/>
    <w:rsid w:val="00E04A3A"/>
    <w:rsid w:val="00E05A6C"/>
    <w:rsid w:val="00E076F2"/>
    <w:rsid w:val="00E10CD0"/>
    <w:rsid w:val="00E118AF"/>
    <w:rsid w:val="00E1244E"/>
    <w:rsid w:val="00E137C3"/>
    <w:rsid w:val="00E2005D"/>
    <w:rsid w:val="00E216F0"/>
    <w:rsid w:val="00E236CD"/>
    <w:rsid w:val="00E30980"/>
    <w:rsid w:val="00E31135"/>
    <w:rsid w:val="00E317DE"/>
    <w:rsid w:val="00E3692E"/>
    <w:rsid w:val="00E438DF"/>
    <w:rsid w:val="00E50CD4"/>
    <w:rsid w:val="00E53734"/>
    <w:rsid w:val="00E551CD"/>
    <w:rsid w:val="00E5582C"/>
    <w:rsid w:val="00E56BDE"/>
    <w:rsid w:val="00E56DBE"/>
    <w:rsid w:val="00E56E90"/>
    <w:rsid w:val="00E57371"/>
    <w:rsid w:val="00E606E3"/>
    <w:rsid w:val="00E60FB4"/>
    <w:rsid w:val="00E625BE"/>
    <w:rsid w:val="00E62E88"/>
    <w:rsid w:val="00E62F75"/>
    <w:rsid w:val="00E64202"/>
    <w:rsid w:val="00E72244"/>
    <w:rsid w:val="00E72EC5"/>
    <w:rsid w:val="00E73D31"/>
    <w:rsid w:val="00E74D01"/>
    <w:rsid w:val="00E760CE"/>
    <w:rsid w:val="00E7651C"/>
    <w:rsid w:val="00E8656E"/>
    <w:rsid w:val="00E86CC7"/>
    <w:rsid w:val="00E8725B"/>
    <w:rsid w:val="00E87617"/>
    <w:rsid w:val="00E90B95"/>
    <w:rsid w:val="00E91EAC"/>
    <w:rsid w:val="00E94C0D"/>
    <w:rsid w:val="00E95FDD"/>
    <w:rsid w:val="00E96731"/>
    <w:rsid w:val="00E96A75"/>
    <w:rsid w:val="00E97908"/>
    <w:rsid w:val="00EA2D0A"/>
    <w:rsid w:val="00EA39C8"/>
    <w:rsid w:val="00EA44AC"/>
    <w:rsid w:val="00EA5365"/>
    <w:rsid w:val="00EA5713"/>
    <w:rsid w:val="00EA74CD"/>
    <w:rsid w:val="00EB0AB7"/>
    <w:rsid w:val="00EB20B8"/>
    <w:rsid w:val="00EB7410"/>
    <w:rsid w:val="00EC0148"/>
    <w:rsid w:val="00EC01D4"/>
    <w:rsid w:val="00EC0667"/>
    <w:rsid w:val="00EC1065"/>
    <w:rsid w:val="00EC3017"/>
    <w:rsid w:val="00EC3BBD"/>
    <w:rsid w:val="00EC7678"/>
    <w:rsid w:val="00EC77E8"/>
    <w:rsid w:val="00ED139C"/>
    <w:rsid w:val="00ED33DD"/>
    <w:rsid w:val="00ED3452"/>
    <w:rsid w:val="00ED4294"/>
    <w:rsid w:val="00ED59C8"/>
    <w:rsid w:val="00ED5AFB"/>
    <w:rsid w:val="00EE1AEF"/>
    <w:rsid w:val="00EE1DEF"/>
    <w:rsid w:val="00EE226E"/>
    <w:rsid w:val="00EE4DB2"/>
    <w:rsid w:val="00EE4E5D"/>
    <w:rsid w:val="00EE5DBF"/>
    <w:rsid w:val="00EF5C5A"/>
    <w:rsid w:val="00EF7E58"/>
    <w:rsid w:val="00F0375E"/>
    <w:rsid w:val="00F04BB9"/>
    <w:rsid w:val="00F04EE6"/>
    <w:rsid w:val="00F05515"/>
    <w:rsid w:val="00F06077"/>
    <w:rsid w:val="00F10168"/>
    <w:rsid w:val="00F1128F"/>
    <w:rsid w:val="00F125DB"/>
    <w:rsid w:val="00F14895"/>
    <w:rsid w:val="00F1695C"/>
    <w:rsid w:val="00F21269"/>
    <w:rsid w:val="00F241AF"/>
    <w:rsid w:val="00F25B67"/>
    <w:rsid w:val="00F26E46"/>
    <w:rsid w:val="00F26F55"/>
    <w:rsid w:val="00F3169E"/>
    <w:rsid w:val="00F335D0"/>
    <w:rsid w:val="00F33827"/>
    <w:rsid w:val="00F343EB"/>
    <w:rsid w:val="00F345F6"/>
    <w:rsid w:val="00F36D0C"/>
    <w:rsid w:val="00F37279"/>
    <w:rsid w:val="00F375EC"/>
    <w:rsid w:val="00F412F1"/>
    <w:rsid w:val="00F42286"/>
    <w:rsid w:val="00F449C1"/>
    <w:rsid w:val="00F45D9B"/>
    <w:rsid w:val="00F54F07"/>
    <w:rsid w:val="00F56383"/>
    <w:rsid w:val="00F568C1"/>
    <w:rsid w:val="00F576E9"/>
    <w:rsid w:val="00F60C17"/>
    <w:rsid w:val="00F628D0"/>
    <w:rsid w:val="00F64582"/>
    <w:rsid w:val="00F6620C"/>
    <w:rsid w:val="00F66D25"/>
    <w:rsid w:val="00F670D9"/>
    <w:rsid w:val="00F715D0"/>
    <w:rsid w:val="00F74CAA"/>
    <w:rsid w:val="00F75C8F"/>
    <w:rsid w:val="00F77059"/>
    <w:rsid w:val="00F8011D"/>
    <w:rsid w:val="00F816F7"/>
    <w:rsid w:val="00F835B5"/>
    <w:rsid w:val="00F83AD2"/>
    <w:rsid w:val="00F8481B"/>
    <w:rsid w:val="00F85569"/>
    <w:rsid w:val="00F94AA0"/>
    <w:rsid w:val="00F957D8"/>
    <w:rsid w:val="00F9671B"/>
    <w:rsid w:val="00FA07EE"/>
    <w:rsid w:val="00FA3E65"/>
    <w:rsid w:val="00FA5977"/>
    <w:rsid w:val="00FA6869"/>
    <w:rsid w:val="00FB05F1"/>
    <w:rsid w:val="00FB477B"/>
    <w:rsid w:val="00FB5876"/>
    <w:rsid w:val="00FB599D"/>
    <w:rsid w:val="00FC103F"/>
    <w:rsid w:val="00FC4CF9"/>
    <w:rsid w:val="00FC5E6E"/>
    <w:rsid w:val="00FC67BC"/>
    <w:rsid w:val="00FD4704"/>
    <w:rsid w:val="00FD507A"/>
    <w:rsid w:val="00FD5750"/>
    <w:rsid w:val="00FD5E8D"/>
    <w:rsid w:val="00FD71A9"/>
    <w:rsid w:val="00FD75BA"/>
    <w:rsid w:val="00FE0C0A"/>
    <w:rsid w:val="00FE48A0"/>
    <w:rsid w:val="00FE4D25"/>
    <w:rsid w:val="00FE4FC7"/>
    <w:rsid w:val="00FE6DC8"/>
    <w:rsid w:val="00FE7605"/>
    <w:rsid w:val="00FF24A1"/>
    <w:rsid w:val="00FF3933"/>
    <w:rsid w:val="00FF5AEE"/>
    <w:rsid w:val="00FF7B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CB339"/>
  <w15:chartTrackingRefBased/>
  <w15:docId w15:val="{37EF42B6-2750-4554-8AE7-5EB4ACC7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2106"/>
    <w:rPr>
      <w:sz w:val="24"/>
      <w:szCs w:val="24"/>
    </w:rPr>
  </w:style>
  <w:style w:type="paragraph" w:styleId="Nadpis1">
    <w:name w:val="heading 1"/>
    <w:basedOn w:val="Normlny"/>
    <w:next w:val="Normlny"/>
    <w:link w:val="Nadpis1Char"/>
    <w:qFormat/>
    <w:rsid w:val="00D934BF"/>
    <w:pPr>
      <w:keepNext/>
      <w:spacing w:before="240" w:after="60"/>
      <w:outlineLvl w:val="0"/>
    </w:pPr>
    <w:rPr>
      <w:rFonts w:ascii="Arial" w:hAnsi="Arial" w:cs="Arial"/>
      <w:b/>
      <w:bCs/>
      <w:kern w:val="32"/>
      <w:sz w:val="32"/>
      <w:szCs w:val="32"/>
    </w:rPr>
  </w:style>
  <w:style w:type="paragraph" w:styleId="Nadpis2">
    <w:name w:val="heading 2"/>
    <w:aliases w:val="Char24 Char Char,Char24 Char Char Char"/>
    <w:basedOn w:val="Normlny"/>
    <w:next w:val="Normlny"/>
    <w:link w:val="Nadpis2Char"/>
    <w:qFormat/>
    <w:rsid w:val="001424FB"/>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1424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934BF"/>
    <w:rPr>
      <w:rFonts w:ascii="Arial" w:hAnsi="Arial" w:cs="Arial"/>
      <w:b/>
      <w:bCs/>
      <w:kern w:val="32"/>
      <w:sz w:val="32"/>
      <w:szCs w:val="32"/>
    </w:rPr>
  </w:style>
  <w:style w:type="character" w:styleId="Odkaznakomentr">
    <w:name w:val="annotation reference"/>
    <w:uiPriority w:val="99"/>
    <w:semiHidden/>
    <w:unhideWhenUsed/>
    <w:rsid w:val="00107DE0"/>
    <w:rPr>
      <w:sz w:val="16"/>
      <w:szCs w:val="16"/>
    </w:rPr>
  </w:style>
  <w:style w:type="paragraph" w:styleId="Textkomentra">
    <w:name w:val="annotation text"/>
    <w:basedOn w:val="Normlny"/>
    <w:link w:val="TextkomentraChar"/>
    <w:uiPriority w:val="99"/>
    <w:semiHidden/>
    <w:unhideWhenUsed/>
    <w:rsid w:val="00107DE0"/>
    <w:rPr>
      <w:sz w:val="20"/>
      <w:szCs w:val="20"/>
    </w:rPr>
  </w:style>
  <w:style w:type="character" w:customStyle="1" w:styleId="TextkomentraChar">
    <w:name w:val="Text komentára Char"/>
    <w:link w:val="Textkomentra"/>
    <w:uiPriority w:val="99"/>
    <w:semiHidden/>
    <w:rsid w:val="00107DE0"/>
    <w:rPr>
      <w:lang w:val="sk-SK" w:eastAsia="sk-SK"/>
    </w:rPr>
  </w:style>
  <w:style w:type="paragraph" w:styleId="Predmetkomentra">
    <w:name w:val="annotation subject"/>
    <w:basedOn w:val="Textkomentra"/>
    <w:next w:val="Textkomentra"/>
    <w:link w:val="PredmetkomentraChar"/>
    <w:uiPriority w:val="99"/>
    <w:semiHidden/>
    <w:unhideWhenUsed/>
    <w:rsid w:val="00107DE0"/>
    <w:rPr>
      <w:b/>
      <w:bCs/>
    </w:rPr>
  </w:style>
  <w:style w:type="character" w:customStyle="1" w:styleId="PredmetkomentraChar">
    <w:name w:val="Predmet komentára Char"/>
    <w:link w:val="Predmetkomentra"/>
    <w:uiPriority w:val="99"/>
    <w:semiHidden/>
    <w:rsid w:val="00107DE0"/>
    <w:rPr>
      <w:b/>
      <w:bCs/>
      <w:lang w:val="sk-SK" w:eastAsia="sk-SK"/>
    </w:rPr>
  </w:style>
  <w:style w:type="paragraph" w:styleId="Textbubliny">
    <w:name w:val="Balloon Text"/>
    <w:basedOn w:val="Normlny"/>
    <w:link w:val="TextbublinyChar"/>
    <w:uiPriority w:val="99"/>
    <w:semiHidden/>
    <w:unhideWhenUsed/>
    <w:rsid w:val="00107DE0"/>
    <w:rPr>
      <w:rFonts w:ascii="Tahoma" w:hAnsi="Tahoma" w:cs="Tahoma"/>
      <w:sz w:val="16"/>
      <w:szCs w:val="16"/>
    </w:rPr>
  </w:style>
  <w:style w:type="character" w:customStyle="1" w:styleId="TextbublinyChar">
    <w:name w:val="Text bubliny Char"/>
    <w:link w:val="Textbubliny"/>
    <w:uiPriority w:val="99"/>
    <w:semiHidden/>
    <w:rsid w:val="00107DE0"/>
    <w:rPr>
      <w:rFonts w:ascii="Tahoma" w:hAnsi="Tahoma" w:cs="Tahoma"/>
      <w:sz w:val="16"/>
      <w:szCs w:val="16"/>
      <w:lang w:val="sk-SK" w:eastAsia="sk-SK"/>
    </w:rPr>
  </w:style>
  <w:style w:type="paragraph" w:styleId="Hlavika">
    <w:name w:val="header"/>
    <w:basedOn w:val="Normlny"/>
    <w:link w:val="HlavikaChar"/>
    <w:uiPriority w:val="99"/>
    <w:rsid w:val="00BD065B"/>
    <w:pPr>
      <w:tabs>
        <w:tab w:val="center" w:pos="4536"/>
        <w:tab w:val="right" w:pos="9072"/>
      </w:tabs>
      <w:spacing w:after="240"/>
      <w:ind w:firstLine="284"/>
      <w:jc w:val="both"/>
    </w:pPr>
    <w:rPr>
      <w:rFonts w:ascii="Arial Narrow" w:hAnsi="Arial Narrow" w:cs="Arial Narrow"/>
      <w:sz w:val="22"/>
      <w:szCs w:val="22"/>
    </w:rPr>
  </w:style>
  <w:style w:type="character" w:customStyle="1" w:styleId="HlavikaChar">
    <w:name w:val="Hlavička Char"/>
    <w:link w:val="Hlavika"/>
    <w:uiPriority w:val="99"/>
    <w:rsid w:val="00BD065B"/>
    <w:rPr>
      <w:rFonts w:ascii="Arial Narrow" w:hAnsi="Arial Narrow" w:cs="Arial Narrow"/>
      <w:sz w:val="22"/>
      <w:szCs w:val="22"/>
    </w:rPr>
  </w:style>
  <w:style w:type="paragraph" w:customStyle="1" w:styleId="CharCharChar2CharCharCharCharCharCharCharCharCharCharCharCharCharCharCharCharCharCharCharCharCharCharCharCharCharCharCharCharCharCharCharCharCharCharCharChar1CharCharCharChar">
    <w:name w:val="Char Char Char2 Char Char Char Char Char Char Char Char Char Char Char Char Char Char Char Char Char Char Char Char Char Char Char Char Char Char Char Char Char Char Char Char Char Char Char Char1 Char Char Char Char"/>
    <w:basedOn w:val="Normlny"/>
    <w:uiPriority w:val="99"/>
    <w:rsid w:val="00BD065B"/>
    <w:pPr>
      <w:spacing w:after="160" w:line="240" w:lineRule="exact"/>
    </w:pPr>
    <w:rPr>
      <w:rFonts w:ascii="Tahoma" w:hAnsi="Tahoma" w:cs="Tahoma"/>
      <w:sz w:val="20"/>
      <w:szCs w:val="20"/>
      <w:lang w:val="en-US" w:eastAsia="en-US"/>
    </w:rPr>
  </w:style>
  <w:style w:type="paragraph" w:styleId="Odsekzoznamu">
    <w:name w:val="List Paragraph"/>
    <w:basedOn w:val="Normlny"/>
    <w:uiPriority w:val="34"/>
    <w:qFormat/>
    <w:rsid w:val="001859B0"/>
    <w:pPr>
      <w:ind w:left="708"/>
    </w:pPr>
  </w:style>
  <w:style w:type="paragraph" w:styleId="Obsah2">
    <w:name w:val="toc 2"/>
    <w:basedOn w:val="Normlny"/>
    <w:next w:val="Normlny"/>
    <w:autoRedefine/>
    <w:uiPriority w:val="39"/>
    <w:unhideWhenUsed/>
    <w:rsid w:val="004869EF"/>
    <w:pPr>
      <w:tabs>
        <w:tab w:val="right" w:leader="dot" w:pos="9062"/>
      </w:tabs>
    </w:pPr>
  </w:style>
  <w:style w:type="paragraph" w:styleId="Obsah3">
    <w:name w:val="toc 3"/>
    <w:basedOn w:val="Normlny"/>
    <w:next w:val="Normlny"/>
    <w:autoRedefine/>
    <w:uiPriority w:val="39"/>
    <w:unhideWhenUsed/>
    <w:rsid w:val="001163C6"/>
    <w:pPr>
      <w:ind w:left="480"/>
    </w:pPr>
  </w:style>
  <w:style w:type="paragraph" w:styleId="Obsah1">
    <w:name w:val="toc 1"/>
    <w:basedOn w:val="Normlny"/>
    <w:next w:val="Normlny"/>
    <w:autoRedefine/>
    <w:uiPriority w:val="39"/>
    <w:unhideWhenUsed/>
    <w:rsid w:val="005350B3"/>
    <w:pPr>
      <w:tabs>
        <w:tab w:val="left" w:pos="660"/>
        <w:tab w:val="right" w:leader="dot" w:pos="9062"/>
      </w:tabs>
      <w:spacing w:before="120" w:after="120"/>
    </w:pPr>
  </w:style>
  <w:style w:type="character" w:styleId="Hypertextovprepojenie">
    <w:name w:val="Hyperlink"/>
    <w:uiPriority w:val="99"/>
    <w:unhideWhenUsed/>
    <w:rsid w:val="001163C6"/>
    <w:rPr>
      <w:color w:val="0000FF"/>
      <w:u w:val="single"/>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f"/>
    <w:basedOn w:val="Normlny"/>
    <w:link w:val="TextpoznmkypodiarouChar"/>
    <w:uiPriority w:val="99"/>
    <w:unhideWhenUsed/>
    <w:qFormat/>
    <w:rsid w:val="00F449C1"/>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f Char"/>
    <w:basedOn w:val="Predvolenpsmoodseku"/>
    <w:link w:val="Textpoznmkypodiarou"/>
    <w:uiPriority w:val="99"/>
    <w:rsid w:val="00F449C1"/>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uiPriority w:val="99"/>
    <w:unhideWhenUsed/>
    <w:rsid w:val="00F449C1"/>
    <w:rPr>
      <w:vertAlign w:val="superscript"/>
    </w:rPr>
  </w:style>
  <w:style w:type="character" w:customStyle="1" w:styleId="Nadpis3Char">
    <w:name w:val="Nadpis 3 Char"/>
    <w:link w:val="Nadpis3"/>
    <w:rsid w:val="009E3B80"/>
    <w:rPr>
      <w:rFonts w:ascii="Arial" w:hAnsi="Arial" w:cs="Arial"/>
      <w:b/>
      <w:bCs/>
      <w:sz w:val="26"/>
      <w:szCs w:val="26"/>
    </w:rPr>
  </w:style>
  <w:style w:type="paragraph" w:customStyle="1" w:styleId="Char">
    <w:name w:val="Char"/>
    <w:basedOn w:val="Normlny"/>
    <w:uiPriority w:val="99"/>
    <w:rsid w:val="00BB581F"/>
    <w:pPr>
      <w:spacing w:after="160" w:line="240" w:lineRule="exact"/>
    </w:pPr>
    <w:rPr>
      <w:rFonts w:ascii="Tahoma" w:hAnsi="Tahoma" w:cs="Tahoma"/>
      <w:sz w:val="20"/>
      <w:szCs w:val="20"/>
      <w:lang w:val="en-US" w:eastAsia="en-US"/>
    </w:rPr>
  </w:style>
  <w:style w:type="paragraph" w:styleId="Pta">
    <w:name w:val="footer"/>
    <w:basedOn w:val="Normlny"/>
    <w:link w:val="PtaChar"/>
    <w:uiPriority w:val="99"/>
    <w:unhideWhenUsed/>
    <w:rsid w:val="006F4BCD"/>
    <w:pPr>
      <w:tabs>
        <w:tab w:val="center" w:pos="4536"/>
        <w:tab w:val="right" w:pos="9072"/>
      </w:tabs>
    </w:pPr>
  </w:style>
  <w:style w:type="character" w:customStyle="1" w:styleId="PtaChar">
    <w:name w:val="Päta Char"/>
    <w:link w:val="Pta"/>
    <w:uiPriority w:val="99"/>
    <w:rsid w:val="006F4BCD"/>
    <w:rPr>
      <w:sz w:val="24"/>
      <w:szCs w:val="24"/>
    </w:rPr>
  </w:style>
  <w:style w:type="paragraph" w:styleId="Revzia">
    <w:name w:val="Revision"/>
    <w:hidden/>
    <w:uiPriority w:val="99"/>
    <w:semiHidden/>
    <w:rsid w:val="00C64C2F"/>
    <w:rPr>
      <w:sz w:val="24"/>
      <w:szCs w:val="24"/>
    </w:rPr>
  </w:style>
  <w:style w:type="character" w:customStyle="1" w:styleId="Nadpis2Char">
    <w:name w:val="Nadpis 2 Char"/>
    <w:aliases w:val="Char24 Char Char Char1,Char24 Char Char Char Char"/>
    <w:link w:val="Nadpis2"/>
    <w:uiPriority w:val="99"/>
    <w:locked/>
    <w:rsid w:val="0024610E"/>
    <w:rPr>
      <w:rFonts w:ascii="Arial" w:hAnsi="Arial" w:cs="Arial"/>
      <w:b/>
      <w:bCs/>
      <w:i/>
      <w:iCs/>
      <w:sz w:val="28"/>
      <w:szCs w:val="28"/>
    </w:rPr>
  </w:style>
  <w:style w:type="paragraph" w:styleId="Normlnywebov">
    <w:name w:val="Normal (Web)"/>
    <w:basedOn w:val="Normlny"/>
    <w:uiPriority w:val="99"/>
    <w:semiHidden/>
    <w:unhideWhenUsed/>
    <w:rsid w:val="007B42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48">
      <w:bodyDiv w:val="1"/>
      <w:marLeft w:val="0"/>
      <w:marRight w:val="0"/>
      <w:marTop w:val="0"/>
      <w:marBottom w:val="0"/>
      <w:divBdr>
        <w:top w:val="none" w:sz="0" w:space="0" w:color="auto"/>
        <w:left w:val="none" w:sz="0" w:space="0" w:color="auto"/>
        <w:bottom w:val="none" w:sz="0" w:space="0" w:color="auto"/>
        <w:right w:val="none" w:sz="0" w:space="0" w:color="auto"/>
      </w:divBdr>
    </w:div>
    <w:div w:id="8265311">
      <w:bodyDiv w:val="1"/>
      <w:marLeft w:val="0"/>
      <w:marRight w:val="0"/>
      <w:marTop w:val="0"/>
      <w:marBottom w:val="0"/>
      <w:divBdr>
        <w:top w:val="none" w:sz="0" w:space="0" w:color="auto"/>
        <w:left w:val="none" w:sz="0" w:space="0" w:color="auto"/>
        <w:bottom w:val="none" w:sz="0" w:space="0" w:color="auto"/>
        <w:right w:val="none" w:sz="0" w:space="0" w:color="auto"/>
      </w:divBdr>
    </w:div>
    <w:div w:id="216360097">
      <w:bodyDiv w:val="1"/>
      <w:marLeft w:val="0"/>
      <w:marRight w:val="0"/>
      <w:marTop w:val="0"/>
      <w:marBottom w:val="0"/>
      <w:divBdr>
        <w:top w:val="none" w:sz="0" w:space="0" w:color="auto"/>
        <w:left w:val="none" w:sz="0" w:space="0" w:color="auto"/>
        <w:bottom w:val="none" w:sz="0" w:space="0" w:color="auto"/>
        <w:right w:val="none" w:sz="0" w:space="0" w:color="auto"/>
      </w:divBdr>
    </w:div>
    <w:div w:id="335423912">
      <w:bodyDiv w:val="1"/>
      <w:marLeft w:val="0"/>
      <w:marRight w:val="0"/>
      <w:marTop w:val="0"/>
      <w:marBottom w:val="0"/>
      <w:divBdr>
        <w:top w:val="none" w:sz="0" w:space="0" w:color="auto"/>
        <w:left w:val="none" w:sz="0" w:space="0" w:color="auto"/>
        <w:bottom w:val="none" w:sz="0" w:space="0" w:color="auto"/>
        <w:right w:val="none" w:sz="0" w:space="0" w:color="auto"/>
      </w:divBdr>
    </w:div>
    <w:div w:id="426737518">
      <w:bodyDiv w:val="1"/>
      <w:marLeft w:val="0"/>
      <w:marRight w:val="0"/>
      <w:marTop w:val="0"/>
      <w:marBottom w:val="0"/>
      <w:divBdr>
        <w:top w:val="none" w:sz="0" w:space="0" w:color="auto"/>
        <w:left w:val="none" w:sz="0" w:space="0" w:color="auto"/>
        <w:bottom w:val="none" w:sz="0" w:space="0" w:color="auto"/>
        <w:right w:val="none" w:sz="0" w:space="0" w:color="auto"/>
      </w:divBdr>
    </w:div>
    <w:div w:id="488598320">
      <w:bodyDiv w:val="1"/>
      <w:marLeft w:val="0"/>
      <w:marRight w:val="0"/>
      <w:marTop w:val="0"/>
      <w:marBottom w:val="0"/>
      <w:divBdr>
        <w:top w:val="none" w:sz="0" w:space="0" w:color="auto"/>
        <w:left w:val="none" w:sz="0" w:space="0" w:color="auto"/>
        <w:bottom w:val="none" w:sz="0" w:space="0" w:color="auto"/>
        <w:right w:val="none" w:sz="0" w:space="0" w:color="auto"/>
      </w:divBdr>
    </w:div>
    <w:div w:id="719282439">
      <w:bodyDiv w:val="1"/>
      <w:marLeft w:val="0"/>
      <w:marRight w:val="0"/>
      <w:marTop w:val="0"/>
      <w:marBottom w:val="0"/>
      <w:divBdr>
        <w:top w:val="none" w:sz="0" w:space="0" w:color="auto"/>
        <w:left w:val="none" w:sz="0" w:space="0" w:color="auto"/>
        <w:bottom w:val="none" w:sz="0" w:space="0" w:color="auto"/>
        <w:right w:val="none" w:sz="0" w:space="0" w:color="auto"/>
      </w:divBdr>
    </w:div>
    <w:div w:id="808398783">
      <w:bodyDiv w:val="1"/>
      <w:marLeft w:val="0"/>
      <w:marRight w:val="0"/>
      <w:marTop w:val="0"/>
      <w:marBottom w:val="0"/>
      <w:divBdr>
        <w:top w:val="none" w:sz="0" w:space="0" w:color="auto"/>
        <w:left w:val="none" w:sz="0" w:space="0" w:color="auto"/>
        <w:bottom w:val="none" w:sz="0" w:space="0" w:color="auto"/>
        <w:right w:val="none" w:sz="0" w:space="0" w:color="auto"/>
      </w:divBdr>
    </w:div>
    <w:div w:id="835340429">
      <w:bodyDiv w:val="1"/>
      <w:marLeft w:val="0"/>
      <w:marRight w:val="0"/>
      <w:marTop w:val="0"/>
      <w:marBottom w:val="0"/>
      <w:divBdr>
        <w:top w:val="none" w:sz="0" w:space="0" w:color="auto"/>
        <w:left w:val="none" w:sz="0" w:space="0" w:color="auto"/>
        <w:bottom w:val="none" w:sz="0" w:space="0" w:color="auto"/>
        <w:right w:val="none" w:sz="0" w:space="0" w:color="auto"/>
      </w:divBdr>
    </w:div>
    <w:div w:id="1107777181">
      <w:bodyDiv w:val="1"/>
      <w:marLeft w:val="0"/>
      <w:marRight w:val="0"/>
      <w:marTop w:val="0"/>
      <w:marBottom w:val="0"/>
      <w:divBdr>
        <w:top w:val="none" w:sz="0" w:space="0" w:color="auto"/>
        <w:left w:val="none" w:sz="0" w:space="0" w:color="auto"/>
        <w:bottom w:val="none" w:sz="0" w:space="0" w:color="auto"/>
        <w:right w:val="none" w:sz="0" w:space="0" w:color="auto"/>
      </w:divBdr>
    </w:div>
    <w:div w:id="1199706375">
      <w:bodyDiv w:val="1"/>
      <w:marLeft w:val="0"/>
      <w:marRight w:val="0"/>
      <w:marTop w:val="0"/>
      <w:marBottom w:val="0"/>
      <w:divBdr>
        <w:top w:val="none" w:sz="0" w:space="0" w:color="auto"/>
        <w:left w:val="none" w:sz="0" w:space="0" w:color="auto"/>
        <w:bottom w:val="none" w:sz="0" w:space="0" w:color="auto"/>
        <w:right w:val="none" w:sz="0" w:space="0" w:color="auto"/>
      </w:divBdr>
    </w:div>
    <w:div w:id="1341152818">
      <w:bodyDiv w:val="1"/>
      <w:marLeft w:val="0"/>
      <w:marRight w:val="0"/>
      <w:marTop w:val="0"/>
      <w:marBottom w:val="0"/>
      <w:divBdr>
        <w:top w:val="none" w:sz="0" w:space="0" w:color="auto"/>
        <w:left w:val="none" w:sz="0" w:space="0" w:color="auto"/>
        <w:bottom w:val="none" w:sz="0" w:space="0" w:color="auto"/>
        <w:right w:val="none" w:sz="0" w:space="0" w:color="auto"/>
      </w:divBdr>
    </w:div>
    <w:div w:id="1389449960">
      <w:bodyDiv w:val="1"/>
      <w:marLeft w:val="0"/>
      <w:marRight w:val="0"/>
      <w:marTop w:val="0"/>
      <w:marBottom w:val="0"/>
      <w:divBdr>
        <w:top w:val="none" w:sz="0" w:space="0" w:color="auto"/>
        <w:left w:val="none" w:sz="0" w:space="0" w:color="auto"/>
        <w:bottom w:val="none" w:sz="0" w:space="0" w:color="auto"/>
        <w:right w:val="none" w:sz="0" w:space="0" w:color="auto"/>
      </w:divBdr>
    </w:div>
    <w:div w:id="1393313998">
      <w:bodyDiv w:val="1"/>
      <w:marLeft w:val="0"/>
      <w:marRight w:val="0"/>
      <w:marTop w:val="0"/>
      <w:marBottom w:val="0"/>
      <w:divBdr>
        <w:top w:val="none" w:sz="0" w:space="0" w:color="auto"/>
        <w:left w:val="none" w:sz="0" w:space="0" w:color="auto"/>
        <w:bottom w:val="none" w:sz="0" w:space="0" w:color="auto"/>
        <w:right w:val="none" w:sz="0" w:space="0" w:color="auto"/>
      </w:divBdr>
    </w:div>
    <w:div w:id="1536039516">
      <w:bodyDiv w:val="1"/>
      <w:marLeft w:val="0"/>
      <w:marRight w:val="0"/>
      <w:marTop w:val="0"/>
      <w:marBottom w:val="0"/>
      <w:divBdr>
        <w:top w:val="none" w:sz="0" w:space="0" w:color="auto"/>
        <w:left w:val="none" w:sz="0" w:space="0" w:color="auto"/>
        <w:bottom w:val="none" w:sz="0" w:space="0" w:color="auto"/>
        <w:right w:val="none" w:sz="0" w:space="0" w:color="auto"/>
      </w:divBdr>
    </w:div>
    <w:div w:id="1556963804">
      <w:bodyDiv w:val="1"/>
      <w:marLeft w:val="0"/>
      <w:marRight w:val="0"/>
      <w:marTop w:val="0"/>
      <w:marBottom w:val="0"/>
      <w:divBdr>
        <w:top w:val="none" w:sz="0" w:space="0" w:color="auto"/>
        <w:left w:val="none" w:sz="0" w:space="0" w:color="auto"/>
        <w:bottom w:val="none" w:sz="0" w:space="0" w:color="auto"/>
        <w:right w:val="none" w:sz="0" w:space="0" w:color="auto"/>
      </w:divBdr>
    </w:div>
    <w:div w:id="1984580144">
      <w:bodyDiv w:val="1"/>
      <w:marLeft w:val="0"/>
      <w:marRight w:val="0"/>
      <w:marTop w:val="0"/>
      <w:marBottom w:val="0"/>
      <w:divBdr>
        <w:top w:val="none" w:sz="0" w:space="0" w:color="auto"/>
        <w:left w:val="none" w:sz="0" w:space="0" w:color="auto"/>
        <w:bottom w:val="none" w:sz="0" w:space="0" w:color="auto"/>
        <w:right w:val="none" w:sz="0" w:space="0" w:color="auto"/>
      </w:divBdr>
    </w:div>
    <w:div w:id="2067757149">
      <w:bodyDiv w:val="1"/>
      <w:marLeft w:val="0"/>
      <w:marRight w:val="0"/>
      <w:marTop w:val="0"/>
      <w:marBottom w:val="0"/>
      <w:divBdr>
        <w:top w:val="none" w:sz="0" w:space="0" w:color="auto"/>
        <w:left w:val="none" w:sz="0" w:space="0" w:color="auto"/>
        <w:bottom w:val="none" w:sz="0" w:space="0" w:color="auto"/>
        <w:right w:val="none" w:sz="0" w:space="0" w:color="auto"/>
      </w:divBdr>
    </w:div>
    <w:div w:id="21313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f.mfsr.sk\DfsRoot\ADRESARE\IFP_NEW\3_MAKRO\3_3_Databaza\NEWGenera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mf.mfsr.sk\DfsRoot\ADRESARE\IFP_NEW\3_MAKRO\3_6_ARDAL_agenda\1_CASH_REZERVA\Monthly_forecast\Prognoza%20koniec%20roka%202018_alco_26_9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157389809032493E-2"/>
          <c:y val="2.1634986709463865E-2"/>
          <c:w val="0.77418734727124627"/>
          <c:h val="0.85312870922981765"/>
        </c:manualLayout>
      </c:layout>
      <c:lineChart>
        <c:grouping val="standard"/>
        <c:varyColors val="0"/>
        <c:ser>
          <c:idx val="0"/>
          <c:order val="0"/>
          <c:tx>
            <c:v>SVK</c:v>
          </c:tx>
          <c:spPr>
            <a:ln w="19050" cap="rnd">
              <a:solidFill>
                <a:sysClr val="windowText" lastClr="000000"/>
              </a:solidFill>
              <a:round/>
            </a:ln>
            <a:effectLst/>
          </c:spPr>
          <c:marker>
            <c:symbol val="none"/>
          </c:marker>
          <c:cat>
            <c:numRef>
              <c:f>general!$NO$2:$PF$2</c:f>
              <c:numCache>
                <c:formatCode>mmm\-yy</c:formatCode>
                <c:ptCount val="44"/>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numCache>
            </c:numRef>
          </c:cat>
          <c:val>
            <c:numRef>
              <c:f>general!$NO$101:$PF$101</c:f>
              <c:numCache>
                <c:formatCode>0.00</c:formatCode>
                <c:ptCount val="44"/>
                <c:pt idx="0">
                  <c:v>1.073</c:v>
                </c:pt>
                <c:pt idx="1">
                  <c:v>0.84449999999999981</c:v>
                </c:pt>
                <c:pt idx="2">
                  <c:v>0.59363636363636363</c:v>
                </c:pt>
                <c:pt idx="3">
                  <c:v>0.46600000000000003</c:v>
                </c:pt>
                <c:pt idx="4">
                  <c:v>0.85473684210526313</c:v>
                </c:pt>
                <c:pt idx="5">
                  <c:v>1.3327272727272723</c:v>
                </c:pt>
                <c:pt idx="6">
                  <c:v>1.2404347826086957</c:v>
                </c:pt>
                <c:pt idx="7">
                  <c:v>0.98333333333333328</c:v>
                </c:pt>
                <c:pt idx="8">
                  <c:v>0.97450000000000014</c:v>
                </c:pt>
                <c:pt idx="9">
                  <c:v>0.87545454545454537</c:v>
                </c:pt>
                <c:pt idx="10">
                  <c:v>0.8500000000000002</c:v>
                </c:pt>
                <c:pt idx="11">
                  <c:v>0.83952380952380967</c:v>
                </c:pt>
                <c:pt idx="12">
                  <c:v>0.87761904761904752</c:v>
                </c:pt>
                <c:pt idx="13">
                  <c:v>0.66333333333333311</c:v>
                </c:pt>
                <c:pt idx="14">
                  <c:v>0.61043478260869544</c:v>
                </c:pt>
                <c:pt idx="15">
                  <c:v>0.6295238095238096</c:v>
                </c:pt>
                <c:pt idx="16">
                  <c:v>0.7013636363636363</c:v>
                </c:pt>
                <c:pt idx="17">
                  <c:v>0.60499999999999998</c:v>
                </c:pt>
                <c:pt idx="18">
                  <c:v>0.39761904761904759</c:v>
                </c:pt>
                <c:pt idx="19">
                  <c:v>0.27608695652173909</c:v>
                </c:pt>
                <c:pt idx="20">
                  <c:v>0.28863636363636364</c:v>
                </c:pt>
                <c:pt idx="21">
                  <c:v>0.39476190476190481</c:v>
                </c:pt>
                <c:pt idx="22">
                  <c:v>0.6863636363636364</c:v>
                </c:pt>
                <c:pt idx="23">
                  <c:v>0.88909090909090904</c:v>
                </c:pt>
                <c:pt idx="24">
                  <c:v>0.94409090909090898</c:v>
                </c:pt>
                <c:pt idx="25">
                  <c:v>1.0085000000000002</c:v>
                </c:pt>
                <c:pt idx="26">
                  <c:v>1.09304347826087</c:v>
                </c:pt>
                <c:pt idx="27">
                  <c:v>0.97550000000000003</c:v>
                </c:pt>
                <c:pt idx="28">
                  <c:v>1.0091304347826089</c:v>
                </c:pt>
                <c:pt idx="29">
                  <c:v>0.91999999999999993</c:v>
                </c:pt>
                <c:pt idx="30">
                  <c:v>1.0690476190476192</c:v>
                </c:pt>
                <c:pt idx="31">
                  <c:v>0.9552173913043478</c:v>
                </c:pt>
                <c:pt idx="32">
                  <c:v>0.96952380952380957</c:v>
                </c:pt>
                <c:pt idx="33">
                  <c:v>0.99363636363636376</c:v>
                </c:pt>
                <c:pt idx="34">
                  <c:v>0.93272727272727274</c:v>
                </c:pt>
                <c:pt idx="35">
                  <c:v>0.89380952380952383</c:v>
                </c:pt>
                <c:pt idx="36">
                  <c:v>1.0147826086956522</c:v>
                </c:pt>
                <c:pt idx="37">
                  <c:v>1.1739999999999999</c:v>
                </c:pt>
                <c:pt idx="38">
                  <c:v>1.0781818181818181</c:v>
                </c:pt>
                <c:pt idx="39">
                  <c:v>0.99904761904761863</c:v>
                </c:pt>
                <c:pt idx="40">
                  <c:v>1.0026086956521738</c:v>
                </c:pt>
                <c:pt idx="41">
                  <c:v>0.95380952380952366</c:v>
                </c:pt>
                <c:pt idx="42">
                  <c:v>0.86850000000000005</c:v>
                </c:pt>
                <c:pt idx="43">
                  <c:v>1.0211347743557093</c:v>
                </c:pt>
              </c:numCache>
            </c:numRef>
          </c:val>
          <c:smooth val="0"/>
          <c:extLst xmlns:c16r2="http://schemas.microsoft.com/office/drawing/2015/06/chart">
            <c:ext xmlns:c16="http://schemas.microsoft.com/office/drawing/2014/chart" uri="{C3380CC4-5D6E-409C-BE32-E72D297353CC}">
              <c16:uniqueId val="{00000000-31F9-480E-8F47-DAEC7A1D8FA5}"/>
            </c:ext>
          </c:extLst>
        </c:ser>
        <c:ser>
          <c:idx val="1"/>
          <c:order val="1"/>
          <c:tx>
            <c:v>DE</c:v>
          </c:tx>
          <c:spPr>
            <a:ln w="19050" cap="rnd">
              <a:solidFill>
                <a:sysClr val="window" lastClr="FFFFFF">
                  <a:lumMod val="50000"/>
                </a:sysClr>
              </a:solidFill>
              <a:round/>
            </a:ln>
            <a:effectLst/>
          </c:spPr>
          <c:marker>
            <c:symbol val="none"/>
          </c:marker>
          <c:cat>
            <c:numRef>
              <c:f>general!$NO$2:$PF$2</c:f>
              <c:numCache>
                <c:formatCode>mmm\-yy</c:formatCode>
                <c:ptCount val="44"/>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numCache>
            </c:numRef>
          </c:cat>
          <c:val>
            <c:numRef>
              <c:f>general!$NO$102:$PF$102</c:f>
              <c:numCache>
                <c:formatCode>0.00</c:formatCode>
                <c:ptCount val="44"/>
                <c:pt idx="0">
                  <c:v>0.45857142857142852</c:v>
                </c:pt>
                <c:pt idx="1">
                  <c:v>0.35199999999999998</c:v>
                </c:pt>
                <c:pt idx="2">
                  <c:v>0.26090909090909092</c:v>
                </c:pt>
                <c:pt idx="3">
                  <c:v>0.16250000000000001</c:v>
                </c:pt>
                <c:pt idx="4">
                  <c:v>0.61842105263157898</c:v>
                </c:pt>
                <c:pt idx="5">
                  <c:v>0.88272727272727292</c:v>
                </c:pt>
                <c:pt idx="6">
                  <c:v>0.80391304347826098</c:v>
                </c:pt>
                <c:pt idx="7">
                  <c:v>0.65190476190476199</c:v>
                </c:pt>
                <c:pt idx="8">
                  <c:v>0.68136363636363628</c:v>
                </c:pt>
                <c:pt idx="9">
                  <c:v>0.5509090909090909</c:v>
                </c:pt>
                <c:pt idx="10">
                  <c:v>0.56666666666666665</c:v>
                </c:pt>
                <c:pt idx="11">
                  <c:v>0.61099999999999999</c:v>
                </c:pt>
                <c:pt idx="12">
                  <c:v>0.51950000000000007</c:v>
                </c:pt>
                <c:pt idx="13">
                  <c:v>0.21666666666666665</c:v>
                </c:pt>
                <c:pt idx="14">
                  <c:v>0.19047619047619047</c:v>
                </c:pt>
                <c:pt idx="15">
                  <c:v>0.16428571428571428</c:v>
                </c:pt>
                <c:pt idx="16">
                  <c:v>0.16809523809523805</c:v>
                </c:pt>
                <c:pt idx="17">
                  <c:v>-6.363636363636363E-3</c:v>
                </c:pt>
                <c:pt idx="18">
                  <c:v>-0.14523809523809522</c:v>
                </c:pt>
                <c:pt idx="19">
                  <c:v>-0.14956521739130438</c:v>
                </c:pt>
                <c:pt idx="20">
                  <c:v>-0.10636363636363635</c:v>
                </c:pt>
                <c:pt idx="21">
                  <c:v>-6.5000000000000058E-3</c:v>
                </c:pt>
                <c:pt idx="22">
                  <c:v>0.21272727272727282</c:v>
                </c:pt>
                <c:pt idx="23">
                  <c:v>0.32095238095238099</c:v>
                </c:pt>
                <c:pt idx="24">
                  <c:v>0.33818181818181814</c:v>
                </c:pt>
                <c:pt idx="25">
                  <c:v>0.3105</c:v>
                </c:pt>
                <c:pt idx="26">
                  <c:v>0.37434782608695649</c:v>
                </c:pt>
                <c:pt idx="27">
                  <c:v>0.2616666666666666</c:v>
                </c:pt>
                <c:pt idx="28">
                  <c:v>0.4</c:v>
                </c:pt>
                <c:pt idx="29">
                  <c:v>0.32761904761904764</c:v>
                </c:pt>
                <c:pt idx="30">
                  <c:v>0.54952380952380964</c:v>
                </c:pt>
                <c:pt idx="31">
                  <c:v>0.41173913043478255</c:v>
                </c:pt>
                <c:pt idx="32">
                  <c:v>0.40952380952380951</c:v>
                </c:pt>
                <c:pt idx="33">
                  <c:v>0.45150000000000001</c:v>
                </c:pt>
                <c:pt idx="34">
                  <c:v>0.40136363636363642</c:v>
                </c:pt>
                <c:pt idx="35">
                  <c:v>0.39105263157894737</c:v>
                </c:pt>
                <c:pt idx="36">
                  <c:v>0.56954545454545447</c:v>
                </c:pt>
                <c:pt idx="37">
                  <c:v>0.74699999999999978</c:v>
                </c:pt>
                <c:pt idx="38">
                  <c:v>0.61714285714285722</c:v>
                </c:pt>
                <c:pt idx="39">
                  <c:v>0.57250000000000001</c:v>
                </c:pt>
                <c:pt idx="40">
                  <c:v>0.55428571428571427</c:v>
                </c:pt>
                <c:pt idx="41">
                  <c:v>0.43904761904761919</c:v>
                </c:pt>
                <c:pt idx="42">
                  <c:v>0.35636363636363638</c:v>
                </c:pt>
                <c:pt idx="43">
                  <c:v>0.11333333333333334</c:v>
                </c:pt>
              </c:numCache>
            </c:numRef>
          </c:val>
          <c:smooth val="0"/>
          <c:extLst xmlns:c16r2="http://schemas.microsoft.com/office/drawing/2015/06/chart">
            <c:ext xmlns:c16="http://schemas.microsoft.com/office/drawing/2014/chart" uri="{C3380CC4-5D6E-409C-BE32-E72D297353CC}">
              <c16:uniqueId val="{00000001-31F9-480E-8F47-DAEC7A1D8FA5}"/>
            </c:ext>
          </c:extLst>
        </c:ser>
        <c:dLbls>
          <c:showLegendKey val="0"/>
          <c:showVal val="0"/>
          <c:showCatName val="0"/>
          <c:showSerName val="0"/>
          <c:showPercent val="0"/>
          <c:showBubbleSize val="0"/>
        </c:dLbls>
        <c:smooth val="0"/>
        <c:axId val="482965280"/>
        <c:axId val="482965672"/>
      </c:lineChart>
      <c:dateAx>
        <c:axId val="482965280"/>
        <c:scaling>
          <c:orientation val="minMax"/>
          <c:max val="43344"/>
        </c:scaling>
        <c:delete val="0"/>
        <c:axPos val="b"/>
        <c:numFmt formatCode="mmm\-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482965672"/>
        <c:crosses val="autoZero"/>
        <c:auto val="1"/>
        <c:lblOffset val="100"/>
        <c:baseTimeUnit val="months"/>
      </c:dateAx>
      <c:valAx>
        <c:axId val="48296567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482965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Narrow" panose="020B0606020202030204" pitchFamily="34" charset="0"/>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183475982629486E-2"/>
          <c:y val="3.4152726617327336E-2"/>
          <c:w val="0.85677440714089026"/>
          <c:h val="0.84370071627225462"/>
        </c:manualLayout>
      </c:layout>
      <c:lineChart>
        <c:grouping val="standard"/>
        <c:varyColors val="0"/>
        <c:ser>
          <c:idx val="4"/>
          <c:order val="4"/>
          <c:tx>
            <c:strRef>
              <c:f>krivky!#REF!</c:f>
              <c:strCache>
                <c:ptCount val="1"/>
                <c:pt idx="0">
                  <c:v>#REF!</c:v>
                </c:pt>
              </c:strCache>
              <c:extLst xmlns:c16r2="http://schemas.microsoft.com/office/drawing/2015/06/chart" xmlns:c15="http://schemas.microsoft.com/office/drawing/2012/chart"/>
            </c:strRef>
          </c:tx>
          <c:spPr>
            <a:ln w="28575" cap="rnd">
              <a:solidFill>
                <a:schemeClr val="accent5"/>
              </a:solidFill>
              <a:round/>
            </a:ln>
            <a:effectLst/>
          </c:spPr>
          <c:marker>
            <c:symbol val="none"/>
          </c:marker>
          <c:val>
            <c:numRef>
              <c:f>krivky!#REF!</c:f>
              <c:numCache>
                <c:formatCode>General</c:formatCode>
                <c:ptCount val="1"/>
                <c:pt idx="0">
                  <c:v>1</c:v>
                </c:pt>
              </c:numCache>
              <c:extLst xmlns:c16r2="http://schemas.microsoft.com/office/drawing/2015/06/chart" xmlns:c15="http://schemas.microsoft.com/office/drawing/2012/chart"/>
            </c:numRef>
          </c:val>
          <c:smooth val="0"/>
          <c:extLst xmlns:c16r2="http://schemas.microsoft.com/office/drawing/2015/06/chart">
            <c:ext xmlns:c16="http://schemas.microsoft.com/office/drawing/2014/chart" uri="{C3380CC4-5D6E-409C-BE32-E72D297353CC}">
              <c16:uniqueId val="{00000000-E428-4EF4-BD67-1E5EA05F7D31}"/>
            </c:ext>
          </c:extLst>
        </c:ser>
        <c:ser>
          <c:idx val="6"/>
          <c:order val="6"/>
          <c:tx>
            <c:strRef>
              <c:f>krivky!$A$30</c:f>
              <c:strCache>
                <c:ptCount val="1"/>
                <c:pt idx="0">
                  <c:v>SVK 24.11.2017</c:v>
                </c:pt>
              </c:strCache>
            </c:strRef>
          </c:tx>
          <c:spPr>
            <a:ln w="15875" cap="rnd">
              <a:solidFill>
                <a:sysClr val="windowText" lastClr="000000"/>
              </a:solidFill>
              <a:prstDash val="dash"/>
              <a:round/>
            </a:ln>
            <a:effectLst/>
          </c:spPr>
          <c:marker>
            <c:symbol val="none"/>
          </c:marker>
          <c:val>
            <c:numRef>
              <c:f>krivky!$B$30:$P$30</c:f>
              <c:numCache>
                <c:formatCode>General</c:formatCode>
                <c:ptCount val="15"/>
                <c:pt idx="0">
                  <c:v>-0.24</c:v>
                </c:pt>
                <c:pt idx="1">
                  <c:v>-0.54</c:v>
                </c:pt>
                <c:pt idx="2">
                  <c:v>-0.63</c:v>
                </c:pt>
                <c:pt idx="3">
                  <c:v>-0.5</c:v>
                </c:pt>
                <c:pt idx="4">
                  <c:v>-0.24</c:v>
                </c:pt>
                <c:pt idx="5">
                  <c:v>0.04</c:v>
                </c:pt>
                <c:pt idx="6">
                  <c:v>0.31</c:v>
                </c:pt>
                <c:pt idx="7">
                  <c:v>0.55000000000000004</c:v>
                </c:pt>
                <c:pt idx="8">
                  <c:v>0.75</c:v>
                </c:pt>
                <c:pt idx="9">
                  <c:v>0.93</c:v>
                </c:pt>
                <c:pt idx="10">
                  <c:v>1.07</c:v>
                </c:pt>
                <c:pt idx="11">
                  <c:v>1.2</c:v>
                </c:pt>
                <c:pt idx="12">
                  <c:v>1.31</c:v>
                </c:pt>
                <c:pt idx="13">
                  <c:v>1.4</c:v>
                </c:pt>
                <c:pt idx="14">
                  <c:v>1.48</c:v>
                </c:pt>
              </c:numCache>
            </c:numRef>
          </c:val>
          <c:smooth val="0"/>
          <c:extLst xmlns:c16r2="http://schemas.microsoft.com/office/drawing/2015/06/chart">
            <c:ext xmlns:c16="http://schemas.microsoft.com/office/drawing/2014/chart" uri="{C3380CC4-5D6E-409C-BE32-E72D297353CC}">
              <c16:uniqueId val="{00000001-E428-4EF4-BD67-1E5EA05F7D31}"/>
            </c:ext>
          </c:extLst>
        </c:ser>
        <c:ser>
          <c:idx val="7"/>
          <c:order val="7"/>
          <c:tx>
            <c:strRef>
              <c:f>krivky!$A$37</c:f>
              <c:strCache>
                <c:ptCount val="1"/>
                <c:pt idx="0">
                  <c:v>SVK 14.9.2018</c:v>
                </c:pt>
              </c:strCache>
            </c:strRef>
          </c:tx>
          <c:spPr>
            <a:ln w="15875" cap="rnd">
              <a:solidFill>
                <a:sysClr val="windowText" lastClr="000000"/>
              </a:solidFill>
              <a:round/>
            </a:ln>
            <a:effectLst/>
          </c:spPr>
          <c:marker>
            <c:symbol val="none"/>
          </c:marker>
          <c:val>
            <c:numRef>
              <c:f>krivky!$B$37:$P$37</c:f>
              <c:numCache>
                <c:formatCode>General</c:formatCode>
                <c:ptCount val="15"/>
                <c:pt idx="0">
                  <c:v>-0.57999999999999996</c:v>
                </c:pt>
                <c:pt idx="1">
                  <c:v>-0.5</c:v>
                </c:pt>
                <c:pt idx="2">
                  <c:v>-0.36</c:v>
                </c:pt>
                <c:pt idx="3">
                  <c:v>-0.18</c:v>
                </c:pt>
                <c:pt idx="4">
                  <c:v>0.01</c:v>
                </c:pt>
                <c:pt idx="5">
                  <c:v>0.2</c:v>
                </c:pt>
                <c:pt idx="6">
                  <c:v>0.39</c:v>
                </c:pt>
                <c:pt idx="7">
                  <c:v>0.56000000000000005</c:v>
                </c:pt>
                <c:pt idx="8">
                  <c:v>0.72</c:v>
                </c:pt>
                <c:pt idx="9">
                  <c:v>0.86</c:v>
                </c:pt>
                <c:pt idx="10">
                  <c:v>0.99</c:v>
                </c:pt>
                <c:pt idx="11">
                  <c:v>1.1100000000000001</c:v>
                </c:pt>
                <c:pt idx="12">
                  <c:v>1.21</c:v>
                </c:pt>
                <c:pt idx="13">
                  <c:v>1.31</c:v>
                </c:pt>
                <c:pt idx="14">
                  <c:v>1.39</c:v>
                </c:pt>
              </c:numCache>
            </c:numRef>
          </c:val>
          <c:smooth val="0"/>
          <c:extLst xmlns:c16r2="http://schemas.microsoft.com/office/drawing/2015/06/chart">
            <c:ext xmlns:c16="http://schemas.microsoft.com/office/drawing/2014/chart" uri="{C3380CC4-5D6E-409C-BE32-E72D297353CC}">
              <c16:uniqueId val="{00000002-E428-4EF4-BD67-1E5EA05F7D31}"/>
            </c:ext>
          </c:extLst>
        </c:ser>
        <c:ser>
          <c:idx val="9"/>
          <c:order val="9"/>
          <c:tx>
            <c:strRef>
              <c:f>krivky!$A$72</c:f>
              <c:strCache>
                <c:ptCount val="1"/>
                <c:pt idx="0">
                  <c:v>DE 24.11.2017</c:v>
                </c:pt>
              </c:strCache>
            </c:strRef>
          </c:tx>
          <c:spPr>
            <a:ln w="15875" cap="rnd">
              <a:solidFill>
                <a:srgbClr val="E7E6E6">
                  <a:lumMod val="50000"/>
                </a:srgbClr>
              </a:solidFill>
              <a:prstDash val="sysDash"/>
              <a:round/>
            </a:ln>
            <a:effectLst/>
          </c:spPr>
          <c:marker>
            <c:symbol val="none"/>
          </c:marker>
          <c:val>
            <c:numRef>
              <c:f>krivky!$B$72:$P$72</c:f>
              <c:numCache>
                <c:formatCode>General</c:formatCode>
                <c:ptCount val="15"/>
                <c:pt idx="0">
                  <c:v>-0.76</c:v>
                </c:pt>
                <c:pt idx="1">
                  <c:v>-0.72</c:v>
                </c:pt>
                <c:pt idx="2">
                  <c:v>-0.61</c:v>
                </c:pt>
                <c:pt idx="3">
                  <c:v>-0.46</c:v>
                </c:pt>
                <c:pt idx="4">
                  <c:v>-0.31</c:v>
                </c:pt>
                <c:pt idx="5">
                  <c:v>-0.15</c:v>
                </c:pt>
                <c:pt idx="6">
                  <c:v>0.01</c:v>
                </c:pt>
                <c:pt idx="7">
                  <c:v>0.16</c:v>
                </c:pt>
                <c:pt idx="8">
                  <c:v>0.28999999999999998</c:v>
                </c:pt>
                <c:pt idx="9">
                  <c:v>0.41</c:v>
                </c:pt>
                <c:pt idx="10">
                  <c:v>0.52</c:v>
                </c:pt>
                <c:pt idx="11">
                  <c:v>0.62</c:v>
                </c:pt>
                <c:pt idx="12">
                  <c:v>0.7</c:v>
                </c:pt>
                <c:pt idx="13">
                  <c:v>0.78</c:v>
                </c:pt>
                <c:pt idx="14">
                  <c:v>0.84</c:v>
                </c:pt>
              </c:numCache>
            </c:numRef>
          </c:val>
          <c:smooth val="0"/>
          <c:extLst xmlns:c16r2="http://schemas.microsoft.com/office/drawing/2015/06/chart">
            <c:ext xmlns:c16="http://schemas.microsoft.com/office/drawing/2014/chart" uri="{C3380CC4-5D6E-409C-BE32-E72D297353CC}">
              <c16:uniqueId val="{00000003-E428-4EF4-BD67-1E5EA05F7D31}"/>
            </c:ext>
          </c:extLst>
        </c:ser>
        <c:ser>
          <c:idx val="10"/>
          <c:order val="10"/>
          <c:tx>
            <c:strRef>
              <c:f>krivky!$A$79</c:f>
              <c:strCache>
                <c:ptCount val="1"/>
                <c:pt idx="0">
                  <c:v>DE 14.9.2018</c:v>
                </c:pt>
              </c:strCache>
            </c:strRef>
          </c:tx>
          <c:spPr>
            <a:ln w="15875" cap="rnd">
              <a:solidFill>
                <a:srgbClr val="E7E6E6">
                  <a:lumMod val="50000"/>
                </a:srgbClr>
              </a:solidFill>
              <a:round/>
            </a:ln>
            <a:effectLst/>
          </c:spPr>
          <c:marker>
            <c:symbol val="none"/>
          </c:marker>
          <c:val>
            <c:numRef>
              <c:f>krivky!$B$79:$P$79</c:f>
              <c:numCache>
                <c:formatCode>General</c:formatCode>
                <c:ptCount val="15"/>
                <c:pt idx="0">
                  <c:v>-0.62</c:v>
                </c:pt>
                <c:pt idx="1">
                  <c:v>-0.56000000000000005</c:v>
                </c:pt>
                <c:pt idx="2">
                  <c:v>-0.45</c:v>
                </c:pt>
                <c:pt idx="3">
                  <c:v>-0.31</c:v>
                </c:pt>
                <c:pt idx="4">
                  <c:v>-0.17</c:v>
                </c:pt>
                <c:pt idx="5">
                  <c:v>-0.03</c:v>
                </c:pt>
                <c:pt idx="6">
                  <c:v>0.11</c:v>
                </c:pt>
                <c:pt idx="7">
                  <c:v>0.23</c:v>
                </c:pt>
                <c:pt idx="8">
                  <c:v>0.33</c:v>
                </c:pt>
                <c:pt idx="9">
                  <c:v>0.43</c:v>
                </c:pt>
                <c:pt idx="10">
                  <c:v>0.52</c:v>
                </c:pt>
                <c:pt idx="11">
                  <c:v>0.59</c:v>
                </c:pt>
                <c:pt idx="12">
                  <c:v>0.66</c:v>
                </c:pt>
                <c:pt idx="13">
                  <c:v>0.72</c:v>
                </c:pt>
                <c:pt idx="14">
                  <c:v>0.78</c:v>
                </c:pt>
              </c:numCache>
            </c:numRef>
          </c:val>
          <c:smooth val="0"/>
          <c:extLst xmlns:c16r2="http://schemas.microsoft.com/office/drawing/2015/06/chart">
            <c:ext xmlns:c16="http://schemas.microsoft.com/office/drawing/2014/chart" uri="{C3380CC4-5D6E-409C-BE32-E72D297353CC}">
              <c16:uniqueId val="{00000004-E428-4EF4-BD67-1E5EA05F7D31}"/>
            </c:ext>
          </c:extLst>
        </c:ser>
        <c:dLbls>
          <c:showLegendKey val="0"/>
          <c:showVal val="0"/>
          <c:showCatName val="0"/>
          <c:showSerName val="0"/>
          <c:showPercent val="0"/>
          <c:showBubbleSize val="0"/>
        </c:dLbls>
        <c:smooth val="0"/>
        <c:axId val="482966456"/>
        <c:axId val="482967632"/>
        <c:extLst xmlns:c16r2="http://schemas.microsoft.com/office/drawing/2015/06/chart">
          <c:ext xmlns:c15="http://schemas.microsoft.com/office/drawing/2012/chart" uri="{02D57815-91ED-43cb-92C2-25804820EDAC}">
            <c15:filteredLineSeries>
              <c15:ser>
                <c:idx val="3"/>
                <c:order val="0"/>
                <c:tx>
                  <c:strRef>
                    <c:extLst xmlns:c16r2="http://schemas.microsoft.com/office/drawing/2015/06/chart">
                      <c:ext uri="{02D57815-91ED-43cb-92C2-25804820EDAC}">
                        <c15:formulaRef>
                          <c15:sqref>krivky!$A$3</c15:sqref>
                        </c15:formulaRef>
                      </c:ext>
                    </c:extLst>
                    <c:strCache>
                      <c:ptCount val="1"/>
                      <c:pt idx="0">
                        <c:v>SVK 31.3.2015</c:v>
                      </c:pt>
                    </c:strCache>
                  </c:strRef>
                </c:tx>
                <c:spPr>
                  <a:ln w="19050" cap="rnd">
                    <a:solidFill>
                      <a:schemeClr val="tx1">
                        <a:lumMod val="95000"/>
                        <a:lumOff val="5000"/>
                      </a:schemeClr>
                    </a:solidFill>
                    <a:prstDash val="sysDot"/>
                    <a:round/>
                  </a:ln>
                  <a:effectLst/>
                </c:spPr>
                <c:marker>
                  <c:symbol val="none"/>
                </c:marker>
                <c:cat>
                  <c:strRef>
                    <c:extLst xmlns:c16r2="http://schemas.microsoft.com/office/drawing/2015/06/chart">
                      <c:ext uri="{02D57815-91ED-43cb-92C2-25804820EDAC}">
                        <c15:formulaRef>
                          <c15:sqref>krivky!$B$2:$P$2</c15:sqref>
                        </c15:formulaRef>
                      </c:ext>
                    </c:extLst>
                    <c:strCache>
                      <c:ptCount val="15"/>
                      <c:pt idx="0">
                        <c:v>1Y</c:v>
                      </c:pt>
                      <c:pt idx="1">
                        <c:v>2Y</c:v>
                      </c:pt>
                      <c:pt idx="2">
                        <c:v>3Y</c:v>
                      </c:pt>
                      <c:pt idx="3">
                        <c:v>4Y</c:v>
                      </c:pt>
                      <c:pt idx="4">
                        <c:v>5Y</c:v>
                      </c:pt>
                      <c:pt idx="5">
                        <c:v>6Y</c:v>
                      </c:pt>
                      <c:pt idx="6">
                        <c:v>7Y</c:v>
                      </c:pt>
                      <c:pt idx="7">
                        <c:v>8Y</c:v>
                      </c:pt>
                      <c:pt idx="8">
                        <c:v>9Y</c:v>
                      </c:pt>
                      <c:pt idx="9">
                        <c:v>10Y</c:v>
                      </c:pt>
                      <c:pt idx="10">
                        <c:v>11Y</c:v>
                      </c:pt>
                      <c:pt idx="11">
                        <c:v>12Y</c:v>
                      </c:pt>
                      <c:pt idx="12">
                        <c:v>13Y</c:v>
                      </c:pt>
                      <c:pt idx="13">
                        <c:v>14Y</c:v>
                      </c:pt>
                      <c:pt idx="14">
                        <c:v>15Y</c:v>
                      </c:pt>
                    </c:strCache>
                  </c:strRef>
                </c:cat>
                <c:val>
                  <c:numRef>
                    <c:extLst xmlns:c16r2="http://schemas.microsoft.com/office/drawing/2015/06/chart">
                      <c:ext uri="{02D57815-91ED-43cb-92C2-25804820EDAC}">
                        <c15:formulaRef>
                          <c15:sqref>krivky!$B$3:$P$3</c15:sqref>
                        </c15:formulaRef>
                      </c:ext>
                    </c:extLst>
                    <c:numCache>
                      <c:formatCode>General</c:formatCode>
                      <c:ptCount val="15"/>
                      <c:pt idx="0">
                        <c:v>-0.04</c:v>
                      </c:pt>
                      <c:pt idx="1">
                        <c:v>0.02</c:v>
                      </c:pt>
                      <c:pt idx="2">
                        <c:v>0.02</c:v>
                      </c:pt>
                      <c:pt idx="3">
                        <c:v>0.03</c:v>
                      </c:pt>
                      <c:pt idx="4">
                        <c:v>0.06</c:v>
                      </c:pt>
                      <c:pt idx="5">
                        <c:v>0.12</c:v>
                      </c:pt>
                      <c:pt idx="6">
                        <c:v>0.19</c:v>
                      </c:pt>
                      <c:pt idx="7">
                        <c:v>0.28999999999999998</c:v>
                      </c:pt>
                      <c:pt idx="8">
                        <c:v>0.39</c:v>
                      </c:pt>
                      <c:pt idx="9">
                        <c:v>0.5</c:v>
                      </c:pt>
                      <c:pt idx="10">
                        <c:v>0.61</c:v>
                      </c:pt>
                      <c:pt idx="11">
                        <c:v>0.71</c:v>
                      </c:pt>
                      <c:pt idx="12">
                        <c:v>0.81</c:v>
                      </c:pt>
                      <c:pt idx="13">
                        <c:v>0.91</c:v>
                      </c:pt>
                      <c:pt idx="14">
                        <c:v>1</c:v>
                      </c:pt>
                    </c:numCache>
                  </c:numRef>
                </c:val>
                <c:smooth val="0"/>
                <c:extLst xmlns:c16r2="http://schemas.microsoft.com/office/drawing/2015/06/chart">
                  <c:ext xmlns:c16="http://schemas.microsoft.com/office/drawing/2014/chart" uri="{C3380CC4-5D6E-409C-BE32-E72D297353CC}">
                    <c16:uniqueId val="{00000005-E428-4EF4-BD67-1E5EA05F7D31}"/>
                  </c:ext>
                </c:extLst>
              </c15:ser>
            </c15:filteredLineSeries>
            <c15:filteredLineSeries>
              <c15:ser>
                <c:idx val="1"/>
                <c:order val="1"/>
                <c:tx>
                  <c:strRef>
                    <c:extLst xmlns:c16r2="http://schemas.microsoft.com/office/drawing/2015/06/chart" xmlns:c15="http://schemas.microsoft.com/office/drawing/2012/chart">
                      <c:ext xmlns:c15="http://schemas.microsoft.com/office/drawing/2012/chart" uri="{02D57815-91ED-43cb-92C2-25804820EDAC}">
                        <c15:formulaRef>
                          <c15:sqref>krivky!$A$10</c15:sqref>
                        </c15:formulaRef>
                      </c:ext>
                    </c:extLst>
                    <c:strCache>
                      <c:ptCount val="1"/>
                      <c:pt idx="0">
                        <c:v>SVK 29.7.2016</c:v>
                      </c:pt>
                    </c:strCache>
                  </c:strRef>
                </c:tx>
                <c:spPr>
                  <a:ln w="19050" cap="rnd">
                    <a:solidFill>
                      <a:schemeClr val="tx1"/>
                    </a:solidFill>
                    <a:round/>
                  </a:ln>
                  <a:effectLst/>
                </c:spPr>
                <c:marker>
                  <c:symbol val="none"/>
                </c:marker>
                <c:cat>
                  <c:strRef>
                    <c:extLst xmlns:c16r2="http://schemas.microsoft.com/office/drawing/2015/06/chart" xmlns:c15="http://schemas.microsoft.com/office/drawing/2012/chart">
                      <c:ext xmlns:c15="http://schemas.microsoft.com/office/drawing/2012/chart" uri="{02D57815-91ED-43cb-92C2-25804820EDAC}">
                        <c15:formulaRef>
                          <c15:sqref>krivky!$B$2:$P$2</c15:sqref>
                        </c15:formulaRef>
                      </c:ext>
                    </c:extLst>
                    <c:strCache>
                      <c:ptCount val="15"/>
                      <c:pt idx="0">
                        <c:v>1Y</c:v>
                      </c:pt>
                      <c:pt idx="1">
                        <c:v>2Y</c:v>
                      </c:pt>
                      <c:pt idx="2">
                        <c:v>3Y</c:v>
                      </c:pt>
                      <c:pt idx="3">
                        <c:v>4Y</c:v>
                      </c:pt>
                      <c:pt idx="4">
                        <c:v>5Y</c:v>
                      </c:pt>
                      <c:pt idx="5">
                        <c:v>6Y</c:v>
                      </c:pt>
                      <c:pt idx="6">
                        <c:v>7Y</c:v>
                      </c:pt>
                      <c:pt idx="7">
                        <c:v>8Y</c:v>
                      </c:pt>
                      <c:pt idx="8">
                        <c:v>9Y</c:v>
                      </c:pt>
                      <c:pt idx="9">
                        <c:v>10Y</c:v>
                      </c:pt>
                      <c:pt idx="10">
                        <c:v>11Y</c:v>
                      </c:pt>
                      <c:pt idx="11">
                        <c:v>12Y</c:v>
                      </c:pt>
                      <c:pt idx="12">
                        <c:v>13Y</c:v>
                      </c:pt>
                      <c:pt idx="13">
                        <c:v>14Y</c:v>
                      </c:pt>
                      <c:pt idx="14">
                        <c:v>15Y</c:v>
                      </c:pt>
                    </c:strCache>
                  </c:strRef>
                </c:cat>
                <c:val>
                  <c:numRef>
                    <c:extLst xmlns:c16r2="http://schemas.microsoft.com/office/drawing/2015/06/chart" xmlns:c15="http://schemas.microsoft.com/office/drawing/2012/chart">
                      <c:ext xmlns:c15="http://schemas.microsoft.com/office/drawing/2012/chart" uri="{02D57815-91ED-43cb-92C2-25804820EDAC}">
                        <c15:formulaRef>
                          <c15:sqref>krivky!$B$10:$P$10</c15:sqref>
                        </c15:formulaRef>
                      </c:ext>
                    </c:extLst>
                    <c:numCache>
                      <c:formatCode>General</c:formatCode>
                      <c:ptCount val="15"/>
                      <c:pt idx="0">
                        <c:v>-0.06</c:v>
                      </c:pt>
                      <c:pt idx="1">
                        <c:v>-0.28999999999999998</c:v>
                      </c:pt>
                      <c:pt idx="2">
                        <c:v>-0.45</c:v>
                      </c:pt>
                      <c:pt idx="3">
                        <c:v>-0.47</c:v>
                      </c:pt>
                      <c:pt idx="4">
                        <c:v>-0.4</c:v>
                      </c:pt>
                      <c:pt idx="5">
                        <c:v>-0.28000000000000003</c:v>
                      </c:pt>
                      <c:pt idx="6">
                        <c:v>-0.14000000000000001</c:v>
                      </c:pt>
                      <c:pt idx="7">
                        <c:v>0.01</c:v>
                      </c:pt>
                      <c:pt idx="8">
                        <c:v>0.16</c:v>
                      </c:pt>
                      <c:pt idx="9">
                        <c:v>0.3</c:v>
                      </c:pt>
                      <c:pt idx="10">
                        <c:v>0.43</c:v>
                      </c:pt>
                      <c:pt idx="11">
                        <c:v>0.55000000000000004</c:v>
                      </c:pt>
                      <c:pt idx="12">
                        <c:v>0.65</c:v>
                      </c:pt>
                      <c:pt idx="13">
                        <c:v>0.75</c:v>
                      </c:pt>
                      <c:pt idx="14">
                        <c:v>0.84</c:v>
                      </c:pt>
                    </c:numCache>
                  </c:numRef>
                </c:val>
                <c:smooth val="0"/>
                <c:extLst xmlns:c16r2="http://schemas.microsoft.com/office/drawing/2015/06/chart" xmlns:c15="http://schemas.microsoft.com/office/drawing/2012/chart">
                  <c:ext xmlns:c16="http://schemas.microsoft.com/office/drawing/2014/chart" uri="{C3380CC4-5D6E-409C-BE32-E72D297353CC}">
                    <c16:uniqueId val="{00000006-E428-4EF4-BD67-1E5EA05F7D31}"/>
                  </c:ext>
                </c:extLst>
              </c15:ser>
            </c15:filteredLineSeries>
            <c15:filteredLineSeries>
              <c15:ser>
                <c:idx val="2"/>
                <c:order val="2"/>
                <c:tx>
                  <c:strRef>
                    <c:extLst xmlns:c16r2="http://schemas.microsoft.com/office/drawing/2015/06/chart" xmlns:c15="http://schemas.microsoft.com/office/drawing/2012/chart">
                      <c:ext xmlns:c15="http://schemas.microsoft.com/office/drawing/2012/chart" uri="{02D57815-91ED-43cb-92C2-25804820EDAC}">
                        <c15:formulaRef>
                          <c15:sqref>krivky!$A$28</c15:sqref>
                        </c15:formulaRef>
                      </c:ext>
                    </c:extLst>
                    <c:strCache>
                      <c:ptCount val="1"/>
                      <c:pt idx="0">
                        <c:v>SVK 15.9.2017</c:v>
                      </c:pt>
                    </c:strCache>
                  </c:strRef>
                </c:tx>
                <c:spPr>
                  <a:ln w="19050" cap="rnd">
                    <a:solidFill>
                      <a:schemeClr val="tx1"/>
                    </a:solidFill>
                    <a:round/>
                  </a:ln>
                  <a:effectLst/>
                </c:spPr>
                <c:marker>
                  <c:symbol val="none"/>
                </c:marker>
                <c:cat>
                  <c:strRef>
                    <c:extLst xmlns:c16r2="http://schemas.microsoft.com/office/drawing/2015/06/chart" xmlns:c15="http://schemas.microsoft.com/office/drawing/2012/chart">
                      <c:ext xmlns:c15="http://schemas.microsoft.com/office/drawing/2012/chart" uri="{02D57815-91ED-43cb-92C2-25804820EDAC}">
                        <c15:formulaRef>
                          <c15:sqref>krivky!$B$2:$P$2</c15:sqref>
                        </c15:formulaRef>
                      </c:ext>
                    </c:extLst>
                    <c:strCache>
                      <c:ptCount val="15"/>
                      <c:pt idx="0">
                        <c:v>1Y</c:v>
                      </c:pt>
                      <c:pt idx="1">
                        <c:v>2Y</c:v>
                      </c:pt>
                      <c:pt idx="2">
                        <c:v>3Y</c:v>
                      </c:pt>
                      <c:pt idx="3">
                        <c:v>4Y</c:v>
                      </c:pt>
                      <c:pt idx="4">
                        <c:v>5Y</c:v>
                      </c:pt>
                      <c:pt idx="5">
                        <c:v>6Y</c:v>
                      </c:pt>
                      <c:pt idx="6">
                        <c:v>7Y</c:v>
                      </c:pt>
                      <c:pt idx="7">
                        <c:v>8Y</c:v>
                      </c:pt>
                      <c:pt idx="8">
                        <c:v>9Y</c:v>
                      </c:pt>
                      <c:pt idx="9">
                        <c:v>10Y</c:v>
                      </c:pt>
                      <c:pt idx="10">
                        <c:v>11Y</c:v>
                      </c:pt>
                      <c:pt idx="11">
                        <c:v>12Y</c:v>
                      </c:pt>
                      <c:pt idx="12">
                        <c:v>13Y</c:v>
                      </c:pt>
                      <c:pt idx="13">
                        <c:v>14Y</c:v>
                      </c:pt>
                      <c:pt idx="14">
                        <c:v>15Y</c:v>
                      </c:pt>
                    </c:strCache>
                  </c:strRef>
                </c:cat>
                <c:val>
                  <c:numRef>
                    <c:extLst xmlns:c16r2="http://schemas.microsoft.com/office/drawing/2015/06/chart" xmlns:c15="http://schemas.microsoft.com/office/drawing/2012/chart">
                      <c:ext xmlns:c15="http://schemas.microsoft.com/office/drawing/2012/chart" uri="{02D57815-91ED-43cb-92C2-25804820EDAC}">
                        <c15:formulaRef>
                          <c15:sqref>krivky!$B$28:$P$28</c15:sqref>
                        </c15:formulaRef>
                      </c:ext>
                    </c:extLst>
                    <c:numCache>
                      <c:formatCode>General</c:formatCode>
                      <c:ptCount val="15"/>
                      <c:pt idx="0">
                        <c:v>-0.27</c:v>
                      </c:pt>
                      <c:pt idx="1">
                        <c:v>-0.51</c:v>
                      </c:pt>
                      <c:pt idx="2">
                        <c:v>-0.59</c:v>
                      </c:pt>
                      <c:pt idx="3">
                        <c:v>-0.46</c:v>
                      </c:pt>
                      <c:pt idx="4">
                        <c:v>-0.21</c:v>
                      </c:pt>
                      <c:pt idx="5">
                        <c:v>7.0000000000000007E-2</c:v>
                      </c:pt>
                      <c:pt idx="6">
                        <c:v>0.35</c:v>
                      </c:pt>
                      <c:pt idx="7">
                        <c:v>0.6</c:v>
                      </c:pt>
                      <c:pt idx="8">
                        <c:v>0.82</c:v>
                      </c:pt>
                      <c:pt idx="9">
                        <c:v>1.01</c:v>
                      </c:pt>
                      <c:pt idx="10">
                        <c:v>1.17</c:v>
                      </c:pt>
                      <c:pt idx="11">
                        <c:v>1.31</c:v>
                      </c:pt>
                      <c:pt idx="12">
                        <c:v>1.42</c:v>
                      </c:pt>
                      <c:pt idx="13">
                        <c:v>1.52</c:v>
                      </c:pt>
                      <c:pt idx="14">
                        <c:v>1.61</c:v>
                      </c:pt>
                    </c:numCache>
                  </c:numRef>
                </c:val>
                <c:smooth val="0"/>
                <c:extLst xmlns:c16r2="http://schemas.microsoft.com/office/drawing/2015/06/chart" xmlns:c15="http://schemas.microsoft.com/office/drawing/2012/chart">
                  <c:ext xmlns:c16="http://schemas.microsoft.com/office/drawing/2014/chart" uri="{C3380CC4-5D6E-409C-BE32-E72D297353CC}">
                    <c16:uniqueId val="{00000007-E428-4EF4-BD67-1E5EA05F7D31}"/>
                  </c:ext>
                </c:extLst>
              </c15:ser>
            </c15:filteredLineSeries>
            <c15:filteredLineSeries>
              <c15:ser>
                <c:idx val="0"/>
                <c:order val="3"/>
                <c:tx>
                  <c:strRef>
                    <c:extLst xmlns:c16r2="http://schemas.microsoft.com/office/drawing/2015/06/chart" xmlns:c15="http://schemas.microsoft.com/office/drawing/2012/chart">
                      <c:ext xmlns:c15="http://schemas.microsoft.com/office/drawing/2012/chart" uri="{02D57815-91ED-43cb-92C2-25804820EDAC}">
                        <c15:formulaRef>
                          <c15:sqref>krivky!$A$29</c15:sqref>
                        </c15:formulaRef>
                      </c:ext>
                    </c:extLst>
                    <c:strCache>
                      <c:ptCount val="1"/>
                      <c:pt idx="0">
                        <c:v>SVK 20.10.2017</c:v>
                      </c:pt>
                    </c:strCache>
                  </c:strRef>
                </c:tx>
                <c:spPr>
                  <a:ln w="19050" cap="rnd">
                    <a:solidFill>
                      <a:schemeClr val="tx1"/>
                    </a:solidFill>
                    <a:prstDash val="sysDash"/>
                    <a:round/>
                  </a:ln>
                  <a:effectLst/>
                </c:spPr>
                <c:marker>
                  <c:symbol val="none"/>
                </c:marker>
                <c:cat>
                  <c:strRef>
                    <c:extLst xmlns:c16r2="http://schemas.microsoft.com/office/drawing/2015/06/chart" xmlns:c15="http://schemas.microsoft.com/office/drawing/2012/chart">
                      <c:ext xmlns:c15="http://schemas.microsoft.com/office/drawing/2012/chart" uri="{02D57815-91ED-43cb-92C2-25804820EDAC}">
                        <c15:formulaRef>
                          <c15:sqref>krivky!$B$2:$P$2</c15:sqref>
                        </c15:formulaRef>
                      </c:ext>
                    </c:extLst>
                    <c:strCache>
                      <c:ptCount val="15"/>
                      <c:pt idx="0">
                        <c:v>1Y</c:v>
                      </c:pt>
                      <c:pt idx="1">
                        <c:v>2Y</c:v>
                      </c:pt>
                      <c:pt idx="2">
                        <c:v>3Y</c:v>
                      </c:pt>
                      <c:pt idx="3">
                        <c:v>4Y</c:v>
                      </c:pt>
                      <c:pt idx="4">
                        <c:v>5Y</c:v>
                      </c:pt>
                      <c:pt idx="5">
                        <c:v>6Y</c:v>
                      </c:pt>
                      <c:pt idx="6">
                        <c:v>7Y</c:v>
                      </c:pt>
                      <c:pt idx="7">
                        <c:v>8Y</c:v>
                      </c:pt>
                      <c:pt idx="8">
                        <c:v>9Y</c:v>
                      </c:pt>
                      <c:pt idx="9">
                        <c:v>10Y</c:v>
                      </c:pt>
                      <c:pt idx="10">
                        <c:v>11Y</c:v>
                      </c:pt>
                      <c:pt idx="11">
                        <c:v>12Y</c:v>
                      </c:pt>
                      <c:pt idx="12">
                        <c:v>13Y</c:v>
                      </c:pt>
                      <c:pt idx="13">
                        <c:v>14Y</c:v>
                      </c:pt>
                      <c:pt idx="14">
                        <c:v>15Y</c:v>
                      </c:pt>
                    </c:strCache>
                  </c:strRef>
                </c:cat>
                <c:val>
                  <c:numRef>
                    <c:extLst xmlns:c16r2="http://schemas.microsoft.com/office/drawing/2015/06/chart" xmlns:c15="http://schemas.microsoft.com/office/drawing/2012/chart">
                      <c:ext xmlns:c15="http://schemas.microsoft.com/office/drawing/2012/chart" uri="{02D57815-91ED-43cb-92C2-25804820EDAC}">
                        <c15:formulaRef>
                          <c15:sqref>krivky!$B$29:$P$29</c15:sqref>
                        </c15:formulaRef>
                      </c:ext>
                    </c:extLst>
                    <c:numCache>
                      <c:formatCode>General</c:formatCode>
                      <c:ptCount val="15"/>
                      <c:pt idx="0">
                        <c:v>-0.25</c:v>
                      </c:pt>
                      <c:pt idx="1">
                        <c:v>-0.56999999999999995</c:v>
                      </c:pt>
                      <c:pt idx="2">
                        <c:v>-0.65</c:v>
                      </c:pt>
                      <c:pt idx="3">
                        <c:v>-0.49</c:v>
                      </c:pt>
                      <c:pt idx="4">
                        <c:v>-0.21</c:v>
                      </c:pt>
                      <c:pt idx="5">
                        <c:v>0.09</c:v>
                      </c:pt>
                      <c:pt idx="6">
                        <c:v>0.37</c:v>
                      </c:pt>
                      <c:pt idx="7">
                        <c:v>0.62</c:v>
                      </c:pt>
                      <c:pt idx="8">
                        <c:v>0.83</c:v>
                      </c:pt>
                      <c:pt idx="9">
                        <c:v>1.01</c:v>
                      </c:pt>
                      <c:pt idx="10">
                        <c:v>1.1599999999999999</c:v>
                      </c:pt>
                      <c:pt idx="11">
                        <c:v>1.29</c:v>
                      </c:pt>
                      <c:pt idx="12">
                        <c:v>1.4</c:v>
                      </c:pt>
                      <c:pt idx="13">
                        <c:v>1.49</c:v>
                      </c:pt>
                      <c:pt idx="14">
                        <c:v>1.57</c:v>
                      </c:pt>
                    </c:numCache>
                  </c:numRef>
                </c:val>
                <c:smooth val="0"/>
                <c:extLst xmlns:c16r2="http://schemas.microsoft.com/office/drawing/2015/06/chart" xmlns:c15="http://schemas.microsoft.com/office/drawing/2012/chart">
                  <c:ext xmlns:c16="http://schemas.microsoft.com/office/drawing/2014/chart" uri="{C3380CC4-5D6E-409C-BE32-E72D297353CC}">
                    <c16:uniqueId val="{00000008-E428-4EF4-BD67-1E5EA05F7D31}"/>
                  </c:ext>
                </c:extLst>
              </c15:ser>
            </c15:filteredLineSeries>
            <c15:filteredLineSeries>
              <c15:ser>
                <c:idx val="5"/>
                <c:order val="5"/>
                <c:tx>
                  <c:strRef>
                    <c:extLst xmlns:c16r2="http://schemas.microsoft.com/office/drawing/2015/06/chart" xmlns:c15="http://schemas.microsoft.com/office/drawing/2012/chart">
                      <c:ext xmlns:c15="http://schemas.microsoft.com/office/drawing/2012/chart" uri="{02D57815-91ED-43cb-92C2-25804820EDAC}">
                        <c15:formulaRef>
                          <c15:sqref>krivky!$A$30</c15:sqref>
                        </c15:formulaRef>
                      </c:ext>
                    </c:extLst>
                    <c:strCache>
                      <c:ptCount val="1"/>
                      <c:pt idx="0">
                        <c:v>SVK 24.11.2017</c:v>
                      </c:pt>
                    </c:strCache>
                  </c:strRef>
                </c:tx>
                <c:spPr>
                  <a:ln w="19050" cap="rnd">
                    <a:solidFill>
                      <a:schemeClr val="bg1">
                        <a:lumMod val="50000"/>
                      </a:schemeClr>
                    </a:solidFill>
                    <a:round/>
                  </a:ln>
                  <a:effectLst/>
                </c:spPr>
                <c:marker>
                  <c:symbol val="none"/>
                </c:marker>
                <c:val>
                  <c:numRef>
                    <c:extLst xmlns:c16r2="http://schemas.microsoft.com/office/drawing/2015/06/chart" xmlns:c15="http://schemas.microsoft.com/office/drawing/2012/chart">
                      <c:ext xmlns:c15="http://schemas.microsoft.com/office/drawing/2012/chart" uri="{02D57815-91ED-43cb-92C2-25804820EDAC}">
                        <c15:formulaRef>
                          <c15:sqref>krivky!$B$30:$P$30</c15:sqref>
                        </c15:formulaRef>
                      </c:ext>
                    </c:extLst>
                    <c:numCache>
                      <c:formatCode>General</c:formatCode>
                      <c:ptCount val="15"/>
                      <c:pt idx="0">
                        <c:v>-0.24</c:v>
                      </c:pt>
                      <c:pt idx="1">
                        <c:v>-0.54</c:v>
                      </c:pt>
                      <c:pt idx="2">
                        <c:v>-0.63</c:v>
                      </c:pt>
                      <c:pt idx="3">
                        <c:v>-0.5</c:v>
                      </c:pt>
                      <c:pt idx="4">
                        <c:v>-0.24</c:v>
                      </c:pt>
                      <c:pt idx="5">
                        <c:v>0.04</c:v>
                      </c:pt>
                      <c:pt idx="6">
                        <c:v>0.31</c:v>
                      </c:pt>
                      <c:pt idx="7">
                        <c:v>0.55000000000000004</c:v>
                      </c:pt>
                      <c:pt idx="8">
                        <c:v>0.75</c:v>
                      </c:pt>
                      <c:pt idx="9">
                        <c:v>0.93</c:v>
                      </c:pt>
                      <c:pt idx="10">
                        <c:v>1.07</c:v>
                      </c:pt>
                      <c:pt idx="11">
                        <c:v>1.2</c:v>
                      </c:pt>
                      <c:pt idx="12">
                        <c:v>1.31</c:v>
                      </c:pt>
                      <c:pt idx="13">
                        <c:v>1.4</c:v>
                      </c:pt>
                      <c:pt idx="14">
                        <c:v>1.48</c:v>
                      </c:pt>
                    </c:numCache>
                  </c:numRef>
                </c:val>
                <c:smooth val="0"/>
                <c:extLst xmlns:c16r2="http://schemas.microsoft.com/office/drawing/2015/06/chart" xmlns:c15="http://schemas.microsoft.com/office/drawing/2012/chart">
                  <c:ext xmlns:c16="http://schemas.microsoft.com/office/drawing/2014/chart" uri="{C3380CC4-5D6E-409C-BE32-E72D297353CC}">
                    <c16:uniqueId val="{00000009-E428-4EF4-BD67-1E5EA05F7D31}"/>
                  </c:ext>
                </c:extLst>
              </c15:ser>
            </c15:filteredLineSeries>
            <c15:filteredLineSeries>
              <c15:ser>
                <c:idx val="8"/>
                <c:order val="8"/>
                <c:tx>
                  <c:strRef>
                    <c:extLst xmlns:c16r2="http://schemas.microsoft.com/office/drawing/2015/06/chart" xmlns:c15="http://schemas.microsoft.com/office/drawing/2012/chart">
                      <c:ext xmlns:c15="http://schemas.microsoft.com/office/drawing/2012/chart" uri="{02D57815-91ED-43cb-92C2-25804820EDAC}">
                        <c15:formulaRef>
                          <c15:sqref>krivky!$A$52</c15:sqref>
                        </c15:formulaRef>
                      </c:ext>
                    </c:extLst>
                    <c:strCache>
                      <c:ptCount val="1"/>
                    </c:strCache>
                  </c:strRef>
                </c:tx>
                <c:spPr>
                  <a:ln w="19050" cap="rnd">
                    <a:solidFill>
                      <a:schemeClr val="accent3">
                        <a:lumMod val="60000"/>
                      </a:schemeClr>
                    </a:solidFill>
                    <a:round/>
                  </a:ln>
                  <a:effectLst/>
                </c:spPr>
                <c:marker>
                  <c:symbol val="none"/>
                </c:marker>
                <c:val>
                  <c:numRef>
                    <c:extLst xmlns:c16r2="http://schemas.microsoft.com/office/drawing/2015/06/chart" xmlns:c15="http://schemas.microsoft.com/office/drawing/2012/chart">
                      <c:ext xmlns:c15="http://schemas.microsoft.com/office/drawing/2012/chart" uri="{02D57815-91ED-43cb-92C2-25804820EDAC}">
                        <c15:formulaRef>
                          <c15:sqref>krivky!$B$52:$P$52</c15:sqref>
                        </c15:formulaRef>
                      </c:ext>
                    </c:extLst>
                    <c:numCache>
                      <c:formatCode>General</c:formatCode>
                      <c:ptCount val="15"/>
                    </c:numCache>
                  </c:numRef>
                </c:val>
                <c:smooth val="0"/>
                <c:extLst xmlns:c16r2="http://schemas.microsoft.com/office/drawing/2015/06/chart" xmlns:c15="http://schemas.microsoft.com/office/drawing/2012/chart">
                  <c:ext xmlns:c16="http://schemas.microsoft.com/office/drawing/2014/chart" uri="{C3380CC4-5D6E-409C-BE32-E72D297353CC}">
                    <c16:uniqueId val="{0000000A-E428-4EF4-BD67-1E5EA05F7D31}"/>
                  </c:ext>
                </c:extLst>
              </c15:ser>
            </c15:filteredLineSeries>
          </c:ext>
        </c:extLst>
      </c:lineChart>
      <c:catAx>
        <c:axId val="48296645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Narrow" panose="020B0606020202030204" pitchFamily="34" charset="0"/>
                <a:ea typeface="+mn-ea"/>
                <a:cs typeface="+mn-cs"/>
              </a:defRPr>
            </a:pPr>
            <a:endParaRPr lang="sk-SK"/>
          </a:p>
        </c:txPr>
        <c:crossAx val="482967632"/>
        <c:crosses val="autoZero"/>
        <c:auto val="0"/>
        <c:lblAlgn val="ctr"/>
        <c:lblOffset val="100"/>
        <c:noMultiLvlLbl val="0"/>
      </c:catAx>
      <c:valAx>
        <c:axId val="482967632"/>
        <c:scaling>
          <c:orientation val="minMax"/>
          <c:max val="1.8"/>
          <c:min val="-0.9"/>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Narrow" panose="020B0606020202030204" pitchFamily="34" charset="0"/>
                <a:ea typeface="+mn-ea"/>
                <a:cs typeface="+mn-cs"/>
              </a:defRPr>
            </a:pPr>
            <a:endParaRPr lang="sk-SK"/>
          </a:p>
        </c:txPr>
        <c:crossAx val="482966456"/>
        <c:crosses val="autoZero"/>
        <c:crossBetween val="midCat"/>
        <c:majorUnit val="0.2"/>
      </c:valAx>
      <c:spPr>
        <a:noFill/>
        <a:ln>
          <a:noFill/>
        </a:ln>
        <a:effectLst/>
      </c:spPr>
    </c:plotArea>
    <c:legend>
      <c:legendPos val="t"/>
      <c:legendEntry>
        <c:idx val="0"/>
        <c:delete val="1"/>
      </c:legendEntry>
      <c:layout>
        <c:manualLayout>
          <c:xMode val="edge"/>
          <c:yMode val="edge"/>
          <c:x val="6.4233632409047725E-2"/>
          <c:y val="3.675865283194741E-2"/>
          <c:w val="0.48490121269710912"/>
          <c:h val="0.3255466431182083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E971B3F-D34E-49C4-B587-9F83466A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3562</Words>
  <Characters>20310</Characters>
  <Application>Microsoft Office Word</Application>
  <DocSecurity>0</DocSecurity>
  <Lines>169</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Komentovaný návrh obsahu Aktualizácie stratégie riadenia štátneho dlhu</vt:lpstr>
      <vt:lpstr>Komentovaný návrh obsahu Aktualizácie stratégie riadenia štátneho dlhu</vt:lpstr>
    </vt:vector>
  </TitlesOfParts>
  <Company>MFSR</Company>
  <LinksUpToDate>false</LinksUpToDate>
  <CharactersWithSpaces>23825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Komentovaný návrh obsahu Aktualizácie stratégie riadenia štátneho dlhu</dc:title>
  <dc:subject/>
  <dc:creator>ARDAL</dc:creator>
  <cp:keywords/>
  <cp:lastModifiedBy>Vrankova Miroslava</cp:lastModifiedBy>
  <cp:revision>4</cp:revision>
  <cp:lastPrinted>2015-07-01T07:50:00Z</cp:lastPrinted>
  <dcterms:created xsi:type="dcterms:W3CDTF">2018-10-04T11:46:00Z</dcterms:created>
  <dcterms:modified xsi:type="dcterms:W3CDTF">2018-10-04T12:02:00Z</dcterms:modified>
</cp:coreProperties>
</file>