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D0" w:rsidRPr="0024687B" w:rsidRDefault="003C00D0" w:rsidP="00B32E22">
      <w:pPr>
        <w:spacing w:line="240" w:lineRule="auto"/>
        <w:rPr>
          <w:rFonts w:ascii="Times New Roman" w:hAnsi="Times New Roman"/>
          <w:b/>
          <w:sz w:val="24"/>
          <w:szCs w:val="24"/>
        </w:rPr>
      </w:pPr>
      <w:bookmarkStart w:id="0" w:name="_GoBack"/>
      <w:bookmarkEnd w:id="0"/>
    </w:p>
    <w:p w:rsidR="003C00D0" w:rsidRPr="0024687B" w:rsidRDefault="003C00D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24"/>
          <w:szCs w:val="24"/>
        </w:rPr>
      </w:pPr>
    </w:p>
    <w:p w:rsidR="003C00D0" w:rsidRDefault="003C00D0" w:rsidP="003C00D0">
      <w:pPr>
        <w:jc w:val="center"/>
        <w:rPr>
          <w:rFonts w:ascii="Times New Roman" w:hAnsi="Times New Roman"/>
          <w:b/>
          <w:sz w:val="24"/>
          <w:szCs w:val="24"/>
        </w:rPr>
      </w:pPr>
    </w:p>
    <w:p w:rsidR="005F47A0" w:rsidRDefault="005F47A0" w:rsidP="003C00D0">
      <w:pPr>
        <w:jc w:val="center"/>
        <w:rPr>
          <w:rFonts w:ascii="Times New Roman" w:hAnsi="Times New Roman"/>
          <w:b/>
          <w:sz w:val="24"/>
          <w:szCs w:val="24"/>
        </w:rPr>
      </w:pPr>
    </w:p>
    <w:p w:rsidR="005F47A0" w:rsidRDefault="005F47A0" w:rsidP="003C00D0">
      <w:pPr>
        <w:jc w:val="center"/>
        <w:rPr>
          <w:rFonts w:ascii="Times New Roman" w:hAnsi="Times New Roman"/>
          <w:b/>
          <w:sz w:val="24"/>
          <w:szCs w:val="24"/>
        </w:rPr>
      </w:pPr>
    </w:p>
    <w:p w:rsidR="005F47A0" w:rsidRPr="0024687B" w:rsidRDefault="005F47A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24"/>
          <w:szCs w:val="24"/>
        </w:rPr>
      </w:pPr>
    </w:p>
    <w:p w:rsidR="003C00D0" w:rsidRPr="0024687B" w:rsidRDefault="003C00D0" w:rsidP="003C00D0">
      <w:pPr>
        <w:jc w:val="center"/>
        <w:rPr>
          <w:rFonts w:ascii="Times New Roman" w:hAnsi="Times New Roman"/>
          <w:b/>
          <w:sz w:val="44"/>
          <w:szCs w:val="44"/>
        </w:rPr>
      </w:pPr>
      <w:r w:rsidRPr="0024687B">
        <w:rPr>
          <w:rFonts w:ascii="Times New Roman" w:hAnsi="Times New Roman"/>
          <w:b/>
          <w:sz w:val="44"/>
          <w:szCs w:val="44"/>
        </w:rPr>
        <w:t>Príloha č. 4</w:t>
      </w:r>
    </w:p>
    <w:p w:rsidR="003C00D0" w:rsidRPr="0024687B" w:rsidRDefault="003C00D0" w:rsidP="003C00D0">
      <w:pPr>
        <w:jc w:val="center"/>
        <w:rPr>
          <w:rFonts w:ascii="Times New Roman" w:hAnsi="Times New Roman"/>
          <w:b/>
          <w:sz w:val="44"/>
          <w:szCs w:val="44"/>
        </w:rPr>
      </w:pPr>
    </w:p>
    <w:p w:rsidR="001708DA" w:rsidRPr="0024687B" w:rsidRDefault="003F0457" w:rsidP="003C00D0">
      <w:pPr>
        <w:jc w:val="center"/>
        <w:rPr>
          <w:rFonts w:ascii="Times New Roman" w:hAnsi="Times New Roman"/>
          <w:b/>
          <w:sz w:val="44"/>
          <w:szCs w:val="44"/>
        </w:rPr>
      </w:pPr>
      <w:r>
        <w:rPr>
          <w:rFonts w:ascii="Times New Roman" w:hAnsi="Times New Roman"/>
          <w:b/>
          <w:sz w:val="44"/>
          <w:szCs w:val="44"/>
        </w:rPr>
        <w:t>P</w:t>
      </w:r>
      <w:r w:rsidR="003C00D0" w:rsidRPr="0024687B">
        <w:rPr>
          <w:rFonts w:ascii="Times New Roman" w:hAnsi="Times New Roman"/>
          <w:b/>
          <w:sz w:val="44"/>
          <w:szCs w:val="44"/>
        </w:rPr>
        <w:t>odmienen</w:t>
      </w:r>
      <w:r>
        <w:rPr>
          <w:rFonts w:ascii="Times New Roman" w:hAnsi="Times New Roman"/>
          <w:b/>
          <w:sz w:val="44"/>
          <w:szCs w:val="44"/>
        </w:rPr>
        <w:t>é</w:t>
      </w:r>
      <w:r w:rsidR="003C00D0" w:rsidRPr="0024687B">
        <w:rPr>
          <w:rFonts w:ascii="Times New Roman" w:hAnsi="Times New Roman"/>
          <w:b/>
          <w:sz w:val="44"/>
          <w:szCs w:val="44"/>
        </w:rPr>
        <w:t xml:space="preserve"> záväzk</w:t>
      </w:r>
      <w:r>
        <w:rPr>
          <w:rFonts w:ascii="Times New Roman" w:hAnsi="Times New Roman"/>
          <w:b/>
          <w:sz w:val="44"/>
          <w:szCs w:val="44"/>
        </w:rPr>
        <w:t>y</w:t>
      </w:r>
      <w:r w:rsidR="003C00D0" w:rsidRPr="0024687B">
        <w:rPr>
          <w:rFonts w:ascii="Times New Roman" w:hAnsi="Times New Roman"/>
          <w:b/>
          <w:sz w:val="44"/>
          <w:szCs w:val="44"/>
        </w:rPr>
        <w:t xml:space="preserve"> </w:t>
      </w:r>
    </w:p>
    <w:p w:rsidR="008069D2" w:rsidRPr="0024687B" w:rsidRDefault="001708DA" w:rsidP="00556733">
      <w:pPr>
        <w:rPr>
          <w:rFonts w:ascii="Times New Roman" w:hAnsi="Times New Roman"/>
          <w:b/>
          <w:sz w:val="24"/>
          <w:szCs w:val="24"/>
        </w:rPr>
      </w:pPr>
      <w:r w:rsidRPr="0024687B">
        <w:rPr>
          <w:rFonts w:ascii="Times New Roman" w:hAnsi="Times New Roman"/>
          <w:b/>
          <w:sz w:val="44"/>
          <w:szCs w:val="44"/>
        </w:rPr>
        <w:br w:type="page"/>
      </w:r>
      <w:r w:rsidR="003F0457">
        <w:rPr>
          <w:rFonts w:ascii="Times New Roman" w:hAnsi="Times New Roman"/>
          <w:b/>
          <w:sz w:val="24"/>
          <w:szCs w:val="24"/>
        </w:rPr>
        <w:lastRenderedPageBreak/>
        <w:t>P</w:t>
      </w:r>
      <w:r w:rsidR="008069D2" w:rsidRPr="0024687B">
        <w:rPr>
          <w:rFonts w:ascii="Times New Roman" w:hAnsi="Times New Roman"/>
          <w:b/>
          <w:sz w:val="24"/>
          <w:szCs w:val="24"/>
        </w:rPr>
        <w:t>odmienen</w:t>
      </w:r>
      <w:r w:rsidR="003F0457">
        <w:rPr>
          <w:rFonts w:ascii="Times New Roman" w:hAnsi="Times New Roman"/>
          <w:b/>
          <w:sz w:val="24"/>
          <w:szCs w:val="24"/>
        </w:rPr>
        <w:t>é</w:t>
      </w:r>
      <w:r w:rsidR="008069D2" w:rsidRPr="0024687B">
        <w:rPr>
          <w:rFonts w:ascii="Times New Roman" w:hAnsi="Times New Roman"/>
          <w:b/>
          <w:sz w:val="24"/>
          <w:szCs w:val="24"/>
        </w:rPr>
        <w:t xml:space="preserve"> záväzk</w:t>
      </w:r>
      <w:r w:rsidR="003F0457">
        <w:rPr>
          <w:rFonts w:ascii="Times New Roman" w:hAnsi="Times New Roman"/>
          <w:b/>
          <w:sz w:val="24"/>
          <w:szCs w:val="24"/>
        </w:rPr>
        <w:t>y</w:t>
      </w:r>
      <w:r w:rsidR="008069D2" w:rsidRPr="0024687B">
        <w:rPr>
          <w:rFonts w:ascii="Times New Roman" w:hAnsi="Times New Roman"/>
          <w:b/>
          <w:sz w:val="24"/>
          <w:szCs w:val="24"/>
        </w:rPr>
        <w:t xml:space="preserve"> </w:t>
      </w:r>
    </w:p>
    <w:p w:rsidR="008069D2" w:rsidRDefault="008069D2" w:rsidP="00556733">
      <w:pPr>
        <w:pStyle w:val="Zarkazkladnhotextu1"/>
        <w:ind w:left="0" w:firstLine="709"/>
        <w:jc w:val="both"/>
        <w:rPr>
          <w:rFonts w:ascii="Times New Roman" w:hAnsi="Times New Roman" w:cs="Times New Roman"/>
        </w:rPr>
      </w:pPr>
      <w:r w:rsidRPr="0024687B">
        <w:rPr>
          <w:rFonts w:ascii="Times New Roman" w:hAnsi="Times New Roman" w:cs="Times New Roman"/>
        </w:rPr>
        <w:t>V</w:t>
      </w:r>
      <w:r w:rsidR="00E721D6" w:rsidRPr="0024687B">
        <w:rPr>
          <w:rFonts w:ascii="Times New Roman" w:hAnsi="Times New Roman" w:cs="Times New Roman"/>
        </w:rPr>
        <w:t> </w:t>
      </w:r>
      <w:r w:rsidRPr="0024687B">
        <w:rPr>
          <w:rFonts w:ascii="Times New Roman" w:hAnsi="Times New Roman" w:cs="Times New Roman"/>
        </w:rPr>
        <w:t>zmysle</w:t>
      </w:r>
      <w:r w:rsidR="00E721D6" w:rsidRPr="0024687B">
        <w:rPr>
          <w:rFonts w:ascii="Times New Roman" w:hAnsi="Times New Roman" w:cs="Times New Roman"/>
        </w:rPr>
        <w:t xml:space="preserve"> článku 9 ods. 4</w:t>
      </w:r>
      <w:r w:rsidRPr="0024687B">
        <w:rPr>
          <w:rFonts w:ascii="Times New Roman" w:hAnsi="Times New Roman" w:cs="Times New Roman"/>
        </w:rPr>
        <w:t xml:space="preserve"> ústavného zákona č. 493/2011 Z. z. o rozpočtovej zodpovednosti návrh rozpočtu verejnej správy obsahuje</w:t>
      </w:r>
      <w:r w:rsidR="00022B75">
        <w:rPr>
          <w:rFonts w:ascii="Times New Roman" w:hAnsi="Times New Roman" w:cs="Times New Roman"/>
        </w:rPr>
        <w:t xml:space="preserve"> aj</w:t>
      </w:r>
      <w:r w:rsidRPr="0024687B">
        <w:rPr>
          <w:rFonts w:ascii="Times New Roman" w:hAnsi="Times New Roman" w:cs="Times New Roman"/>
        </w:rPr>
        <w:t xml:space="preserve"> informácie o podmienených záväzkoch.</w:t>
      </w:r>
    </w:p>
    <w:p w:rsidR="008069D2" w:rsidRDefault="008069D2" w:rsidP="003529C8">
      <w:pPr>
        <w:pStyle w:val="Zarkazkladnhotextu1"/>
        <w:ind w:left="0" w:firstLine="709"/>
        <w:jc w:val="both"/>
        <w:rPr>
          <w:rFonts w:ascii="Times New Roman" w:hAnsi="Times New Roman" w:cs="Times New Roman"/>
        </w:rPr>
      </w:pPr>
      <w:r w:rsidRPr="0024687B">
        <w:rPr>
          <w:rFonts w:ascii="Times New Roman" w:hAnsi="Times New Roman" w:cs="Times New Roman"/>
        </w:rPr>
        <w:t xml:space="preserve">Podmienené záväzky sú </w:t>
      </w:r>
      <w:r w:rsidR="00E721D6" w:rsidRPr="0024687B">
        <w:rPr>
          <w:rFonts w:ascii="Times New Roman" w:hAnsi="Times New Roman" w:cs="Times New Roman"/>
        </w:rPr>
        <w:t>definované v legislatíve</w:t>
      </w:r>
      <w:r w:rsidRPr="0024687B">
        <w:rPr>
          <w:rFonts w:ascii="Times New Roman" w:hAnsi="Times New Roman" w:cs="Times New Roman"/>
          <w:vertAlign w:val="superscript"/>
        </w:rPr>
        <w:footnoteReference w:id="1"/>
      </w:r>
      <w:r w:rsidRPr="0024687B">
        <w:rPr>
          <w:rFonts w:ascii="Times New Roman" w:hAnsi="Times New Roman" w:cs="Times New Roman"/>
        </w:rPr>
        <w:t xml:space="preserve"> ako iné pasíva účtovnej jednotky, ktorá ich vykazuje v poznámkach ako súčasti individuálnej účtovnej závierky. </w:t>
      </w:r>
      <w:r w:rsidR="00C632F3">
        <w:rPr>
          <w:rFonts w:ascii="Times New Roman" w:hAnsi="Times New Roman" w:cs="Times New Roman"/>
        </w:rPr>
        <w:t>Nejde</w:t>
      </w:r>
      <w:r w:rsidRPr="0024687B">
        <w:rPr>
          <w:rFonts w:ascii="Times New Roman" w:hAnsi="Times New Roman" w:cs="Times New Roman"/>
        </w:rPr>
        <w:t xml:space="preserve"> teda o záväzok, ktorý je vykázaný na súvahových položkách pasív, pretože ni</w:t>
      </w:r>
      <w:r w:rsidR="00077314">
        <w:rPr>
          <w:rFonts w:ascii="Times New Roman" w:hAnsi="Times New Roman" w:cs="Times New Roman"/>
        </w:rPr>
        <w:t>e</w:t>
      </w:r>
      <w:r w:rsidRPr="0024687B">
        <w:rPr>
          <w:rFonts w:ascii="Times New Roman" w:hAnsi="Times New Roman" w:cs="Times New Roman"/>
        </w:rPr>
        <w:t xml:space="preserve"> </w:t>
      </w:r>
      <w:r w:rsidR="00077314">
        <w:rPr>
          <w:rFonts w:ascii="Times New Roman" w:hAnsi="Times New Roman" w:cs="Times New Roman"/>
        </w:rPr>
        <w:t>sú</w:t>
      </w:r>
      <w:r w:rsidRPr="0024687B">
        <w:rPr>
          <w:rFonts w:ascii="Times New Roman" w:hAnsi="Times New Roman" w:cs="Times New Roman"/>
        </w:rPr>
        <w:t xml:space="preserve"> splnen</w:t>
      </w:r>
      <w:r w:rsidR="00077314">
        <w:rPr>
          <w:rFonts w:ascii="Times New Roman" w:hAnsi="Times New Roman" w:cs="Times New Roman"/>
        </w:rPr>
        <w:t>é</w:t>
      </w:r>
      <w:r w:rsidRPr="0024687B">
        <w:rPr>
          <w:rFonts w:ascii="Times New Roman" w:hAnsi="Times New Roman" w:cs="Times New Roman"/>
        </w:rPr>
        <w:t xml:space="preserve"> podmienk</w:t>
      </w:r>
      <w:r w:rsidR="00077314">
        <w:rPr>
          <w:rFonts w:ascii="Times New Roman" w:hAnsi="Times New Roman" w:cs="Times New Roman"/>
        </w:rPr>
        <w:t>y</w:t>
      </w:r>
      <w:r w:rsidRPr="0024687B">
        <w:rPr>
          <w:rFonts w:ascii="Times New Roman" w:hAnsi="Times New Roman" w:cs="Times New Roman"/>
        </w:rPr>
        <w:t xml:space="preserve"> na ich zaúčtovanie - výška záväzku sa nedá spoľahlivo oceniť, obdobie, ku ktorému sa povinnosť viaže nie je určené</w:t>
      </w:r>
      <w:r w:rsidR="00C632F3">
        <w:rPr>
          <w:rFonts w:ascii="Times New Roman" w:hAnsi="Times New Roman" w:cs="Times New Roman"/>
        </w:rPr>
        <w:t xml:space="preserve"> a</w:t>
      </w:r>
      <w:r w:rsidRPr="0024687B">
        <w:rPr>
          <w:rFonts w:ascii="Times New Roman" w:hAnsi="Times New Roman" w:cs="Times New Roman"/>
        </w:rPr>
        <w:t xml:space="preserve"> úbytok ekonomických úžitkov v budúcnosti nie je istý.</w:t>
      </w:r>
      <w:r w:rsidR="00077314">
        <w:rPr>
          <w:rFonts w:ascii="Times New Roman" w:hAnsi="Times New Roman" w:cs="Times New Roman"/>
        </w:rPr>
        <w:t xml:space="preserve"> Pod pojmom ekonomické úžitky je možné chápať najčastejšie peňažné prostriedky a ich ekvivalenty.</w:t>
      </w:r>
    </w:p>
    <w:p w:rsidR="008069D2" w:rsidRPr="0024687B" w:rsidRDefault="008069D2" w:rsidP="00077314">
      <w:pPr>
        <w:pStyle w:val="Zarkazkladnhotextu1"/>
        <w:spacing w:before="120"/>
        <w:ind w:left="0" w:firstLine="709"/>
        <w:jc w:val="both"/>
        <w:rPr>
          <w:rFonts w:ascii="Times New Roman" w:hAnsi="Times New Roman" w:cs="Times New Roman"/>
        </w:rPr>
      </w:pPr>
      <w:r w:rsidRPr="0024687B">
        <w:rPr>
          <w:rFonts w:ascii="Times New Roman" w:hAnsi="Times New Roman" w:cs="Times New Roman"/>
        </w:rPr>
        <w:t>Ako iné pasíva sa vykazuje:</w:t>
      </w:r>
    </w:p>
    <w:p w:rsidR="008069D2" w:rsidRPr="0024687B" w:rsidRDefault="008069D2" w:rsidP="008069D2">
      <w:pPr>
        <w:pStyle w:val="Zarkazkladnhotextu1"/>
        <w:numPr>
          <w:ilvl w:val="0"/>
          <w:numId w:val="4"/>
        </w:numPr>
        <w:spacing w:after="0"/>
        <w:jc w:val="both"/>
        <w:rPr>
          <w:rFonts w:ascii="Times New Roman" w:hAnsi="Times New Roman" w:cs="Times New Roman"/>
        </w:rPr>
      </w:pPr>
      <w:bookmarkStart w:id="1" w:name="_Ref331681245"/>
      <w:r w:rsidRPr="0024687B">
        <w:rPr>
          <w:rFonts w:ascii="Times New Roman" w:hAnsi="Times New Roman" w:cs="Times New Roman"/>
        </w:rPr>
        <w:t>možná povinnosť, ktorá vznikla ako dôsledok minulej udalosti</w:t>
      </w:r>
      <w:r w:rsidR="00182F73">
        <w:rPr>
          <w:rFonts w:ascii="Times New Roman" w:hAnsi="Times New Roman" w:cs="Times New Roman"/>
        </w:rPr>
        <w:t>,</w:t>
      </w:r>
      <w:r w:rsidRPr="0024687B">
        <w:rPr>
          <w:rFonts w:ascii="Times New Roman" w:hAnsi="Times New Roman" w:cs="Times New Roman"/>
        </w:rPr>
        <w:t xml:space="preserve"> a ktorej existencia závisí od toho, či nastane alebo nenastane jedna alebo viac neistých udalostí v budúcnosti, ktorých vznik nezávisí od účtovnej jednotky,</w:t>
      </w:r>
      <w:bookmarkEnd w:id="1"/>
      <w:r w:rsidRPr="0024687B">
        <w:rPr>
          <w:rFonts w:ascii="Times New Roman" w:hAnsi="Times New Roman" w:cs="Times New Roman"/>
        </w:rPr>
        <w:t xml:space="preserve"> alebo</w:t>
      </w:r>
    </w:p>
    <w:p w:rsidR="008069D2" w:rsidRPr="0024687B" w:rsidRDefault="008069D2" w:rsidP="00D91157">
      <w:pPr>
        <w:pStyle w:val="Zarkazkladnhotextu1"/>
        <w:numPr>
          <w:ilvl w:val="0"/>
          <w:numId w:val="4"/>
        </w:numPr>
        <w:spacing w:before="120"/>
        <w:ind w:left="1066" w:hanging="357"/>
        <w:jc w:val="both"/>
        <w:rPr>
          <w:rFonts w:ascii="Times New Roman" w:hAnsi="Times New Roman" w:cs="Times New Roman"/>
        </w:rPr>
      </w:pPr>
      <w:r w:rsidRPr="0024687B">
        <w:rPr>
          <w:rFonts w:ascii="Times New Roman" w:hAnsi="Times New Roman" w:cs="Times New Roman"/>
        </w:rPr>
        <w:t>povinnosť, ktorá vznikla ako dôsledok minulej udalosti, ale ktorá sa nevykazuje v súvahe, pretože nie je pravdepodobné, že na splnenie tejto povinnosti bude potrebný úbytok ekonomických úžitkov alebo výška tejto povinnosti sa nedá spoľahlivo oceniť.</w:t>
      </w:r>
    </w:p>
    <w:p w:rsidR="00D45FF6" w:rsidRDefault="008069D2" w:rsidP="003529C8">
      <w:pPr>
        <w:pStyle w:val="Zarkazkladnhotextu1"/>
        <w:ind w:left="0" w:firstLine="709"/>
        <w:jc w:val="both"/>
        <w:rPr>
          <w:rFonts w:ascii="Times New Roman" w:hAnsi="Times New Roman" w:cs="Times New Roman"/>
        </w:rPr>
      </w:pPr>
      <w:r w:rsidRPr="0024687B">
        <w:rPr>
          <w:rFonts w:ascii="Times New Roman" w:hAnsi="Times New Roman" w:cs="Times New Roman"/>
        </w:rPr>
        <w:t xml:space="preserve">Vzhľadom na uvedené sa ako podmienené záväzky </w:t>
      </w:r>
      <w:r w:rsidR="00B67300" w:rsidRPr="0024687B">
        <w:rPr>
          <w:rFonts w:ascii="Times New Roman" w:hAnsi="Times New Roman" w:cs="Times New Roman"/>
        </w:rPr>
        <w:t xml:space="preserve">vykazujú </w:t>
      </w:r>
      <w:r w:rsidRPr="0024687B">
        <w:rPr>
          <w:rFonts w:ascii="Times New Roman" w:hAnsi="Times New Roman" w:cs="Times New Roman"/>
        </w:rPr>
        <w:t xml:space="preserve">napríklad poskytnuté záruky, </w:t>
      </w:r>
      <w:r w:rsidR="00C632F3">
        <w:rPr>
          <w:rFonts w:ascii="Times New Roman" w:hAnsi="Times New Roman" w:cs="Times New Roman"/>
        </w:rPr>
        <w:t xml:space="preserve">hroziace záväzky z prebiehajúcich </w:t>
      </w:r>
      <w:r w:rsidRPr="0024687B">
        <w:rPr>
          <w:rFonts w:ascii="Times New Roman" w:hAnsi="Times New Roman" w:cs="Times New Roman"/>
        </w:rPr>
        <w:t>právn</w:t>
      </w:r>
      <w:r w:rsidR="00C632F3">
        <w:rPr>
          <w:rFonts w:ascii="Times New Roman" w:hAnsi="Times New Roman" w:cs="Times New Roman"/>
        </w:rPr>
        <w:t>ych</w:t>
      </w:r>
      <w:r w:rsidRPr="0024687B">
        <w:rPr>
          <w:rFonts w:ascii="Times New Roman" w:hAnsi="Times New Roman" w:cs="Times New Roman"/>
        </w:rPr>
        <w:t xml:space="preserve"> spor</w:t>
      </w:r>
      <w:r w:rsidR="00C632F3">
        <w:rPr>
          <w:rFonts w:ascii="Times New Roman" w:hAnsi="Times New Roman" w:cs="Times New Roman"/>
        </w:rPr>
        <w:t>ov</w:t>
      </w:r>
      <w:r w:rsidRPr="0024687B">
        <w:rPr>
          <w:rFonts w:ascii="Times New Roman" w:hAnsi="Times New Roman" w:cs="Times New Roman"/>
        </w:rPr>
        <w:t xml:space="preserve">, </w:t>
      </w:r>
      <w:r w:rsidR="00C632F3">
        <w:rPr>
          <w:rFonts w:ascii="Times New Roman" w:hAnsi="Times New Roman" w:cs="Times New Roman"/>
        </w:rPr>
        <w:t xml:space="preserve">budúce </w:t>
      </w:r>
      <w:r w:rsidRPr="0024687B">
        <w:rPr>
          <w:rFonts w:ascii="Times New Roman" w:hAnsi="Times New Roman" w:cs="Times New Roman"/>
        </w:rPr>
        <w:t>záväzky zo všeobecne platných právnych predpisov</w:t>
      </w:r>
      <w:r w:rsidR="00556EB4">
        <w:rPr>
          <w:rFonts w:ascii="Times New Roman" w:hAnsi="Times New Roman" w:cs="Times New Roman"/>
        </w:rPr>
        <w:t xml:space="preserve"> </w:t>
      </w:r>
      <w:r w:rsidR="00556EB4" w:rsidRPr="00556EB4">
        <w:rPr>
          <w:rFonts w:ascii="Times New Roman" w:hAnsi="Times New Roman" w:cs="Times New Roman"/>
        </w:rPr>
        <w:t>z ručenia alebo sú to iné finančné povinnosti</w:t>
      </w:r>
      <w:r w:rsidR="00787B04">
        <w:rPr>
          <w:rFonts w:ascii="Times New Roman" w:hAnsi="Times New Roman" w:cs="Times New Roman"/>
        </w:rPr>
        <w:t>,</w:t>
      </w:r>
      <w:r w:rsidR="00556EB4" w:rsidRPr="00556EB4">
        <w:rPr>
          <w:rFonts w:ascii="Times New Roman" w:hAnsi="Times New Roman" w:cs="Times New Roman"/>
        </w:rPr>
        <w:t xml:space="preserve"> ako napríklad z devízových termínovaných obchodov, z opčných obchodov, zákonná alebo zmluvná povinnosť odobrať určité produkty, napríklad z dodávateľských zmlúv a odberateľských zmlúv, povinnosti z nájomných zmlúv </w:t>
      </w:r>
      <w:r w:rsidRPr="0024687B">
        <w:rPr>
          <w:rFonts w:ascii="Times New Roman" w:hAnsi="Times New Roman" w:cs="Times New Roman"/>
        </w:rPr>
        <w:t>a podobn</w:t>
      </w:r>
      <w:r w:rsidRPr="004720C4">
        <w:rPr>
          <w:rFonts w:ascii="Times New Roman" w:hAnsi="Times New Roman" w:cs="Times New Roman"/>
        </w:rPr>
        <w:t>e.</w:t>
      </w:r>
      <w:r w:rsidR="00255FE8" w:rsidRPr="004720C4">
        <w:rPr>
          <w:rFonts w:ascii="Times New Roman" w:hAnsi="Times New Roman" w:cs="Times New Roman"/>
        </w:rPr>
        <w:t xml:space="preserve"> </w:t>
      </w:r>
    </w:p>
    <w:p w:rsidR="00D45FF6" w:rsidRDefault="00D45FF6" w:rsidP="00057082">
      <w:pPr>
        <w:pStyle w:val="Zarkazkladnhotextu1"/>
        <w:ind w:left="0" w:firstLine="709"/>
        <w:jc w:val="both"/>
        <w:rPr>
          <w:rFonts w:ascii="Times New Roman" w:hAnsi="Times New Roman" w:cs="Times New Roman"/>
        </w:rPr>
      </w:pPr>
      <w:r w:rsidRPr="00774976">
        <w:rPr>
          <w:rFonts w:ascii="Times New Roman" w:hAnsi="Times New Roman" w:cs="Times New Roman"/>
        </w:rPr>
        <w:t xml:space="preserve">Skutočný (možný) vplyv podmienených záväzkov na rozpočet </w:t>
      </w:r>
      <w:r w:rsidR="00057082" w:rsidRPr="00774976">
        <w:rPr>
          <w:rFonts w:ascii="Times New Roman" w:hAnsi="Times New Roman" w:cs="Times New Roman"/>
        </w:rPr>
        <w:t>verejnej správy</w:t>
      </w:r>
      <w:r w:rsidRPr="00774976">
        <w:rPr>
          <w:rFonts w:ascii="Times New Roman" w:hAnsi="Times New Roman" w:cs="Times New Roman"/>
        </w:rPr>
        <w:t xml:space="preserve"> závisí od skutočností, ktoré nie sú predmetom vykazovania v účtovných závierkach (napr. priebeh súdnych sporov a ich aktuálny stav, zhodnotenie merita sporov a</w:t>
      </w:r>
      <w:r w:rsidR="00F92B1C" w:rsidRPr="00774976">
        <w:rPr>
          <w:rFonts w:ascii="Times New Roman" w:hAnsi="Times New Roman" w:cs="Times New Roman"/>
        </w:rPr>
        <w:t xml:space="preserve"> čas </w:t>
      </w:r>
      <w:r w:rsidRPr="00774976">
        <w:rPr>
          <w:rFonts w:ascii="Times New Roman" w:hAnsi="Times New Roman" w:cs="Times New Roman"/>
        </w:rPr>
        <w:t>ich ukončeni</w:t>
      </w:r>
      <w:r w:rsidR="00F92B1C" w:rsidRPr="00774976">
        <w:rPr>
          <w:rFonts w:ascii="Times New Roman" w:hAnsi="Times New Roman" w:cs="Times New Roman"/>
        </w:rPr>
        <w:t>a</w:t>
      </w:r>
      <w:r w:rsidRPr="00774976">
        <w:rPr>
          <w:rFonts w:ascii="Times New Roman" w:hAnsi="Times New Roman" w:cs="Times New Roman"/>
        </w:rPr>
        <w:t>)</w:t>
      </w:r>
      <w:r w:rsidR="002A41C9" w:rsidRPr="00774976">
        <w:rPr>
          <w:rFonts w:ascii="Times New Roman" w:hAnsi="Times New Roman" w:cs="Times New Roman"/>
        </w:rPr>
        <w:t>. Preto uvedenú hodnotu</w:t>
      </w:r>
      <w:r w:rsidRPr="00774976">
        <w:rPr>
          <w:rFonts w:ascii="Times New Roman" w:hAnsi="Times New Roman" w:cs="Times New Roman"/>
        </w:rPr>
        <w:t xml:space="preserve"> </w:t>
      </w:r>
      <w:r w:rsidR="00F92B1C" w:rsidRPr="00774976">
        <w:rPr>
          <w:rFonts w:ascii="Times New Roman" w:hAnsi="Times New Roman" w:cs="Times New Roman"/>
        </w:rPr>
        <w:t>nie je možné stotožňovať s rozpočtovými potrebami na príslušný rozpočtový rok.</w:t>
      </w:r>
    </w:p>
    <w:p w:rsidR="008069D2" w:rsidRPr="00D004AC" w:rsidRDefault="001079EB" w:rsidP="00057082">
      <w:pPr>
        <w:pStyle w:val="Zarkazkladnhotextu1"/>
        <w:ind w:left="0" w:firstLine="709"/>
        <w:jc w:val="both"/>
        <w:rPr>
          <w:rFonts w:ascii="Times New Roman" w:hAnsi="Times New Roman" w:cs="Times New Roman"/>
        </w:rPr>
      </w:pPr>
      <w:r>
        <w:rPr>
          <w:rFonts w:ascii="Times New Roman" w:hAnsi="Times New Roman" w:cs="Times New Roman"/>
        </w:rPr>
        <w:t>H</w:t>
      </w:r>
      <w:r w:rsidR="00CE1448">
        <w:rPr>
          <w:rFonts w:ascii="Times New Roman" w:hAnsi="Times New Roman" w:cs="Times New Roman"/>
        </w:rPr>
        <w:t>odnota</w:t>
      </w:r>
      <w:r w:rsidR="008B3CD7" w:rsidRPr="001079EB">
        <w:rPr>
          <w:rFonts w:ascii="Times New Roman" w:hAnsi="Times New Roman" w:cs="Times New Roman"/>
          <w:vertAlign w:val="superscript"/>
        </w:rPr>
        <w:footnoteReference w:id="2"/>
      </w:r>
      <w:r w:rsidR="00CE1448">
        <w:rPr>
          <w:rFonts w:ascii="Times New Roman" w:hAnsi="Times New Roman" w:cs="Times New Roman"/>
        </w:rPr>
        <w:t xml:space="preserve"> podmienených záväzkov k 31.</w:t>
      </w:r>
      <w:r w:rsidR="00057082">
        <w:rPr>
          <w:rFonts w:ascii="Times New Roman" w:hAnsi="Times New Roman" w:cs="Times New Roman"/>
        </w:rPr>
        <w:t xml:space="preserve"> </w:t>
      </w:r>
      <w:r w:rsidR="00CE1448">
        <w:rPr>
          <w:rFonts w:ascii="Times New Roman" w:hAnsi="Times New Roman" w:cs="Times New Roman"/>
        </w:rPr>
        <w:t>12.</w:t>
      </w:r>
      <w:r w:rsidR="00057082">
        <w:rPr>
          <w:rFonts w:ascii="Times New Roman" w:hAnsi="Times New Roman" w:cs="Times New Roman"/>
        </w:rPr>
        <w:t xml:space="preserve"> </w:t>
      </w:r>
      <w:r w:rsidR="00CE1448">
        <w:rPr>
          <w:rFonts w:ascii="Times New Roman" w:hAnsi="Times New Roman" w:cs="Times New Roman"/>
        </w:rPr>
        <w:t>201</w:t>
      </w:r>
      <w:r w:rsidR="005B13D2">
        <w:rPr>
          <w:rFonts w:ascii="Times New Roman" w:hAnsi="Times New Roman" w:cs="Times New Roman"/>
        </w:rPr>
        <w:t>7</w:t>
      </w:r>
      <w:r w:rsidR="00CE1448">
        <w:rPr>
          <w:rFonts w:ascii="Times New Roman" w:hAnsi="Times New Roman" w:cs="Times New Roman"/>
        </w:rPr>
        <w:t xml:space="preserve"> dosiahla úhrnom</w:t>
      </w:r>
      <w:r w:rsidR="00CA56A0">
        <w:rPr>
          <w:rFonts w:ascii="Times New Roman" w:hAnsi="Times New Roman" w:cs="Times New Roman"/>
        </w:rPr>
        <w:t xml:space="preserve"> </w:t>
      </w:r>
      <w:r>
        <w:rPr>
          <w:rFonts w:ascii="Times New Roman" w:hAnsi="Times New Roman" w:cs="Times New Roman"/>
        </w:rPr>
        <w:t>13 827 308</w:t>
      </w:r>
      <w:r w:rsidR="00077314">
        <w:rPr>
          <w:rFonts w:ascii="Times New Roman" w:hAnsi="Times New Roman" w:cs="Times New Roman"/>
        </w:rPr>
        <w:t xml:space="preserve"> tis. eur</w:t>
      </w:r>
      <w:r w:rsidR="001A294F">
        <w:rPr>
          <w:rFonts w:ascii="Times New Roman" w:hAnsi="Times New Roman" w:cs="Times New Roman"/>
        </w:rPr>
        <w:t>.</w:t>
      </w:r>
      <w:r w:rsidR="00077314">
        <w:rPr>
          <w:rFonts w:ascii="Times New Roman" w:hAnsi="Times New Roman"/>
        </w:rPr>
        <w:t xml:space="preserve"> P</w:t>
      </w:r>
      <w:r w:rsidR="00436449" w:rsidRPr="0024687B">
        <w:rPr>
          <w:rFonts w:ascii="Times New Roman" w:hAnsi="Times New Roman"/>
        </w:rPr>
        <w:t xml:space="preserve">odmienené záväzky podľa jednotlivých </w:t>
      </w:r>
      <w:r w:rsidR="00E5400E">
        <w:rPr>
          <w:rFonts w:ascii="Times New Roman" w:hAnsi="Times New Roman"/>
        </w:rPr>
        <w:t xml:space="preserve">skupín </w:t>
      </w:r>
      <w:r w:rsidR="00FA7F29">
        <w:rPr>
          <w:rFonts w:ascii="Times New Roman" w:hAnsi="Times New Roman"/>
        </w:rPr>
        <w:t>subjektov</w:t>
      </w:r>
      <w:r w:rsidR="00436449" w:rsidRPr="0024687B">
        <w:rPr>
          <w:rFonts w:ascii="Times New Roman" w:hAnsi="Times New Roman"/>
        </w:rPr>
        <w:t xml:space="preserve"> </w:t>
      </w:r>
      <w:r w:rsidR="00077314">
        <w:rPr>
          <w:rFonts w:ascii="Times New Roman" w:hAnsi="Times New Roman"/>
        </w:rPr>
        <w:t>sú nasledovné</w:t>
      </w:r>
      <w:r w:rsidR="00436449" w:rsidRPr="0024687B">
        <w:rPr>
          <w:rFonts w:ascii="Times New Roman" w:hAnsi="Times New Roman"/>
        </w:rPr>
        <w:t xml:space="preserve">: </w:t>
      </w:r>
    </w:p>
    <w:p w:rsidR="009D4A81" w:rsidRPr="00512914" w:rsidRDefault="00057082" w:rsidP="00512914">
      <w:pPr>
        <w:spacing w:after="0" w:line="240" w:lineRule="auto"/>
        <w:jc w:val="both"/>
        <w:rPr>
          <w:rFonts w:ascii="Times New Roman" w:hAnsi="Times New Roman"/>
          <w:sz w:val="16"/>
          <w:szCs w:val="20"/>
        </w:rPr>
      </w:pPr>
      <w:r>
        <w:rPr>
          <w:rFonts w:ascii="Times New Roman" w:hAnsi="Times New Roman"/>
          <w:sz w:val="16"/>
          <w:szCs w:val="20"/>
        </w:rPr>
        <w:t xml:space="preserve"> </w:t>
      </w:r>
      <w:r w:rsidR="00C74671">
        <w:rPr>
          <w:rFonts w:ascii="Times New Roman" w:hAnsi="Times New Roman"/>
          <w:sz w:val="16"/>
          <w:szCs w:val="20"/>
        </w:rPr>
        <w:t xml:space="preserve"> </w:t>
      </w:r>
      <w:r w:rsidR="00863D60" w:rsidRPr="00512914">
        <w:rPr>
          <w:rFonts w:ascii="Times New Roman" w:hAnsi="Times New Roman"/>
          <w:sz w:val="16"/>
          <w:szCs w:val="20"/>
        </w:rPr>
        <w:t>Tab. 1</w:t>
      </w:r>
      <w:r w:rsidR="00D62962" w:rsidRPr="00512914">
        <w:rPr>
          <w:rFonts w:ascii="Times New Roman" w:hAnsi="Times New Roman"/>
          <w:sz w:val="16"/>
          <w:szCs w:val="20"/>
        </w:rPr>
        <w:tab/>
      </w:r>
      <w:r w:rsidR="00D62962" w:rsidRPr="00512914">
        <w:rPr>
          <w:rFonts w:ascii="Times New Roman" w:hAnsi="Times New Roman"/>
          <w:sz w:val="16"/>
          <w:szCs w:val="20"/>
        </w:rPr>
        <w:tab/>
      </w:r>
      <w:r w:rsidR="00D62962" w:rsidRPr="00512914">
        <w:rPr>
          <w:rFonts w:ascii="Times New Roman" w:hAnsi="Times New Roman"/>
          <w:sz w:val="16"/>
          <w:szCs w:val="20"/>
        </w:rPr>
        <w:tab/>
      </w:r>
      <w:r w:rsidR="00D62962" w:rsidRPr="00512914">
        <w:rPr>
          <w:rFonts w:ascii="Times New Roman" w:hAnsi="Times New Roman"/>
          <w:sz w:val="16"/>
          <w:szCs w:val="20"/>
        </w:rPr>
        <w:tab/>
        <w:t xml:space="preserve"> </w:t>
      </w:r>
      <w:r w:rsidR="00D62962" w:rsidRPr="00512914">
        <w:rPr>
          <w:rFonts w:ascii="Times New Roman" w:hAnsi="Times New Roman"/>
          <w:sz w:val="16"/>
          <w:szCs w:val="20"/>
        </w:rPr>
        <w:tab/>
      </w:r>
      <w:r w:rsidR="009D4A81" w:rsidRPr="00512914">
        <w:rPr>
          <w:rFonts w:ascii="Times New Roman" w:hAnsi="Times New Roman"/>
          <w:sz w:val="16"/>
          <w:szCs w:val="20"/>
        </w:rPr>
        <w:tab/>
      </w:r>
      <w:r w:rsidR="009D4A81" w:rsidRPr="00512914">
        <w:rPr>
          <w:rFonts w:ascii="Times New Roman" w:hAnsi="Times New Roman"/>
          <w:sz w:val="16"/>
          <w:szCs w:val="20"/>
        </w:rPr>
        <w:tab/>
      </w:r>
      <w:r w:rsidR="00512914">
        <w:rPr>
          <w:rFonts w:ascii="Times New Roman" w:hAnsi="Times New Roman"/>
          <w:sz w:val="16"/>
          <w:szCs w:val="20"/>
        </w:rPr>
        <w:t xml:space="preserve">     </w:t>
      </w:r>
      <w:r w:rsidR="009D4A81" w:rsidRPr="00512914">
        <w:rPr>
          <w:rFonts w:ascii="Times New Roman" w:hAnsi="Times New Roman"/>
          <w:sz w:val="16"/>
          <w:szCs w:val="20"/>
        </w:rPr>
        <w:tab/>
      </w:r>
      <w:r w:rsidR="00512914">
        <w:rPr>
          <w:rFonts w:ascii="Times New Roman" w:hAnsi="Times New Roman"/>
          <w:sz w:val="16"/>
          <w:szCs w:val="20"/>
        </w:rPr>
        <w:t xml:space="preserve">                                                                  </w:t>
      </w:r>
      <w:r w:rsidR="009D4A81" w:rsidRPr="00512914">
        <w:rPr>
          <w:rFonts w:ascii="Times New Roman" w:hAnsi="Times New Roman"/>
          <w:sz w:val="16"/>
          <w:szCs w:val="20"/>
        </w:rPr>
        <w:t>(v tis. eur)</w:t>
      </w: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1728"/>
        <w:gridCol w:w="1728"/>
        <w:gridCol w:w="1600"/>
      </w:tblGrid>
      <w:tr w:rsidR="00A56792" w:rsidRPr="00B34ACE" w:rsidTr="00C74671">
        <w:trPr>
          <w:trHeight w:val="345"/>
          <w:jc w:val="center"/>
        </w:trPr>
        <w:tc>
          <w:tcPr>
            <w:tcW w:w="2165" w:type="pct"/>
            <w:shd w:val="clear" w:color="auto" w:fill="A6A6A6" w:themeFill="background1" w:themeFillShade="A6"/>
            <w:vAlign w:val="center"/>
            <w:hideMark/>
          </w:tcPr>
          <w:p w:rsidR="00A56792" w:rsidRPr="00B34ACE" w:rsidRDefault="00A56792" w:rsidP="00A56792">
            <w:pPr>
              <w:spacing w:after="0" w:line="240" w:lineRule="auto"/>
              <w:jc w:val="center"/>
              <w:rPr>
                <w:rFonts w:ascii="Times New Roman" w:hAnsi="Times New Roman"/>
                <w:b/>
                <w:sz w:val="16"/>
                <w:szCs w:val="16"/>
                <w:lang w:eastAsia="sk-SK"/>
              </w:rPr>
            </w:pPr>
            <w:r w:rsidRPr="00B34ACE">
              <w:rPr>
                <w:rFonts w:ascii="Times New Roman" w:hAnsi="Times New Roman"/>
                <w:b/>
                <w:sz w:val="16"/>
                <w:szCs w:val="16"/>
                <w:lang w:eastAsia="sk-SK"/>
              </w:rPr>
              <w:t>Subjekty</w:t>
            </w:r>
          </w:p>
        </w:tc>
        <w:tc>
          <w:tcPr>
            <w:tcW w:w="969" w:type="pct"/>
            <w:shd w:val="clear" w:color="auto" w:fill="A6A6A6" w:themeFill="background1" w:themeFillShade="A6"/>
            <w:vAlign w:val="center"/>
          </w:tcPr>
          <w:p w:rsidR="00A56792" w:rsidRPr="00B34ACE" w:rsidRDefault="00A56792" w:rsidP="00A56792">
            <w:pPr>
              <w:spacing w:after="0" w:line="240" w:lineRule="auto"/>
              <w:jc w:val="center"/>
              <w:rPr>
                <w:rFonts w:ascii="Times New Roman" w:hAnsi="Times New Roman"/>
                <w:b/>
                <w:sz w:val="16"/>
                <w:szCs w:val="16"/>
                <w:lang w:eastAsia="sk-SK"/>
              </w:rPr>
            </w:pPr>
            <w:r w:rsidRPr="00B34ACE">
              <w:rPr>
                <w:rFonts w:ascii="Times New Roman" w:hAnsi="Times New Roman"/>
                <w:b/>
                <w:sz w:val="16"/>
                <w:szCs w:val="16"/>
                <w:lang w:eastAsia="sk-SK"/>
              </w:rPr>
              <w:t>Hodnota k </w:t>
            </w:r>
          </w:p>
          <w:p w:rsidR="00A56792" w:rsidRPr="00B34ACE" w:rsidRDefault="00A56792" w:rsidP="00A56792">
            <w:pPr>
              <w:spacing w:after="0" w:line="240" w:lineRule="auto"/>
              <w:jc w:val="center"/>
              <w:rPr>
                <w:rFonts w:ascii="Times New Roman" w:hAnsi="Times New Roman"/>
                <w:b/>
                <w:sz w:val="16"/>
                <w:szCs w:val="16"/>
                <w:lang w:eastAsia="sk-SK"/>
              </w:rPr>
            </w:pPr>
            <w:r w:rsidRPr="00B34ACE">
              <w:rPr>
                <w:rFonts w:ascii="Times New Roman" w:hAnsi="Times New Roman"/>
                <w:b/>
                <w:sz w:val="16"/>
                <w:szCs w:val="16"/>
                <w:lang w:eastAsia="sk-SK"/>
              </w:rPr>
              <w:t>31. 12. 201</w:t>
            </w:r>
            <w:r>
              <w:rPr>
                <w:rFonts w:ascii="Times New Roman" w:hAnsi="Times New Roman"/>
                <w:b/>
                <w:sz w:val="16"/>
                <w:szCs w:val="16"/>
                <w:lang w:eastAsia="sk-SK"/>
              </w:rPr>
              <w:t>5</w:t>
            </w:r>
          </w:p>
        </w:tc>
        <w:tc>
          <w:tcPr>
            <w:tcW w:w="969" w:type="pct"/>
            <w:shd w:val="clear" w:color="auto" w:fill="A6A6A6" w:themeFill="background1" w:themeFillShade="A6"/>
            <w:vAlign w:val="center"/>
          </w:tcPr>
          <w:p w:rsidR="00A56792" w:rsidRPr="00B34ACE" w:rsidRDefault="00A56792" w:rsidP="00A56792">
            <w:pPr>
              <w:spacing w:after="0" w:line="240" w:lineRule="auto"/>
              <w:jc w:val="center"/>
              <w:rPr>
                <w:rFonts w:ascii="Times New Roman" w:hAnsi="Times New Roman"/>
                <w:b/>
                <w:sz w:val="16"/>
                <w:szCs w:val="16"/>
                <w:lang w:eastAsia="sk-SK"/>
              </w:rPr>
            </w:pPr>
            <w:r w:rsidRPr="00B34ACE">
              <w:rPr>
                <w:rFonts w:ascii="Times New Roman" w:hAnsi="Times New Roman"/>
                <w:b/>
                <w:sz w:val="16"/>
                <w:szCs w:val="16"/>
                <w:lang w:eastAsia="sk-SK"/>
              </w:rPr>
              <w:t>Hodnota k </w:t>
            </w:r>
          </w:p>
          <w:p w:rsidR="00A56792" w:rsidRPr="00B34ACE" w:rsidRDefault="00A56792" w:rsidP="00A56792">
            <w:pPr>
              <w:spacing w:after="0" w:line="240" w:lineRule="auto"/>
              <w:jc w:val="center"/>
              <w:rPr>
                <w:rFonts w:ascii="Times New Roman" w:hAnsi="Times New Roman"/>
                <w:b/>
                <w:sz w:val="16"/>
                <w:szCs w:val="16"/>
                <w:lang w:eastAsia="sk-SK"/>
              </w:rPr>
            </w:pPr>
            <w:r w:rsidRPr="00B34ACE">
              <w:rPr>
                <w:rFonts w:ascii="Times New Roman" w:hAnsi="Times New Roman"/>
                <w:b/>
                <w:sz w:val="16"/>
                <w:szCs w:val="16"/>
                <w:lang w:eastAsia="sk-SK"/>
              </w:rPr>
              <w:t>31. 12. 201</w:t>
            </w:r>
            <w:r>
              <w:rPr>
                <w:rFonts w:ascii="Times New Roman" w:hAnsi="Times New Roman"/>
                <w:b/>
                <w:sz w:val="16"/>
                <w:szCs w:val="16"/>
                <w:lang w:eastAsia="sk-SK"/>
              </w:rPr>
              <w:t>6</w:t>
            </w:r>
          </w:p>
        </w:tc>
        <w:tc>
          <w:tcPr>
            <w:tcW w:w="898" w:type="pct"/>
            <w:shd w:val="clear" w:color="auto" w:fill="A6A6A6" w:themeFill="background1" w:themeFillShade="A6"/>
            <w:vAlign w:val="center"/>
          </w:tcPr>
          <w:p w:rsidR="00A56792" w:rsidRPr="00B34ACE" w:rsidRDefault="00A56792" w:rsidP="00A56792">
            <w:pPr>
              <w:spacing w:after="0" w:line="240" w:lineRule="auto"/>
              <w:jc w:val="center"/>
              <w:rPr>
                <w:rFonts w:ascii="Times New Roman" w:hAnsi="Times New Roman"/>
                <w:b/>
                <w:sz w:val="16"/>
                <w:szCs w:val="16"/>
                <w:lang w:eastAsia="sk-SK"/>
              </w:rPr>
            </w:pPr>
            <w:r w:rsidRPr="00B34ACE">
              <w:rPr>
                <w:rFonts w:ascii="Times New Roman" w:hAnsi="Times New Roman"/>
                <w:b/>
                <w:sz w:val="16"/>
                <w:szCs w:val="16"/>
                <w:lang w:eastAsia="sk-SK"/>
              </w:rPr>
              <w:t>Hodnota k </w:t>
            </w:r>
          </w:p>
          <w:p w:rsidR="00A56792" w:rsidRPr="00B34ACE" w:rsidRDefault="00A56792" w:rsidP="00A56792">
            <w:pPr>
              <w:spacing w:after="0" w:line="240" w:lineRule="auto"/>
              <w:jc w:val="center"/>
              <w:rPr>
                <w:rFonts w:ascii="Times New Roman" w:hAnsi="Times New Roman"/>
                <w:b/>
                <w:sz w:val="16"/>
                <w:szCs w:val="16"/>
                <w:lang w:eastAsia="sk-SK"/>
              </w:rPr>
            </w:pPr>
            <w:r w:rsidRPr="00B34ACE">
              <w:rPr>
                <w:rFonts w:ascii="Times New Roman" w:hAnsi="Times New Roman"/>
                <w:b/>
                <w:sz w:val="16"/>
                <w:szCs w:val="16"/>
                <w:lang w:eastAsia="sk-SK"/>
              </w:rPr>
              <w:t>31. 12. 201</w:t>
            </w:r>
            <w:r>
              <w:rPr>
                <w:rFonts w:ascii="Times New Roman" w:hAnsi="Times New Roman"/>
                <w:b/>
                <w:sz w:val="16"/>
                <w:szCs w:val="16"/>
                <w:lang w:eastAsia="sk-SK"/>
              </w:rPr>
              <w:t>7</w:t>
            </w:r>
          </w:p>
        </w:tc>
      </w:tr>
      <w:tr w:rsidR="00A56792" w:rsidRPr="00B34ACE" w:rsidTr="00C74671">
        <w:trPr>
          <w:trHeight w:val="330"/>
          <w:jc w:val="center"/>
        </w:trPr>
        <w:tc>
          <w:tcPr>
            <w:tcW w:w="2165" w:type="pct"/>
            <w:vAlign w:val="center"/>
          </w:tcPr>
          <w:p w:rsidR="00A56792" w:rsidRPr="00B34ACE" w:rsidRDefault="00A56792" w:rsidP="00A56792">
            <w:pPr>
              <w:spacing w:after="0" w:line="240" w:lineRule="auto"/>
              <w:rPr>
                <w:rFonts w:ascii="Times New Roman" w:hAnsi="Times New Roman"/>
                <w:sz w:val="16"/>
                <w:szCs w:val="16"/>
                <w:lang w:eastAsia="sk-SK"/>
              </w:rPr>
            </w:pPr>
            <w:r w:rsidRPr="00B34ACE">
              <w:rPr>
                <w:rFonts w:ascii="Times New Roman" w:hAnsi="Times New Roman"/>
                <w:sz w:val="16"/>
                <w:szCs w:val="16"/>
                <w:lang w:eastAsia="sk-SK"/>
              </w:rPr>
              <w:t>Ústredná správa a podniky štátnej správy</w:t>
            </w:r>
          </w:p>
        </w:tc>
        <w:tc>
          <w:tcPr>
            <w:tcW w:w="969" w:type="pct"/>
            <w:vAlign w:val="center"/>
          </w:tcPr>
          <w:p w:rsidR="00A56792" w:rsidRPr="00B34ACE" w:rsidRDefault="008C5773" w:rsidP="00A56792">
            <w:pPr>
              <w:spacing w:after="0" w:line="240" w:lineRule="auto"/>
              <w:jc w:val="right"/>
              <w:rPr>
                <w:rFonts w:ascii="Times New Roman" w:hAnsi="Times New Roman"/>
                <w:sz w:val="16"/>
                <w:szCs w:val="16"/>
                <w:lang w:eastAsia="sk-SK"/>
              </w:rPr>
            </w:pPr>
            <w:r>
              <w:rPr>
                <w:rFonts w:ascii="Times New Roman" w:hAnsi="Times New Roman"/>
                <w:sz w:val="16"/>
                <w:szCs w:val="16"/>
                <w:lang w:eastAsia="sk-SK"/>
              </w:rPr>
              <w:t>13 228 220</w:t>
            </w:r>
          </w:p>
        </w:tc>
        <w:tc>
          <w:tcPr>
            <w:tcW w:w="969" w:type="pct"/>
            <w:vAlign w:val="center"/>
          </w:tcPr>
          <w:p w:rsidR="00A56792" w:rsidRPr="00B34ACE" w:rsidRDefault="00A56792" w:rsidP="00A56792">
            <w:pPr>
              <w:spacing w:after="0" w:line="240" w:lineRule="auto"/>
              <w:jc w:val="right"/>
              <w:rPr>
                <w:rFonts w:ascii="Times New Roman" w:hAnsi="Times New Roman"/>
                <w:sz w:val="16"/>
                <w:szCs w:val="16"/>
                <w:lang w:eastAsia="sk-SK"/>
              </w:rPr>
            </w:pPr>
            <w:r w:rsidRPr="00B34ACE">
              <w:rPr>
                <w:rFonts w:ascii="Times New Roman" w:hAnsi="Times New Roman"/>
                <w:sz w:val="16"/>
                <w:szCs w:val="16"/>
                <w:lang w:eastAsia="sk-SK"/>
              </w:rPr>
              <w:t>12 925 751</w:t>
            </w:r>
          </w:p>
        </w:tc>
        <w:tc>
          <w:tcPr>
            <w:tcW w:w="898" w:type="pct"/>
            <w:vAlign w:val="center"/>
          </w:tcPr>
          <w:p w:rsidR="00A56792" w:rsidRPr="00B34ACE" w:rsidRDefault="00A56792" w:rsidP="00A56792">
            <w:pPr>
              <w:spacing w:after="0" w:line="240" w:lineRule="auto"/>
              <w:jc w:val="right"/>
              <w:rPr>
                <w:rFonts w:ascii="Times New Roman" w:hAnsi="Times New Roman"/>
                <w:sz w:val="16"/>
                <w:szCs w:val="16"/>
                <w:lang w:eastAsia="sk-SK"/>
              </w:rPr>
            </w:pPr>
            <w:r>
              <w:rPr>
                <w:rFonts w:ascii="Times New Roman" w:hAnsi="Times New Roman"/>
                <w:sz w:val="16"/>
                <w:szCs w:val="16"/>
                <w:lang w:eastAsia="sk-SK"/>
              </w:rPr>
              <w:t>13 778 276</w:t>
            </w:r>
          </w:p>
        </w:tc>
      </w:tr>
      <w:tr w:rsidR="00A56792" w:rsidRPr="00B34ACE" w:rsidTr="00C74671">
        <w:trPr>
          <w:trHeight w:val="330"/>
          <w:jc w:val="center"/>
        </w:trPr>
        <w:tc>
          <w:tcPr>
            <w:tcW w:w="2165" w:type="pct"/>
            <w:vAlign w:val="center"/>
          </w:tcPr>
          <w:p w:rsidR="00A56792" w:rsidRPr="00B34ACE" w:rsidRDefault="00A56792" w:rsidP="00A56792">
            <w:pPr>
              <w:spacing w:after="0" w:line="240" w:lineRule="auto"/>
              <w:rPr>
                <w:rFonts w:ascii="Times New Roman" w:hAnsi="Times New Roman"/>
                <w:sz w:val="16"/>
                <w:szCs w:val="16"/>
                <w:lang w:eastAsia="sk-SK"/>
              </w:rPr>
            </w:pPr>
            <w:r w:rsidRPr="00B34ACE">
              <w:rPr>
                <w:rFonts w:ascii="Times New Roman" w:hAnsi="Times New Roman"/>
                <w:sz w:val="16"/>
                <w:szCs w:val="16"/>
                <w:lang w:eastAsia="sk-SK"/>
              </w:rPr>
              <w:t>Vyššie územné celky a ich rozpočtové a príspevkové organizácie a podniky územnej samosprávy</w:t>
            </w:r>
          </w:p>
        </w:tc>
        <w:tc>
          <w:tcPr>
            <w:tcW w:w="969" w:type="pct"/>
            <w:vAlign w:val="center"/>
          </w:tcPr>
          <w:p w:rsidR="00A56792" w:rsidRPr="00B34ACE" w:rsidRDefault="008C5773" w:rsidP="00A56792">
            <w:pPr>
              <w:spacing w:after="0" w:line="240" w:lineRule="auto"/>
              <w:jc w:val="right"/>
              <w:rPr>
                <w:rFonts w:ascii="Times New Roman" w:hAnsi="Times New Roman"/>
                <w:sz w:val="16"/>
                <w:szCs w:val="16"/>
                <w:lang w:eastAsia="sk-SK"/>
              </w:rPr>
            </w:pPr>
            <w:r>
              <w:rPr>
                <w:rFonts w:ascii="Times New Roman" w:hAnsi="Times New Roman"/>
                <w:sz w:val="16"/>
                <w:szCs w:val="16"/>
                <w:lang w:eastAsia="sk-SK"/>
              </w:rPr>
              <w:t>2 615</w:t>
            </w:r>
          </w:p>
        </w:tc>
        <w:tc>
          <w:tcPr>
            <w:tcW w:w="969" w:type="pct"/>
            <w:vAlign w:val="center"/>
          </w:tcPr>
          <w:p w:rsidR="00A56792" w:rsidRPr="00B34ACE" w:rsidRDefault="00A56792" w:rsidP="00A56792">
            <w:pPr>
              <w:spacing w:after="0" w:line="240" w:lineRule="auto"/>
              <w:jc w:val="right"/>
              <w:rPr>
                <w:rFonts w:ascii="Times New Roman" w:hAnsi="Times New Roman"/>
                <w:sz w:val="16"/>
                <w:szCs w:val="16"/>
                <w:lang w:eastAsia="sk-SK"/>
              </w:rPr>
            </w:pPr>
            <w:r w:rsidRPr="00B34ACE">
              <w:rPr>
                <w:rFonts w:ascii="Times New Roman" w:hAnsi="Times New Roman"/>
                <w:sz w:val="16"/>
                <w:szCs w:val="16"/>
                <w:lang w:eastAsia="sk-SK"/>
              </w:rPr>
              <w:t>1 247</w:t>
            </w:r>
          </w:p>
        </w:tc>
        <w:tc>
          <w:tcPr>
            <w:tcW w:w="898" w:type="pct"/>
            <w:vAlign w:val="center"/>
          </w:tcPr>
          <w:p w:rsidR="00A56792" w:rsidRPr="00B34ACE" w:rsidRDefault="00A56792" w:rsidP="00A56792">
            <w:pPr>
              <w:spacing w:after="0" w:line="240" w:lineRule="auto"/>
              <w:jc w:val="right"/>
              <w:rPr>
                <w:rFonts w:ascii="Times New Roman" w:hAnsi="Times New Roman"/>
                <w:sz w:val="16"/>
                <w:szCs w:val="16"/>
                <w:lang w:eastAsia="sk-SK"/>
              </w:rPr>
            </w:pPr>
            <w:r>
              <w:rPr>
                <w:rFonts w:ascii="Times New Roman" w:hAnsi="Times New Roman"/>
                <w:sz w:val="16"/>
                <w:szCs w:val="16"/>
                <w:lang w:eastAsia="sk-SK"/>
              </w:rPr>
              <w:t>510</w:t>
            </w:r>
          </w:p>
        </w:tc>
      </w:tr>
      <w:tr w:rsidR="00A56792" w:rsidRPr="00B34ACE" w:rsidTr="00C74671">
        <w:trPr>
          <w:trHeight w:val="330"/>
          <w:jc w:val="center"/>
        </w:trPr>
        <w:tc>
          <w:tcPr>
            <w:tcW w:w="2165" w:type="pct"/>
            <w:vAlign w:val="center"/>
          </w:tcPr>
          <w:p w:rsidR="00A56792" w:rsidRPr="00B34ACE" w:rsidRDefault="00A56792" w:rsidP="00A56792">
            <w:pPr>
              <w:spacing w:after="0" w:line="240" w:lineRule="auto"/>
              <w:rPr>
                <w:rFonts w:ascii="Times New Roman" w:hAnsi="Times New Roman"/>
                <w:sz w:val="16"/>
                <w:szCs w:val="16"/>
                <w:lang w:eastAsia="sk-SK"/>
              </w:rPr>
            </w:pPr>
            <w:r w:rsidRPr="00B34ACE">
              <w:rPr>
                <w:rFonts w:ascii="Times New Roman" w:hAnsi="Times New Roman"/>
                <w:sz w:val="16"/>
                <w:szCs w:val="16"/>
                <w:lang w:eastAsia="sk-SK"/>
              </w:rPr>
              <w:t>Obce a ich rozpočtové a príspevkové organizácie a podniky územnej samosprávy</w:t>
            </w:r>
          </w:p>
        </w:tc>
        <w:tc>
          <w:tcPr>
            <w:tcW w:w="969" w:type="pct"/>
            <w:vAlign w:val="center"/>
          </w:tcPr>
          <w:p w:rsidR="00A56792" w:rsidRPr="00B34ACE" w:rsidRDefault="008C5773" w:rsidP="00A56792">
            <w:pPr>
              <w:spacing w:after="0" w:line="240" w:lineRule="auto"/>
              <w:jc w:val="right"/>
              <w:rPr>
                <w:rFonts w:ascii="Times New Roman" w:hAnsi="Times New Roman"/>
                <w:sz w:val="16"/>
                <w:szCs w:val="16"/>
                <w:lang w:eastAsia="sk-SK"/>
              </w:rPr>
            </w:pPr>
            <w:r>
              <w:rPr>
                <w:rFonts w:ascii="Times New Roman" w:hAnsi="Times New Roman"/>
                <w:sz w:val="16"/>
                <w:szCs w:val="16"/>
                <w:lang w:eastAsia="sk-SK"/>
              </w:rPr>
              <w:t>40 508</w:t>
            </w:r>
          </w:p>
        </w:tc>
        <w:tc>
          <w:tcPr>
            <w:tcW w:w="969" w:type="pct"/>
            <w:vAlign w:val="center"/>
          </w:tcPr>
          <w:p w:rsidR="00A56792" w:rsidRPr="00B34ACE" w:rsidRDefault="00A56792" w:rsidP="00A56792">
            <w:pPr>
              <w:spacing w:after="0" w:line="240" w:lineRule="auto"/>
              <w:jc w:val="right"/>
              <w:rPr>
                <w:rFonts w:ascii="Times New Roman" w:hAnsi="Times New Roman"/>
                <w:sz w:val="16"/>
                <w:szCs w:val="16"/>
                <w:lang w:eastAsia="sk-SK"/>
              </w:rPr>
            </w:pPr>
            <w:r w:rsidRPr="00B34ACE">
              <w:rPr>
                <w:rFonts w:ascii="Times New Roman" w:hAnsi="Times New Roman"/>
                <w:sz w:val="16"/>
                <w:szCs w:val="16"/>
                <w:lang w:eastAsia="sk-SK"/>
              </w:rPr>
              <w:t>21 477</w:t>
            </w:r>
          </w:p>
        </w:tc>
        <w:tc>
          <w:tcPr>
            <w:tcW w:w="898" w:type="pct"/>
            <w:vAlign w:val="center"/>
          </w:tcPr>
          <w:p w:rsidR="00A56792" w:rsidRPr="00B34ACE" w:rsidRDefault="00A56792" w:rsidP="00A56792">
            <w:pPr>
              <w:spacing w:after="0" w:line="240" w:lineRule="auto"/>
              <w:jc w:val="right"/>
              <w:rPr>
                <w:rFonts w:ascii="Times New Roman" w:hAnsi="Times New Roman"/>
                <w:sz w:val="16"/>
                <w:szCs w:val="16"/>
                <w:lang w:eastAsia="sk-SK"/>
              </w:rPr>
            </w:pPr>
            <w:r>
              <w:rPr>
                <w:rFonts w:ascii="Times New Roman" w:hAnsi="Times New Roman"/>
                <w:sz w:val="16"/>
                <w:szCs w:val="16"/>
                <w:lang w:eastAsia="sk-SK"/>
              </w:rPr>
              <w:t>48 522</w:t>
            </w:r>
          </w:p>
        </w:tc>
      </w:tr>
      <w:tr w:rsidR="00A56792" w:rsidRPr="00B34ACE" w:rsidTr="00C74671">
        <w:trPr>
          <w:trHeight w:val="324"/>
          <w:jc w:val="center"/>
        </w:trPr>
        <w:tc>
          <w:tcPr>
            <w:tcW w:w="2165" w:type="pct"/>
            <w:shd w:val="clear" w:color="auto" w:fill="BFBFBF" w:themeFill="background1" w:themeFillShade="BF"/>
            <w:noWrap/>
            <w:vAlign w:val="center"/>
            <w:hideMark/>
          </w:tcPr>
          <w:p w:rsidR="00A56792" w:rsidRPr="00B34ACE" w:rsidRDefault="00A56792" w:rsidP="00A56792">
            <w:pPr>
              <w:spacing w:after="0" w:line="240" w:lineRule="auto"/>
              <w:rPr>
                <w:rFonts w:ascii="Times New Roman" w:hAnsi="Times New Roman"/>
                <w:b/>
                <w:bCs/>
                <w:sz w:val="16"/>
                <w:szCs w:val="16"/>
                <w:lang w:eastAsia="sk-SK"/>
              </w:rPr>
            </w:pPr>
            <w:r w:rsidRPr="00B34ACE">
              <w:rPr>
                <w:rFonts w:ascii="Times New Roman" w:hAnsi="Times New Roman"/>
                <w:b/>
                <w:bCs/>
                <w:sz w:val="16"/>
                <w:szCs w:val="16"/>
                <w:lang w:eastAsia="sk-SK"/>
              </w:rPr>
              <w:t xml:space="preserve">Spolu  </w:t>
            </w:r>
          </w:p>
        </w:tc>
        <w:tc>
          <w:tcPr>
            <w:tcW w:w="969" w:type="pct"/>
            <w:shd w:val="clear" w:color="auto" w:fill="BFBFBF" w:themeFill="background1" w:themeFillShade="BF"/>
            <w:vAlign w:val="center"/>
          </w:tcPr>
          <w:p w:rsidR="00A56792" w:rsidRPr="00B34ACE" w:rsidRDefault="008C5773" w:rsidP="00A56792">
            <w:pPr>
              <w:spacing w:after="0" w:line="240" w:lineRule="auto"/>
              <w:jc w:val="right"/>
              <w:rPr>
                <w:rFonts w:ascii="Times New Roman" w:hAnsi="Times New Roman"/>
                <w:b/>
                <w:bCs/>
                <w:sz w:val="16"/>
                <w:szCs w:val="16"/>
                <w:lang w:eastAsia="sk-SK"/>
              </w:rPr>
            </w:pPr>
            <w:r>
              <w:rPr>
                <w:rFonts w:ascii="Times New Roman" w:hAnsi="Times New Roman"/>
                <w:b/>
                <w:bCs/>
                <w:sz w:val="16"/>
                <w:szCs w:val="16"/>
                <w:lang w:eastAsia="sk-SK"/>
              </w:rPr>
              <w:t>13 271 343</w:t>
            </w:r>
          </w:p>
        </w:tc>
        <w:tc>
          <w:tcPr>
            <w:tcW w:w="969" w:type="pct"/>
            <w:shd w:val="clear" w:color="auto" w:fill="BFBFBF" w:themeFill="background1" w:themeFillShade="BF"/>
            <w:vAlign w:val="center"/>
          </w:tcPr>
          <w:p w:rsidR="00A56792" w:rsidRPr="00B34ACE" w:rsidRDefault="00A56792" w:rsidP="00A56792">
            <w:pPr>
              <w:spacing w:after="0" w:line="240" w:lineRule="auto"/>
              <w:jc w:val="right"/>
              <w:rPr>
                <w:rFonts w:ascii="Times New Roman" w:hAnsi="Times New Roman"/>
                <w:b/>
                <w:bCs/>
                <w:sz w:val="16"/>
                <w:szCs w:val="16"/>
                <w:lang w:eastAsia="sk-SK"/>
              </w:rPr>
            </w:pPr>
            <w:r w:rsidRPr="00B34ACE">
              <w:rPr>
                <w:rFonts w:ascii="Times New Roman" w:hAnsi="Times New Roman"/>
                <w:b/>
                <w:bCs/>
                <w:sz w:val="16"/>
                <w:szCs w:val="16"/>
                <w:lang w:eastAsia="sk-SK"/>
              </w:rPr>
              <w:t>12 948 475</w:t>
            </w:r>
          </w:p>
        </w:tc>
        <w:tc>
          <w:tcPr>
            <w:tcW w:w="898" w:type="pct"/>
            <w:shd w:val="clear" w:color="auto" w:fill="BFBFBF" w:themeFill="background1" w:themeFillShade="BF"/>
            <w:vAlign w:val="center"/>
          </w:tcPr>
          <w:p w:rsidR="00A56792" w:rsidRPr="00B34ACE" w:rsidRDefault="00A56792" w:rsidP="00A56792">
            <w:pPr>
              <w:spacing w:after="0" w:line="240" w:lineRule="auto"/>
              <w:jc w:val="right"/>
              <w:rPr>
                <w:rFonts w:ascii="Times New Roman" w:hAnsi="Times New Roman"/>
                <w:b/>
                <w:bCs/>
                <w:sz w:val="16"/>
                <w:szCs w:val="16"/>
                <w:lang w:eastAsia="sk-SK"/>
              </w:rPr>
            </w:pPr>
            <w:r>
              <w:rPr>
                <w:rFonts w:ascii="Times New Roman" w:hAnsi="Times New Roman"/>
                <w:b/>
                <w:bCs/>
                <w:sz w:val="16"/>
                <w:szCs w:val="16"/>
                <w:lang w:eastAsia="sk-SK"/>
              </w:rPr>
              <w:t>13 827 308</w:t>
            </w:r>
          </w:p>
        </w:tc>
      </w:tr>
    </w:tbl>
    <w:p w:rsidR="00863D60" w:rsidRPr="00512914" w:rsidRDefault="007E67D6" w:rsidP="00512914">
      <w:pPr>
        <w:spacing w:after="0"/>
        <w:ind w:left="567" w:hanging="567"/>
        <w:jc w:val="both"/>
        <w:rPr>
          <w:rFonts w:ascii="Times New Roman" w:hAnsi="Times New Roman"/>
          <w:sz w:val="16"/>
          <w:szCs w:val="20"/>
        </w:rPr>
      </w:pPr>
      <w:r>
        <w:rPr>
          <w:rFonts w:ascii="Times New Roman" w:hAnsi="Times New Roman"/>
          <w:sz w:val="16"/>
          <w:szCs w:val="20"/>
        </w:rPr>
        <w:t xml:space="preserve">  </w:t>
      </w:r>
      <w:r w:rsidR="00DD788A" w:rsidRPr="00512914">
        <w:rPr>
          <w:rFonts w:ascii="Times New Roman" w:hAnsi="Times New Roman"/>
          <w:sz w:val="16"/>
          <w:szCs w:val="20"/>
        </w:rPr>
        <w:t>Zdroj: MF</w:t>
      </w:r>
      <w:r w:rsidR="00512914">
        <w:rPr>
          <w:rFonts w:ascii="Times New Roman" w:hAnsi="Times New Roman"/>
          <w:sz w:val="16"/>
          <w:szCs w:val="20"/>
        </w:rPr>
        <w:t xml:space="preserve"> </w:t>
      </w:r>
      <w:r w:rsidR="00DD788A" w:rsidRPr="00512914">
        <w:rPr>
          <w:rFonts w:ascii="Times New Roman" w:hAnsi="Times New Roman"/>
          <w:sz w:val="16"/>
          <w:szCs w:val="20"/>
        </w:rPr>
        <w:t>SR</w:t>
      </w:r>
    </w:p>
    <w:p w:rsidR="00535EBA" w:rsidRDefault="00535EBA" w:rsidP="00085E2B">
      <w:pPr>
        <w:spacing w:after="0"/>
        <w:ind w:left="709" w:hanging="709"/>
        <w:jc w:val="both"/>
        <w:rPr>
          <w:rFonts w:ascii="Times New Roman" w:hAnsi="Times New Roman"/>
          <w:sz w:val="16"/>
          <w:szCs w:val="20"/>
        </w:rPr>
      </w:pPr>
    </w:p>
    <w:p w:rsidR="00224083" w:rsidRDefault="00546326" w:rsidP="00057082">
      <w:pPr>
        <w:pStyle w:val="Zarkazkladnhotextu1"/>
        <w:ind w:left="0" w:firstLine="709"/>
        <w:jc w:val="both"/>
        <w:rPr>
          <w:rFonts w:ascii="Times New Roman" w:hAnsi="Times New Roman" w:cs="Times New Roman"/>
        </w:rPr>
      </w:pPr>
      <w:r>
        <w:rPr>
          <w:rFonts w:ascii="Times New Roman" w:hAnsi="Times New Roman" w:cs="Times New Roman"/>
        </w:rPr>
        <w:lastRenderedPageBreak/>
        <w:t xml:space="preserve">Podľa údajov </w:t>
      </w:r>
      <w:r w:rsidR="004D7915">
        <w:rPr>
          <w:rFonts w:ascii="Times New Roman" w:hAnsi="Times New Roman" w:cs="Times New Roman"/>
        </w:rPr>
        <w:t xml:space="preserve">dostupných z účtovných závierok sledovaných subjektov </w:t>
      </w:r>
      <w:r>
        <w:rPr>
          <w:rFonts w:ascii="Times New Roman" w:hAnsi="Times New Roman" w:cs="Times New Roman"/>
        </w:rPr>
        <w:t xml:space="preserve">dosiahli podmienené záväzky medziročne </w:t>
      </w:r>
      <w:r w:rsidR="004D7915">
        <w:rPr>
          <w:rFonts w:ascii="Times New Roman" w:hAnsi="Times New Roman" w:cs="Times New Roman"/>
        </w:rPr>
        <w:t>nárast</w:t>
      </w:r>
      <w:r>
        <w:rPr>
          <w:rFonts w:ascii="Times New Roman" w:hAnsi="Times New Roman" w:cs="Times New Roman"/>
        </w:rPr>
        <w:t xml:space="preserve"> o</w:t>
      </w:r>
      <w:r w:rsidR="004D7915">
        <w:rPr>
          <w:rFonts w:ascii="Times New Roman" w:hAnsi="Times New Roman" w:cs="Times New Roman"/>
        </w:rPr>
        <w:t> 879 180</w:t>
      </w:r>
      <w:r w:rsidR="000A70C4">
        <w:rPr>
          <w:rFonts w:ascii="Times New Roman" w:hAnsi="Times New Roman" w:cs="Times New Roman"/>
        </w:rPr>
        <w:t> tis.</w:t>
      </w:r>
      <w:r w:rsidR="000A70C4">
        <w:t> </w:t>
      </w:r>
      <w:r>
        <w:rPr>
          <w:rFonts w:ascii="Times New Roman" w:hAnsi="Times New Roman" w:cs="Times New Roman"/>
        </w:rPr>
        <w:t xml:space="preserve">eur, </w:t>
      </w:r>
      <w:r w:rsidR="00244B39">
        <w:rPr>
          <w:rFonts w:ascii="Times New Roman" w:hAnsi="Times New Roman" w:cs="Times New Roman"/>
        </w:rPr>
        <w:t xml:space="preserve">pričom </w:t>
      </w:r>
      <w:r w:rsidR="00224083">
        <w:rPr>
          <w:rFonts w:ascii="Times New Roman" w:hAnsi="Times New Roman" w:cs="Times New Roman"/>
        </w:rPr>
        <w:t>tento</w:t>
      </w:r>
      <w:r w:rsidR="00224083" w:rsidRPr="00224083">
        <w:rPr>
          <w:rFonts w:ascii="Times New Roman" w:hAnsi="Times New Roman" w:cs="Times New Roman"/>
        </w:rPr>
        <w:t xml:space="preserve"> bol spôsobený najmä rastom pasív v ústrednej správe </w:t>
      </w:r>
      <w:r w:rsidR="000A1F16">
        <w:rPr>
          <w:rFonts w:ascii="Times New Roman" w:hAnsi="Times New Roman" w:cs="Times New Roman"/>
        </w:rPr>
        <w:t xml:space="preserve">(týkajúci sa roku 2017) </w:t>
      </w:r>
      <w:r w:rsidR="00224083" w:rsidRPr="00224083">
        <w:rPr>
          <w:rFonts w:ascii="Times New Roman" w:hAnsi="Times New Roman" w:cs="Times New Roman"/>
        </w:rPr>
        <w:t>a zlepšením údajovej základne od obchodných spoločností ústrednej správy</w:t>
      </w:r>
      <w:r w:rsidR="00224083">
        <w:rPr>
          <w:rFonts w:ascii="Times New Roman" w:hAnsi="Times New Roman" w:cs="Times New Roman"/>
        </w:rPr>
        <w:t>.</w:t>
      </w:r>
    </w:p>
    <w:p w:rsidR="00255C8D" w:rsidRDefault="00255C8D" w:rsidP="003F17B2">
      <w:pPr>
        <w:pStyle w:val="Zarkazkladnhotextu1"/>
        <w:ind w:left="0" w:firstLine="709"/>
        <w:jc w:val="both"/>
        <w:rPr>
          <w:rFonts w:ascii="Times New Roman" w:hAnsi="Times New Roman" w:cs="Times New Roman"/>
        </w:rPr>
      </w:pPr>
      <w:r w:rsidRPr="00255C8D">
        <w:rPr>
          <w:rFonts w:ascii="Times New Roman" w:hAnsi="Times New Roman" w:cs="Times New Roman"/>
        </w:rPr>
        <w:t>Hodnotovo najvýznamnejšiu skupinu tvoria podmienené záväzky vyplývajúce z poskytnutých záruk vyplývajúcich zo stabilizačných mechanizmov a kapitálu splatného na požiadanie v medzinárodných finančných inštitúciách.</w:t>
      </w:r>
      <w:r>
        <w:rPr>
          <w:rFonts w:ascii="Times New Roman" w:hAnsi="Times New Roman" w:cs="Times New Roman"/>
        </w:rPr>
        <w:t xml:space="preserve"> </w:t>
      </w:r>
      <w:r w:rsidRPr="00255C8D">
        <w:rPr>
          <w:rFonts w:ascii="Times New Roman" w:hAnsi="Times New Roman" w:cs="Times New Roman"/>
        </w:rPr>
        <w:t>Najväčší podmienený záväzok ostáva vykázaný pri Európskom stabilizačnom mechanizme</w:t>
      </w:r>
      <w:r w:rsidRPr="00255C8D">
        <w:rPr>
          <w:rFonts w:ascii="Times New Roman" w:hAnsi="Times New Roman"/>
          <w:vertAlign w:val="superscript"/>
        </w:rPr>
        <w:footnoteReference w:id="3"/>
      </w:r>
      <w:r w:rsidRPr="00255C8D">
        <w:rPr>
          <w:rFonts w:ascii="Times New Roman" w:hAnsi="Times New Roman" w:cs="Times New Roman"/>
        </w:rPr>
        <w:t xml:space="preserve"> (ESM) vo výške 5 108 800 tis. eur.</w:t>
      </w:r>
      <w:r>
        <w:rPr>
          <w:rFonts w:ascii="Times New Roman" w:hAnsi="Times New Roman" w:cs="Times New Roman"/>
        </w:rPr>
        <w:t xml:space="preserve"> </w:t>
      </w:r>
      <w:r w:rsidRPr="00255C8D">
        <w:rPr>
          <w:rFonts w:ascii="Times New Roman" w:hAnsi="Times New Roman" w:cs="Times New Roman"/>
        </w:rPr>
        <w:t>Európsky nástroj finančnej stability (EFSF) je predchodca ESM (tzv. euroval 1). Slovenská republika sa ako členský štát EFSF zaviazala poskytovať záruky za dlhové finančné inštrumenty vydávané EFSF v prípade žiadosti členského štátu eurozóny o finančnú stabilizačnú pomoc. V zmysle zákona o špecifických štátnych zárukách sa Slovensk</w:t>
      </w:r>
      <w:r w:rsidR="00386B51">
        <w:rPr>
          <w:rFonts w:ascii="Times New Roman" w:hAnsi="Times New Roman" w:cs="Times New Roman"/>
        </w:rPr>
        <w:t>á republika</w:t>
      </w:r>
      <w:r w:rsidRPr="00255C8D">
        <w:rPr>
          <w:rFonts w:ascii="Times New Roman" w:hAnsi="Times New Roman" w:cs="Times New Roman"/>
        </w:rPr>
        <w:t xml:space="preserve"> musí podieľať na celkovej výške záruk do sumy, ktorá nepresiahne </w:t>
      </w:r>
      <w:r w:rsidR="00880950">
        <w:rPr>
          <w:rFonts w:ascii="Times New Roman" w:hAnsi="Times New Roman" w:cs="Times New Roman"/>
        </w:rPr>
        <w:br/>
      </w:r>
      <w:r w:rsidRPr="00255C8D">
        <w:rPr>
          <w:rFonts w:ascii="Times New Roman" w:hAnsi="Times New Roman" w:cs="Times New Roman"/>
        </w:rPr>
        <w:t>7 727 570 tis. eur. Zároveň sa musí podieľať na ďalších záručných mechanizmoch potrebných na získanie AAA ratingu pre EFSF, napríklad poskytnutím dodatočných záruk EFSF do výšky 165 % svojho podielu na zárukách pre každú emisiu. Stav záruk vystavených Slovenskou republikou bol k 31.</w:t>
      </w:r>
      <w:r w:rsidR="00057082">
        <w:rPr>
          <w:rFonts w:ascii="Times New Roman" w:hAnsi="Times New Roman" w:cs="Times New Roman"/>
        </w:rPr>
        <w:t xml:space="preserve"> </w:t>
      </w:r>
      <w:r w:rsidRPr="00255C8D">
        <w:rPr>
          <w:rFonts w:ascii="Times New Roman" w:hAnsi="Times New Roman" w:cs="Times New Roman"/>
        </w:rPr>
        <w:t>12.</w:t>
      </w:r>
      <w:r w:rsidR="00057082">
        <w:rPr>
          <w:rFonts w:ascii="Times New Roman" w:hAnsi="Times New Roman" w:cs="Times New Roman"/>
        </w:rPr>
        <w:t xml:space="preserve"> </w:t>
      </w:r>
      <w:r w:rsidRPr="00255C8D">
        <w:rPr>
          <w:rFonts w:ascii="Times New Roman" w:hAnsi="Times New Roman" w:cs="Times New Roman"/>
        </w:rPr>
        <w:t>2017</w:t>
      </w:r>
      <w:r>
        <w:rPr>
          <w:rFonts w:ascii="Times New Roman" w:hAnsi="Times New Roman" w:cs="Times New Roman"/>
        </w:rPr>
        <w:t xml:space="preserve"> vo</w:t>
      </w:r>
      <w:r w:rsidR="003F17B2">
        <w:rPr>
          <w:rFonts w:ascii="Times New Roman" w:hAnsi="Times New Roman" w:cs="Times New Roman"/>
        </w:rPr>
        <w:t xml:space="preserve"> </w:t>
      </w:r>
      <w:r>
        <w:rPr>
          <w:rFonts w:ascii="Times New Roman" w:hAnsi="Times New Roman" w:cs="Times New Roman"/>
        </w:rPr>
        <w:t>výške</w:t>
      </w:r>
      <w:r w:rsidR="003F17B2">
        <w:rPr>
          <w:rFonts w:ascii="Times New Roman" w:hAnsi="Times New Roman" w:cs="Times New Roman"/>
        </w:rPr>
        <w:t xml:space="preserve"> </w:t>
      </w:r>
      <w:r w:rsidRPr="00255C8D">
        <w:rPr>
          <w:rFonts w:ascii="Times New Roman" w:hAnsi="Times New Roman" w:cs="Times New Roman"/>
        </w:rPr>
        <w:t>2 428 514 tis. eur a medziročne sa zvýšil o 250 271 tis. eur.</w:t>
      </w:r>
    </w:p>
    <w:p w:rsidR="00250CB2" w:rsidRDefault="00250CB2" w:rsidP="003F17B2">
      <w:pPr>
        <w:pStyle w:val="Zarkazkladnhotextu1"/>
        <w:ind w:left="0" w:firstLine="709"/>
        <w:jc w:val="both"/>
        <w:rPr>
          <w:rFonts w:ascii="Times New Roman" w:hAnsi="Times New Roman" w:cs="Times New Roman"/>
        </w:rPr>
      </w:pPr>
      <w:r w:rsidRPr="00250CB2">
        <w:rPr>
          <w:rFonts w:ascii="Times New Roman" w:hAnsi="Times New Roman" w:cs="Times New Roman"/>
        </w:rPr>
        <w:t>Kapitál splatný na vyzvanie (tzv. ,,call capital“) v medzinárodných finančných inštitúciách je takisto v správe Ministerstva financií SR. Ide o nesplatenú časť podielov na základnom imaní konkrétnych finančných inštitúcií, k splateniu ktorej je nutná výzva pre akcionárov („call“). Keďže nie je isté v akom čase a v akom objeme bude nutné doplniť základné imanie týchto inštitúcií, rozvrhnutý podiel pripadajúci na Slovenskú republiku ako člena v medzinárodných finančných inštitúciách sa vykazuje na podsúvahe ako podmienené pasívum. Primárnym cieľom členstva v medzinárodných bankách je vzájomná pomoc v oblasti hospodárskeho rozvoja prostredníctvom koncentrácie kapitálu z národných zdrojov.</w:t>
      </w: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E806A6" w:rsidRDefault="00E806A6" w:rsidP="003F17B2">
      <w:pPr>
        <w:pStyle w:val="Zarkazkladnhotextu1"/>
        <w:ind w:left="0" w:firstLine="709"/>
        <w:jc w:val="both"/>
        <w:rPr>
          <w:rFonts w:ascii="Times New Roman" w:hAnsi="Times New Roman" w:cs="Times New Roman"/>
        </w:rPr>
      </w:pPr>
    </w:p>
    <w:p w:rsidR="00F77630" w:rsidRDefault="00FE4B5F" w:rsidP="003F17B2">
      <w:pPr>
        <w:pStyle w:val="Zarkazkladnhotextu1"/>
        <w:ind w:left="0"/>
        <w:jc w:val="both"/>
        <w:rPr>
          <w:rFonts w:ascii="Times New Roman" w:hAnsi="Times New Roman" w:cs="Times New Roman"/>
        </w:rPr>
      </w:pPr>
      <w:r>
        <w:rPr>
          <w:rFonts w:ascii="Times New Roman" w:hAnsi="Times New Roman" w:cs="Times New Roman"/>
        </w:rPr>
        <w:lastRenderedPageBreak/>
        <w:t>Vybrané</w:t>
      </w:r>
      <w:r w:rsidR="005752E3">
        <w:rPr>
          <w:rFonts w:ascii="Times New Roman" w:hAnsi="Times New Roman" w:cs="Times New Roman"/>
        </w:rPr>
        <w:t xml:space="preserve"> p</w:t>
      </w:r>
      <w:r w:rsidR="00F77630">
        <w:rPr>
          <w:rFonts w:ascii="Times New Roman" w:hAnsi="Times New Roman" w:cs="Times New Roman"/>
        </w:rPr>
        <w:t xml:space="preserve">odmienené záväzky </w:t>
      </w:r>
      <w:r>
        <w:rPr>
          <w:rFonts w:ascii="Times New Roman" w:hAnsi="Times New Roman" w:cs="Times New Roman"/>
        </w:rPr>
        <w:t xml:space="preserve">podľa subjektov </w:t>
      </w:r>
      <w:r w:rsidR="005D38B5">
        <w:rPr>
          <w:rFonts w:ascii="Times New Roman" w:hAnsi="Times New Roman" w:cs="Times New Roman"/>
        </w:rPr>
        <w:t>uvádzame v nasledovnom prehľade</w:t>
      </w:r>
      <w:r w:rsidR="00F77630">
        <w:rPr>
          <w:rFonts w:ascii="Times New Roman" w:hAnsi="Times New Roman" w:cs="Times New Roman"/>
        </w:rPr>
        <w:t>:</w:t>
      </w:r>
    </w:p>
    <w:p w:rsidR="00A757F3" w:rsidRDefault="00863D60" w:rsidP="00FA7F29">
      <w:pPr>
        <w:spacing w:after="0"/>
        <w:ind w:left="709" w:hanging="709"/>
        <w:jc w:val="both"/>
        <w:rPr>
          <w:rFonts w:ascii="Times New Roman" w:hAnsi="Times New Roman"/>
          <w:sz w:val="16"/>
          <w:szCs w:val="20"/>
        </w:rPr>
      </w:pPr>
      <w:r w:rsidRPr="00512914">
        <w:rPr>
          <w:rFonts w:ascii="Times New Roman" w:hAnsi="Times New Roman"/>
          <w:sz w:val="16"/>
          <w:szCs w:val="20"/>
        </w:rPr>
        <w:t>Tab. 2</w:t>
      </w:r>
    </w:p>
    <w:tbl>
      <w:tblPr>
        <w:tblW w:w="90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5"/>
        <w:gridCol w:w="1160"/>
        <w:gridCol w:w="1160"/>
        <w:gridCol w:w="1160"/>
        <w:gridCol w:w="1220"/>
      </w:tblGrid>
      <w:tr w:rsidR="00A757F3" w:rsidRPr="00A56792" w:rsidTr="00030CE3">
        <w:trPr>
          <w:trHeight w:val="276"/>
        </w:trPr>
        <w:tc>
          <w:tcPr>
            <w:tcW w:w="9025" w:type="dxa"/>
            <w:gridSpan w:val="5"/>
            <w:shd w:val="clear" w:color="auto" w:fill="BFBFBF" w:themeFill="background1" w:themeFillShade="BF"/>
            <w:noWrap/>
            <w:vAlign w:val="center"/>
            <w:hideMark/>
          </w:tcPr>
          <w:p w:rsidR="00A757F3" w:rsidRPr="00030CE3" w:rsidRDefault="00A757F3" w:rsidP="005F6328">
            <w:pPr>
              <w:spacing w:after="0" w:line="240" w:lineRule="auto"/>
              <w:rPr>
                <w:rFonts w:ascii="Times New Roman" w:hAnsi="Times New Roman"/>
                <w:b/>
                <w:bCs/>
                <w:sz w:val="16"/>
                <w:szCs w:val="16"/>
                <w:lang w:eastAsia="sk-SK"/>
              </w:rPr>
            </w:pPr>
            <w:r w:rsidRPr="00030CE3">
              <w:rPr>
                <w:rFonts w:ascii="Times New Roman" w:hAnsi="Times New Roman"/>
                <w:b/>
                <w:bCs/>
                <w:sz w:val="16"/>
                <w:szCs w:val="16"/>
                <w:lang w:eastAsia="sk-SK"/>
              </w:rPr>
              <w:t>Prehľad najväčších podmienených záväzkov (</w:t>
            </w:r>
            <w:r w:rsidR="00515E73">
              <w:rPr>
                <w:rFonts w:ascii="Times New Roman" w:hAnsi="Times New Roman"/>
                <w:b/>
                <w:bCs/>
                <w:sz w:val="16"/>
                <w:szCs w:val="16"/>
                <w:lang w:eastAsia="sk-SK"/>
              </w:rPr>
              <w:t xml:space="preserve">v </w:t>
            </w:r>
            <w:r w:rsidRPr="00030CE3">
              <w:rPr>
                <w:rFonts w:ascii="Times New Roman" w:hAnsi="Times New Roman"/>
                <w:b/>
                <w:bCs/>
                <w:sz w:val="16"/>
                <w:szCs w:val="16"/>
                <w:lang w:eastAsia="sk-SK"/>
              </w:rPr>
              <w:t>tis. eur) </w:t>
            </w:r>
          </w:p>
        </w:tc>
      </w:tr>
      <w:tr w:rsidR="00A757F3" w:rsidRPr="00A56792" w:rsidTr="00562CDA">
        <w:trPr>
          <w:trHeight w:val="276"/>
        </w:trPr>
        <w:tc>
          <w:tcPr>
            <w:tcW w:w="4325" w:type="dxa"/>
            <w:shd w:val="clear" w:color="000000" w:fill="BFBFBF"/>
            <w:vAlign w:val="center"/>
            <w:hideMark/>
          </w:tcPr>
          <w:p w:rsidR="00A757F3" w:rsidRPr="00A56792" w:rsidRDefault="00A757F3" w:rsidP="005F6328">
            <w:pPr>
              <w:spacing w:after="0" w:line="240" w:lineRule="auto"/>
              <w:rPr>
                <w:rFonts w:ascii="Times New Roman" w:hAnsi="Times New Roman"/>
                <w:color w:val="000000"/>
                <w:sz w:val="16"/>
                <w:szCs w:val="16"/>
                <w:lang w:eastAsia="sk-SK"/>
              </w:rPr>
            </w:pPr>
            <w:r w:rsidRPr="00A56792">
              <w:rPr>
                <w:rFonts w:ascii="Times New Roman" w:hAnsi="Times New Roman"/>
                <w:color w:val="000000"/>
                <w:sz w:val="16"/>
                <w:szCs w:val="16"/>
                <w:lang w:eastAsia="sk-SK"/>
              </w:rPr>
              <w:t> </w:t>
            </w:r>
          </w:p>
        </w:tc>
        <w:tc>
          <w:tcPr>
            <w:tcW w:w="116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sz w:val="16"/>
                <w:szCs w:val="16"/>
                <w:lang w:eastAsia="sk-SK"/>
              </w:rPr>
            </w:pPr>
            <w:r w:rsidRPr="00A56792">
              <w:rPr>
                <w:rFonts w:ascii="Times New Roman" w:hAnsi="Times New Roman"/>
                <w:b/>
                <w:bCs/>
                <w:sz w:val="16"/>
                <w:szCs w:val="16"/>
                <w:lang w:eastAsia="sk-SK"/>
              </w:rPr>
              <w:t>31.</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12.</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2015</w:t>
            </w:r>
          </w:p>
        </w:tc>
        <w:tc>
          <w:tcPr>
            <w:tcW w:w="116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sz w:val="16"/>
                <w:szCs w:val="16"/>
                <w:lang w:eastAsia="sk-SK"/>
              </w:rPr>
            </w:pPr>
            <w:r w:rsidRPr="00A56792">
              <w:rPr>
                <w:rFonts w:ascii="Times New Roman" w:hAnsi="Times New Roman"/>
                <w:b/>
                <w:bCs/>
                <w:sz w:val="16"/>
                <w:szCs w:val="16"/>
                <w:lang w:eastAsia="sk-SK"/>
              </w:rPr>
              <w:t>31.</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12.</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2016</w:t>
            </w:r>
          </w:p>
        </w:tc>
        <w:tc>
          <w:tcPr>
            <w:tcW w:w="116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sz w:val="16"/>
                <w:szCs w:val="16"/>
                <w:lang w:eastAsia="sk-SK"/>
              </w:rPr>
            </w:pPr>
            <w:r w:rsidRPr="00A56792">
              <w:rPr>
                <w:rFonts w:ascii="Times New Roman" w:hAnsi="Times New Roman"/>
                <w:b/>
                <w:bCs/>
                <w:sz w:val="16"/>
                <w:szCs w:val="16"/>
                <w:lang w:eastAsia="sk-SK"/>
              </w:rPr>
              <w:t>31.</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12.</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2017</w:t>
            </w:r>
          </w:p>
        </w:tc>
        <w:tc>
          <w:tcPr>
            <w:tcW w:w="122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sz w:val="16"/>
                <w:szCs w:val="16"/>
                <w:lang w:eastAsia="sk-SK"/>
              </w:rPr>
            </w:pPr>
            <w:r w:rsidRPr="00A56792">
              <w:rPr>
                <w:rFonts w:ascii="Times New Roman" w:hAnsi="Times New Roman"/>
                <w:b/>
                <w:bCs/>
                <w:sz w:val="16"/>
                <w:szCs w:val="16"/>
                <w:lang w:eastAsia="sk-SK"/>
              </w:rPr>
              <w:t>Δ2017</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w:t>
            </w:r>
            <w:r w:rsidR="00057082">
              <w:rPr>
                <w:rFonts w:ascii="Times New Roman" w:hAnsi="Times New Roman"/>
                <w:b/>
                <w:bCs/>
                <w:sz w:val="16"/>
                <w:szCs w:val="16"/>
                <w:lang w:eastAsia="sk-SK"/>
              </w:rPr>
              <w:t xml:space="preserve"> </w:t>
            </w:r>
            <w:r w:rsidRPr="00A56792">
              <w:rPr>
                <w:rFonts w:ascii="Times New Roman" w:hAnsi="Times New Roman"/>
                <w:b/>
                <w:bCs/>
                <w:sz w:val="16"/>
                <w:szCs w:val="16"/>
                <w:lang w:eastAsia="sk-SK"/>
              </w:rPr>
              <w:t>2016</w:t>
            </w:r>
          </w:p>
        </w:tc>
      </w:tr>
      <w:tr w:rsidR="00A757F3" w:rsidRPr="00A56792" w:rsidTr="00030CE3">
        <w:trPr>
          <w:trHeight w:val="276"/>
        </w:trPr>
        <w:tc>
          <w:tcPr>
            <w:tcW w:w="4325" w:type="dxa"/>
            <w:noWrap/>
            <w:vAlign w:val="bottom"/>
            <w:hideMark/>
          </w:tcPr>
          <w:p w:rsidR="00A757F3" w:rsidRPr="00A56792" w:rsidRDefault="00A757F3" w:rsidP="005F6328">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Kapitál na požiadanie a záruky v medzinárodných finančných inštitúciách</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8 464 557</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8 473 154</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8 669 919</w:t>
            </w:r>
          </w:p>
        </w:tc>
        <w:tc>
          <w:tcPr>
            <w:tcW w:w="122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196 765</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Európsky stabilizačný mechanizmus (ESM)</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5 108 800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5 108 800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5 108 800</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Európsky nástroj finančnej stability (EFSF)</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2 183 149</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2 178 243</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2 428 514</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250 271</w:t>
            </w:r>
          </w:p>
        </w:tc>
      </w:tr>
      <w:tr w:rsidR="00A757F3" w:rsidRPr="00A56792" w:rsidTr="00057082">
        <w:trPr>
          <w:trHeight w:val="276"/>
        </w:trPr>
        <w:tc>
          <w:tcPr>
            <w:tcW w:w="4325" w:type="dxa"/>
            <w:noWrap/>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Európska investičná banka </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573 996</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573 996</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573 996</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Medzinárodná banka pre obnovu a rozvoj </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424 731</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438 673</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385 562</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-53 111</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Európska banka pre obnovu a rozvoj</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101 359</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101 359</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101 359</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030CE3">
        <w:trPr>
          <w:trHeight w:val="276"/>
        </w:trPr>
        <w:tc>
          <w:tcPr>
            <w:tcW w:w="4325" w:type="dxa"/>
            <w:vAlign w:val="center"/>
            <w:hideMark/>
          </w:tcPr>
          <w:p w:rsidR="00A757F3" w:rsidRPr="00A56792" w:rsidRDefault="00A757F3" w:rsidP="003529C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Rozvojová banka </w:t>
            </w:r>
            <w:r w:rsidR="003529C8">
              <w:rPr>
                <w:rFonts w:ascii="Times New Roman" w:hAnsi="Times New Roman"/>
                <w:color w:val="000000"/>
                <w:sz w:val="16"/>
                <w:szCs w:val="16"/>
                <w:lang w:eastAsia="sk-SK"/>
              </w:rPr>
              <w:t>R</w:t>
            </w:r>
            <w:r w:rsidRPr="00A56792">
              <w:rPr>
                <w:rFonts w:ascii="Times New Roman" w:hAnsi="Times New Roman"/>
                <w:color w:val="000000"/>
                <w:sz w:val="16"/>
                <w:szCs w:val="16"/>
                <w:lang w:eastAsia="sk-SK"/>
              </w:rPr>
              <w:t>ady Európy</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16 854</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16 854</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16 854</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E74D43">
        <w:trPr>
          <w:trHeight w:val="276"/>
        </w:trPr>
        <w:tc>
          <w:tcPr>
            <w:tcW w:w="4325" w:type="dxa"/>
            <w:vAlign w:val="center"/>
            <w:hideMark/>
          </w:tcPr>
          <w:p w:rsidR="00A757F3" w:rsidRPr="00A56792" w:rsidRDefault="00EC62F7" w:rsidP="00057082">
            <w:pPr>
              <w:spacing w:after="0" w:line="240" w:lineRule="auto"/>
              <w:ind w:left="497" w:hanging="497"/>
              <w:rPr>
                <w:rFonts w:ascii="Times New Roman" w:hAnsi="Times New Roman"/>
                <w:color w:val="000000"/>
                <w:sz w:val="16"/>
                <w:szCs w:val="16"/>
                <w:lang w:eastAsia="sk-SK"/>
              </w:rPr>
            </w:pPr>
            <w:r>
              <w:rPr>
                <w:rFonts w:ascii="Times New Roman" w:hAnsi="Times New Roman"/>
                <w:color w:val="000000"/>
                <w:sz w:val="16"/>
                <w:szCs w:val="16"/>
                <w:lang w:eastAsia="sk-SK"/>
              </w:rPr>
              <w:t xml:space="preserve">           </w:t>
            </w:r>
            <w:r w:rsidR="00057082">
              <w:rPr>
                <w:rFonts w:ascii="Times New Roman" w:hAnsi="Times New Roman"/>
                <w:color w:val="000000"/>
                <w:sz w:val="16"/>
                <w:szCs w:val="16"/>
                <w:lang w:eastAsia="sk-SK"/>
              </w:rPr>
              <w:t xml:space="preserve"> </w:t>
            </w:r>
            <w:r w:rsidR="00A757F3" w:rsidRPr="00A56792">
              <w:rPr>
                <w:rFonts w:ascii="Times New Roman" w:hAnsi="Times New Roman"/>
                <w:color w:val="000000"/>
                <w:sz w:val="16"/>
                <w:szCs w:val="16"/>
                <w:lang w:eastAsia="sk-SK"/>
              </w:rPr>
              <w:t>Medzinárodná banka pre hospodársku spoluprácu</w:t>
            </w:r>
          </w:p>
        </w:tc>
        <w:tc>
          <w:tcPr>
            <w:tcW w:w="1160" w:type="dxa"/>
            <w:noWrap/>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11 526</w:t>
            </w:r>
          </w:p>
        </w:tc>
        <w:tc>
          <w:tcPr>
            <w:tcW w:w="1160" w:type="dxa"/>
            <w:noWrap/>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10 658</w:t>
            </w:r>
          </w:p>
        </w:tc>
        <w:tc>
          <w:tcPr>
            <w:tcW w:w="1160" w:type="dxa"/>
            <w:noWrap/>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10 658</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057082">
        <w:trPr>
          <w:trHeight w:val="276"/>
        </w:trPr>
        <w:tc>
          <w:tcPr>
            <w:tcW w:w="4325" w:type="dxa"/>
            <w:noWrap/>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Mnohostranná agentúra pre investičné záruky </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2 823</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3 252</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2 857</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-395</w:t>
            </w:r>
          </w:p>
        </w:tc>
      </w:tr>
      <w:tr w:rsidR="00A757F3" w:rsidRPr="00A56792" w:rsidTr="00057082">
        <w:trPr>
          <w:trHeight w:val="276"/>
        </w:trPr>
        <w:tc>
          <w:tcPr>
            <w:tcW w:w="4325" w:type="dxa"/>
            <w:noWrap/>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Medzinárodná investičná banka </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41 319</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41 319</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41 319</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E74D43">
        <w:trPr>
          <w:trHeight w:val="276"/>
        </w:trPr>
        <w:tc>
          <w:tcPr>
            <w:tcW w:w="4325" w:type="dxa"/>
            <w:vAlign w:val="center"/>
            <w:hideMark/>
          </w:tcPr>
          <w:p w:rsidR="00A757F3" w:rsidRPr="00A56792" w:rsidRDefault="00A757F3" w:rsidP="005F6328">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Medzinárodné investičné arbitráže</w:t>
            </w:r>
          </w:p>
        </w:tc>
        <w:tc>
          <w:tcPr>
            <w:tcW w:w="1160" w:type="dxa"/>
            <w:noWrap/>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263 500</w:t>
            </w:r>
          </w:p>
        </w:tc>
        <w:tc>
          <w:tcPr>
            <w:tcW w:w="1160" w:type="dxa"/>
            <w:noWrap/>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343 852</w:t>
            </w:r>
          </w:p>
        </w:tc>
        <w:tc>
          <w:tcPr>
            <w:tcW w:w="1160" w:type="dxa"/>
            <w:noWrap/>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471 182</w:t>
            </w:r>
          </w:p>
        </w:tc>
        <w:tc>
          <w:tcPr>
            <w:tcW w:w="122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127 330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Eurogas Inc. a Belmont Resources Inc.</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234 000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239 705</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239 700</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Zdravotná poisťovňa Union, a.s. </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29 500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28 187</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28 692</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505</w:t>
            </w:r>
          </w:p>
        </w:tc>
      </w:tr>
      <w:tr w:rsidR="00A757F3" w:rsidRPr="00A56792" w:rsidTr="00030CE3">
        <w:trPr>
          <w:trHeight w:val="276"/>
        </w:trPr>
        <w:tc>
          <w:tcPr>
            <w:tcW w:w="4325" w:type="dxa"/>
            <w:vAlign w:val="center"/>
            <w:hideMark/>
          </w:tcPr>
          <w:p w:rsidR="00A757F3" w:rsidRPr="00A56792" w:rsidRDefault="00A757F3" w:rsidP="00075643">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Sp</w:t>
            </w:r>
            <w:r w:rsidR="00075643">
              <w:rPr>
                <w:rFonts w:ascii="Times New Roman" w:hAnsi="Times New Roman"/>
                <w:color w:val="000000"/>
                <w:sz w:val="16"/>
                <w:szCs w:val="16"/>
                <w:lang w:eastAsia="sk-SK"/>
              </w:rPr>
              <w:t>ó</w:t>
            </w:r>
            <w:r w:rsidRPr="00A56792">
              <w:rPr>
                <w:rFonts w:ascii="Times New Roman" w:hAnsi="Times New Roman"/>
                <w:color w:val="000000"/>
                <w:sz w:val="16"/>
                <w:szCs w:val="16"/>
                <w:lang w:eastAsia="sk-SK"/>
              </w:rPr>
              <w:t>ldzielnia Pracy Muszynianka</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75 960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202 790</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126 830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Ostatné súdne spory</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2 336 740</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1 590 061</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2 028 078</w:t>
            </w:r>
          </w:p>
        </w:tc>
        <w:tc>
          <w:tcPr>
            <w:tcW w:w="122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438 017</w:t>
            </w:r>
          </w:p>
        </w:tc>
      </w:tr>
      <w:tr w:rsidR="00A757F3" w:rsidRPr="00A56792" w:rsidTr="00030CE3">
        <w:trPr>
          <w:trHeight w:val="276"/>
        </w:trPr>
        <w:tc>
          <w:tcPr>
            <w:tcW w:w="4325" w:type="dxa"/>
            <w:vAlign w:val="center"/>
            <w:hideMark/>
          </w:tcPr>
          <w:p w:rsidR="00A757F3" w:rsidRPr="00A56792" w:rsidRDefault="00A757F3" w:rsidP="00C74671">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 xml:space="preserve">Kancelária </w:t>
            </w:r>
            <w:r w:rsidR="00C74671">
              <w:rPr>
                <w:rFonts w:ascii="Times New Roman" w:hAnsi="Times New Roman"/>
                <w:color w:val="000000"/>
                <w:sz w:val="16"/>
                <w:szCs w:val="16"/>
                <w:lang w:eastAsia="sk-SK"/>
              </w:rPr>
              <w:t>N</w:t>
            </w:r>
            <w:r w:rsidRPr="00A56792">
              <w:rPr>
                <w:rFonts w:ascii="Times New Roman" w:hAnsi="Times New Roman"/>
                <w:color w:val="000000"/>
                <w:sz w:val="16"/>
                <w:szCs w:val="16"/>
                <w:lang w:eastAsia="sk-SK"/>
              </w:rPr>
              <w:t>árodnej rady SR</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596 323</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596 148</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594 601</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-1 547</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financií SR</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553 361</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554 530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575 360</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20 830</w:t>
            </w:r>
          </w:p>
        </w:tc>
      </w:tr>
      <w:tr w:rsidR="00A757F3" w:rsidRPr="00A56792" w:rsidTr="00030CE3">
        <w:trPr>
          <w:trHeight w:val="276"/>
        </w:trPr>
        <w:tc>
          <w:tcPr>
            <w:tcW w:w="4325" w:type="dxa"/>
            <w:vAlign w:val="center"/>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práce, soc. vecí a rodiny SR</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5 731</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114 896</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473 699</w:t>
            </w:r>
          </w:p>
        </w:tc>
        <w:tc>
          <w:tcPr>
            <w:tcW w:w="122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358 803</w:t>
            </w:r>
          </w:p>
        </w:tc>
      </w:tr>
      <w:tr w:rsidR="00A757F3" w:rsidRPr="00A56792" w:rsidTr="00030CE3">
        <w:trPr>
          <w:trHeight w:val="276"/>
        </w:trPr>
        <w:tc>
          <w:tcPr>
            <w:tcW w:w="4325" w:type="dxa"/>
            <w:vAlign w:val="center"/>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Slovenský pozemkový fond</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115 071</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115 686</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101 900</w:t>
            </w:r>
          </w:p>
        </w:tc>
        <w:tc>
          <w:tcPr>
            <w:tcW w:w="122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-13 786</w:t>
            </w:r>
          </w:p>
        </w:tc>
      </w:tr>
      <w:tr w:rsidR="00A757F3" w:rsidRPr="00A56792" w:rsidTr="00030CE3">
        <w:trPr>
          <w:trHeight w:val="276"/>
        </w:trPr>
        <w:tc>
          <w:tcPr>
            <w:tcW w:w="4325" w:type="dxa"/>
            <w:vAlign w:val="center"/>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vnútra SR</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81 129</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79 270</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82 055</w:t>
            </w:r>
          </w:p>
        </w:tc>
        <w:tc>
          <w:tcPr>
            <w:tcW w:w="122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2 785</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Ministerstvo hospodárstva SR</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71 964</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71 964</w:t>
            </w:r>
          </w:p>
        </w:tc>
      </w:tr>
      <w:tr w:rsidR="00A757F3" w:rsidRPr="00A56792" w:rsidTr="00030CE3">
        <w:trPr>
          <w:trHeight w:val="276"/>
        </w:trPr>
        <w:tc>
          <w:tcPr>
            <w:tcW w:w="4325" w:type="dxa"/>
            <w:vAlign w:val="center"/>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Železničná spoločnosť Slovensko, a.s.</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51 751</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51 751</w:t>
            </w:r>
          </w:p>
        </w:tc>
        <w:tc>
          <w:tcPr>
            <w:tcW w:w="116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51 751</w:t>
            </w:r>
          </w:p>
        </w:tc>
        <w:tc>
          <w:tcPr>
            <w:tcW w:w="1220" w:type="dxa"/>
            <w:vAlign w:val="center"/>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Vodohospodárska výstavba, š.p.</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75 321</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77 780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76 748</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-1 032</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MH Manažment, a.s. (FNM SR)</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858 053</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 xml:space="preserve">Iné (podniky štátnej správy, MF SR) </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2 081 252</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2 355 099</w:t>
            </w:r>
          </w:p>
        </w:tc>
        <w:tc>
          <w:tcPr>
            <w:tcW w:w="116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2 426 423</w:t>
            </w:r>
          </w:p>
        </w:tc>
        <w:tc>
          <w:tcPr>
            <w:tcW w:w="1220" w:type="dxa"/>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71 324</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MH Manažment, a.s. - Privatizačné zmluvy</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1 010 197</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976 822</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976 822</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Národná diaľničná spoločnosť, a.s.</w:t>
            </w:r>
          </w:p>
        </w:tc>
        <w:tc>
          <w:tcPr>
            <w:tcW w:w="1160" w:type="dxa"/>
            <w:vAlign w:val="center"/>
            <w:hideMark/>
          </w:tcPr>
          <w:p w:rsidR="00A757F3" w:rsidRPr="00A56792" w:rsidRDefault="00A757F3" w:rsidP="005F6328">
            <w:pPr>
              <w:spacing w:after="0" w:line="240" w:lineRule="auto"/>
              <w:jc w:val="center"/>
              <w:rPr>
                <w:rFonts w:ascii="Times New Roman" w:hAnsi="Times New Roman"/>
                <w:color w:val="000000"/>
                <w:sz w:val="16"/>
                <w:szCs w:val="16"/>
                <w:lang w:eastAsia="sk-SK"/>
              </w:rPr>
            </w:pPr>
            <w:r w:rsidRPr="00A56792">
              <w:rPr>
                <w:rFonts w:ascii="Times New Roman" w:hAnsi="Times New Roman"/>
                <w:color w:val="000000"/>
                <w:sz w:val="16"/>
                <w:szCs w:val="16"/>
                <w:lang w:eastAsia="sk-SK"/>
              </w:rPr>
              <w:t>-</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508 000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366 083</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-141 917</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Slovenský plynárenský priemysel, a.s.</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284 125</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242 820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232 622</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-10 198</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Slovenská správa ciest</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223 000</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223 000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Slovenská záručná a rozvojová banka, a.s.</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146 880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125 405</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140 697</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15 292</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Exportno-importná banka Slovenska</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169 172</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108 889</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196 143</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87 254</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Slovenská elektrizačná a prenos. sústava, a.s.</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47 142</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41 600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214 174</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172 574</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Záruky MF SR</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12 575</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13 328</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17 738</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4 410</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Lesy SR, š.p.</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69 161</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47 596</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58 590</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10 994</w:t>
            </w:r>
          </w:p>
        </w:tc>
      </w:tr>
      <w:tr w:rsidR="00A757F3" w:rsidRPr="00A56792" w:rsidTr="00030CE3">
        <w:trPr>
          <w:trHeight w:val="276"/>
        </w:trPr>
        <w:tc>
          <w:tcPr>
            <w:tcW w:w="4325" w:type="dxa"/>
            <w:vAlign w:val="center"/>
            <w:hideMark/>
          </w:tcPr>
          <w:p w:rsidR="00A757F3" w:rsidRPr="00A56792" w:rsidRDefault="00A757F3" w:rsidP="005F6328">
            <w:pPr>
              <w:spacing w:after="0" w:line="240" w:lineRule="auto"/>
              <w:ind w:firstLineChars="300" w:firstLine="480"/>
              <w:rPr>
                <w:rFonts w:ascii="Times New Roman" w:hAnsi="Times New Roman"/>
                <w:color w:val="000000"/>
                <w:sz w:val="16"/>
                <w:szCs w:val="16"/>
                <w:lang w:eastAsia="sk-SK"/>
              </w:rPr>
            </w:pPr>
            <w:r w:rsidRPr="00A56792">
              <w:rPr>
                <w:rFonts w:ascii="Times New Roman" w:hAnsi="Times New Roman"/>
                <w:color w:val="000000"/>
                <w:sz w:val="16"/>
                <w:szCs w:val="16"/>
                <w:lang w:eastAsia="sk-SK"/>
              </w:rPr>
              <w:t>MH Invest, s.r.o</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342 000</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290 639</w:t>
            </w:r>
          </w:p>
        </w:tc>
        <w:tc>
          <w:tcPr>
            <w:tcW w:w="116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544</w:t>
            </w:r>
          </w:p>
        </w:tc>
        <w:tc>
          <w:tcPr>
            <w:tcW w:w="1220" w:type="dxa"/>
            <w:vAlign w:val="center"/>
            <w:hideMark/>
          </w:tcPr>
          <w:p w:rsidR="00A757F3" w:rsidRPr="00A56792" w:rsidRDefault="00A757F3" w:rsidP="005F6328">
            <w:pPr>
              <w:spacing w:after="0" w:line="240" w:lineRule="auto"/>
              <w:jc w:val="right"/>
              <w:rPr>
                <w:rFonts w:ascii="Times New Roman" w:hAnsi="Times New Roman"/>
                <w:color w:val="000000"/>
                <w:sz w:val="16"/>
                <w:szCs w:val="16"/>
                <w:lang w:eastAsia="sk-SK"/>
              </w:rPr>
            </w:pPr>
            <w:r w:rsidRPr="00A56792">
              <w:rPr>
                <w:rFonts w:ascii="Times New Roman" w:hAnsi="Times New Roman"/>
                <w:color w:val="000000"/>
                <w:sz w:val="16"/>
                <w:szCs w:val="16"/>
                <w:lang w:eastAsia="sk-SK"/>
              </w:rPr>
              <w:t>-290 085</w:t>
            </w:r>
          </w:p>
        </w:tc>
      </w:tr>
      <w:tr w:rsidR="00A757F3" w:rsidRPr="00A56792" w:rsidTr="00030CE3">
        <w:trPr>
          <w:trHeight w:val="276"/>
        </w:trPr>
        <w:tc>
          <w:tcPr>
            <w:tcW w:w="4325" w:type="dxa"/>
            <w:shd w:val="clear" w:color="000000" w:fill="BFBFBF"/>
            <w:noWrap/>
            <w:vAlign w:val="center"/>
            <w:hideMark/>
          </w:tcPr>
          <w:p w:rsidR="00A757F3" w:rsidRPr="00A56792" w:rsidRDefault="00A757F3" w:rsidP="005F6328">
            <w:pPr>
              <w:spacing w:after="0" w:line="240" w:lineRule="auto"/>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 xml:space="preserve">Spolu  </w:t>
            </w:r>
          </w:p>
        </w:tc>
        <w:tc>
          <w:tcPr>
            <w:tcW w:w="116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13 146 049</w:t>
            </w:r>
          </w:p>
        </w:tc>
        <w:tc>
          <w:tcPr>
            <w:tcW w:w="116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12 762 166</w:t>
            </w:r>
          </w:p>
        </w:tc>
        <w:tc>
          <w:tcPr>
            <w:tcW w:w="116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13 595 592</w:t>
            </w:r>
          </w:p>
        </w:tc>
        <w:tc>
          <w:tcPr>
            <w:tcW w:w="1220" w:type="dxa"/>
            <w:shd w:val="clear" w:color="000000" w:fill="BFBFBF"/>
            <w:vAlign w:val="center"/>
            <w:hideMark/>
          </w:tcPr>
          <w:p w:rsidR="00A757F3" w:rsidRPr="00A56792" w:rsidRDefault="00A757F3" w:rsidP="005F6328">
            <w:pPr>
              <w:spacing w:after="0" w:line="240" w:lineRule="auto"/>
              <w:jc w:val="right"/>
              <w:rPr>
                <w:rFonts w:ascii="Times New Roman" w:hAnsi="Times New Roman"/>
                <w:b/>
                <w:bCs/>
                <w:color w:val="000000"/>
                <w:sz w:val="16"/>
                <w:szCs w:val="16"/>
                <w:lang w:eastAsia="sk-SK"/>
              </w:rPr>
            </w:pPr>
            <w:r w:rsidRPr="00A56792">
              <w:rPr>
                <w:rFonts w:ascii="Times New Roman" w:hAnsi="Times New Roman"/>
                <w:b/>
                <w:bCs/>
                <w:color w:val="000000"/>
                <w:sz w:val="16"/>
                <w:szCs w:val="16"/>
                <w:lang w:eastAsia="sk-SK"/>
              </w:rPr>
              <w:t>833 436</w:t>
            </w:r>
          </w:p>
        </w:tc>
      </w:tr>
    </w:tbl>
    <w:p w:rsidR="008069D2" w:rsidRPr="00512914" w:rsidRDefault="008069D2" w:rsidP="00A757F3">
      <w:pPr>
        <w:spacing w:after="0"/>
        <w:ind w:left="709" w:hanging="709"/>
        <w:jc w:val="both"/>
        <w:rPr>
          <w:rFonts w:ascii="Times New Roman" w:hAnsi="Times New Roman"/>
          <w:sz w:val="16"/>
          <w:szCs w:val="20"/>
        </w:rPr>
      </w:pPr>
      <w:r w:rsidRPr="00512914">
        <w:rPr>
          <w:rFonts w:ascii="Times New Roman" w:hAnsi="Times New Roman"/>
          <w:sz w:val="16"/>
          <w:szCs w:val="20"/>
        </w:rPr>
        <w:t xml:space="preserve">Zdroj: </w:t>
      </w:r>
      <w:r w:rsidR="008C67B1">
        <w:rPr>
          <w:rFonts w:ascii="Times New Roman" w:hAnsi="Times New Roman"/>
          <w:sz w:val="16"/>
          <w:szCs w:val="20"/>
        </w:rPr>
        <w:t xml:space="preserve">Účtovné závierky </w:t>
      </w:r>
      <w:r w:rsidR="00A267E9">
        <w:rPr>
          <w:rFonts w:ascii="Times New Roman" w:hAnsi="Times New Roman"/>
          <w:sz w:val="16"/>
          <w:szCs w:val="20"/>
        </w:rPr>
        <w:t>subjektov</w:t>
      </w:r>
      <w:r w:rsidR="008C67B1">
        <w:rPr>
          <w:rFonts w:ascii="Times New Roman" w:hAnsi="Times New Roman"/>
          <w:sz w:val="16"/>
          <w:szCs w:val="20"/>
        </w:rPr>
        <w:t xml:space="preserve"> k 31.</w:t>
      </w:r>
      <w:r w:rsidR="00057082">
        <w:rPr>
          <w:rFonts w:ascii="Times New Roman" w:hAnsi="Times New Roman"/>
          <w:sz w:val="16"/>
          <w:szCs w:val="20"/>
        </w:rPr>
        <w:t xml:space="preserve"> </w:t>
      </w:r>
      <w:r w:rsidR="008C67B1">
        <w:rPr>
          <w:rFonts w:ascii="Times New Roman" w:hAnsi="Times New Roman"/>
          <w:sz w:val="16"/>
          <w:szCs w:val="20"/>
        </w:rPr>
        <w:t>12.</w:t>
      </w:r>
      <w:r w:rsidR="00057082">
        <w:rPr>
          <w:rFonts w:ascii="Times New Roman" w:hAnsi="Times New Roman"/>
          <w:sz w:val="16"/>
          <w:szCs w:val="20"/>
        </w:rPr>
        <w:t xml:space="preserve"> 2</w:t>
      </w:r>
      <w:r w:rsidR="008C67B1">
        <w:rPr>
          <w:rFonts w:ascii="Times New Roman" w:hAnsi="Times New Roman"/>
          <w:sz w:val="16"/>
          <w:szCs w:val="20"/>
        </w:rPr>
        <w:t>01</w:t>
      </w:r>
      <w:r w:rsidR="00A30DE7">
        <w:rPr>
          <w:rFonts w:ascii="Times New Roman" w:hAnsi="Times New Roman"/>
          <w:sz w:val="16"/>
          <w:szCs w:val="20"/>
        </w:rPr>
        <w:t>7</w:t>
      </w:r>
      <w:r w:rsidR="00880950">
        <w:rPr>
          <w:rFonts w:ascii="Times New Roman" w:hAnsi="Times New Roman"/>
          <w:sz w:val="16"/>
          <w:szCs w:val="20"/>
        </w:rPr>
        <w:t>.</w:t>
      </w:r>
    </w:p>
    <w:p w:rsidR="00E721D6" w:rsidRPr="0024687B" w:rsidRDefault="00E721D6" w:rsidP="00E721D6">
      <w:pPr>
        <w:spacing w:after="0" w:line="240" w:lineRule="auto"/>
        <w:rPr>
          <w:rFonts w:ascii="Times New Roman" w:hAnsi="Times New Roman"/>
          <w:sz w:val="24"/>
          <w:szCs w:val="24"/>
        </w:rPr>
      </w:pPr>
    </w:p>
    <w:p w:rsidR="006F05AB" w:rsidRPr="000153B5" w:rsidRDefault="006F05AB" w:rsidP="003529C8">
      <w:pPr>
        <w:spacing w:after="120" w:line="240" w:lineRule="auto"/>
        <w:ind w:firstLine="709"/>
        <w:jc w:val="both"/>
        <w:rPr>
          <w:rFonts w:ascii="Times New Roman" w:hAnsi="Times New Roman"/>
          <w:sz w:val="24"/>
          <w:szCs w:val="24"/>
        </w:rPr>
      </w:pPr>
      <w:r w:rsidRPr="000153B5">
        <w:rPr>
          <w:rFonts w:ascii="Times New Roman" w:hAnsi="Times New Roman"/>
          <w:sz w:val="24"/>
          <w:szCs w:val="24"/>
        </w:rPr>
        <w:t>Arbitrážne konania, ktoré neboli ukončené v roku 201</w:t>
      </w:r>
      <w:r w:rsidR="007A2B8C" w:rsidRPr="000153B5">
        <w:rPr>
          <w:rFonts w:ascii="Times New Roman" w:hAnsi="Times New Roman"/>
          <w:sz w:val="24"/>
          <w:szCs w:val="24"/>
        </w:rPr>
        <w:t>7</w:t>
      </w:r>
      <w:r w:rsidR="005D1651" w:rsidRPr="000153B5">
        <w:rPr>
          <w:rFonts w:ascii="Times New Roman" w:hAnsi="Times New Roman"/>
          <w:sz w:val="24"/>
          <w:szCs w:val="24"/>
        </w:rPr>
        <w:t xml:space="preserve"> a pokračujú aj v roku 201</w:t>
      </w:r>
      <w:r w:rsidR="007A2B8C" w:rsidRPr="000153B5">
        <w:rPr>
          <w:rFonts w:ascii="Times New Roman" w:hAnsi="Times New Roman"/>
          <w:sz w:val="24"/>
          <w:szCs w:val="24"/>
        </w:rPr>
        <w:t>8</w:t>
      </w:r>
      <w:r w:rsidR="002A2754" w:rsidRPr="000153B5">
        <w:rPr>
          <w:rFonts w:ascii="Times New Roman" w:hAnsi="Times New Roman"/>
          <w:sz w:val="24"/>
          <w:szCs w:val="24"/>
        </w:rPr>
        <w:t>:</w:t>
      </w:r>
    </w:p>
    <w:p w:rsidR="005E109E" w:rsidRPr="000153B5" w:rsidRDefault="006F05AB" w:rsidP="003529C8">
      <w:pPr>
        <w:pStyle w:val="Odsekzoznamu"/>
        <w:numPr>
          <w:ilvl w:val="0"/>
          <w:numId w:val="7"/>
        </w:numPr>
        <w:spacing w:after="120"/>
        <w:ind w:left="714" w:hanging="357"/>
        <w:jc w:val="both"/>
      </w:pPr>
      <w:r w:rsidRPr="000153B5">
        <w:t xml:space="preserve">Arbitráž s EuroGas Inc. a Belmont Resources Inc. z dôvodu </w:t>
      </w:r>
      <w:r w:rsidR="00C04914" w:rsidRPr="000153B5">
        <w:t>údajného</w:t>
      </w:r>
      <w:r w:rsidRPr="000153B5">
        <w:t xml:space="preserve"> protiprávneho odobratia povolenia na ťažbu mastenca. Arbitráž je vedená podľa bilaterálnej investičnej dohody medzi SR a USA a bilaterálnej investičnej dohody medzi SR a Kanadou.</w:t>
      </w:r>
      <w:r w:rsidR="002A2754" w:rsidRPr="000153B5">
        <w:t xml:space="preserve"> </w:t>
      </w:r>
      <w:r w:rsidR="007A2B8C" w:rsidRPr="000153B5">
        <w:t xml:space="preserve">V roku 2017 bol vydaný arbitrážny rozsudok, ktorým bola zamietnutá </w:t>
      </w:r>
      <w:r w:rsidR="007A2B8C" w:rsidRPr="000153B5">
        <w:lastRenderedPageBreak/>
        <w:t>žaloba v plnom rozsahu. Žalobcovia však podali návrh na zrušenie tohto rozsudku, o ktorom sa bude rozhodovať v osobitnom zrušovacom konaní.</w:t>
      </w:r>
    </w:p>
    <w:p w:rsidR="00295EF5" w:rsidRPr="000153B5" w:rsidRDefault="00295EF5" w:rsidP="003529C8">
      <w:pPr>
        <w:pStyle w:val="Odsekzoznamu"/>
        <w:numPr>
          <w:ilvl w:val="0"/>
          <w:numId w:val="9"/>
        </w:numPr>
        <w:spacing w:after="120"/>
        <w:jc w:val="both"/>
        <w:rPr>
          <w:rFonts w:ascii="Calibri" w:hAnsi="Calibri"/>
          <w:sz w:val="20"/>
          <w:szCs w:val="20"/>
        </w:rPr>
      </w:pPr>
      <w:r w:rsidRPr="000153B5">
        <w:t>Arbitráž so spoločnosťou Achmea B.V. z dôvodu zákazu zisku zdravotných poisťovní v roku 2007. V tejto arbitráži, vedenej podľa bilaterálnej investičnej dohody medzi SR a Holandským kráľovstvom, bol v decembri 2012 vydaný rozsudok, ktorým arbitrážny tribunál nariadil SR zaplatiť žalobcovi  odškodnenie vo výške cca 25</w:t>
      </w:r>
      <w:r w:rsidR="00454F20" w:rsidRPr="000153B5">
        <w:t> </w:t>
      </w:r>
      <w:r w:rsidR="005426A2" w:rsidRPr="000153B5">
        <w:t>200</w:t>
      </w:r>
      <w:r w:rsidR="00454F20" w:rsidRPr="000153B5">
        <w:t xml:space="preserve"> tis</w:t>
      </w:r>
      <w:r w:rsidRPr="000153B5">
        <w:t xml:space="preserve">. </w:t>
      </w:r>
      <w:r w:rsidR="00E258BD" w:rsidRPr="000153B5">
        <w:t>eur</w:t>
      </w:r>
      <w:r w:rsidRPr="000153B5">
        <w:t xml:space="preserve"> plus úroky</w:t>
      </w:r>
      <w:r w:rsidR="007D2185" w:rsidRPr="000153B5">
        <w:t xml:space="preserve"> vo výške 2</w:t>
      </w:r>
      <w:r w:rsidR="00454F20" w:rsidRPr="000153B5">
        <w:t> </w:t>
      </w:r>
      <w:r w:rsidR="005426A2" w:rsidRPr="000153B5">
        <w:t>9</w:t>
      </w:r>
      <w:r w:rsidR="00454F20" w:rsidRPr="000153B5">
        <w:t>00 tis</w:t>
      </w:r>
      <w:r w:rsidR="007D2185" w:rsidRPr="000153B5">
        <w:t>. eur</w:t>
      </w:r>
      <w:r w:rsidRPr="000153B5">
        <w:t xml:space="preserve">. </w:t>
      </w:r>
      <w:r w:rsidR="005426A2" w:rsidRPr="000153B5">
        <w:t>Konanie o zrušení tohto rozsudku ako aj jurisdikčného rozhodnutia v tomto spore na Nemeckom spolkovom súde, pred ktorým SR napadla tieto rozhodnutia, je v súčasnosti prerušené do rozhodnutia Súdneho dvora EÚ o predbežnej otázke.</w:t>
      </w:r>
      <w:r w:rsidR="005E109E" w:rsidRPr="000153B5">
        <w:t xml:space="preserve"> Súdny dvor EÚ rozhodol dňa 6.</w:t>
      </w:r>
      <w:r w:rsidR="00057082">
        <w:t xml:space="preserve"> </w:t>
      </w:r>
      <w:r w:rsidR="005E109E" w:rsidRPr="000153B5">
        <w:t>3.</w:t>
      </w:r>
      <w:r w:rsidR="00057082">
        <w:t xml:space="preserve"> </w:t>
      </w:r>
      <w:r w:rsidR="005E109E" w:rsidRPr="000153B5">
        <w:t>2018 o predbežnej otázke vo veci neaplikovateľnosti arbitrážnej doložky v bilaterálnej investičnej zmluve medzi SR a Holandskom. Spor pokračuje pred Najvyšším spolkovým súdom v Nemecku, ktorý bude rozhodovať vo veci zrušenia rozhodcovského nálezu. V exekučnom konaní o výkon rozhodnutia arbitrážneho tribunálu podala SR žiadosť o odloženie výkonu rozhodnutia do rozhodnutia nemeckých súdov.</w:t>
      </w:r>
    </w:p>
    <w:p w:rsidR="00475930" w:rsidRDefault="003969A7" w:rsidP="005A69CC">
      <w:pPr>
        <w:pStyle w:val="Odsekzoznamu"/>
        <w:numPr>
          <w:ilvl w:val="0"/>
          <w:numId w:val="9"/>
        </w:numPr>
        <w:spacing w:after="120"/>
        <w:ind w:left="709" w:hanging="349"/>
        <w:jc w:val="both"/>
        <w:rPr>
          <w:rFonts w:ascii="Calibri" w:hAnsi="Calibri"/>
          <w:sz w:val="20"/>
          <w:szCs w:val="20"/>
        </w:rPr>
      </w:pPr>
      <w:r w:rsidRPr="003969A7">
        <w:t xml:space="preserve">Arbitráž so spoločnosťou Spóldzielnia Pracy Muszynianka </w:t>
      </w:r>
      <w:r w:rsidR="00966D9E" w:rsidRPr="003969A7">
        <w:t>z dôvodu ústavného zákazu vývozu vody z územia SR</w:t>
      </w:r>
      <w:r w:rsidR="00966D9E">
        <w:t>.</w:t>
      </w:r>
      <w:r w:rsidRPr="003969A7">
        <w:t xml:space="preserve"> </w:t>
      </w:r>
      <w:r w:rsidR="00966D9E">
        <w:t>P</w:t>
      </w:r>
      <w:r w:rsidRPr="003969A7">
        <w:t>oľská spoločnosť v auguste 2016 iniciovala proti SR medzinárodnú investičnú arbitráž z údajného porušenia bilaterálnej investičnej dohody medzi Poľskom a</w:t>
      </w:r>
      <w:r w:rsidR="00966D9E">
        <w:t> </w:t>
      </w:r>
      <w:r w:rsidRPr="003969A7">
        <w:t>SR</w:t>
      </w:r>
      <w:r w:rsidR="00966D9E">
        <w:t>,</w:t>
      </w:r>
      <w:r w:rsidRPr="003969A7">
        <w:t xml:space="preserve"> čím mala byť te</w:t>
      </w:r>
      <w:r w:rsidR="00475930">
        <w:t>jto spoločnosti spôsobená škoda</w:t>
      </w:r>
      <w:r w:rsidRPr="003969A7">
        <w:t>.</w:t>
      </w:r>
      <w:r w:rsidR="00475930" w:rsidRPr="00475930">
        <w:t xml:space="preserve"> V roku 2017 na základe expertného posudku, ktorý žalobca predložil pri podaní žaloby pred arbitrážnym tribunálom, došlo k zvýšeniu požadovanej čiastky </w:t>
      </w:r>
      <w:r w:rsidR="00A92A94">
        <w:t xml:space="preserve">zo </w:t>
      </w:r>
      <w:r w:rsidR="00475930" w:rsidRPr="00475930">
        <w:t>75</w:t>
      </w:r>
      <w:r w:rsidR="00D14BB3">
        <w:t xml:space="preserve"> </w:t>
      </w:r>
      <w:r w:rsidR="00475930" w:rsidRPr="00475930">
        <w:t>9</w:t>
      </w:r>
      <w:r w:rsidR="00D14BB3">
        <w:t>00</w:t>
      </w:r>
      <w:r w:rsidR="00475930" w:rsidRPr="00475930">
        <w:t xml:space="preserve"> </w:t>
      </w:r>
      <w:r w:rsidR="00D14BB3">
        <w:t>tis</w:t>
      </w:r>
      <w:r w:rsidR="00475930" w:rsidRPr="00475930">
        <w:t xml:space="preserve">. </w:t>
      </w:r>
      <w:r w:rsidR="00D14BB3">
        <w:t>e</w:t>
      </w:r>
      <w:r w:rsidR="00475930" w:rsidRPr="00475930">
        <w:t>ur na čiastku 202</w:t>
      </w:r>
      <w:r w:rsidR="007E3FAB">
        <w:t> 790 tis. eur</w:t>
      </w:r>
      <w:r w:rsidR="00475930" w:rsidRPr="00475930">
        <w:t>. V januári 2018 Slovenská republika podala pred arbitrážny tribunál písomnú obhajobu.</w:t>
      </w:r>
      <w:r w:rsidR="00475930">
        <w:rPr>
          <w:rFonts w:ascii="Calibri" w:hAnsi="Calibri"/>
          <w:sz w:val="20"/>
          <w:szCs w:val="20"/>
        </w:rPr>
        <w:t xml:space="preserve"> </w:t>
      </w:r>
    </w:p>
    <w:p w:rsidR="000466FB" w:rsidRPr="001702F5" w:rsidRDefault="0099364A" w:rsidP="003529C8">
      <w:pPr>
        <w:spacing w:after="120" w:line="240" w:lineRule="auto"/>
        <w:ind w:firstLine="709"/>
        <w:jc w:val="both"/>
        <w:rPr>
          <w:rFonts w:ascii="Times New Roman" w:hAnsi="Times New Roman"/>
          <w:sz w:val="24"/>
          <w:szCs w:val="24"/>
        </w:rPr>
      </w:pPr>
      <w:r>
        <w:rPr>
          <w:rFonts w:ascii="Times New Roman" w:hAnsi="Times New Roman"/>
          <w:bCs/>
          <w:sz w:val="24"/>
          <w:szCs w:val="24"/>
        </w:rPr>
        <w:t>Slovenskej republike</w:t>
      </w:r>
      <w:r w:rsidR="000466FB" w:rsidRPr="000466FB">
        <w:rPr>
          <w:rFonts w:ascii="Times New Roman" w:hAnsi="Times New Roman"/>
          <w:bCs/>
          <w:sz w:val="24"/>
          <w:szCs w:val="24"/>
        </w:rPr>
        <w:t xml:space="preserve"> hrozí </w:t>
      </w:r>
      <w:r w:rsidR="0089742C">
        <w:rPr>
          <w:rFonts w:ascii="Times New Roman" w:hAnsi="Times New Roman"/>
          <w:bCs/>
          <w:sz w:val="24"/>
          <w:szCs w:val="24"/>
        </w:rPr>
        <w:t xml:space="preserve">ďalšia </w:t>
      </w:r>
      <w:r w:rsidR="000466FB" w:rsidRPr="000466FB">
        <w:rPr>
          <w:rFonts w:ascii="Times New Roman" w:hAnsi="Times New Roman"/>
          <w:bCs/>
          <w:sz w:val="24"/>
          <w:szCs w:val="24"/>
        </w:rPr>
        <w:t xml:space="preserve">arbitráž, to znamená, že žaloba formálne ešte nebola podaná, </w:t>
      </w:r>
      <w:r w:rsidR="00802114">
        <w:rPr>
          <w:rFonts w:ascii="Times New Roman" w:hAnsi="Times New Roman"/>
          <w:bCs/>
          <w:sz w:val="24"/>
          <w:szCs w:val="24"/>
        </w:rPr>
        <w:t>ale</w:t>
      </w:r>
      <w:r w:rsidR="000466FB" w:rsidRPr="000466FB">
        <w:rPr>
          <w:rFonts w:ascii="Times New Roman" w:hAnsi="Times New Roman"/>
          <w:bCs/>
          <w:sz w:val="24"/>
          <w:szCs w:val="24"/>
        </w:rPr>
        <w:t xml:space="preserve"> bola oznámená predžalobná výzva v prípade Quick Power Plant SE, Holandsko (QPP). Predmet sporu sa týka údajného nároku na akcie/práva k akciám spoločnosti TRANSPETROL, a.</w:t>
      </w:r>
      <w:r w:rsidR="00802114">
        <w:rPr>
          <w:rFonts w:ascii="Times New Roman" w:hAnsi="Times New Roman"/>
          <w:bCs/>
          <w:sz w:val="24"/>
          <w:szCs w:val="24"/>
        </w:rPr>
        <w:t xml:space="preserve"> </w:t>
      </w:r>
      <w:r w:rsidR="000466FB" w:rsidRPr="000466FB">
        <w:rPr>
          <w:rFonts w:ascii="Times New Roman" w:hAnsi="Times New Roman"/>
          <w:bCs/>
          <w:sz w:val="24"/>
          <w:szCs w:val="24"/>
        </w:rPr>
        <w:t>s., ktoré sa QPP pokúsila nadobudnúť. V súčasnosti prebieha objasňovanie skutkového stavu a nároku QPP pre prípad, ak by bola podaná proti SR žaloba.</w:t>
      </w:r>
    </w:p>
    <w:p w:rsidR="003E2D20" w:rsidRPr="003E2D20" w:rsidRDefault="003E2D20" w:rsidP="003529C8">
      <w:pPr>
        <w:spacing w:after="120" w:line="240" w:lineRule="auto"/>
        <w:ind w:firstLine="709"/>
        <w:jc w:val="both"/>
        <w:rPr>
          <w:rFonts w:ascii="Times New Roman" w:hAnsi="Times New Roman"/>
          <w:bCs/>
          <w:sz w:val="24"/>
          <w:szCs w:val="24"/>
        </w:rPr>
      </w:pPr>
      <w:r w:rsidRPr="003E2D20">
        <w:rPr>
          <w:rFonts w:ascii="Times New Roman" w:hAnsi="Times New Roman"/>
          <w:b/>
          <w:bCs/>
          <w:sz w:val="24"/>
          <w:szCs w:val="24"/>
        </w:rPr>
        <w:t>Kancelária Národnej rady SR</w:t>
      </w:r>
      <w:r w:rsidRPr="003E2D20">
        <w:rPr>
          <w:rFonts w:ascii="Times New Roman" w:hAnsi="Times New Roman"/>
          <w:bCs/>
          <w:sz w:val="24"/>
          <w:szCs w:val="24"/>
        </w:rPr>
        <w:t xml:space="preserve"> eviduje podmienené záväzky z existujúcich alebo hroziacich súdnych sporov, z čoho podstatnú časť tvoria žaloby za náhradu škody spôs</w:t>
      </w:r>
      <w:r w:rsidR="00880950">
        <w:rPr>
          <w:rFonts w:ascii="Times New Roman" w:hAnsi="Times New Roman"/>
          <w:bCs/>
          <w:sz w:val="24"/>
          <w:szCs w:val="24"/>
        </w:rPr>
        <w:t>obenú legislatívnou činnosťou Národnej rady</w:t>
      </w:r>
      <w:r w:rsidRPr="003E2D20">
        <w:rPr>
          <w:rFonts w:ascii="Times New Roman" w:hAnsi="Times New Roman"/>
          <w:bCs/>
          <w:sz w:val="24"/>
          <w:szCs w:val="24"/>
        </w:rPr>
        <w:t xml:space="preserve"> SR</w:t>
      </w:r>
      <w:r w:rsidR="003529C8">
        <w:rPr>
          <w:rFonts w:ascii="Times New Roman" w:hAnsi="Times New Roman"/>
          <w:bCs/>
          <w:sz w:val="24"/>
          <w:szCs w:val="24"/>
        </w:rPr>
        <w:t>,</w:t>
      </w:r>
      <w:r w:rsidRPr="003E2D20">
        <w:rPr>
          <w:rFonts w:ascii="Times New Roman" w:hAnsi="Times New Roman"/>
          <w:bCs/>
          <w:sz w:val="24"/>
          <w:szCs w:val="24"/>
        </w:rPr>
        <w:t xml:space="preserve"> vrátane dvoch súdnych sporov o ,,zákaz zisku“ zdravotných poisťovní (spolu 580 014 tis. eur). Medziročne došlo k zníženiu hodnoty z dôvodu zastavenia jedného súdneho konania. </w:t>
      </w:r>
    </w:p>
    <w:p w:rsidR="00574453" w:rsidRDefault="00574453" w:rsidP="003529C8">
      <w:pPr>
        <w:pStyle w:val="Odsekzoznamu"/>
        <w:spacing w:after="120"/>
        <w:ind w:left="0" w:firstLine="709"/>
        <w:jc w:val="both"/>
      </w:pPr>
      <w:r w:rsidRPr="00056E18">
        <w:t xml:space="preserve">Žaloby, ktoré rieši </w:t>
      </w:r>
      <w:r w:rsidRPr="00574453">
        <w:rPr>
          <w:b/>
        </w:rPr>
        <w:t>Ministerstvo financií SR</w:t>
      </w:r>
      <w:r w:rsidRPr="00056E18">
        <w:t xml:space="preserve"> v úhrnnej hodnote 5</w:t>
      </w:r>
      <w:r>
        <w:t>75</w:t>
      </w:r>
      <w:r w:rsidRPr="00056E18">
        <w:t> </w:t>
      </w:r>
      <w:r>
        <w:t>360</w:t>
      </w:r>
      <w:r w:rsidRPr="00056E18">
        <w:t xml:space="preserve"> tis. eur, sú najmä o náhradu škody uplatňovanej podľa zákona č. 514/2003 Z. z. o zodpovednosti za škodu spôsobenú pri výkone verejnej moci a o zmene niektorých zákonov, v ktorých Ministerstvo financií SR zastupuje pred súdom aj iné orgány verejnej moci.</w:t>
      </w:r>
    </w:p>
    <w:p w:rsidR="00574453" w:rsidRDefault="00574453" w:rsidP="003529C8">
      <w:pPr>
        <w:pStyle w:val="Odsekzoznamu"/>
        <w:spacing w:after="120"/>
        <w:ind w:left="0" w:firstLine="709"/>
        <w:jc w:val="both"/>
      </w:pPr>
      <w:r w:rsidRPr="00574453">
        <w:rPr>
          <w:b/>
        </w:rPr>
        <w:t>Ministerstvo práce, sociálnych vecí a rodiny SR</w:t>
      </w:r>
      <w:r w:rsidRPr="008C115C">
        <w:t xml:space="preserve"> </w:t>
      </w:r>
      <w:r>
        <w:t>zaznamenalo prírastok</w:t>
      </w:r>
      <w:r w:rsidRPr="008C115C">
        <w:t xml:space="preserve"> </w:t>
      </w:r>
      <w:r w:rsidRPr="008C115C">
        <w:br/>
        <w:t xml:space="preserve">358 803 tis. eur z dôvodu aktualizácie existujúcich a prebiehajúcich súdnych sporov aj za predchádzajúce účtovné obdobia, pričom ide najmä o súdne spory o zaplatenie náhrady škody. </w:t>
      </w:r>
      <w:r w:rsidRPr="00056E18">
        <w:t xml:space="preserve"> </w:t>
      </w:r>
      <w:r>
        <w:t xml:space="preserve">Medziročné zvýšenie týchto pasív vyplýva z prehodnotenia rizika negatívneho vplyvu súdneho sporu a zároveň k zvýšeniu podmienených pasív z dôvodu zmeny konkrétnej žaloby v úhrne na 450 000 tis. eur. </w:t>
      </w:r>
    </w:p>
    <w:p w:rsidR="00FD40BC" w:rsidRPr="0017178F" w:rsidRDefault="00F27EE3" w:rsidP="003529C8">
      <w:pPr>
        <w:pStyle w:val="Odsekzoznamu"/>
        <w:spacing w:after="120"/>
        <w:ind w:left="0" w:firstLine="709"/>
        <w:jc w:val="both"/>
      </w:pPr>
      <w:r>
        <w:rPr>
          <w:b/>
        </w:rPr>
        <w:t>MH Manažment, a.</w:t>
      </w:r>
      <w:r w:rsidR="00802114">
        <w:rPr>
          <w:b/>
        </w:rPr>
        <w:t xml:space="preserve"> </w:t>
      </w:r>
      <w:r>
        <w:rPr>
          <w:b/>
        </w:rPr>
        <w:t xml:space="preserve">s. </w:t>
      </w:r>
      <w:r w:rsidR="008069D2" w:rsidRPr="0017178F">
        <w:t xml:space="preserve">eviduje najväčší objem podmienených záväzkov z ručenia za splnenie záväzkov </w:t>
      </w:r>
      <w:r w:rsidR="00A12F6F" w:rsidRPr="0017178F">
        <w:t>vyplývajúcich z privatizačných zmlúv</w:t>
      </w:r>
      <w:r>
        <w:t xml:space="preserve"> po zrušenom Fonde národného </w:t>
      </w:r>
      <w:r>
        <w:lastRenderedPageBreak/>
        <w:t>majetku</w:t>
      </w:r>
      <w:r w:rsidR="00A12F6F" w:rsidRPr="0017178F">
        <w:t xml:space="preserve">. </w:t>
      </w:r>
      <w:r w:rsidR="008069D2" w:rsidRPr="0017178F">
        <w:t>Ďalej sú to súdne spory súvisiace s privatizovaným majetkom (žaloba o náhradu škody, exekučné konanie, náhrada škody z odstúpenia od zmluvy a iné).</w:t>
      </w:r>
      <w:r w:rsidR="00FD40BC">
        <w:t xml:space="preserve"> </w:t>
      </w:r>
    </w:p>
    <w:p w:rsidR="00E721D6" w:rsidRPr="003529C8" w:rsidRDefault="008069D2" w:rsidP="003529C8">
      <w:pPr>
        <w:spacing w:after="120" w:line="240" w:lineRule="auto"/>
        <w:ind w:firstLine="708"/>
        <w:jc w:val="both"/>
        <w:rPr>
          <w:rFonts w:ascii="Times New Roman" w:hAnsi="Times New Roman"/>
          <w:sz w:val="24"/>
          <w:szCs w:val="24"/>
        </w:rPr>
      </w:pPr>
      <w:r w:rsidRPr="0017178F">
        <w:rPr>
          <w:rFonts w:ascii="Times New Roman" w:hAnsi="Times New Roman"/>
          <w:sz w:val="24"/>
          <w:szCs w:val="24"/>
        </w:rPr>
        <w:t xml:space="preserve">  </w:t>
      </w:r>
      <w:r w:rsidR="00BF2B38" w:rsidRPr="003529C8">
        <w:rPr>
          <w:rFonts w:ascii="Times New Roman" w:hAnsi="Times New Roman"/>
          <w:b/>
          <w:sz w:val="24"/>
          <w:szCs w:val="24"/>
        </w:rPr>
        <w:t>Slovenská záručná a rozvojová banka</w:t>
      </w:r>
      <w:r w:rsidR="00E470BA" w:rsidRPr="003529C8">
        <w:rPr>
          <w:rFonts w:ascii="Times New Roman" w:hAnsi="Times New Roman"/>
          <w:b/>
          <w:sz w:val="24"/>
          <w:szCs w:val="24"/>
        </w:rPr>
        <w:t xml:space="preserve"> Slovenska</w:t>
      </w:r>
      <w:r w:rsidR="001A52FE" w:rsidRPr="003529C8">
        <w:rPr>
          <w:rFonts w:ascii="Times New Roman" w:hAnsi="Times New Roman"/>
          <w:b/>
          <w:sz w:val="24"/>
          <w:szCs w:val="24"/>
        </w:rPr>
        <w:t>, a.</w:t>
      </w:r>
      <w:r w:rsidR="00802114" w:rsidRPr="003529C8">
        <w:rPr>
          <w:rFonts w:ascii="Times New Roman" w:hAnsi="Times New Roman"/>
          <w:b/>
          <w:sz w:val="24"/>
          <w:szCs w:val="24"/>
        </w:rPr>
        <w:t xml:space="preserve"> </w:t>
      </w:r>
      <w:r w:rsidR="001A52FE" w:rsidRPr="003529C8">
        <w:rPr>
          <w:rFonts w:ascii="Times New Roman" w:hAnsi="Times New Roman"/>
          <w:b/>
          <w:sz w:val="24"/>
          <w:szCs w:val="24"/>
        </w:rPr>
        <w:t>s.</w:t>
      </w:r>
      <w:r w:rsidR="00E470BA" w:rsidRPr="003529C8">
        <w:rPr>
          <w:rFonts w:ascii="Times New Roman" w:hAnsi="Times New Roman"/>
          <w:sz w:val="24"/>
          <w:szCs w:val="24"/>
        </w:rPr>
        <w:t xml:space="preserve"> </w:t>
      </w:r>
      <w:r w:rsidR="001702F5" w:rsidRPr="003529C8">
        <w:rPr>
          <w:rFonts w:ascii="Times New Roman" w:hAnsi="Times New Roman"/>
          <w:sz w:val="24"/>
          <w:szCs w:val="24"/>
        </w:rPr>
        <w:t>vykazuje p</w:t>
      </w:r>
      <w:r w:rsidR="00E35713" w:rsidRPr="003529C8">
        <w:rPr>
          <w:rFonts w:ascii="Times New Roman" w:hAnsi="Times New Roman"/>
          <w:sz w:val="24"/>
          <w:szCs w:val="24"/>
        </w:rPr>
        <w:t xml:space="preserve">odmienené záväzky </w:t>
      </w:r>
      <w:r w:rsidR="001702F5" w:rsidRPr="003529C8">
        <w:rPr>
          <w:rFonts w:ascii="Times New Roman" w:hAnsi="Times New Roman"/>
          <w:sz w:val="24"/>
          <w:szCs w:val="24"/>
        </w:rPr>
        <w:t>v</w:t>
      </w:r>
      <w:r w:rsidR="00BF2B38" w:rsidRPr="003529C8">
        <w:rPr>
          <w:rFonts w:ascii="Times New Roman" w:hAnsi="Times New Roman"/>
          <w:sz w:val="24"/>
          <w:szCs w:val="24"/>
        </w:rPr>
        <w:t> </w:t>
      </w:r>
      <w:r w:rsidR="001702F5" w:rsidRPr="003529C8">
        <w:rPr>
          <w:rFonts w:ascii="Times New Roman" w:hAnsi="Times New Roman"/>
          <w:sz w:val="24"/>
          <w:szCs w:val="24"/>
        </w:rPr>
        <w:t>hodnote</w:t>
      </w:r>
      <w:r w:rsidR="00BF2B38" w:rsidRPr="003529C8">
        <w:rPr>
          <w:rFonts w:ascii="Times New Roman" w:hAnsi="Times New Roman"/>
          <w:sz w:val="24"/>
          <w:szCs w:val="24"/>
        </w:rPr>
        <w:t xml:space="preserve"> 140 697</w:t>
      </w:r>
      <w:r w:rsidR="00E470BA" w:rsidRPr="003529C8">
        <w:rPr>
          <w:rFonts w:ascii="Times New Roman" w:hAnsi="Times New Roman"/>
          <w:sz w:val="24"/>
          <w:szCs w:val="24"/>
        </w:rPr>
        <w:t xml:space="preserve"> tis. eur</w:t>
      </w:r>
      <w:r w:rsidR="001702F5" w:rsidRPr="003529C8">
        <w:rPr>
          <w:rFonts w:ascii="Times New Roman" w:hAnsi="Times New Roman"/>
          <w:sz w:val="24"/>
          <w:szCs w:val="24"/>
        </w:rPr>
        <w:t xml:space="preserve"> z</w:t>
      </w:r>
      <w:r w:rsidR="008A0C58" w:rsidRPr="003529C8">
        <w:rPr>
          <w:rFonts w:ascii="Times New Roman" w:hAnsi="Times New Roman"/>
          <w:sz w:val="24"/>
          <w:szCs w:val="24"/>
        </w:rPr>
        <w:t> </w:t>
      </w:r>
      <w:r w:rsidR="001702F5" w:rsidRPr="003529C8">
        <w:rPr>
          <w:rFonts w:ascii="Times New Roman" w:hAnsi="Times New Roman"/>
          <w:sz w:val="24"/>
          <w:szCs w:val="24"/>
        </w:rPr>
        <w:t>titulu</w:t>
      </w:r>
      <w:r w:rsidR="008A0C58" w:rsidRPr="003529C8">
        <w:rPr>
          <w:rFonts w:ascii="Times New Roman" w:hAnsi="Times New Roman"/>
          <w:sz w:val="24"/>
          <w:szCs w:val="24"/>
        </w:rPr>
        <w:t xml:space="preserve"> poskytnutých záruk v hodnote </w:t>
      </w:r>
      <w:r w:rsidR="00244B39" w:rsidRPr="003529C8">
        <w:rPr>
          <w:rFonts w:ascii="Times New Roman" w:hAnsi="Times New Roman"/>
          <w:sz w:val="24"/>
          <w:szCs w:val="24"/>
        </w:rPr>
        <w:t>87 706</w:t>
      </w:r>
      <w:r w:rsidR="008A0C58" w:rsidRPr="003529C8">
        <w:rPr>
          <w:rFonts w:ascii="Times New Roman" w:hAnsi="Times New Roman"/>
          <w:sz w:val="24"/>
          <w:szCs w:val="24"/>
        </w:rPr>
        <w:t xml:space="preserve"> tis. eur a úverových prísľubov vo výške </w:t>
      </w:r>
      <w:r w:rsidR="00244B39" w:rsidRPr="003529C8">
        <w:rPr>
          <w:rFonts w:ascii="Times New Roman" w:hAnsi="Times New Roman"/>
          <w:sz w:val="24"/>
          <w:szCs w:val="24"/>
        </w:rPr>
        <w:t>52 991</w:t>
      </w:r>
      <w:r w:rsidR="008A0C58" w:rsidRPr="003529C8">
        <w:rPr>
          <w:rFonts w:ascii="Times New Roman" w:hAnsi="Times New Roman"/>
          <w:sz w:val="24"/>
          <w:szCs w:val="24"/>
        </w:rPr>
        <w:t xml:space="preserve"> tis. eur. </w:t>
      </w:r>
      <w:r w:rsidR="001702F5" w:rsidRPr="003529C8">
        <w:rPr>
          <w:rFonts w:ascii="Times New Roman" w:hAnsi="Times New Roman"/>
          <w:sz w:val="24"/>
          <w:szCs w:val="24"/>
        </w:rPr>
        <w:t xml:space="preserve"> </w:t>
      </w:r>
      <w:r w:rsidR="00E470BA" w:rsidRPr="003529C8">
        <w:rPr>
          <w:rFonts w:ascii="Times New Roman" w:hAnsi="Times New Roman"/>
          <w:sz w:val="24"/>
          <w:szCs w:val="24"/>
        </w:rPr>
        <w:t xml:space="preserve">   </w:t>
      </w:r>
    </w:p>
    <w:p w:rsidR="00BB450B" w:rsidRDefault="00376E48" w:rsidP="003529C8">
      <w:pPr>
        <w:spacing w:after="120" w:line="240" w:lineRule="auto"/>
        <w:jc w:val="both"/>
        <w:rPr>
          <w:rFonts w:ascii="Times New Roman" w:hAnsi="Times New Roman"/>
          <w:sz w:val="24"/>
          <w:szCs w:val="24"/>
        </w:rPr>
      </w:pPr>
      <w:r>
        <w:rPr>
          <w:rFonts w:ascii="Times New Roman" w:hAnsi="Times New Roman"/>
          <w:sz w:val="24"/>
          <w:szCs w:val="24"/>
        </w:rPr>
        <w:tab/>
      </w:r>
      <w:r w:rsidR="00BB450B">
        <w:rPr>
          <w:rFonts w:ascii="Times New Roman" w:hAnsi="Times New Roman"/>
          <w:sz w:val="24"/>
          <w:szCs w:val="24"/>
        </w:rPr>
        <w:t xml:space="preserve">V rámci iných podmienených pasív sú významné </w:t>
      </w:r>
      <w:r w:rsidR="00730C02">
        <w:rPr>
          <w:rFonts w:ascii="Times New Roman" w:hAnsi="Times New Roman"/>
          <w:sz w:val="24"/>
          <w:szCs w:val="24"/>
        </w:rPr>
        <w:t xml:space="preserve">budúce </w:t>
      </w:r>
      <w:r w:rsidR="00BB450B">
        <w:rPr>
          <w:rFonts w:ascii="Times New Roman" w:hAnsi="Times New Roman"/>
          <w:sz w:val="24"/>
          <w:szCs w:val="24"/>
        </w:rPr>
        <w:t>plnenia z investičných zmlúv štátnych obchodných spoločností (napr. obstaranie majetku pri budovaní cestnej infraštruktúry, schválené investičné zámery a podobne)</w:t>
      </w:r>
      <w:r w:rsidR="00787B04">
        <w:rPr>
          <w:rFonts w:ascii="Times New Roman" w:hAnsi="Times New Roman"/>
          <w:sz w:val="24"/>
          <w:szCs w:val="24"/>
        </w:rPr>
        <w:t>,</w:t>
      </w:r>
      <w:r w:rsidR="00BB450B">
        <w:rPr>
          <w:rFonts w:ascii="Times New Roman" w:hAnsi="Times New Roman"/>
          <w:sz w:val="24"/>
          <w:szCs w:val="24"/>
        </w:rPr>
        <w:t xml:space="preserve"> ako napríklad Národná diaľničná </w:t>
      </w:r>
      <w:r w:rsidR="00730C02">
        <w:rPr>
          <w:rFonts w:ascii="Times New Roman" w:hAnsi="Times New Roman"/>
          <w:sz w:val="24"/>
          <w:szCs w:val="24"/>
        </w:rPr>
        <w:t>spoločnosť</w:t>
      </w:r>
      <w:r w:rsidR="00BB450B">
        <w:rPr>
          <w:rFonts w:ascii="Times New Roman" w:hAnsi="Times New Roman"/>
          <w:sz w:val="24"/>
          <w:szCs w:val="24"/>
        </w:rPr>
        <w:t>, a.</w:t>
      </w:r>
      <w:r w:rsidR="00802114">
        <w:rPr>
          <w:rFonts w:ascii="Times New Roman" w:hAnsi="Times New Roman"/>
          <w:sz w:val="24"/>
          <w:szCs w:val="24"/>
        </w:rPr>
        <w:t xml:space="preserve"> </w:t>
      </w:r>
      <w:r w:rsidR="00BB450B">
        <w:rPr>
          <w:rFonts w:ascii="Times New Roman" w:hAnsi="Times New Roman"/>
          <w:sz w:val="24"/>
          <w:szCs w:val="24"/>
        </w:rPr>
        <w:t>s., MH Invest, s.</w:t>
      </w:r>
      <w:r w:rsidR="00802114">
        <w:rPr>
          <w:rFonts w:ascii="Times New Roman" w:hAnsi="Times New Roman"/>
          <w:sz w:val="24"/>
          <w:szCs w:val="24"/>
        </w:rPr>
        <w:t xml:space="preserve"> </w:t>
      </w:r>
      <w:r w:rsidR="00BB450B">
        <w:rPr>
          <w:rFonts w:ascii="Times New Roman" w:hAnsi="Times New Roman"/>
          <w:sz w:val="24"/>
          <w:szCs w:val="24"/>
        </w:rPr>
        <w:t>r.</w:t>
      </w:r>
      <w:r w:rsidR="00802114">
        <w:rPr>
          <w:rFonts w:ascii="Times New Roman" w:hAnsi="Times New Roman"/>
          <w:sz w:val="24"/>
          <w:szCs w:val="24"/>
        </w:rPr>
        <w:t xml:space="preserve"> </w:t>
      </w:r>
      <w:r w:rsidR="00BB450B">
        <w:rPr>
          <w:rFonts w:ascii="Times New Roman" w:hAnsi="Times New Roman"/>
          <w:sz w:val="24"/>
          <w:szCs w:val="24"/>
        </w:rPr>
        <w:t>o. (pokles vo výške 223 000 tis. eur bol spôsobený postúpením záväzkov z dodávateľských zmlúv na Slovenskú správu ciest) alebo Slovenská elektrizačná prenosová sústava, a.</w:t>
      </w:r>
      <w:r w:rsidR="00802114">
        <w:rPr>
          <w:rFonts w:ascii="Times New Roman" w:hAnsi="Times New Roman"/>
          <w:sz w:val="24"/>
          <w:szCs w:val="24"/>
        </w:rPr>
        <w:t xml:space="preserve"> </w:t>
      </w:r>
      <w:r w:rsidR="00BB450B">
        <w:rPr>
          <w:rFonts w:ascii="Times New Roman" w:hAnsi="Times New Roman"/>
          <w:sz w:val="24"/>
          <w:szCs w:val="24"/>
        </w:rPr>
        <w:t>s.</w:t>
      </w:r>
    </w:p>
    <w:sectPr w:rsidR="00BB450B" w:rsidSect="001708DA">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241" w:rsidRDefault="00723241" w:rsidP="00391DED">
      <w:pPr>
        <w:spacing w:after="0" w:line="240" w:lineRule="auto"/>
      </w:pPr>
      <w:r>
        <w:separator/>
      </w:r>
    </w:p>
  </w:endnote>
  <w:endnote w:type="continuationSeparator" w:id="0">
    <w:p w:rsidR="00723241" w:rsidRDefault="00723241" w:rsidP="0039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AC1" w:rsidRPr="00880AC1" w:rsidRDefault="00880AC1">
    <w:pPr>
      <w:pStyle w:val="Pta"/>
      <w:jc w:val="center"/>
      <w:rPr>
        <w:rFonts w:ascii="Times New Roman" w:hAnsi="Times New Roman"/>
        <w:sz w:val="24"/>
      </w:rPr>
    </w:pPr>
    <w:r w:rsidRPr="00880AC1">
      <w:rPr>
        <w:rFonts w:ascii="Times New Roman" w:hAnsi="Times New Roman"/>
        <w:sz w:val="24"/>
      </w:rPr>
      <w:fldChar w:fldCharType="begin"/>
    </w:r>
    <w:r w:rsidRPr="00880AC1">
      <w:rPr>
        <w:rFonts w:ascii="Times New Roman" w:hAnsi="Times New Roman"/>
        <w:sz w:val="24"/>
      </w:rPr>
      <w:instrText>PAGE   \* MERGEFORMAT</w:instrText>
    </w:r>
    <w:r w:rsidRPr="00880AC1">
      <w:rPr>
        <w:rFonts w:ascii="Times New Roman" w:hAnsi="Times New Roman"/>
        <w:sz w:val="24"/>
      </w:rPr>
      <w:fldChar w:fldCharType="separate"/>
    </w:r>
    <w:r w:rsidR="00E70D40">
      <w:rPr>
        <w:rFonts w:ascii="Times New Roman" w:hAnsi="Times New Roman"/>
        <w:noProof/>
        <w:sz w:val="24"/>
      </w:rPr>
      <w:t>6</w:t>
    </w:r>
    <w:r w:rsidRPr="00880AC1">
      <w:rPr>
        <w:rFonts w:ascii="Times New Roman" w:hAnsi="Times New Roman"/>
        <w:sz w:val="24"/>
      </w:rPr>
      <w:fldChar w:fldCharType="end"/>
    </w:r>
  </w:p>
  <w:p w:rsidR="00880AC1" w:rsidRDefault="00880AC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241" w:rsidRDefault="00723241" w:rsidP="00391DED">
      <w:pPr>
        <w:spacing w:after="0" w:line="240" w:lineRule="auto"/>
      </w:pPr>
      <w:r>
        <w:separator/>
      </w:r>
    </w:p>
  </w:footnote>
  <w:footnote w:type="continuationSeparator" w:id="0">
    <w:p w:rsidR="00723241" w:rsidRDefault="00723241" w:rsidP="00391DED">
      <w:pPr>
        <w:spacing w:after="0" w:line="240" w:lineRule="auto"/>
      </w:pPr>
      <w:r>
        <w:continuationSeparator/>
      </w:r>
    </w:p>
  </w:footnote>
  <w:footnote w:id="1">
    <w:p w:rsidR="00000000" w:rsidRDefault="008069D2" w:rsidP="008B3CD7">
      <w:pPr>
        <w:pStyle w:val="Textpoznmkypodiarou"/>
        <w:spacing w:after="0" w:line="240" w:lineRule="auto"/>
        <w:jc w:val="both"/>
      </w:pPr>
      <w:r w:rsidRPr="00B24D30">
        <w:rPr>
          <w:rStyle w:val="Odkaznapoznmkupodiarou"/>
          <w:rFonts w:ascii="Times New Roman" w:hAnsi="Times New Roman"/>
          <w:sz w:val="16"/>
          <w:szCs w:val="16"/>
        </w:rPr>
        <w:footnoteRef/>
      </w:r>
      <w:r w:rsidRPr="00B24D30">
        <w:rPr>
          <w:rFonts w:ascii="Times New Roman" w:hAnsi="Times New Roman"/>
          <w:sz w:val="16"/>
          <w:szCs w:val="16"/>
        </w:rPr>
        <w:t xml:space="preserve"> Zákon č. 431/2002 Z.</w:t>
      </w:r>
      <w:r w:rsidR="00E721D6" w:rsidRPr="00B24D30">
        <w:rPr>
          <w:rFonts w:ascii="Times New Roman" w:hAnsi="Times New Roman"/>
          <w:sz w:val="16"/>
          <w:szCs w:val="16"/>
        </w:rPr>
        <w:t xml:space="preserve"> </w:t>
      </w:r>
      <w:r w:rsidRPr="00B24D30">
        <w:rPr>
          <w:rFonts w:ascii="Times New Roman" w:hAnsi="Times New Roman"/>
          <w:sz w:val="16"/>
          <w:szCs w:val="16"/>
        </w:rPr>
        <w:t xml:space="preserve">z. o účtovníctve v znení neskorších predpisov. </w:t>
      </w:r>
    </w:p>
  </w:footnote>
  <w:footnote w:id="2">
    <w:p w:rsidR="00000000" w:rsidRDefault="00057082" w:rsidP="00556733">
      <w:pPr>
        <w:pStyle w:val="Textpoznmkypodiarou"/>
        <w:spacing w:after="0" w:line="240" w:lineRule="auto"/>
        <w:ind w:left="142" w:hanging="142"/>
        <w:jc w:val="both"/>
      </w:pPr>
      <w:r>
        <w:rPr>
          <w:rFonts w:ascii="Times New Roman" w:hAnsi="Times New Roman"/>
          <w:sz w:val="16"/>
          <w:szCs w:val="16"/>
          <w:vertAlign w:val="superscript"/>
        </w:rPr>
        <w:t>2</w:t>
      </w:r>
      <w:r w:rsidR="008B3CD7" w:rsidRPr="00B24D30">
        <w:rPr>
          <w:rFonts w:ascii="Times New Roman" w:hAnsi="Times New Roman"/>
          <w:sz w:val="16"/>
          <w:szCs w:val="16"/>
        </w:rPr>
        <w:t xml:space="preserve"> Informácie o podmienených záväzkoch sa čerpajú z účtovných závierok za príslušné účtovné obdobie. </w:t>
      </w:r>
      <w:r>
        <w:rPr>
          <w:rFonts w:ascii="Times New Roman" w:hAnsi="Times New Roman"/>
          <w:sz w:val="16"/>
          <w:szCs w:val="16"/>
        </w:rPr>
        <w:t>D</w:t>
      </w:r>
      <w:r w:rsidR="001079EB">
        <w:rPr>
          <w:rFonts w:ascii="Times New Roman" w:hAnsi="Times New Roman"/>
          <w:sz w:val="16"/>
          <w:szCs w:val="16"/>
        </w:rPr>
        <w:t>efinitívne</w:t>
      </w:r>
      <w:r w:rsidR="00E31F77" w:rsidRPr="00B24D30">
        <w:rPr>
          <w:rFonts w:ascii="Times New Roman" w:hAnsi="Times New Roman"/>
          <w:sz w:val="16"/>
          <w:szCs w:val="16"/>
        </w:rPr>
        <w:t xml:space="preserve"> údaje o podmienených </w:t>
      </w:r>
      <w:r w:rsidR="00075643">
        <w:rPr>
          <w:rFonts w:ascii="Times New Roman" w:hAnsi="Times New Roman"/>
          <w:sz w:val="16"/>
          <w:szCs w:val="16"/>
        </w:rPr>
        <w:t xml:space="preserve">   </w:t>
      </w:r>
      <w:r w:rsidR="00556733">
        <w:rPr>
          <w:rFonts w:ascii="Times New Roman" w:hAnsi="Times New Roman"/>
          <w:sz w:val="16"/>
          <w:szCs w:val="16"/>
        </w:rPr>
        <w:t xml:space="preserve"> </w:t>
      </w:r>
      <w:r w:rsidR="00E31F77" w:rsidRPr="00B24D30">
        <w:rPr>
          <w:rFonts w:ascii="Times New Roman" w:hAnsi="Times New Roman"/>
          <w:sz w:val="16"/>
          <w:szCs w:val="16"/>
        </w:rPr>
        <w:t>pasívach</w:t>
      </w:r>
      <w:r w:rsidR="001079EB">
        <w:rPr>
          <w:rFonts w:ascii="Times New Roman" w:hAnsi="Times New Roman"/>
          <w:sz w:val="16"/>
          <w:szCs w:val="16"/>
        </w:rPr>
        <w:t xml:space="preserve"> za predchádzajúci rok</w:t>
      </w:r>
      <w:r w:rsidR="00E31F77" w:rsidRPr="00B24D30">
        <w:rPr>
          <w:rFonts w:ascii="Times New Roman" w:hAnsi="Times New Roman"/>
          <w:sz w:val="16"/>
          <w:szCs w:val="16"/>
        </w:rPr>
        <w:t xml:space="preserve"> sa vykazujú </w:t>
      </w:r>
      <w:r w:rsidR="00386B51">
        <w:rPr>
          <w:rFonts w:ascii="Times New Roman" w:hAnsi="Times New Roman"/>
          <w:sz w:val="16"/>
          <w:szCs w:val="16"/>
        </w:rPr>
        <w:t>na</w:t>
      </w:r>
      <w:r w:rsidR="00E31F77" w:rsidRPr="00B24D30">
        <w:rPr>
          <w:rFonts w:ascii="Times New Roman" w:hAnsi="Times New Roman"/>
          <w:sz w:val="16"/>
          <w:szCs w:val="16"/>
        </w:rPr>
        <w:t xml:space="preserve"> jeseň bežného roka v rámci Súhrnnej výročnej správy.</w:t>
      </w:r>
    </w:p>
  </w:footnote>
  <w:footnote w:id="3">
    <w:p w:rsidR="00000000" w:rsidRDefault="00255C8D" w:rsidP="00255C8D">
      <w:pPr>
        <w:pStyle w:val="Textpoznmkypodiarou"/>
      </w:pPr>
      <w:r w:rsidRPr="00075643">
        <w:rPr>
          <w:rStyle w:val="Odkaznapoznmkupodiarou"/>
          <w:rFonts w:ascii="Times New Roman" w:hAnsi="Times New Roman"/>
          <w:sz w:val="16"/>
          <w:szCs w:val="16"/>
        </w:rPr>
        <w:footnoteRef/>
      </w:r>
      <w:r w:rsidRPr="00075643">
        <w:rPr>
          <w:rFonts w:ascii="Times New Roman" w:hAnsi="Times New Roman"/>
          <w:sz w:val="16"/>
          <w:szCs w:val="16"/>
        </w:rPr>
        <w:t xml:space="preserve"> Bližšie informácie sú dostupné na oficiálne</w:t>
      </w:r>
      <w:r w:rsidR="00057082" w:rsidRPr="00075643">
        <w:rPr>
          <w:rFonts w:ascii="Times New Roman" w:hAnsi="Times New Roman"/>
          <w:sz w:val="16"/>
          <w:szCs w:val="16"/>
        </w:rPr>
        <w:t>j</w:t>
      </w:r>
      <w:r w:rsidRPr="00075643">
        <w:rPr>
          <w:rFonts w:ascii="Times New Roman" w:hAnsi="Times New Roman"/>
          <w:sz w:val="16"/>
          <w:szCs w:val="16"/>
        </w:rPr>
        <w:t xml:space="preserve"> stránke </w:t>
      </w:r>
      <w:hyperlink r:id="rId1" w:history="1">
        <w:r w:rsidRPr="00880950">
          <w:rPr>
            <w:rStyle w:val="Hypertextovprepojenie"/>
            <w:rFonts w:ascii="Times New Roman" w:hAnsi="Times New Roman"/>
            <w:color w:val="auto"/>
            <w:sz w:val="16"/>
            <w:szCs w:val="16"/>
          </w:rPr>
          <w:t>www.esm.europa.eu</w:t>
        </w:r>
      </w:hyperlink>
      <w:r w:rsidRPr="00075643">
        <w:rPr>
          <w:rFonts w:ascii="Times New Roman" w:hAnsi="Times New Roman"/>
          <w:sz w:val="16"/>
          <w:szCs w:val="16"/>
        </w:rPr>
        <w:t xml:space="preserve">, ktorá je spoločná aj pre popis nástroja EFSF.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F4749"/>
    <w:multiLevelType w:val="hybridMultilevel"/>
    <w:tmpl w:val="633EC3D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1BC8745A"/>
    <w:multiLevelType w:val="hybridMultilevel"/>
    <w:tmpl w:val="C242192E"/>
    <w:lvl w:ilvl="0" w:tplc="041B0005">
      <w:start w:val="1"/>
      <w:numFmt w:val="bullet"/>
      <w:lvlText w:val=""/>
      <w:lvlJc w:val="left"/>
      <w:pPr>
        <w:ind w:left="1426" w:hanging="360"/>
      </w:pPr>
      <w:rPr>
        <w:rFonts w:ascii="Wingdings" w:hAnsi="Wingdings" w:hint="default"/>
      </w:rPr>
    </w:lvl>
    <w:lvl w:ilvl="1" w:tplc="041B0003" w:tentative="1">
      <w:start w:val="1"/>
      <w:numFmt w:val="bullet"/>
      <w:lvlText w:val="o"/>
      <w:lvlJc w:val="left"/>
      <w:pPr>
        <w:ind w:left="2146" w:hanging="360"/>
      </w:pPr>
      <w:rPr>
        <w:rFonts w:ascii="Courier New" w:hAnsi="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2" w15:restartNumberingAfterBreak="0">
    <w:nsid w:val="2D363C92"/>
    <w:multiLevelType w:val="hybridMultilevel"/>
    <w:tmpl w:val="D76E42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9070F5E"/>
    <w:multiLevelType w:val="hybridMultilevel"/>
    <w:tmpl w:val="67E8AB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40F11DFE"/>
    <w:multiLevelType w:val="hybridMultilevel"/>
    <w:tmpl w:val="9E86E3DA"/>
    <w:lvl w:ilvl="0" w:tplc="A3F433CA">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5A855740"/>
    <w:multiLevelType w:val="hybridMultilevel"/>
    <w:tmpl w:val="56AC5B2A"/>
    <w:lvl w:ilvl="0" w:tplc="92A0AD50">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6" w15:restartNumberingAfterBreak="0">
    <w:nsid w:val="6D8A0709"/>
    <w:multiLevelType w:val="hybridMultilevel"/>
    <w:tmpl w:val="06A690D0"/>
    <w:lvl w:ilvl="0" w:tplc="041B000F">
      <w:start w:val="1"/>
      <w:numFmt w:val="decimal"/>
      <w:lvlText w:val="%1."/>
      <w:lvlJc w:val="left"/>
      <w:pPr>
        <w:ind w:left="3552" w:hanging="360"/>
      </w:pPr>
      <w:rPr>
        <w:rFonts w:cs="Times New Roman" w:hint="default"/>
      </w:rPr>
    </w:lvl>
    <w:lvl w:ilvl="1" w:tplc="041B0019" w:tentative="1">
      <w:start w:val="1"/>
      <w:numFmt w:val="lowerLetter"/>
      <w:lvlText w:val="%2."/>
      <w:lvlJc w:val="left"/>
      <w:pPr>
        <w:ind w:left="4272" w:hanging="360"/>
      </w:pPr>
      <w:rPr>
        <w:rFonts w:cs="Times New Roman"/>
      </w:rPr>
    </w:lvl>
    <w:lvl w:ilvl="2" w:tplc="041B001B" w:tentative="1">
      <w:start w:val="1"/>
      <w:numFmt w:val="lowerRoman"/>
      <w:lvlText w:val="%3."/>
      <w:lvlJc w:val="right"/>
      <w:pPr>
        <w:ind w:left="4992" w:hanging="180"/>
      </w:pPr>
      <w:rPr>
        <w:rFonts w:cs="Times New Roman"/>
      </w:rPr>
    </w:lvl>
    <w:lvl w:ilvl="3" w:tplc="041B000F" w:tentative="1">
      <w:start w:val="1"/>
      <w:numFmt w:val="decimal"/>
      <w:lvlText w:val="%4."/>
      <w:lvlJc w:val="left"/>
      <w:pPr>
        <w:ind w:left="5712" w:hanging="360"/>
      </w:pPr>
      <w:rPr>
        <w:rFonts w:cs="Times New Roman"/>
      </w:rPr>
    </w:lvl>
    <w:lvl w:ilvl="4" w:tplc="041B0019" w:tentative="1">
      <w:start w:val="1"/>
      <w:numFmt w:val="lowerLetter"/>
      <w:lvlText w:val="%5."/>
      <w:lvlJc w:val="left"/>
      <w:pPr>
        <w:ind w:left="6432" w:hanging="360"/>
      </w:pPr>
      <w:rPr>
        <w:rFonts w:cs="Times New Roman"/>
      </w:rPr>
    </w:lvl>
    <w:lvl w:ilvl="5" w:tplc="041B001B" w:tentative="1">
      <w:start w:val="1"/>
      <w:numFmt w:val="lowerRoman"/>
      <w:lvlText w:val="%6."/>
      <w:lvlJc w:val="right"/>
      <w:pPr>
        <w:ind w:left="7152" w:hanging="180"/>
      </w:pPr>
      <w:rPr>
        <w:rFonts w:cs="Times New Roman"/>
      </w:rPr>
    </w:lvl>
    <w:lvl w:ilvl="6" w:tplc="041B000F" w:tentative="1">
      <w:start w:val="1"/>
      <w:numFmt w:val="decimal"/>
      <w:lvlText w:val="%7."/>
      <w:lvlJc w:val="left"/>
      <w:pPr>
        <w:ind w:left="7872" w:hanging="360"/>
      </w:pPr>
      <w:rPr>
        <w:rFonts w:cs="Times New Roman"/>
      </w:rPr>
    </w:lvl>
    <w:lvl w:ilvl="7" w:tplc="041B0019" w:tentative="1">
      <w:start w:val="1"/>
      <w:numFmt w:val="lowerLetter"/>
      <w:lvlText w:val="%8."/>
      <w:lvlJc w:val="left"/>
      <w:pPr>
        <w:ind w:left="8592" w:hanging="360"/>
      </w:pPr>
      <w:rPr>
        <w:rFonts w:cs="Times New Roman"/>
      </w:rPr>
    </w:lvl>
    <w:lvl w:ilvl="8" w:tplc="041B001B" w:tentative="1">
      <w:start w:val="1"/>
      <w:numFmt w:val="lowerRoman"/>
      <w:lvlText w:val="%9."/>
      <w:lvlJc w:val="right"/>
      <w:pPr>
        <w:ind w:left="9312" w:hanging="180"/>
      </w:pPr>
      <w:rPr>
        <w:rFonts w:cs="Times New Roman"/>
      </w:rPr>
    </w:lvl>
  </w:abstractNum>
  <w:abstractNum w:abstractNumId="7" w15:restartNumberingAfterBreak="0">
    <w:nsid w:val="7F6F17C4"/>
    <w:multiLevelType w:val="hybridMultilevel"/>
    <w:tmpl w:val="A656DFC6"/>
    <w:lvl w:ilvl="0" w:tplc="C87852FA">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num>
  <w:num w:numId="8">
    <w:abstractNumId w:val="4"/>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39"/>
    <w:rsid w:val="00002AD5"/>
    <w:rsid w:val="00002E66"/>
    <w:rsid w:val="00010733"/>
    <w:rsid w:val="000153B5"/>
    <w:rsid w:val="00022B75"/>
    <w:rsid w:val="00027694"/>
    <w:rsid w:val="00027C9A"/>
    <w:rsid w:val="000309B2"/>
    <w:rsid w:val="00030CE3"/>
    <w:rsid w:val="000436B6"/>
    <w:rsid w:val="00043703"/>
    <w:rsid w:val="000466FB"/>
    <w:rsid w:val="000518B3"/>
    <w:rsid w:val="0005625D"/>
    <w:rsid w:val="00056E18"/>
    <w:rsid w:val="00057082"/>
    <w:rsid w:val="000575ED"/>
    <w:rsid w:val="00063064"/>
    <w:rsid w:val="000679DD"/>
    <w:rsid w:val="00071F13"/>
    <w:rsid w:val="000732A6"/>
    <w:rsid w:val="00075643"/>
    <w:rsid w:val="00077314"/>
    <w:rsid w:val="00077C09"/>
    <w:rsid w:val="00084183"/>
    <w:rsid w:val="00085A32"/>
    <w:rsid w:val="00085E2B"/>
    <w:rsid w:val="00097A8D"/>
    <w:rsid w:val="000A1F16"/>
    <w:rsid w:val="000A5BF8"/>
    <w:rsid w:val="000A69A1"/>
    <w:rsid w:val="000A70C4"/>
    <w:rsid w:val="000B142E"/>
    <w:rsid w:val="000B525E"/>
    <w:rsid w:val="000C7F47"/>
    <w:rsid w:val="000F0FBD"/>
    <w:rsid w:val="001049B5"/>
    <w:rsid w:val="0010500D"/>
    <w:rsid w:val="001079EB"/>
    <w:rsid w:val="0011036F"/>
    <w:rsid w:val="001224BC"/>
    <w:rsid w:val="001267CD"/>
    <w:rsid w:val="001320F7"/>
    <w:rsid w:val="0013256F"/>
    <w:rsid w:val="00140DE3"/>
    <w:rsid w:val="00141987"/>
    <w:rsid w:val="00157638"/>
    <w:rsid w:val="00162C57"/>
    <w:rsid w:val="00163AC3"/>
    <w:rsid w:val="00163D94"/>
    <w:rsid w:val="001702F5"/>
    <w:rsid w:val="001708DA"/>
    <w:rsid w:val="0017178F"/>
    <w:rsid w:val="00171C5C"/>
    <w:rsid w:val="00172A5F"/>
    <w:rsid w:val="00182F73"/>
    <w:rsid w:val="00184B00"/>
    <w:rsid w:val="00187702"/>
    <w:rsid w:val="001A294F"/>
    <w:rsid w:val="001A52FE"/>
    <w:rsid w:val="001A7534"/>
    <w:rsid w:val="001C6405"/>
    <w:rsid w:val="001C6D90"/>
    <w:rsid w:val="001E1139"/>
    <w:rsid w:val="001E7008"/>
    <w:rsid w:val="002019CC"/>
    <w:rsid w:val="00207980"/>
    <w:rsid w:val="002126E0"/>
    <w:rsid w:val="002200D3"/>
    <w:rsid w:val="0022368E"/>
    <w:rsid w:val="00224083"/>
    <w:rsid w:val="0022441E"/>
    <w:rsid w:val="002256C9"/>
    <w:rsid w:val="002323B5"/>
    <w:rsid w:val="00241BD1"/>
    <w:rsid w:val="00244B39"/>
    <w:rsid w:val="002450CB"/>
    <w:rsid w:val="0024687B"/>
    <w:rsid w:val="00250CB2"/>
    <w:rsid w:val="002541B8"/>
    <w:rsid w:val="0025541B"/>
    <w:rsid w:val="00255AB6"/>
    <w:rsid w:val="00255C8D"/>
    <w:rsid w:val="00255FE8"/>
    <w:rsid w:val="00273391"/>
    <w:rsid w:val="002748B4"/>
    <w:rsid w:val="002755B7"/>
    <w:rsid w:val="00283B86"/>
    <w:rsid w:val="00295EF5"/>
    <w:rsid w:val="00296B34"/>
    <w:rsid w:val="002A2754"/>
    <w:rsid w:val="002A41C9"/>
    <w:rsid w:val="002A5CE9"/>
    <w:rsid w:val="002B086B"/>
    <w:rsid w:val="002B09AE"/>
    <w:rsid w:val="002B2A69"/>
    <w:rsid w:val="002B7B99"/>
    <w:rsid w:val="002C4DA2"/>
    <w:rsid w:val="002C5746"/>
    <w:rsid w:val="002C68E7"/>
    <w:rsid w:val="002D0172"/>
    <w:rsid w:val="002D04D1"/>
    <w:rsid w:val="002D46EA"/>
    <w:rsid w:val="002D66C3"/>
    <w:rsid w:val="002D6F94"/>
    <w:rsid w:val="0030294D"/>
    <w:rsid w:val="003044C2"/>
    <w:rsid w:val="00307118"/>
    <w:rsid w:val="00315347"/>
    <w:rsid w:val="003220EA"/>
    <w:rsid w:val="003228B9"/>
    <w:rsid w:val="00323E9F"/>
    <w:rsid w:val="003266D8"/>
    <w:rsid w:val="003267E1"/>
    <w:rsid w:val="003270B7"/>
    <w:rsid w:val="003331A8"/>
    <w:rsid w:val="00335690"/>
    <w:rsid w:val="00351D47"/>
    <w:rsid w:val="003529C8"/>
    <w:rsid w:val="00357403"/>
    <w:rsid w:val="00367073"/>
    <w:rsid w:val="00376E48"/>
    <w:rsid w:val="003863AC"/>
    <w:rsid w:val="00386B51"/>
    <w:rsid w:val="00391DED"/>
    <w:rsid w:val="003969A7"/>
    <w:rsid w:val="003A5F88"/>
    <w:rsid w:val="003A6D63"/>
    <w:rsid w:val="003C00D0"/>
    <w:rsid w:val="003C070F"/>
    <w:rsid w:val="003E031B"/>
    <w:rsid w:val="003E2D20"/>
    <w:rsid w:val="003E61A0"/>
    <w:rsid w:val="003F0457"/>
    <w:rsid w:val="003F17B2"/>
    <w:rsid w:val="003F24F0"/>
    <w:rsid w:val="003F3F4F"/>
    <w:rsid w:val="003F5038"/>
    <w:rsid w:val="00402AB7"/>
    <w:rsid w:val="00403EEE"/>
    <w:rsid w:val="0040407B"/>
    <w:rsid w:val="00406285"/>
    <w:rsid w:val="004162C5"/>
    <w:rsid w:val="00420176"/>
    <w:rsid w:val="004308F7"/>
    <w:rsid w:val="00432AE1"/>
    <w:rsid w:val="00436449"/>
    <w:rsid w:val="00440D50"/>
    <w:rsid w:val="0044476B"/>
    <w:rsid w:val="00447B52"/>
    <w:rsid w:val="00447EE9"/>
    <w:rsid w:val="0045134F"/>
    <w:rsid w:val="00454F20"/>
    <w:rsid w:val="00463061"/>
    <w:rsid w:val="00464824"/>
    <w:rsid w:val="00465A3C"/>
    <w:rsid w:val="004720C4"/>
    <w:rsid w:val="004733CE"/>
    <w:rsid w:val="00475930"/>
    <w:rsid w:val="00476102"/>
    <w:rsid w:val="0048764B"/>
    <w:rsid w:val="004939B4"/>
    <w:rsid w:val="004A1E26"/>
    <w:rsid w:val="004A1FF5"/>
    <w:rsid w:val="004A45CB"/>
    <w:rsid w:val="004A4B46"/>
    <w:rsid w:val="004B1C8E"/>
    <w:rsid w:val="004B1FD8"/>
    <w:rsid w:val="004B32B8"/>
    <w:rsid w:val="004B372C"/>
    <w:rsid w:val="004B5487"/>
    <w:rsid w:val="004C3836"/>
    <w:rsid w:val="004C46FC"/>
    <w:rsid w:val="004C6B0E"/>
    <w:rsid w:val="004D2AFD"/>
    <w:rsid w:val="004D52F7"/>
    <w:rsid w:val="004D7915"/>
    <w:rsid w:val="004E61DC"/>
    <w:rsid w:val="004F1924"/>
    <w:rsid w:val="004F1B96"/>
    <w:rsid w:val="00511B8C"/>
    <w:rsid w:val="00512914"/>
    <w:rsid w:val="00515E73"/>
    <w:rsid w:val="00525C68"/>
    <w:rsid w:val="005358D7"/>
    <w:rsid w:val="00535EBA"/>
    <w:rsid w:val="00540981"/>
    <w:rsid w:val="005426A2"/>
    <w:rsid w:val="005434F7"/>
    <w:rsid w:val="00546326"/>
    <w:rsid w:val="00556733"/>
    <w:rsid w:val="00556EB4"/>
    <w:rsid w:val="00557413"/>
    <w:rsid w:val="0056234A"/>
    <w:rsid w:val="00562CDA"/>
    <w:rsid w:val="005737A4"/>
    <w:rsid w:val="00574453"/>
    <w:rsid w:val="005752E3"/>
    <w:rsid w:val="005754AA"/>
    <w:rsid w:val="00584C3C"/>
    <w:rsid w:val="0058719F"/>
    <w:rsid w:val="00593715"/>
    <w:rsid w:val="00597FA6"/>
    <w:rsid w:val="005A69CC"/>
    <w:rsid w:val="005B13D2"/>
    <w:rsid w:val="005D1651"/>
    <w:rsid w:val="005D38B5"/>
    <w:rsid w:val="005D45FC"/>
    <w:rsid w:val="005D62CA"/>
    <w:rsid w:val="005E109E"/>
    <w:rsid w:val="005E4DD1"/>
    <w:rsid w:val="005F47A0"/>
    <w:rsid w:val="005F6328"/>
    <w:rsid w:val="005F64DE"/>
    <w:rsid w:val="00605477"/>
    <w:rsid w:val="0061469D"/>
    <w:rsid w:val="00614703"/>
    <w:rsid w:val="00617CAA"/>
    <w:rsid w:val="006409FC"/>
    <w:rsid w:val="0065731F"/>
    <w:rsid w:val="006641C0"/>
    <w:rsid w:val="00675ACB"/>
    <w:rsid w:val="00676464"/>
    <w:rsid w:val="006B00D5"/>
    <w:rsid w:val="006B59C4"/>
    <w:rsid w:val="006C18B9"/>
    <w:rsid w:val="006C3A3E"/>
    <w:rsid w:val="006C6AA6"/>
    <w:rsid w:val="006D02BF"/>
    <w:rsid w:val="006D7921"/>
    <w:rsid w:val="006E7710"/>
    <w:rsid w:val="006F05AB"/>
    <w:rsid w:val="00703998"/>
    <w:rsid w:val="00703E74"/>
    <w:rsid w:val="00711985"/>
    <w:rsid w:val="0072074B"/>
    <w:rsid w:val="007208EB"/>
    <w:rsid w:val="00723241"/>
    <w:rsid w:val="007233E1"/>
    <w:rsid w:val="00730C02"/>
    <w:rsid w:val="007334F3"/>
    <w:rsid w:val="00733F2B"/>
    <w:rsid w:val="0074611D"/>
    <w:rsid w:val="00753544"/>
    <w:rsid w:val="00761CE5"/>
    <w:rsid w:val="00770653"/>
    <w:rsid w:val="00770983"/>
    <w:rsid w:val="0077179B"/>
    <w:rsid w:val="00773289"/>
    <w:rsid w:val="00773E03"/>
    <w:rsid w:val="00774976"/>
    <w:rsid w:val="00776674"/>
    <w:rsid w:val="007800D1"/>
    <w:rsid w:val="00785021"/>
    <w:rsid w:val="00787B04"/>
    <w:rsid w:val="00794F6B"/>
    <w:rsid w:val="007960CF"/>
    <w:rsid w:val="00796841"/>
    <w:rsid w:val="007A0905"/>
    <w:rsid w:val="007A2B8C"/>
    <w:rsid w:val="007A2B9F"/>
    <w:rsid w:val="007A49E8"/>
    <w:rsid w:val="007B36C2"/>
    <w:rsid w:val="007C0EBC"/>
    <w:rsid w:val="007C300D"/>
    <w:rsid w:val="007C481A"/>
    <w:rsid w:val="007C6D35"/>
    <w:rsid w:val="007C7AA0"/>
    <w:rsid w:val="007D2185"/>
    <w:rsid w:val="007D2918"/>
    <w:rsid w:val="007D3D75"/>
    <w:rsid w:val="007D7677"/>
    <w:rsid w:val="007E10EC"/>
    <w:rsid w:val="007E3FAB"/>
    <w:rsid w:val="007E67D6"/>
    <w:rsid w:val="007E6A14"/>
    <w:rsid w:val="007F1D36"/>
    <w:rsid w:val="007F299C"/>
    <w:rsid w:val="00802114"/>
    <w:rsid w:val="008069D2"/>
    <w:rsid w:val="008108CA"/>
    <w:rsid w:val="008120E1"/>
    <w:rsid w:val="00814ADF"/>
    <w:rsid w:val="0082070C"/>
    <w:rsid w:val="00834ED5"/>
    <w:rsid w:val="00835A9F"/>
    <w:rsid w:val="008453F2"/>
    <w:rsid w:val="00860F8D"/>
    <w:rsid w:val="008610C9"/>
    <w:rsid w:val="008632ED"/>
    <w:rsid w:val="00863D60"/>
    <w:rsid w:val="00873F18"/>
    <w:rsid w:val="00875880"/>
    <w:rsid w:val="00876227"/>
    <w:rsid w:val="008777A8"/>
    <w:rsid w:val="00880950"/>
    <w:rsid w:val="00880AC1"/>
    <w:rsid w:val="00891922"/>
    <w:rsid w:val="00895AEB"/>
    <w:rsid w:val="00896F9C"/>
    <w:rsid w:val="0089742C"/>
    <w:rsid w:val="008A0C58"/>
    <w:rsid w:val="008A1B8F"/>
    <w:rsid w:val="008A5002"/>
    <w:rsid w:val="008B07B2"/>
    <w:rsid w:val="008B0F46"/>
    <w:rsid w:val="008B1B25"/>
    <w:rsid w:val="008B3CD7"/>
    <w:rsid w:val="008C09C3"/>
    <w:rsid w:val="008C115C"/>
    <w:rsid w:val="008C5773"/>
    <w:rsid w:val="008C67B1"/>
    <w:rsid w:val="008E33A5"/>
    <w:rsid w:val="008E4045"/>
    <w:rsid w:val="008F7024"/>
    <w:rsid w:val="009056FB"/>
    <w:rsid w:val="00906CB1"/>
    <w:rsid w:val="00911147"/>
    <w:rsid w:val="00914778"/>
    <w:rsid w:val="009176E5"/>
    <w:rsid w:val="00923A0E"/>
    <w:rsid w:val="00925449"/>
    <w:rsid w:val="00930522"/>
    <w:rsid w:val="00933994"/>
    <w:rsid w:val="00933F1F"/>
    <w:rsid w:val="00936B7B"/>
    <w:rsid w:val="009403D8"/>
    <w:rsid w:val="009406EC"/>
    <w:rsid w:val="00942C88"/>
    <w:rsid w:val="00943C61"/>
    <w:rsid w:val="00954D9E"/>
    <w:rsid w:val="00962270"/>
    <w:rsid w:val="0096586C"/>
    <w:rsid w:val="00966730"/>
    <w:rsid w:val="0096689A"/>
    <w:rsid w:val="00966D9E"/>
    <w:rsid w:val="00967FCE"/>
    <w:rsid w:val="0097288C"/>
    <w:rsid w:val="00975658"/>
    <w:rsid w:val="00976EF7"/>
    <w:rsid w:val="00983AE3"/>
    <w:rsid w:val="00984E0A"/>
    <w:rsid w:val="0099364A"/>
    <w:rsid w:val="009A431B"/>
    <w:rsid w:val="009B3B25"/>
    <w:rsid w:val="009C1E11"/>
    <w:rsid w:val="009C2705"/>
    <w:rsid w:val="009C4F4C"/>
    <w:rsid w:val="009D13E3"/>
    <w:rsid w:val="009D4A81"/>
    <w:rsid w:val="009E28A8"/>
    <w:rsid w:val="009F1944"/>
    <w:rsid w:val="009F32EA"/>
    <w:rsid w:val="009F4A24"/>
    <w:rsid w:val="009F7812"/>
    <w:rsid w:val="00A12F6F"/>
    <w:rsid w:val="00A13462"/>
    <w:rsid w:val="00A15E74"/>
    <w:rsid w:val="00A226D6"/>
    <w:rsid w:val="00A267E9"/>
    <w:rsid w:val="00A30DE7"/>
    <w:rsid w:val="00A341DA"/>
    <w:rsid w:val="00A442BA"/>
    <w:rsid w:val="00A457C1"/>
    <w:rsid w:val="00A545E9"/>
    <w:rsid w:val="00A56792"/>
    <w:rsid w:val="00A56F0E"/>
    <w:rsid w:val="00A62C4F"/>
    <w:rsid w:val="00A70865"/>
    <w:rsid w:val="00A757F3"/>
    <w:rsid w:val="00A8025E"/>
    <w:rsid w:val="00A908AA"/>
    <w:rsid w:val="00A92A94"/>
    <w:rsid w:val="00A964A2"/>
    <w:rsid w:val="00AA19FF"/>
    <w:rsid w:val="00AA373B"/>
    <w:rsid w:val="00AA70D9"/>
    <w:rsid w:val="00AB370C"/>
    <w:rsid w:val="00AB4358"/>
    <w:rsid w:val="00AB45EB"/>
    <w:rsid w:val="00AD304A"/>
    <w:rsid w:val="00AE40FD"/>
    <w:rsid w:val="00AE673B"/>
    <w:rsid w:val="00AE682E"/>
    <w:rsid w:val="00AF0FCD"/>
    <w:rsid w:val="00AF12A2"/>
    <w:rsid w:val="00AF76C8"/>
    <w:rsid w:val="00B02554"/>
    <w:rsid w:val="00B025DE"/>
    <w:rsid w:val="00B038FE"/>
    <w:rsid w:val="00B11F3D"/>
    <w:rsid w:val="00B20219"/>
    <w:rsid w:val="00B24D30"/>
    <w:rsid w:val="00B32E22"/>
    <w:rsid w:val="00B34ACE"/>
    <w:rsid w:val="00B34B52"/>
    <w:rsid w:val="00B35BAF"/>
    <w:rsid w:val="00B36F08"/>
    <w:rsid w:val="00B436AD"/>
    <w:rsid w:val="00B46507"/>
    <w:rsid w:val="00B51F10"/>
    <w:rsid w:val="00B52E31"/>
    <w:rsid w:val="00B63A00"/>
    <w:rsid w:val="00B6477B"/>
    <w:rsid w:val="00B67300"/>
    <w:rsid w:val="00B71ECF"/>
    <w:rsid w:val="00B826CB"/>
    <w:rsid w:val="00B90B01"/>
    <w:rsid w:val="00B9590F"/>
    <w:rsid w:val="00B973D1"/>
    <w:rsid w:val="00BB21CF"/>
    <w:rsid w:val="00BB450B"/>
    <w:rsid w:val="00BB4A12"/>
    <w:rsid w:val="00BB692D"/>
    <w:rsid w:val="00BC290F"/>
    <w:rsid w:val="00BE0E03"/>
    <w:rsid w:val="00BE14C1"/>
    <w:rsid w:val="00BF28DC"/>
    <w:rsid w:val="00BF2B38"/>
    <w:rsid w:val="00BF505C"/>
    <w:rsid w:val="00BF573B"/>
    <w:rsid w:val="00BF64FA"/>
    <w:rsid w:val="00C03544"/>
    <w:rsid w:val="00C04914"/>
    <w:rsid w:val="00C12F38"/>
    <w:rsid w:val="00C139B4"/>
    <w:rsid w:val="00C14D73"/>
    <w:rsid w:val="00C215F6"/>
    <w:rsid w:val="00C2423D"/>
    <w:rsid w:val="00C26B48"/>
    <w:rsid w:val="00C316A0"/>
    <w:rsid w:val="00C402EA"/>
    <w:rsid w:val="00C45FE3"/>
    <w:rsid w:val="00C62FC6"/>
    <w:rsid w:val="00C632F3"/>
    <w:rsid w:val="00C70221"/>
    <w:rsid w:val="00C74671"/>
    <w:rsid w:val="00CA56A0"/>
    <w:rsid w:val="00CC76DF"/>
    <w:rsid w:val="00CD15C5"/>
    <w:rsid w:val="00CD55E6"/>
    <w:rsid w:val="00CD5773"/>
    <w:rsid w:val="00CE0825"/>
    <w:rsid w:val="00CE1448"/>
    <w:rsid w:val="00CF00B0"/>
    <w:rsid w:val="00D00440"/>
    <w:rsid w:val="00D004AC"/>
    <w:rsid w:val="00D027BD"/>
    <w:rsid w:val="00D04E3A"/>
    <w:rsid w:val="00D12112"/>
    <w:rsid w:val="00D130CB"/>
    <w:rsid w:val="00D14BB3"/>
    <w:rsid w:val="00D2313C"/>
    <w:rsid w:val="00D24BA7"/>
    <w:rsid w:val="00D26566"/>
    <w:rsid w:val="00D3362A"/>
    <w:rsid w:val="00D42296"/>
    <w:rsid w:val="00D44240"/>
    <w:rsid w:val="00D45FF6"/>
    <w:rsid w:val="00D479CA"/>
    <w:rsid w:val="00D62962"/>
    <w:rsid w:val="00D63423"/>
    <w:rsid w:val="00D658B1"/>
    <w:rsid w:val="00D719E5"/>
    <w:rsid w:val="00D74A93"/>
    <w:rsid w:val="00D76FEB"/>
    <w:rsid w:val="00D8522D"/>
    <w:rsid w:val="00D86504"/>
    <w:rsid w:val="00D91157"/>
    <w:rsid w:val="00DA0B8B"/>
    <w:rsid w:val="00DB309F"/>
    <w:rsid w:val="00DB3A7A"/>
    <w:rsid w:val="00DB418F"/>
    <w:rsid w:val="00DB43AA"/>
    <w:rsid w:val="00DB7B66"/>
    <w:rsid w:val="00DC4A1A"/>
    <w:rsid w:val="00DD788A"/>
    <w:rsid w:val="00DE1E29"/>
    <w:rsid w:val="00DE56F4"/>
    <w:rsid w:val="00E01FFB"/>
    <w:rsid w:val="00E12EC9"/>
    <w:rsid w:val="00E141AC"/>
    <w:rsid w:val="00E258BD"/>
    <w:rsid w:val="00E31F77"/>
    <w:rsid w:val="00E35713"/>
    <w:rsid w:val="00E42134"/>
    <w:rsid w:val="00E44E8A"/>
    <w:rsid w:val="00E470BA"/>
    <w:rsid w:val="00E5400E"/>
    <w:rsid w:val="00E65429"/>
    <w:rsid w:val="00E70D40"/>
    <w:rsid w:val="00E721D6"/>
    <w:rsid w:val="00E72FC7"/>
    <w:rsid w:val="00E746B2"/>
    <w:rsid w:val="00E74D43"/>
    <w:rsid w:val="00E77CB4"/>
    <w:rsid w:val="00E806A6"/>
    <w:rsid w:val="00E81CFA"/>
    <w:rsid w:val="00E82BB6"/>
    <w:rsid w:val="00E851EC"/>
    <w:rsid w:val="00E85D4F"/>
    <w:rsid w:val="00E86D31"/>
    <w:rsid w:val="00EA183F"/>
    <w:rsid w:val="00EA2DD9"/>
    <w:rsid w:val="00EA591C"/>
    <w:rsid w:val="00EB3FA5"/>
    <w:rsid w:val="00EC62F7"/>
    <w:rsid w:val="00EE2D15"/>
    <w:rsid w:val="00EE62F0"/>
    <w:rsid w:val="00EE6A2D"/>
    <w:rsid w:val="00EF5BD3"/>
    <w:rsid w:val="00EF71B3"/>
    <w:rsid w:val="00F01DBA"/>
    <w:rsid w:val="00F0336E"/>
    <w:rsid w:val="00F05549"/>
    <w:rsid w:val="00F05B59"/>
    <w:rsid w:val="00F159B2"/>
    <w:rsid w:val="00F22E30"/>
    <w:rsid w:val="00F24AE8"/>
    <w:rsid w:val="00F26E79"/>
    <w:rsid w:val="00F27EE3"/>
    <w:rsid w:val="00F415DF"/>
    <w:rsid w:val="00F45E63"/>
    <w:rsid w:val="00F464DD"/>
    <w:rsid w:val="00F573B4"/>
    <w:rsid w:val="00F73493"/>
    <w:rsid w:val="00F75382"/>
    <w:rsid w:val="00F77630"/>
    <w:rsid w:val="00F8162A"/>
    <w:rsid w:val="00F81E1F"/>
    <w:rsid w:val="00F855B8"/>
    <w:rsid w:val="00F906D2"/>
    <w:rsid w:val="00F92370"/>
    <w:rsid w:val="00F92B1C"/>
    <w:rsid w:val="00FA1FE3"/>
    <w:rsid w:val="00FA366C"/>
    <w:rsid w:val="00FA7F29"/>
    <w:rsid w:val="00FB7C56"/>
    <w:rsid w:val="00FC473D"/>
    <w:rsid w:val="00FC4F1B"/>
    <w:rsid w:val="00FC565B"/>
    <w:rsid w:val="00FC73F0"/>
    <w:rsid w:val="00FD40BC"/>
    <w:rsid w:val="00FE4B5F"/>
    <w:rsid w:val="00FE5A75"/>
    <w:rsid w:val="00FF42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AFDD9A-4540-4C90-AAAF-D18963C2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75ED"/>
    <w:pPr>
      <w:spacing w:after="200" w:line="276" w:lineRule="auto"/>
    </w:pPr>
    <w:rPr>
      <w:rFonts w:cs="Times New Roman"/>
      <w:sz w:val="22"/>
      <w:szCs w:val="36"/>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 Char Char Char Char Char,Plonk,f"/>
    <w:basedOn w:val="Normlny"/>
    <w:link w:val="TextpoznmkypodiarouChar"/>
    <w:uiPriority w:val="99"/>
    <w:unhideWhenUsed/>
    <w:rsid w:val="00391DED"/>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Plonk Char,f Char"/>
    <w:basedOn w:val="Predvolenpsmoodseku"/>
    <w:link w:val="Textpoznmkypodiarou"/>
    <w:uiPriority w:val="99"/>
    <w:locked/>
    <w:rsid w:val="00391DED"/>
    <w:rPr>
      <w:rFonts w:cs="Times New Roman"/>
      <w:lang w:val="x-none" w:eastAsia="en-US"/>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uiPriority w:val="99"/>
    <w:unhideWhenUsed/>
    <w:rsid w:val="00391DED"/>
    <w:rPr>
      <w:rFonts w:cs="Times New Roman"/>
      <w:vertAlign w:val="superscript"/>
    </w:rPr>
  </w:style>
  <w:style w:type="character" w:styleId="Odkaznakomentr">
    <w:name w:val="annotation reference"/>
    <w:basedOn w:val="Predvolenpsmoodseku"/>
    <w:uiPriority w:val="99"/>
    <w:semiHidden/>
    <w:unhideWhenUsed/>
    <w:rsid w:val="009F7812"/>
    <w:rPr>
      <w:rFonts w:cs="Times New Roman"/>
      <w:sz w:val="16"/>
    </w:rPr>
  </w:style>
  <w:style w:type="paragraph" w:styleId="Textkomentra">
    <w:name w:val="annotation text"/>
    <w:basedOn w:val="Normlny"/>
    <w:link w:val="TextkomentraChar"/>
    <w:uiPriority w:val="99"/>
    <w:semiHidden/>
    <w:unhideWhenUsed/>
    <w:rsid w:val="009F7812"/>
    <w:rPr>
      <w:sz w:val="20"/>
      <w:szCs w:val="20"/>
    </w:rPr>
  </w:style>
  <w:style w:type="character" w:customStyle="1" w:styleId="TextkomentraChar">
    <w:name w:val="Text komentára Char"/>
    <w:basedOn w:val="Predvolenpsmoodseku"/>
    <w:link w:val="Textkomentra"/>
    <w:uiPriority w:val="99"/>
    <w:semiHidden/>
    <w:locked/>
    <w:rsid w:val="009F7812"/>
    <w:rPr>
      <w:rFonts w:cs="Times New Roman"/>
      <w:lang w:val="x-none" w:eastAsia="en-US"/>
    </w:rPr>
  </w:style>
  <w:style w:type="paragraph" w:styleId="Predmetkomentra">
    <w:name w:val="annotation subject"/>
    <w:basedOn w:val="Textkomentra"/>
    <w:next w:val="Textkomentra"/>
    <w:link w:val="PredmetkomentraChar"/>
    <w:uiPriority w:val="99"/>
    <w:semiHidden/>
    <w:unhideWhenUsed/>
    <w:rsid w:val="009F7812"/>
    <w:rPr>
      <w:b/>
      <w:bCs/>
    </w:rPr>
  </w:style>
  <w:style w:type="character" w:customStyle="1" w:styleId="PredmetkomentraChar">
    <w:name w:val="Predmet komentára Char"/>
    <w:basedOn w:val="TextkomentraChar"/>
    <w:link w:val="Predmetkomentra"/>
    <w:uiPriority w:val="99"/>
    <w:semiHidden/>
    <w:locked/>
    <w:rsid w:val="009F7812"/>
    <w:rPr>
      <w:rFonts w:cs="Times New Roman"/>
      <w:b/>
      <w:lang w:val="x-none" w:eastAsia="en-US"/>
    </w:rPr>
  </w:style>
  <w:style w:type="paragraph" w:styleId="Textbubliny">
    <w:name w:val="Balloon Text"/>
    <w:basedOn w:val="Normlny"/>
    <w:link w:val="TextbublinyChar"/>
    <w:uiPriority w:val="99"/>
    <w:semiHidden/>
    <w:unhideWhenUsed/>
    <w:rsid w:val="009F781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F7812"/>
    <w:rPr>
      <w:rFonts w:ascii="Tahoma" w:hAnsi="Tahoma" w:cs="Times New Roman"/>
      <w:sz w:val="16"/>
      <w:lang w:val="x-none" w:eastAsia="en-US"/>
    </w:rPr>
  </w:style>
  <w:style w:type="paragraph" w:customStyle="1" w:styleId="Zarkazkladnhotextu1">
    <w:name w:val="Zarážka základného textu1"/>
    <w:basedOn w:val="Normlny"/>
    <w:link w:val="BodyTextIndentChar"/>
    <w:rsid w:val="00B32E22"/>
    <w:pPr>
      <w:spacing w:after="120" w:line="240" w:lineRule="auto"/>
      <w:ind w:left="283"/>
    </w:pPr>
    <w:rPr>
      <w:rFonts w:ascii="Courier" w:hAnsi="Courier" w:cs="Courier"/>
      <w:sz w:val="24"/>
      <w:szCs w:val="24"/>
      <w:lang w:eastAsia="cs-CZ"/>
    </w:rPr>
  </w:style>
  <w:style w:type="character" w:customStyle="1" w:styleId="BodyTextIndentChar">
    <w:name w:val="Body Text Indent Char"/>
    <w:link w:val="Zarkazkladnhotextu1"/>
    <w:locked/>
    <w:rsid w:val="00B32E22"/>
    <w:rPr>
      <w:rFonts w:ascii="Courier" w:hAnsi="Courier"/>
      <w:sz w:val="24"/>
      <w:lang w:val="x-none" w:eastAsia="cs-CZ"/>
    </w:rPr>
  </w:style>
  <w:style w:type="paragraph" w:styleId="Hlavika">
    <w:name w:val="header"/>
    <w:basedOn w:val="Normlny"/>
    <w:link w:val="HlavikaChar"/>
    <w:uiPriority w:val="99"/>
    <w:unhideWhenUsed/>
    <w:rsid w:val="00880AC1"/>
    <w:pPr>
      <w:tabs>
        <w:tab w:val="center" w:pos="4536"/>
        <w:tab w:val="right" w:pos="9072"/>
      </w:tabs>
    </w:pPr>
  </w:style>
  <w:style w:type="character" w:customStyle="1" w:styleId="HlavikaChar">
    <w:name w:val="Hlavička Char"/>
    <w:basedOn w:val="Predvolenpsmoodseku"/>
    <w:link w:val="Hlavika"/>
    <w:uiPriority w:val="99"/>
    <w:locked/>
    <w:rsid w:val="00880AC1"/>
    <w:rPr>
      <w:rFonts w:cs="Times New Roman"/>
      <w:sz w:val="36"/>
      <w:szCs w:val="36"/>
      <w:lang w:val="x-none" w:eastAsia="en-US"/>
    </w:rPr>
  </w:style>
  <w:style w:type="paragraph" w:styleId="Pta">
    <w:name w:val="footer"/>
    <w:basedOn w:val="Normlny"/>
    <w:link w:val="PtaChar"/>
    <w:uiPriority w:val="99"/>
    <w:unhideWhenUsed/>
    <w:rsid w:val="00880AC1"/>
    <w:pPr>
      <w:tabs>
        <w:tab w:val="center" w:pos="4536"/>
        <w:tab w:val="right" w:pos="9072"/>
      </w:tabs>
    </w:pPr>
  </w:style>
  <w:style w:type="character" w:customStyle="1" w:styleId="PtaChar">
    <w:name w:val="Päta Char"/>
    <w:basedOn w:val="Predvolenpsmoodseku"/>
    <w:link w:val="Pta"/>
    <w:uiPriority w:val="99"/>
    <w:locked/>
    <w:rsid w:val="00880AC1"/>
    <w:rPr>
      <w:rFonts w:cs="Times New Roman"/>
      <w:sz w:val="36"/>
      <w:szCs w:val="36"/>
      <w:lang w:val="x-none" w:eastAsia="en-US"/>
    </w:rPr>
  </w:style>
  <w:style w:type="paragraph" w:styleId="Odsekzoznamu">
    <w:name w:val="List Paragraph"/>
    <w:basedOn w:val="Normlny"/>
    <w:uiPriority w:val="34"/>
    <w:qFormat/>
    <w:rsid w:val="002A2754"/>
    <w:pPr>
      <w:spacing w:after="0" w:line="240" w:lineRule="auto"/>
      <w:ind w:left="720"/>
    </w:pPr>
    <w:rPr>
      <w:rFonts w:ascii="Times New Roman" w:hAnsi="Times New Roman"/>
      <w:sz w:val="24"/>
      <w:szCs w:val="24"/>
      <w:lang w:eastAsia="sk-SK"/>
    </w:rPr>
  </w:style>
  <w:style w:type="character" w:styleId="Hypertextovprepojenie">
    <w:name w:val="Hyperlink"/>
    <w:basedOn w:val="Predvolenpsmoodseku"/>
    <w:uiPriority w:val="99"/>
    <w:unhideWhenUsed/>
    <w:rsid w:val="00255C8D"/>
    <w:rPr>
      <w:rFonts w:cs="Times New Roman"/>
      <w:color w:val="9E150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759942">
      <w:marLeft w:val="0"/>
      <w:marRight w:val="0"/>
      <w:marTop w:val="0"/>
      <w:marBottom w:val="0"/>
      <w:divBdr>
        <w:top w:val="none" w:sz="0" w:space="0" w:color="auto"/>
        <w:left w:val="none" w:sz="0" w:space="0" w:color="auto"/>
        <w:bottom w:val="none" w:sz="0" w:space="0" w:color="auto"/>
        <w:right w:val="none" w:sz="0" w:space="0" w:color="auto"/>
      </w:divBdr>
    </w:div>
    <w:div w:id="1228759943">
      <w:marLeft w:val="0"/>
      <w:marRight w:val="0"/>
      <w:marTop w:val="0"/>
      <w:marBottom w:val="0"/>
      <w:divBdr>
        <w:top w:val="none" w:sz="0" w:space="0" w:color="auto"/>
        <w:left w:val="none" w:sz="0" w:space="0" w:color="auto"/>
        <w:bottom w:val="none" w:sz="0" w:space="0" w:color="auto"/>
        <w:right w:val="none" w:sz="0" w:space="0" w:color="auto"/>
      </w:divBdr>
    </w:div>
    <w:div w:id="1228759944">
      <w:marLeft w:val="0"/>
      <w:marRight w:val="0"/>
      <w:marTop w:val="0"/>
      <w:marBottom w:val="0"/>
      <w:divBdr>
        <w:top w:val="none" w:sz="0" w:space="0" w:color="auto"/>
        <w:left w:val="none" w:sz="0" w:space="0" w:color="auto"/>
        <w:bottom w:val="none" w:sz="0" w:space="0" w:color="auto"/>
        <w:right w:val="none" w:sz="0" w:space="0" w:color="auto"/>
      </w:divBdr>
    </w:div>
    <w:div w:id="1228759945">
      <w:marLeft w:val="0"/>
      <w:marRight w:val="0"/>
      <w:marTop w:val="0"/>
      <w:marBottom w:val="0"/>
      <w:divBdr>
        <w:top w:val="none" w:sz="0" w:space="0" w:color="auto"/>
        <w:left w:val="none" w:sz="0" w:space="0" w:color="auto"/>
        <w:bottom w:val="none" w:sz="0" w:space="0" w:color="auto"/>
        <w:right w:val="none" w:sz="0" w:space="0" w:color="auto"/>
      </w:divBdr>
    </w:div>
    <w:div w:id="1228759946">
      <w:marLeft w:val="0"/>
      <w:marRight w:val="0"/>
      <w:marTop w:val="0"/>
      <w:marBottom w:val="0"/>
      <w:divBdr>
        <w:top w:val="none" w:sz="0" w:space="0" w:color="auto"/>
        <w:left w:val="none" w:sz="0" w:space="0" w:color="auto"/>
        <w:bottom w:val="none" w:sz="0" w:space="0" w:color="auto"/>
        <w:right w:val="none" w:sz="0" w:space="0" w:color="auto"/>
      </w:divBdr>
    </w:div>
    <w:div w:id="1228759947">
      <w:marLeft w:val="0"/>
      <w:marRight w:val="0"/>
      <w:marTop w:val="0"/>
      <w:marBottom w:val="0"/>
      <w:divBdr>
        <w:top w:val="none" w:sz="0" w:space="0" w:color="auto"/>
        <w:left w:val="none" w:sz="0" w:space="0" w:color="auto"/>
        <w:bottom w:val="none" w:sz="0" w:space="0" w:color="auto"/>
        <w:right w:val="none" w:sz="0" w:space="0" w:color="auto"/>
      </w:divBdr>
    </w:div>
    <w:div w:id="1228759948">
      <w:marLeft w:val="0"/>
      <w:marRight w:val="0"/>
      <w:marTop w:val="0"/>
      <w:marBottom w:val="0"/>
      <w:divBdr>
        <w:top w:val="none" w:sz="0" w:space="0" w:color="auto"/>
        <w:left w:val="none" w:sz="0" w:space="0" w:color="auto"/>
        <w:bottom w:val="none" w:sz="0" w:space="0" w:color="auto"/>
        <w:right w:val="none" w:sz="0" w:space="0" w:color="auto"/>
      </w:divBdr>
    </w:div>
    <w:div w:id="12287599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m.europa.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CCDBF-9D08-45F2-8FA1-635350F0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10301</Characters>
  <Application>Microsoft Office Word</Application>
  <DocSecurity>0</DocSecurity>
  <Lines>85</Lines>
  <Paragraphs>24</Paragraphs>
  <ScaleCrop>false</ScaleCrop>
  <Company>mfsr</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pivanek</dc:creator>
  <cp:keywords/>
  <dc:description/>
  <cp:lastModifiedBy>Michlo Martin</cp:lastModifiedBy>
  <cp:revision>2</cp:revision>
  <cp:lastPrinted>2018-09-25T06:43:00Z</cp:lastPrinted>
  <dcterms:created xsi:type="dcterms:W3CDTF">2018-10-09T13:11:00Z</dcterms:created>
  <dcterms:modified xsi:type="dcterms:W3CDTF">2018-10-09T13:11:00Z</dcterms:modified>
</cp:coreProperties>
</file>