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F87731">
        <w:rPr>
          <w:sz w:val="22"/>
          <w:szCs w:val="22"/>
        </w:rPr>
        <w:t>1859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87731">
      <w:pPr>
        <w:pStyle w:val="rozhodnutia"/>
      </w:pPr>
      <w:r>
        <w:t>1210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F87731" w:rsidRDefault="00F87731" w:rsidP="00F8773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1. októbra 2018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F87731">
        <w:rPr>
          <w:rFonts w:cs="Arial"/>
          <w:szCs w:val="22"/>
        </w:rPr>
        <w:t>Štefana VAVREKA a Ladislava BALÓDIHO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F87731">
        <w:rPr>
          <w:rFonts w:cs="Arial"/>
          <w:szCs w:val="22"/>
        </w:rPr>
        <w:t>zákon č. 597/2003 Z. z. o financovaní základných</w:t>
      </w:r>
      <w:r w:rsidR="001A3787">
        <w:rPr>
          <w:rFonts w:cs="Arial"/>
          <w:szCs w:val="22"/>
        </w:rPr>
        <w:t xml:space="preserve"> škôl</w:t>
      </w:r>
      <w:r w:rsidR="00F87731">
        <w:rPr>
          <w:rFonts w:cs="Arial"/>
          <w:szCs w:val="22"/>
        </w:rPr>
        <w:t>, stredných škôl a školských zariadení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87731">
        <w:rPr>
          <w:rFonts w:cs="Arial"/>
          <w:szCs w:val="22"/>
        </w:rPr>
        <w:t>1157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87731">
        <w:rPr>
          <w:rFonts w:cs="Arial"/>
          <w:szCs w:val="22"/>
        </w:rPr>
        <w:t>28.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23D5A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23D5A">
        <w:rPr>
          <w:rFonts w:ascii="Arial" w:hAnsi="Arial" w:cs="Arial"/>
          <w:sz w:val="22"/>
          <w:szCs w:val="22"/>
        </w:rPr>
        <w:t>financie a rozpočet a</w:t>
      </w:r>
    </w:p>
    <w:p w:rsidR="00223D5A" w:rsidRDefault="00223D5A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RDefault="00223D5A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23D5A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A3787"/>
    <w:rsid w:val="001B5359"/>
    <w:rsid w:val="001D3570"/>
    <w:rsid w:val="001D7F32"/>
    <w:rsid w:val="00223D5A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87731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596CC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2018-10-01T11:02:00Z</cp:lastPrinted>
  <dcterms:created xsi:type="dcterms:W3CDTF">2018-10-01T04:39:00Z</dcterms:created>
  <dcterms:modified xsi:type="dcterms:W3CDTF">2018-10-01T11:02:00Z</dcterms:modified>
</cp:coreProperties>
</file>