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43" w:rsidRPr="007B4143" w:rsidRDefault="00FE637E" w:rsidP="00EA039E">
      <w:pPr>
        <w:suppressAutoHyphens w:val="0"/>
        <w:autoSpaceDN w:val="0"/>
        <w:adjustRightInd w:val="0"/>
        <w:jc w:val="center"/>
        <w:rPr>
          <w:rFonts w:ascii="Calibri" w:eastAsiaTheme="minorEastAsia" w:hAnsi="Calibri" w:cs="Times New Roman"/>
          <w:sz w:val="22"/>
          <w:lang w:eastAsia="en-US" w:bidi="ar-SA"/>
        </w:rPr>
      </w:pPr>
      <w:r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t>D</w:t>
      </w:r>
      <w:bookmarkStart w:id="0" w:name="_GoBack"/>
      <w:bookmarkEnd w:id="0"/>
      <w:r w:rsidR="007B4143" w:rsidRPr="007B4143">
        <w:rPr>
          <w:rFonts w:eastAsiaTheme="minorEastAsia" w:cs="Times New Roman"/>
          <w:b/>
          <w:caps/>
          <w:color w:val="000000"/>
          <w:spacing w:val="30"/>
          <w:lang w:eastAsia="en-US" w:bidi="ar-SA"/>
        </w:rPr>
        <w:t>oložka</w:t>
      </w:r>
    </w:p>
    <w:p w:rsidR="007B4143" w:rsidRPr="007B4143" w:rsidRDefault="007B4143" w:rsidP="00EA039E">
      <w:pPr>
        <w:suppressAutoHyphens w:val="0"/>
        <w:autoSpaceDN w:val="0"/>
        <w:adjustRightInd w:val="0"/>
        <w:jc w:val="center"/>
        <w:rPr>
          <w:rFonts w:ascii="Calibri" w:eastAsiaTheme="minorEastAsia" w:hAnsi="Calibri" w:cs="Times New Roman"/>
          <w:sz w:val="22"/>
          <w:lang w:eastAsia="en-US" w:bidi="ar-SA"/>
        </w:rPr>
      </w:pPr>
      <w:r w:rsidRPr="007B4143">
        <w:rPr>
          <w:rFonts w:eastAsiaTheme="minorEastAsia" w:cs="Times New Roman"/>
          <w:b/>
          <w:color w:val="000000"/>
          <w:lang w:eastAsia="en-US" w:bidi="ar-SA"/>
        </w:rPr>
        <w:t>vybraných vplyvov</w:t>
      </w:r>
    </w:p>
    <w:p w:rsidR="007B4143" w:rsidRPr="007B4143" w:rsidRDefault="007B4143" w:rsidP="00EA039E">
      <w:pPr>
        <w:suppressAutoHyphens w:val="0"/>
        <w:autoSpaceDN w:val="0"/>
        <w:adjustRightInd w:val="0"/>
        <w:rPr>
          <w:rFonts w:ascii="Calibri" w:eastAsiaTheme="minorEastAsia" w:hAnsi="Calibri" w:cs="Times New Roman"/>
          <w:sz w:val="22"/>
          <w:lang w:eastAsia="en-US" w:bidi="ar-SA"/>
        </w:rPr>
      </w:pPr>
    </w:p>
    <w:p w:rsidR="00765D50" w:rsidRDefault="007B4143" w:rsidP="00EA039E">
      <w:pPr>
        <w:jc w:val="both"/>
        <w:rPr>
          <w:rFonts w:eastAsia="Times New Roman" w:cs="Times New Roman"/>
          <w:kern w:val="0"/>
          <w:lang w:eastAsia="en-US" w:bidi="ar-SA"/>
        </w:rPr>
      </w:pPr>
      <w:r w:rsidRPr="007B4143">
        <w:rPr>
          <w:rFonts w:cs="Times New Roman"/>
          <w:b/>
          <w:color w:val="000000"/>
        </w:rPr>
        <w:t xml:space="preserve">A.1. Názov materiálu: </w:t>
      </w:r>
      <w:r w:rsidR="00765D50" w:rsidRPr="007B4143">
        <w:rPr>
          <w:rFonts w:eastAsia="Times New Roman" w:cs="Times New Roman"/>
          <w:kern w:val="0"/>
          <w:lang w:eastAsia="en-US" w:bidi="ar-SA"/>
        </w:rPr>
        <w:t>Návrh zákona,</w:t>
      </w:r>
      <w:r w:rsidR="00765D50" w:rsidRPr="007B4143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D037A2" w:rsidRPr="00D037A2">
        <w:rPr>
          <w:rFonts w:eastAsia="Times New Roman" w:cs="Times New Roman"/>
          <w:kern w:val="0"/>
          <w:lang w:eastAsia="en-US" w:bidi="ar-SA"/>
        </w:rPr>
        <w:t>ktorým sa mení a dopĺňa zákon č. 461/2003 Z. z. o sociálnom poistení v znení neskorších predpisov a ktorým sa dopĺňa zákon č. 131/2002 Z. z. o vysokých školách a o zmene a doplnení niektorých zákonov v znení neskorších predpisov</w:t>
      </w:r>
    </w:p>
    <w:p w:rsidR="00D037A2" w:rsidRPr="007B4143" w:rsidRDefault="00D037A2" w:rsidP="00EA039E">
      <w:pPr>
        <w:jc w:val="both"/>
        <w:rPr>
          <w:rFonts w:cs="Times New Roman"/>
        </w:rPr>
      </w:pPr>
    </w:p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7B4143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Pozitívne</w:t>
            </w:r>
          </w:p>
        </w:tc>
        <w:tc>
          <w:tcPr>
            <w:tcW w:w="1181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Žiadne</w:t>
            </w: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Negatívne</w:t>
            </w: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vAlign w:val="center"/>
          </w:tcPr>
          <w:p w:rsidR="007B4143" w:rsidRPr="007B4143" w:rsidRDefault="00765D50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7B4143" w:rsidRPr="007B4143" w:rsidRDefault="00765D50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81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7B4143" w:rsidRPr="007B4143" w:rsidRDefault="00765D50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  <w:r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vAlign w:val="center"/>
          </w:tcPr>
          <w:p w:rsidR="007B4143" w:rsidRPr="007B4143" w:rsidRDefault="00765D50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  <w:r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vAlign w:val="center"/>
          </w:tcPr>
          <w:p w:rsidR="007B4143" w:rsidRPr="007B4143" w:rsidRDefault="00765D50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  <w:r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 w:rsidR="007B4143" w:rsidRPr="007B4143" w:rsidTr="00F36BE4">
        <w:tc>
          <w:tcPr>
            <w:tcW w:w="552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rPr>
                <w:rFonts w:ascii="Calibri" w:eastAsiaTheme="minorEastAsia" w:hAnsi="Calibri" w:cs="Times New Roman"/>
                <w:sz w:val="22"/>
                <w:lang w:eastAsia="en-US" w:bidi="ar-SA"/>
              </w:rPr>
            </w:pPr>
            <w:r w:rsidRPr="007B4143">
              <w:rPr>
                <w:rFonts w:eastAsiaTheme="minorEastAsia" w:cs="Times New Roman"/>
                <w:color w:val="000000"/>
                <w:lang w:eastAsia="en-US" w:bidi="ar-SA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vAlign w:val="center"/>
          </w:tcPr>
          <w:p w:rsidR="007B4143" w:rsidRPr="007B4143" w:rsidRDefault="00765D50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vAlign w:val="center"/>
          </w:tcPr>
          <w:p w:rsidR="007B4143" w:rsidRPr="007B4143" w:rsidRDefault="007B4143" w:rsidP="00EA039E">
            <w:pPr>
              <w:suppressAutoHyphens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</w:tbl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ascii="Calibri" w:eastAsiaTheme="minorEastAsia" w:hAnsi="Calibri" w:cs="Times New Roman"/>
          <w:sz w:val="22"/>
          <w:lang w:eastAsia="en-US" w:bidi="ar-SA"/>
        </w:rPr>
      </w:pPr>
    </w:p>
    <w:p w:rsidR="007B4143" w:rsidRPr="007B4143" w:rsidRDefault="007B4143" w:rsidP="00EA039E">
      <w:pPr>
        <w:suppressAutoHyphens w:val="0"/>
        <w:autoSpaceDN w:val="0"/>
        <w:adjustRightInd w:val="0"/>
        <w:spacing w:after="200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7B4143">
        <w:rPr>
          <w:rFonts w:eastAsiaTheme="minorEastAsia" w:cs="Times New Roman"/>
          <w:b/>
          <w:color w:val="000000"/>
          <w:lang w:eastAsia="en-US" w:bidi="ar-SA"/>
        </w:rPr>
        <w:t>A.3. Poznámky</w:t>
      </w:r>
    </w:p>
    <w:p w:rsidR="00765D50" w:rsidRPr="007B4143" w:rsidRDefault="007B4143" w:rsidP="00765D50">
      <w:pPr>
        <w:suppressAutoHyphens w:val="0"/>
        <w:autoSpaceDN w:val="0"/>
        <w:adjustRightInd w:val="0"/>
        <w:spacing w:after="200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7B4143">
        <w:rPr>
          <w:rFonts w:eastAsiaTheme="minorEastAsia" w:cs="Times New Roman"/>
          <w:color w:val="000000"/>
          <w:lang w:eastAsia="en-US" w:bidi="ar-SA"/>
        </w:rPr>
        <w:t xml:space="preserve">Návrh zákona </w:t>
      </w:r>
      <w:r w:rsidR="00D037A2">
        <w:rPr>
          <w:rFonts w:eastAsiaTheme="minorEastAsia" w:cs="Times New Roman"/>
          <w:color w:val="000000"/>
          <w:lang w:eastAsia="en-US" w:bidi="ar-SA"/>
        </w:rPr>
        <w:t xml:space="preserve">bude mať negatívne vplyvy na rozpočet verejnej správy, ročne vo výške cca 800 000 eur (pri odhade 8 000 študentov v dennej forme doktorandského štúdia a priemerného štipendia vo výške 600 eur). Finančné krytie bude zabezpečené tým, že </w:t>
      </w:r>
      <w:r w:rsidR="00765D50">
        <w:rPr>
          <w:rFonts w:eastAsiaTheme="minorEastAsia" w:cs="Times New Roman"/>
          <w:color w:val="000000"/>
          <w:lang w:eastAsia="en-US" w:bidi="ar-SA"/>
        </w:rPr>
        <w:t xml:space="preserve">podľa daňovej prognózy sa očakávajú zvýšené príjmy z výberu daní na rok 2018 o 560 miliónov eur a na rok 2019 o 493 miliónov eur. Pozitívne vplyvy na hospodárenie obyvateľstva sa očakávajú kvôli </w:t>
      </w:r>
      <w:r w:rsidR="00D037A2">
        <w:rPr>
          <w:rFonts w:eastAsiaTheme="minorEastAsia" w:cs="Times New Roman"/>
          <w:color w:val="000000"/>
          <w:lang w:eastAsia="en-US" w:bidi="ar-SA"/>
        </w:rPr>
        <w:t>možnosti čerpania dávok zo systému sociálneho zabezpečenia, predovšetkým materského.</w:t>
      </w:r>
    </w:p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7B4143">
        <w:rPr>
          <w:rFonts w:eastAsiaTheme="minorEastAsia" w:cs="Times New Roman"/>
          <w:b/>
          <w:color w:val="000000"/>
          <w:lang w:eastAsia="en-US" w:bidi="ar-SA"/>
        </w:rPr>
        <w:t>A.4. Alternatívne riešenia</w:t>
      </w:r>
    </w:p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ascii="Calibri" w:eastAsiaTheme="minorEastAsia" w:hAnsi="Calibri" w:cs="Times New Roman"/>
          <w:sz w:val="22"/>
          <w:lang w:eastAsia="en-US" w:bidi="ar-SA"/>
        </w:rPr>
      </w:pPr>
    </w:p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ascii="Calibri" w:eastAsiaTheme="minorEastAsia" w:hAnsi="Calibri" w:cs="Times New Roman"/>
          <w:sz w:val="22"/>
          <w:lang w:eastAsia="en-US" w:bidi="ar-SA"/>
        </w:rPr>
      </w:pPr>
      <w:r w:rsidRPr="007B4143">
        <w:rPr>
          <w:rFonts w:eastAsiaTheme="minorEastAsia" w:cs="Times New Roman"/>
          <w:color w:val="000000"/>
          <w:lang w:eastAsia="en-US" w:bidi="ar-SA"/>
        </w:rPr>
        <w:t xml:space="preserve">Bezpredmetné  </w:t>
      </w:r>
    </w:p>
    <w:p w:rsidR="007B4143" w:rsidRPr="007B4143" w:rsidRDefault="007B4143" w:rsidP="00EA039E">
      <w:pPr>
        <w:widowControl/>
        <w:suppressAutoHyphens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7B4143">
        <w:rPr>
          <w:rFonts w:eastAsia="Times New Roman" w:cs="Times New Roman"/>
          <w:b/>
          <w:kern w:val="0"/>
          <w:lang w:eastAsia="sk-SK" w:bidi="ar-SA"/>
        </w:rPr>
        <w:t xml:space="preserve">A.5. </w:t>
      </w:r>
      <w:r w:rsidRPr="007B4143">
        <w:rPr>
          <w:rFonts w:eastAsia="Times New Roman" w:cs="Times New Roman"/>
          <w:b/>
          <w:kern w:val="0"/>
          <w:lang w:eastAsia="sk-SK" w:bidi="ar-SA"/>
        </w:rPr>
        <w:tab/>
        <w:t>Stanovisko gestorov</w:t>
      </w:r>
    </w:p>
    <w:p w:rsidR="007B4143" w:rsidRPr="007B4143" w:rsidRDefault="007B4143" w:rsidP="00EA039E">
      <w:pPr>
        <w:suppressAutoHyphens w:val="0"/>
        <w:autoSpaceDN w:val="0"/>
        <w:adjustRightInd w:val="0"/>
        <w:jc w:val="both"/>
        <w:rPr>
          <w:rFonts w:ascii="Calibri" w:eastAsiaTheme="minorEastAsia" w:hAnsi="Calibri" w:cs="Times New Roman"/>
          <w:color w:val="000000"/>
          <w:sz w:val="22"/>
          <w:szCs w:val="22"/>
          <w:lang w:val="en-US" w:eastAsia="en-US" w:bidi="ar-SA"/>
        </w:rPr>
      </w:pPr>
      <w:r w:rsidRPr="007B4143">
        <w:rPr>
          <w:rFonts w:eastAsiaTheme="minorEastAsia" w:cs="Times New Roman"/>
          <w:color w:val="000000"/>
          <w:lang w:eastAsia="en-US" w:bidi="ar-SA"/>
        </w:rPr>
        <w:t>Bezpredmetné</w:t>
      </w:r>
    </w:p>
    <w:p w:rsidR="00765D50" w:rsidRDefault="00765D50" w:rsidP="00EA039E">
      <w:pPr>
        <w:widowControl/>
        <w:suppressAutoHyphens w:val="0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765D50" w:rsidRDefault="00765D50" w:rsidP="00EA039E">
      <w:pPr>
        <w:widowControl/>
        <w:suppressAutoHyphens w:val="0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765D50" w:rsidRDefault="00765D50" w:rsidP="00EA039E">
      <w:pPr>
        <w:widowControl/>
        <w:suppressAutoHyphens w:val="0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765D50" w:rsidRDefault="00765D50" w:rsidP="00EA039E">
      <w:pPr>
        <w:widowControl/>
        <w:suppressAutoHyphens w:val="0"/>
        <w:jc w:val="center"/>
        <w:rPr>
          <w:rFonts w:eastAsia="Times New Roman" w:cs="Calibri"/>
          <w:b/>
          <w:bCs/>
          <w:caps/>
          <w:spacing w:val="30"/>
          <w:lang w:eastAsia="en-US" w:bidi="ar-SA"/>
        </w:rPr>
      </w:pPr>
    </w:p>
    <w:p w:rsidR="00765D50" w:rsidRDefault="00765D50">
      <w:pPr>
        <w:widowControl/>
        <w:suppressAutoHyphens w:val="0"/>
        <w:spacing w:after="200" w:line="276" w:lineRule="auto"/>
        <w:rPr>
          <w:rFonts w:eastAsia="Times New Roman" w:cs="Calibri"/>
          <w:b/>
          <w:bCs/>
          <w:caps/>
          <w:spacing w:val="30"/>
          <w:lang w:eastAsia="en-US" w:bidi="ar-SA"/>
        </w:rPr>
      </w:pPr>
      <w:r>
        <w:rPr>
          <w:rFonts w:eastAsia="Times New Roman" w:cs="Calibri"/>
          <w:b/>
          <w:bCs/>
          <w:caps/>
          <w:spacing w:val="30"/>
          <w:lang w:eastAsia="en-US" w:bidi="ar-SA"/>
        </w:rPr>
        <w:br w:type="page"/>
      </w:r>
    </w:p>
    <w:p w:rsidR="007B4143" w:rsidRPr="007B4143" w:rsidRDefault="007B4143" w:rsidP="00EA039E">
      <w:pPr>
        <w:widowControl/>
        <w:suppressAutoHyphens w:val="0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7B4143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</w:t>
      </w:r>
      <w:r w:rsidRPr="007B4143">
        <w:rPr>
          <w:rFonts w:cs="Calibri"/>
          <w:b/>
          <w:bCs/>
          <w:caps/>
          <w:spacing w:val="30"/>
          <w:lang w:eastAsia="en-US" w:bidi="ar-SA"/>
        </w:rPr>
        <w:t>čiteľnosti</w:t>
      </w:r>
    </w:p>
    <w:p w:rsidR="007B4143" w:rsidRPr="007B4143" w:rsidRDefault="007B4143" w:rsidP="00EA039E">
      <w:pPr>
        <w:suppressAutoHyphens w:val="0"/>
        <w:autoSpaceDN w:val="0"/>
        <w:adjustRightInd w:val="0"/>
        <w:jc w:val="center"/>
        <w:rPr>
          <w:rFonts w:ascii="Calibri" w:hAnsi="Calibri" w:cs="Times New Roman"/>
          <w:sz w:val="22"/>
          <w:lang w:eastAsia="en-US" w:bidi="ar-SA"/>
        </w:rPr>
      </w:pPr>
      <w:r w:rsidRPr="007B4143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7B4143" w:rsidRPr="007B4143" w:rsidRDefault="007B4143" w:rsidP="00EA039E">
      <w:pPr>
        <w:suppressAutoHyphens w:val="0"/>
        <w:autoSpaceDN w:val="0"/>
        <w:adjustRightInd w:val="0"/>
        <w:rPr>
          <w:rFonts w:ascii="Calibri" w:hAnsi="Calibri" w:cs="Times New Roman"/>
          <w:sz w:val="22"/>
          <w:lang w:eastAsia="en-US" w:bidi="ar-SA"/>
        </w:rPr>
      </w:pPr>
    </w:p>
    <w:p w:rsidR="007B4143" w:rsidRPr="007B4143" w:rsidRDefault="007B4143" w:rsidP="00EA039E">
      <w:pPr>
        <w:suppressAutoHyphens w:val="0"/>
        <w:autoSpaceDN w:val="0"/>
        <w:adjustRightInd w:val="0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7B4143">
        <w:rPr>
          <w:rFonts w:cs="Times New Roman"/>
          <w:b/>
          <w:lang w:eastAsia="en-US" w:bidi="ar-SA"/>
        </w:rPr>
        <w:t>1. Predkladateľ právneho predpisu:</w:t>
      </w:r>
      <w:r w:rsidRPr="007B4143">
        <w:rPr>
          <w:rFonts w:eastAsia="Times New Roman" w:cs="Times New Roman"/>
          <w:lang w:eastAsia="en-US" w:bidi="ar-SA"/>
        </w:rPr>
        <w:t xml:space="preserve"> </w:t>
      </w:r>
      <w:r w:rsidRPr="007B4143">
        <w:rPr>
          <w:rFonts w:eastAsia="Times New Roman" w:cs="Times New Roman"/>
          <w:lang w:eastAsia="en-US" w:bidi="ar-SA"/>
        </w:rPr>
        <w:tab/>
        <w:t>poslanci Národnej rady Slo</w:t>
      </w:r>
      <w:r w:rsidR="007E3685">
        <w:rPr>
          <w:rFonts w:eastAsia="Times New Roman" w:cs="Times New Roman"/>
          <w:lang w:eastAsia="en-US" w:bidi="ar-SA"/>
        </w:rPr>
        <w:t xml:space="preserve">venskej republiky Simona Petrík </w:t>
      </w:r>
      <w:r w:rsidRPr="007B4143">
        <w:rPr>
          <w:rFonts w:eastAsia="Times New Roman" w:cs="Times New Roman"/>
          <w:lang w:eastAsia="en-US" w:bidi="ar-SA"/>
        </w:rPr>
        <w:t>a Miroslav Beblavý</w:t>
      </w:r>
    </w:p>
    <w:p w:rsidR="007B4143" w:rsidRPr="007B4143" w:rsidRDefault="007B4143" w:rsidP="00EA039E">
      <w:pPr>
        <w:tabs>
          <w:tab w:val="left" w:pos="360"/>
        </w:tabs>
        <w:suppressAutoHyphens w:val="0"/>
        <w:autoSpaceDN w:val="0"/>
        <w:adjustRightInd w:val="0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7B4143">
        <w:rPr>
          <w:rFonts w:eastAsia="Times New Roman" w:cs="Times New Roman"/>
          <w:lang w:eastAsia="en-US" w:bidi="ar-SA"/>
        </w:rPr>
        <w:t xml:space="preserve"> </w:t>
      </w:r>
    </w:p>
    <w:p w:rsidR="007B4143" w:rsidRPr="007B4143" w:rsidRDefault="007B4143" w:rsidP="00765D50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7B4143">
        <w:rPr>
          <w:rFonts w:eastAsia="Times New Roman" w:cs="Times New Roman"/>
          <w:b/>
          <w:lang w:eastAsia="en-US" w:bidi="ar-SA"/>
        </w:rPr>
        <w:t>2. Názov návrhu právneho predpisu:</w:t>
      </w:r>
      <w:r w:rsidRPr="007B4143">
        <w:rPr>
          <w:rFonts w:eastAsia="Times New Roman" w:cs="Times New Roman"/>
          <w:lang w:eastAsia="en-US" w:bidi="ar-SA"/>
        </w:rPr>
        <w:t xml:space="preserve"> Návrh zákona, </w:t>
      </w:r>
      <w:r w:rsidR="007E3685" w:rsidRPr="007E3685">
        <w:rPr>
          <w:rFonts w:eastAsia="Times New Roman" w:cs="Times New Roman"/>
          <w:kern w:val="0"/>
          <w:lang w:eastAsia="en-US" w:bidi="ar-SA"/>
        </w:rPr>
        <w:t>ktorým sa mení a dopĺňa zákon č. 461/2003 Z. z. o sociálnom poistení v znení neskorších predpisov a ktorým sa dopĺňa zákon č. 131/2002 Z. z. o vysokých školách a o zmene a doplnení niektorých zákonov v znení neskorších predpisov</w:t>
      </w:r>
    </w:p>
    <w:p w:rsidR="007B4143" w:rsidRPr="007B4143" w:rsidRDefault="007B4143" w:rsidP="00EA039E">
      <w:pPr>
        <w:suppressAutoHyphens w:val="0"/>
        <w:autoSpaceDN w:val="0"/>
        <w:adjustRightInd w:val="0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765D50" w:rsidRDefault="00765D50" w:rsidP="00765D50">
      <w:pPr>
        <w:jc w:val="both"/>
        <w:rPr>
          <w:b/>
        </w:rPr>
      </w:pPr>
      <w:r w:rsidRPr="00B918C6">
        <w:rPr>
          <w:b/>
        </w:rPr>
        <w:t>3. Problematika návrhu právneho predpisu:</w:t>
      </w:r>
    </w:p>
    <w:p w:rsidR="00765D50" w:rsidRPr="00B918C6" w:rsidRDefault="00765D50" w:rsidP="00765D50">
      <w:pPr>
        <w:jc w:val="both"/>
        <w:rPr>
          <w:b/>
        </w:rPr>
      </w:pPr>
    </w:p>
    <w:p w:rsidR="00765D50" w:rsidRDefault="00765D50" w:rsidP="00765D50">
      <w:pPr>
        <w:pStyle w:val="listparagraph"/>
        <w:numPr>
          <w:ilvl w:val="1"/>
          <w:numId w:val="17"/>
        </w:numPr>
        <w:ind w:left="360"/>
        <w:jc w:val="both"/>
      </w:pPr>
      <w:r w:rsidRPr="00B918C6">
        <w:t>nie je upravená v práve Európskej únie.</w:t>
      </w:r>
    </w:p>
    <w:p w:rsidR="00765D50" w:rsidRDefault="00765D50" w:rsidP="00765D50">
      <w:pPr>
        <w:pStyle w:val="listparagraph"/>
        <w:ind w:left="360"/>
        <w:jc w:val="both"/>
      </w:pPr>
    </w:p>
    <w:p w:rsidR="00765D50" w:rsidRPr="00B918C6" w:rsidRDefault="00765D50" w:rsidP="00765D50">
      <w:pPr>
        <w:widowControl/>
        <w:numPr>
          <w:ilvl w:val="1"/>
          <w:numId w:val="17"/>
        </w:numPr>
        <w:suppressAutoHyphens w:val="0"/>
        <w:spacing w:before="100" w:beforeAutospacing="1" w:after="100" w:afterAutospacing="1"/>
        <w:ind w:left="360"/>
        <w:jc w:val="both"/>
      </w:pPr>
      <w:r w:rsidRPr="00B918C6">
        <w:t>nie je obsiahnutá v judikatúre Súdneho dvora Európskej únie.</w:t>
      </w:r>
    </w:p>
    <w:p w:rsidR="00765D50" w:rsidRPr="00B918C6" w:rsidRDefault="00765D50" w:rsidP="00765D50">
      <w:pPr>
        <w:ind w:firstLine="360"/>
        <w:jc w:val="both"/>
        <w:rPr>
          <w:b/>
          <w:bCs/>
        </w:rPr>
      </w:pPr>
      <w:r w:rsidRPr="00B918C6">
        <w:rPr>
          <w:b/>
          <w:bCs/>
        </w:rPr>
        <w:t>Vzhľadom na to, že problematika návrhu zákona nie je upravená v práve Európskej únie, je bezpredmetné vyjadrovať sa k bodom 4., 5. a 6.</w:t>
      </w:r>
    </w:p>
    <w:p w:rsidR="00765D50" w:rsidRPr="00B918C6" w:rsidRDefault="00765D50" w:rsidP="00765D50">
      <w:pPr>
        <w:jc w:val="both"/>
        <w:rPr>
          <w:rFonts w:ascii="Arial" w:hAnsi="Arial" w:cs="Arial"/>
          <w:color w:val="000080"/>
          <w:sz w:val="20"/>
          <w:szCs w:val="20"/>
        </w:rPr>
      </w:pPr>
    </w:p>
    <w:p w:rsidR="007B4143" w:rsidRPr="007B4143" w:rsidRDefault="007B4143" w:rsidP="00EA039E"/>
    <w:p w:rsidR="007B4143" w:rsidRPr="007B4143" w:rsidRDefault="007B4143" w:rsidP="00EA039E">
      <w:pPr>
        <w:jc w:val="both"/>
        <w:rPr>
          <w:rFonts w:cs="Times New Roman"/>
        </w:rPr>
      </w:pPr>
    </w:p>
    <w:p w:rsidR="009507F6" w:rsidRDefault="009507F6" w:rsidP="00EA039E">
      <w:pPr>
        <w:ind w:firstLine="708"/>
        <w:jc w:val="both"/>
      </w:pPr>
    </w:p>
    <w:sectPr w:rsidR="009507F6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D9" w:rsidRDefault="00DA5ED9" w:rsidP="0090548E">
      <w:r>
        <w:separator/>
      </w:r>
    </w:p>
  </w:endnote>
  <w:endnote w:type="continuationSeparator" w:id="0">
    <w:p w:rsidR="00DA5ED9" w:rsidRDefault="00DA5ED9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D9" w:rsidRDefault="00DA5ED9" w:rsidP="0090548E">
      <w:r>
        <w:separator/>
      </w:r>
    </w:p>
  </w:footnote>
  <w:footnote w:type="continuationSeparator" w:id="0">
    <w:p w:rsidR="00DA5ED9" w:rsidRDefault="00DA5ED9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0D57784"/>
    <w:multiLevelType w:val="hybridMultilevel"/>
    <w:tmpl w:val="BF300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  <w:num w:numId="16">
    <w:abstractNumId w:val="10"/>
  </w:num>
  <w:num w:numId="17">
    <w:abstractNumId w:val="1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009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B6A4B"/>
    <w:rsid w:val="000C4783"/>
    <w:rsid w:val="000C77FF"/>
    <w:rsid w:val="000C7AF3"/>
    <w:rsid w:val="000D7111"/>
    <w:rsid w:val="000E2096"/>
    <w:rsid w:val="000E5723"/>
    <w:rsid w:val="0011019F"/>
    <w:rsid w:val="00111AE5"/>
    <w:rsid w:val="001126F7"/>
    <w:rsid w:val="001128E2"/>
    <w:rsid w:val="0011374E"/>
    <w:rsid w:val="00117E40"/>
    <w:rsid w:val="00121690"/>
    <w:rsid w:val="001223AF"/>
    <w:rsid w:val="00126A32"/>
    <w:rsid w:val="001329E3"/>
    <w:rsid w:val="00135169"/>
    <w:rsid w:val="00137C85"/>
    <w:rsid w:val="0014355E"/>
    <w:rsid w:val="001477DB"/>
    <w:rsid w:val="00150922"/>
    <w:rsid w:val="0015157B"/>
    <w:rsid w:val="00151E96"/>
    <w:rsid w:val="00153A2C"/>
    <w:rsid w:val="001545D3"/>
    <w:rsid w:val="00154B93"/>
    <w:rsid w:val="00160106"/>
    <w:rsid w:val="00160969"/>
    <w:rsid w:val="00162FD1"/>
    <w:rsid w:val="0016770E"/>
    <w:rsid w:val="0017622F"/>
    <w:rsid w:val="0019090E"/>
    <w:rsid w:val="0019112C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4F2C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05DE7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5FC2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1D4"/>
    <w:rsid w:val="0028495A"/>
    <w:rsid w:val="002877D7"/>
    <w:rsid w:val="00291A60"/>
    <w:rsid w:val="00295F61"/>
    <w:rsid w:val="002A00BF"/>
    <w:rsid w:val="002A1BE4"/>
    <w:rsid w:val="002A3607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30DC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299F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13E"/>
    <w:rsid w:val="00565DC4"/>
    <w:rsid w:val="00573C70"/>
    <w:rsid w:val="0057497E"/>
    <w:rsid w:val="00576CB9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17"/>
    <w:rsid w:val="005D4BC0"/>
    <w:rsid w:val="005D7746"/>
    <w:rsid w:val="005E1789"/>
    <w:rsid w:val="005E190F"/>
    <w:rsid w:val="005E5EBA"/>
    <w:rsid w:val="005E61CB"/>
    <w:rsid w:val="005F2060"/>
    <w:rsid w:val="005F4463"/>
    <w:rsid w:val="005F46CA"/>
    <w:rsid w:val="005F5FD5"/>
    <w:rsid w:val="006013BC"/>
    <w:rsid w:val="00604C09"/>
    <w:rsid w:val="0060672C"/>
    <w:rsid w:val="00615688"/>
    <w:rsid w:val="00617BDA"/>
    <w:rsid w:val="006263C3"/>
    <w:rsid w:val="00631565"/>
    <w:rsid w:val="00632296"/>
    <w:rsid w:val="006378BF"/>
    <w:rsid w:val="00645EA6"/>
    <w:rsid w:val="00646694"/>
    <w:rsid w:val="0065651A"/>
    <w:rsid w:val="00660EC6"/>
    <w:rsid w:val="006638B1"/>
    <w:rsid w:val="0067499F"/>
    <w:rsid w:val="0068789D"/>
    <w:rsid w:val="00687973"/>
    <w:rsid w:val="00691E45"/>
    <w:rsid w:val="00694886"/>
    <w:rsid w:val="0069739B"/>
    <w:rsid w:val="006A5B43"/>
    <w:rsid w:val="006A5E02"/>
    <w:rsid w:val="006A6C4F"/>
    <w:rsid w:val="006B0B0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13978"/>
    <w:rsid w:val="0072700C"/>
    <w:rsid w:val="00731F84"/>
    <w:rsid w:val="00737CC8"/>
    <w:rsid w:val="00742FAE"/>
    <w:rsid w:val="00752074"/>
    <w:rsid w:val="00753EEE"/>
    <w:rsid w:val="00762DBD"/>
    <w:rsid w:val="00764085"/>
    <w:rsid w:val="00765D50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3F3F"/>
    <w:rsid w:val="007B4143"/>
    <w:rsid w:val="007B6084"/>
    <w:rsid w:val="007B61BD"/>
    <w:rsid w:val="007B75A2"/>
    <w:rsid w:val="007C1364"/>
    <w:rsid w:val="007C1866"/>
    <w:rsid w:val="007C49E3"/>
    <w:rsid w:val="007D14D5"/>
    <w:rsid w:val="007D6F6A"/>
    <w:rsid w:val="007E17C6"/>
    <w:rsid w:val="007E3685"/>
    <w:rsid w:val="007E3D61"/>
    <w:rsid w:val="007E4594"/>
    <w:rsid w:val="007E71A4"/>
    <w:rsid w:val="007F3D73"/>
    <w:rsid w:val="008055E0"/>
    <w:rsid w:val="00810216"/>
    <w:rsid w:val="008138C2"/>
    <w:rsid w:val="008207C5"/>
    <w:rsid w:val="00822246"/>
    <w:rsid w:val="008271C9"/>
    <w:rsid w:val="00830918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67FDE"/>
    <w:rsid w:val="00873B12"/>
    <w:rsid w:val="00876CC4"/>
    <w:rsid w:val="008801EB"/>
    <w:rsid w:val="00892550"/>
    <w:rsid w:val="00897C09"/>
    <w:rsid w:val="008A11E1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576C5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526A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31C9"/>
    <w:rsid w:val="00A44A27"/>
    <w:rsid w:val="00A50C05"/>
    <w:rsid w:val="00A51C46"/>
    <w:rsid w:val="00A5219E"/>
    <w:rsid w:val="00A560B9"/>
    <w:rsid w:val="00A5621B"/>
    <w:rsid w:val="00A60058"/>
    <w:rsid w:val="00A667D9"/>
    <w:rsid w:val="00A66CD4"/>
    <w:rsid w:val="00A8366A"/>
    <w:rsid w:val="00A84BF2"/>
    <w:rsid w:val="00A87A6C"/>
    <w:rsid w:val="00A93749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AE7975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918C6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315A"/>
    <w:rsid w:val="00BF6BBA"/>
    <w:rsid w:val="00BF6E84"/>
    <w:rsid w:val="00C01E42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4B47"/>
    <w:rsid w:val="00CC5B65"/>
    <w:rsid w:val="00CC691F"/>
    <w:rsid w:val="00CD5655"/>
    <w:rsid w:val="00CE2496"/>
    <w:rsid w:val="00CF2A1D"/>
    <w:rsid w:val="00D03388"/>
    <w:rsid w:val="00D037A2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CE4"/>
    <w:rsid w:val="00D43E64"/>
    <w:rsid w:val="00D46E40"/>
    <w:rsid w:val="00D52901"/>
    <w:rsid w:val="00D530A3"/>
    <w:rsid w:val="00D553D9"/>
    <w:rsid w:val="00D636F4"/>
    <w:rsid w:val="00D732C2"/>
    <w:rsid w:val="00D7539F"/>
    <w:rsid w:val="00D75B68"/>
    <w:rsid w:val="00D84448"/>
    <w:rsid w:val="00D86C6A"/>
    <w:rsid w:val="00D86CD2"/>
    <w:rsid w:val="00D91EF7"/>
    <w:rsid w:val="00D933D7"/>
    <w:rsid w:val="00D94073"/>
    <w:rsid w:val="00DA06FC"/>
    <w:rsid w:val="00DA1181"/>
    <w:rsid w:val="00DA30C3"/>
    <w:rsid w:val="00DA4D1B"/>
    <w:rsid w:val="00DA5ED9"/>
    <w:rsid w:val="00DB5CFF"/>
    <w:rsid w:val="00DB5DB1"/>
    <w:rsid w:val="00DB6C4F"/>
    <w:rsid w:val="00DC18C5"/>
    <w:rsid w:val="00DD3577"/>
    <w:rsid w:val="00DD4F37"/>
    <w:rsid w:val="00DD790B"/>
    <w:rsid w:val="00DE10C3"/>
    <w:rsid w:val="00DF743D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6EC3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39E"/>
    <w:rsid w:val="00EA0C42"/>
    <w:rsid w:val="00EA4B15"/>
    <w:rsid w:val="00EA6B09"/>
    <w:rsid w:val="00EC0167"/>
    <w:rsid w:val="00EC3C27"/>
    <w:rsid w:val="00ED3398"/>
    <w:rsid w:val="00ED5039"/>
    <w:rsid w:val="00EE0F31"/>
    <w:rsid w:val="00EE4B8E"/>
    <w:rsid w:val="00EE4BF3"/>
    <w:rsid w:val="00EE5316"/>
    <w:rsid w:val="00EE7053"/>
    <w:rsid w:val="00EE7B57"/>
    <w:rsid w:val="00EF196A"/>
    <w:rsid w:val="00EF3622"/>
    <w:rsid w:val="00EF589B"/>
    <w:rsid w:val="00EF64D6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0F13"/>
    <w:rsid w:val="00F31F4C"/>
    <w:rsid w:val="00F33DCC"/>
    <w:rsid w:val="00F36984"/>
    <w:rsid w:val="00F36BE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2DE7"/>
    <w:rsid w:val="00FD5923"/>
    <w:rsid w:val="00FD63EE"/>
    <w:rsid w:val="00FE122E"/>
    <w:rsid w:val="00FE637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6DFFB"/>
  <w14:defaultImageDpi w14:val="0"/>
  <w15:docId w15:val="{DE0322DC-0C25-45F9-A014-0DC89BA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E36EC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6EC3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36EC3"/>
    <w:rPr>
      <w:rFonts w:ascii="Times New Roman" w:eastAsia="SimSun" w:hAnsi="Times New Roman" w:cs="Mangal"/>
      <w:kern w:val="1"/>
      <w:sz w:val="18"/>
      <w:szCs w:val="18"/>
      <w:lang w:val="x-none"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E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36EC3"/>
    <w:rPr>
      <w:rFonts w:ascii="Times New Roman" w:eastAsia="SimSun" w:hAnsi="Times New Roman" w:cs="Mangal"/>
      <w:b/>
      <w:bCs/>
      <w:kern w:val="1"/>
      <w:sz w:val="18"/>
      <w:szCs w:val="18"/>
      <w:lang w:val="x-none" w:eastAsia="hi-IN" w:bidi="hi-IN"/>
    </w:rPr>
  </w:style>
  <w:style w:type="character" w:styleId="PremennHTML">
    <w:name w:val="HTML Variable"/>
    <w:basedOn w:val="Predvolenpsmoodseku"/>
    <w:uiPriority w:val="99"/>
    <w:semiHidden/>
    <w:unhideWhenUsed/>
    <w:rsid w:val="005D1C17"/>
    <w:rPr>
      <w:rFonts w:cs="Times New Roman"/>
      <w:i/>
      <w:iCs/>
    </w:rPr>
  </w:style>
  <w:style w:type="table" w:customStyle="1" w:styleId="Mriekatabuky1">
    <w:name w:val="Mriežka tabuľky1"/>
    <w:basedOn w:val="Normlnatabuka"/>
    <w:next w:val="Mriekatabuky"/>
    <w:uiPriority w:val="59"/>
    <w:rsid w:val="007B41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Normlny"/>
    <w:uiPriority w:val="99"/>
    <w:rsid w:val="00765D50"/>
    <w:pPr>
      <w:widowControl/>
      <w:suppressAutoHyphens w:val="0"/>
      <w:ind w:left="720"/>
    </w:pPr>
    <w:rPr>
      <w:rFonts w:eastAsia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1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B2AF4-6EB7-4778-8ACF-EAD6CAD8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2018-09-28T12:16:00Z</cp:lastPrinted>
  <dcterms:created xsi:type="dcterms:W3CDTF">2018-09-28T12:54:00Z</dcterms:created>
  <dcterms:modified xsi:type="dcterms:W3CDTF">2018-09-28T12:54:00Z</dcterms:modified>
</cp:coreProperties>
</file>