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BE" w:rsidRPr="00ED6FB0" w:rsidRDefault="003175BE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ED6FB0">
        <w:rPr>
          <w:b/>
          <w:bCs/>
          <w:caps/>
          <w:spacing w:val="30"/>
        </w:rPr>
        <w:t>Dôvodová správa</w:t>
      </w:r>
    </w:p>
    <w:p w:rsidR="009B4893" w:rsidRPr="00ED6FB0" w:rsidRDefault="009B4893" w:rsidP="00C45114">
      <w:pPr>
        <w:pStyle w:val="Normlnywebov"/>
        <w:spacing w:before="0" w:beforeAutospacing="0" w:after="0" w:afterAutospacing="0"/>
        <w:jc w:val="center"/>
      </w:pPr>
    </w:p>
    <w:p w:rsidR="00363498" w:rsidRPr="00ED6FB0" w:rsidRDefault="003175BE" w:rsidP="00C45114">
      <w:pPr>
        <w:pStyle w:val="Nadpis1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6FB0">
        <w:rPr>
          <w:rFonts w:ascii="Times New Roman" w:hAnsi="Times New Roman"/>
          <w:sz w:val="24"/>
          <w:szCs w:val="24"/>
        </w:rPr>
        <w:t>Všeobecná časť</w:t>
      </w:r>
    </w:p>
    <w:p w:rsidR="00C45114" w:rsidRPr="00ED6FB0" w:rsidRDefault="00C45114" w:rsidP="00C45114"/>
    <w:p w:rsidR="003175BE" w:rsidRPr="00ED6FB0" w:rsidRDefault="0087045A" w:rsidP="00C45114">
      <w:pPr>
        <w:ind w:firstLine="426"/>
        <w:jc w:val="both"/>
      </w:pPr>
      <w:r w:rsidRPr="00ED6FB0">
        <w:t xml:space="preserve">Návrh zákona, ktorým sa mení a dopĺňa zákon č. </w:t>
      </w:r>
      <w:r w:rsidR="00677936" w:rsidRPr="00ED6FB0">
        <w:t>251</w:t>
      </w:r>
      <w:r w:rsidRPr="00ED6FB0">
        <w:t>/20</w:t>
      </w:r>
      <w:r w:rsidR="00677936" w:rsidRPr="00ED6FB0">
        <w:t>12</w:t>
      </w:r>
      <w:r w:rsidRPr="00ED6FB0">
        <w:t xml:space="preserve"> Z. z. </w:t>
      </w:r>
      <w:r w:rsidR="00677936" w:rsidRPr="00ED6FB0">
        <w:t xml:space="preserve">o energetike a o zmene a doplnení niektorých zákonov v znení neskorších predpisov a zákon č. 250/2012 Z. z. o regulácii v sieťových odvetviach v znení neskorších predpisov </w:t>
      </w:r>
      <w:r w:rsidR="00463866" w:rsidRPr="00ED6FB0">
        <w:t>predklad</w:t>
      </w:r>
      <w:r w:rsidR="00FF59F4" w:rsidRPr="00ED6FB0">
        <w:t>ajú</w:t>
      </w:r>
      <w:r w:rsidR="003175BE" w:rsidRPr="00ED6FB0">
        <w:t xml:space="preserve"> </w:t>
      </w:r>
      <w:r w:rsidR="00FF59F4" w:rsidRPr="00ED6FB0">
        <w:t xml:space="preserve">na rokovanie Národnej rady Slovenskej republiky </w:t>
      </w:r>
      <w:r w:rsidR="00F522BA" w:rsidRPr="00ED6FB0">
        <w:t>(ďalej l</w:t>
      </w:r>
      <w:bookmarkStart w:id="0" w:name="_GoBack"/>
      <w:bookmarkEnd w:id="0"/>
      <w:r w:rsidR="00F522BA" w:rsidRPr="00ED6FB0">
        <w:t>en „NR SR</w:t>
      </w:r>
      <w:r w:rsidR="00FF59F4" w:rsidRPr="00ED6FB0">
        <w:t>“)</w:t>
      </w:r>
      <w:r w:rsidR="00F522BA" w:rsidRPr="00ED6FB0">
        <w:t xml:space="preserve"> poslanci </w:t>
      </w:r>
      <w:r w:rsidR="00D63180" w:rsidRPr="00ED6FB0">
        <w:t xml:space="preserve">NR SR </w:t>
      </w:r>
      <w:r w:rsidR="00883866" w:rsidRPr="00ED6FB0">
        <w:t xml:space="preserve">Karol </w:t>
      </w:r>
      <w:proofErr w:type="spellStart"/>
      <w:r w:rsidR="00883866" w:rsidRPr="00ED6FB0">
        <w:t>Galek</w:t>
      </w:r>
      <w:proofErr w:type="spellEnd"/>
      <w:r w:rsidR="00883866" w:rsidRPr="00ED6FB0">
        <w:t xml:space="preserve">, Jana Kiššová, Anna Zemanová a Renáta </w:t>
      </w:r>
      <w:proofErr w:type="spellStart"/>
      <w:r w:rsidR="00883866" w:rsidRPr="00ED6FB0">
        <w:t>Kaščáková</w:t>
      </w:r>
      <w:proofErr w:type="spellEnd"/>
      <w:r w:rsidR="00883866" w:rsidRPr="00ED6FB0">
        <w:t xml:space="preserve">. </w:t>
      </w:r>
    </w:p>
    <w:p w:rsidR="005A7399" w:rsidRPr="00ED6FB0" w:rsidRDefault="005A7399" w:rsidP="00C45114">
      <w:pPr>
        <w:ind w:firstLine="708"/>
        <w:jc w:val="both"/>
        <w:rPr>
          <w:b/>
          <w:bCs/>
        </w:rPr>
      </w:pPr>
    </w:p>
    <w:p w:rsidR="00677936" w:rsidRPr="00ED6FB0" w:rsidRDefault="0065746D" w:rsidP="00C45114">
      <w:pPr>
        <w:ind w:firstLine="708"/>
        <w:jc w:val="both"/>
      </w:pPr>
      <w:r w:rsidRPr="00ED6FB0">
        <w:t xml:space="preserve">Hlavným </w:t>
      </w:r>
      <w:r w:rsidR="00FF59F4" w:rsidRPr="00ED6FB0">
        <w:t>cieľom</w:t>
      </w:r>
      <w:r w:rsidR="00F522BA" w:rsidRPr="00ED6FB0">
        <w:t xml:space="preserve"> </w:t>
      </w:r>
      <w:r w:rsidRPr="00ED6FB0">
        <w:t>návrhu zákona je</w:t>
      </w:r>
      <w:r w:rsidR="008C6163" w:rsidRPr="00ED6FB0">
        <w:t xml:space="preserve"> </w:t>
      </w:r>
      <w:r w:rsidR="00677936" w:rsidRPr="00ED6FB0">
        <w:t>vypustenie tých ustanovení zákonov, ktoré upravujú oprávnenie ministerstva hospodárstva Slovenskej republiky (ďalej len „ministerstvo“) uložiť vo všeobecnom hospodárskom záujme povinnosti</w:t>
      </w:r>
      <w:r w:rsidR="00883866" w:rsidRPr="00ED6FB0">
        <w:t xml:space="preserve">, akými sú povinnosť </w:t>
      </w:r>
      <w:r w:rsidR="00677936" w:rsidRPr="00ED6FB0">
        <w:t xml:space="preserve"> zabezpečiť využitie domáceho uhlia pri výrobe elektriny, </w:t>
      </w:r>
      <w:r w:rsidR="00883866" w:rsidRPr="00ED6FB0">
        <w:t xml:space="preserve">ďalej </w:t>
      </w:r>
      <w:r w:rsidR="00677936" w:rsidRPr="00ED6FB0">
        <w:t>prednostný prístup, pripojenie, prenos, distribúciu a dodávku elektriny vyrobenej z domáceho uhlia</w:t>
      </w:r>
      <w:r w:rsidR="00883866" w:rsidRPr="00ED6FB0">
        <w:t xml:space="preserve">, </w:t>
      </w:r>
      <w:r w:rsidR="00677936" w:rsidRPr="00ED6FB0">
        <w:t>poskytovanie podporných služieb potrebných na zabezpečenie prevádzkovej spoľahlivosti sústavy a na poskytovanie systémových služieb v zariadeniach na výrobu elektriny z domáceho uhlia</w:t>
      </w:r>
      <w:r w:rsidR="00567EC6" w:rsidRPr="00ED6FB0">
        <w:t>,</w:t>
      </w:r>
      <w:r w:rsidR="00677936" w:rsidRPr="00ED6FB0">
        <w:t xml:space="preserve"> a</w:t>
      </w:r>
      <w:r w:rsidR="00883866" w:rsidRPr="00ED6FB0">
        <w:t>ko aj vypustenie tých ustanovení zákonov,</w:t>
      </w:r>
      <w:r w:rsidR="00677936" w:rsidRPr="00ED6FB0">
        <w:t> ktoré upravujú podmienky cenovej regulácie výroby elektriny z domáceho uhlia a cenovej regulácie taríf súvisiacich s úhradou pomernej časti nákladov na plnenie povinností vo všeobecnom hospodárskom záujme.</w:t>
      </w:r>
    </w:p>
    <w:p w:rsidR="00677936" w:rsidRPr="00ED6FB0" w:rsidRDefault="00677936" w:rsidP="00C45114">
      <w:pPr>
        <w:ind w:firstLine="708"/>
        <w:jc w:val="both"/>
      </w:pPr>
    </w:p>
    <w:p w:rsidR="00480FE0" w:rsidRPr="00ED6FB0" w:rsidRDefault="00480FE0" w:rsidP="00480FE0">
      <w:pPr>
        <w:shd w:val="clear" w:color="auto" w:fill="FFFFFF"/>
        <w:ind w:firstLine="708"/>
        <w:jc w:val="both"/>
        <w:rPr>
          <w:rFonts w:ascii="Arial" w:hAnsi="Arial" w:cs="Arial"/>
          <w:sz w:val="19"/>
          <w:szCs w:val="19"/>
        </w:rPr>
      </w:pPr>
      <w:r w:rsidRPr="00ED6FB0">
        <w:t>Návrh zákona reaguje na rozhodnutie Európskej komisie vytvoriť platformu pre uhoľné regióny v procese premeny (ďalej iba „platforma“), ktorej plánované aktivity sa budú týkať aj regiónu hornej Nitry. V prípade zachovania ustanovení zákonov, podľa ktorých je dnes vo všeobecnom hospodárskom záujme uložená povinnosť zabezpečiť využitie domáceho uhlie na vyššie uvedené činnosti, ciele platformy by na Slovensku neboli v plnom rozsahu dosiahnuteľné.</w:t>
      </w:r>
    </w:p>
    <w:p w:rsidR="00677936" w:rsidRPr="00ED6FB0" w:rsidRDefault="00677936" w:rsidP="00C45114">
      <w:pPr>
        <w:ind w:firstLine="708"/>
        <w:jc w:val="both"/>
      </w:pPr>
    </w:p>
    <w:p w:rsidR="00677936" w:rsidRPr="00ED6FB0" w:rsidRDefault="0087045A" w:rsidP="00C45114">
      <w:pPr>
        <w:ind w:firstLine="708"/>
        <w:jc w:val="both"/>
      </w:pPr>
      <w:r w:rsidRPr="00ED6FB0">
        <w:t xml:space="preserve">Návrhom zákona sa </w:t>
      </w:r>
      <w:r w:rsidR="00677936" w:rsidRPr="00ED6FB0">
        <w:t xml:space="preserve">zrušujú ustanovenia zákona č. 251/2012 Z. z. o energetike a o zmene a doplnení niektorých zákonov v znení neskorších predpisov, ktoré oprávňujú štát (v zastúpení ministerstvom) rozhodnutiami </w:t>
      </w:r>
      <w:r w:rsidR="00DF62D4" w:rsidRPr="00ED6FB0">
        <w:t>vo všeobecnom hospodárskom záujme uložiť príslušné povinnosti účastníkom trhu s elektrinou s cieľom podporiť výrobu, prenos, distribúciu a dodávku elektriny z domáceho uhlia. Návrhom zákona sa ďalej zrušujú ustanovenia zákona č. 250/2012 Z. z. o regulácii v sieťových odvetviach v znení neskorších predpisov ustanovujúce podmienky cenovej regulácie výroby elektriny z domáceho uhlia a cenovej regulácie taríf súvisiacich s úhradou pomernej časti nákladov na plnenie povinností vo všeobecnom hospodárskom záujme. Súčasne sa navrhuje, aby existujúce rozhodnutia ministerstva vo všeobecnom hospodárskom záujme pri podpore elektriny z domáceho uhlia stratili platnosť najneskôr dňa 31. decembra 2023 a aby cenová regulácia v tejto oblasti skončila najneskôr 31. decembra 2023.</w:t>
      </w:r>
    </w:p>
    <w:p w:rsidR="00677936" w:rsidRPr="00ED6FB0" w:rsidRDefault="00677936" w:rsidP="00C45114">
      <w:pPr>
        <w:ind w:firstLine="708"/>
        <w:jc w:val="both"/>
      </w:pPr>
    </w:p>
    <w:p w:rsidR="00625B6C" w:rsidRPr="00ED6FB0" w:rsidRDefault="00625B6C" w:rsidP="00C45114">
      <w:pPr>
        <w:ind w:firstLine="708"/>
        <w:jc w:val="both"/>
      </w:pPr>
      <w:r w:rsidRPr="00ED6FB0">
        <w:t xml:space="preserve">Návrh zákona je v súlade s právom Európskej únie, keďže podpora výroby elektriny z domáceho uhlia je v smernici </w:t>
      </w:r>
      <w:r w:rsidRPr="00ED6FB0">
        <w:rPr>
          <w:rFonts w:ascii="TimesNewRomanPSMT" w:hAnsi="TimesNewRomanPSMT" w:cs="TimesNewRomanPSMT"/>
          <w:kern w:val="1"/>
        </w:rPr>
        <w:t>Európskeho parlamentu a Rady 2009/72/ES o spoločných pravidlách pre vnútorný trh s elektrinou, ktorou sa zrušuje smernica 2003/54/ES formulovaná ako fakultatívna možnosť členského štátu</w:t>
      </w:r>
      <w:r w:rsidR="00AE0119" w:rsidRPr="00ED6FB0">
        <w:rPr>
          <w:rFonts w:ascii="TimesNewRomanPSMT" w:hAnsi="TimesNewRomanPSMT" w:cs="TimesNewRomanPSMT"/>
          <w:kern w:val="1"/>
        </w:rPr>
        <w:t xml:space="preserve"> (článok 15 ods. 4)</w:t>
      </w:r>
      <w:r w:rsidRPr="00ED6FB0">
        <w:rPr>
          <w:rFonts w:ascii="TimesNewRomanPSMT" w:hAnsi="TimesNewRomanPSMT" w:cs="TimesNewRomanPSMT"/>
          <w:kern w:val="1"/>
        </w:rPr>
        <w:t xml:space="preserve">. </w:t>
      </w:r>
    </w:p>
    <w:p w:rsidR="00625B6C" w:rsidRPr="00ED6FB0" w:rsidRDefault="00625B6C" w:rsidP="00C45114">
      <w:pPr>
        <w:ind w:firstLine="708"/>
        <w:jc w:val="both"/>
      </w:pPr>
    </w:p>
    <w:p w:rsidR="004D05AC" w:rsidRPr="00ED6FB0" w:rsidRDefault="004D05AC" w:rsidP="00C45114">
      <w:pPr>
        <w:ind w:firstLine="708"/>
        <w:jc w:val="both"/>
      </w:pPr>
      <w:r w:rsidRPr="00ED6FB0">
        <w:t>Aplikácia predpisu do praxe neprinesie žiadnu komplikáciu v činnostiach regulovaných subjektov ani koncovýc</w:t>
      </w:r>
      <w:r w:rsidR="0087045A" w:rsidRPr="00ED6FB0">
        <w:t xml:space="preserve">h spotrebiteľov energií. Naopak,  bude viesť k poklesu koncovej ceny elektriny </w:t>
      </w:r>
      <w:r w:rsidR="00BF0EAF" w:rsidRPr="00ED6FB0">
        <w:t>pre všetky kategórie koncových odberateľov elektriny</w:t>
      </w:r>
      <w:r w:rsidR="00DF62D4" w:rsidRPr="00ED6FB0">
        <w:t xml:space="preserve">, keďže </w:t>
      </w:r>
      <w:r w:rsidR="00DF62D4" w:rsidRPr="00ED6FB0">
        <w:lastRenderedPageBreak/>
        <w:t xml:space="preserve">v súčasnosti sú náklady podpory elektriny z domáceho uhlia zohľadňované v koncovej cene elektriny prostredníctvom tarify za prevádzkovanie systému (v sume ročne cca </w:t>
      </w:r>
      <w:r w:rsidR="000676D7">
        <w:t>115</w:t>
      </w:r>
      <w:r w:rsidR="000676D7" w:rsidRPr="00ED6FB0">
        <w:t xml:space="preserve"> </w:t>
      </w:r>
      <w:r w:rsidR="00DF62D4" w:rsidRPr="00ED6FB0">
        <w:t xml:space="preserve">mil. eur). </w:t>
      </w:r>
    </w:p>
    <w:p w:rsidR="003442F2" w:rsidRPr="00ED6FB0" w:rsidRDefault="003442F2" w:rsidP="00C45114">
      <w:pPr>
        <w:ind w:firstLine="708"/>
        <w:jc w:val="both"/>
      </w:pPr>
    </w:p>
    <w:p w:rsidR="003442F2" w:rsidRPr="00ED6FB0" w:rsidRDefault="00BF0EAF" w:rsidP="00C45114">
      <w:pPr>
        <w:ind w:firstLine="708"/>
        <w:jc w:val="both"/>
      </w:pPr>
      <w:r w:rsidRPr="00ED6FB0">
        <w:t>P</w:t>
      </w:r>
      <w:r w:rsidR="00912327" w:rsidRPr="00ED6FB0">
        <w:t xml:space="preserve">redložený návrh zákona </w:t>
      </w:r>
      <w:r w:rsidRPr="00ED6FB0">
        <w:t>má vplyv</w:t>
      </w:r>
      <w:r w:rsidR="00912327" w:rsidRPr="00ED6FB0">
        <w:t xml:space="preserve"> na rozpočet verejnej správy</w:t>
      </w:r>
      <w:r w:rsidRPr="00ED6FB0">
        <w:t xml:space="preserve">. </w:t>
      </w:r>
      <w:r w:rsidR="00625B6C" w:rsidRPr="00ED6FB0">
        <w:t xml:space="preserve">Z dôvodu ukončenia masívnej podpory výroby elektriny z domáceho uhlia bude mať pozitívny vplyv aj na životné prostredie. </w:t>
      </w:r>
      <w:r w:rsidRPr="00ED6FB0">
        <w:t>Nezakladá však vplyv</w:t>
      </w:r>
      <w:r w:rsidR="00912327" w:rsidRPr="00ED6FB0">
        <w:t xml:space="preserve"> na informatizáciu spoločnosti.</w:t>
      </w:r>
      <w:r w:rsidR="00576905" w:rsidRPr="00ED6FB0">
        <w:t xml:space="preserve"> </w:t>
      </w:r>
      <w:r w:rsidR="00F522BA" w:rsidRPr="00ED6FB0">
        <w:t xml:space="preserve">Návrh zákona má </w:t>
      </w:r>
      <w:r w:rsidRPr="00ED6FB0">
        <w:t>pozitívne</w:t>
      </w:r>
      <w:r w:rsidR="00F522BA" w:rsidRPr="00ED6FB0">
        <w:t xml:space="preserve"> sociálne vplyv</w:t>
      </w:r>
      <w:r w:rsidR="00BF5FE0" w:rsidRPr="00ED6FB0">
        <w:t xml:space="preserve">y (hospodárenie obyvateľstva) </w:t>
      </w:r>
      <w:r w:rsidRPr="00ED6FB0">
        <w:t xml:space="preserve">a pozitívne </w:t>
      </w:r>
      <w:r w:rsidR="00F522BA" w:rsidRPr="00ED6FB0">
        <w:t>vplyvy na podnikateľské prostredie.</w:t>
      </w:r>
    </w:p>
    <w:p w:rsidR="00D63180" w:rsidRPr="00ED6FB0" w:rsidRDefault="00F522BA" w:rsidP="00C45114">
      <w:pPr>
        <w:ind w:firstLine="708"/>
        <w:jc w:val="both"/>
        <w:rPr>
          <w:iCs/>
        </w:rPr>
      </w:pPr>
      <w:r w:rsidRPr="00ED6FB0">
        <w:rPr>
          <w:iCs/>
        </w:rPr>
        <w:t xml:space="preserve"> </w:t>
      </w:r>
    </w:p>
    <w:p w:rsidR="00C46AAA" w:rsidRPr="00ED6FB0" w:rsidRDefault="003175BE" w:rsidP="00C45114">
      <w:pPr>
        <w:ind w:firstLine="708"/>
        <w:jc w:val="both"/>
        <w:rPr>
          <w:iCs/>
        </w:rPr>
      </w:pPr>
      <w:r w:rsidRPr="00ED6FB0">
        <w:t xml:space="preserve">Návrh zákona je v súlade s Ústavou Slovenskej republiky, ústavnými zákonmi </w:t>
      </w:r>
      <w:r w:rsidR="00883866" w:rsidRPr="00ED6FB0">
        <w:t xml:space="preserve">                 </w:t>
      </w:r>
      <w:r w:rsidR="00480FE0" w:rsidRPr="00ED6FB0">
        <w:t xml:space="preserve">          </w:t>
      </w:r>
      <w:r w:rsidRPr="00ED6FB0">
        <w:t>a ostatnými všeobecne záväznými právnymi predpismi Slovenskej republiky, medzinárodnými zmluvami a inými medzinárodnými dokumentmi, ktorými je Slovenská republika viazaná</w:t>
      </w:r>
      <w:r w:rsidR="00B80536" w:rsidRPr="00ED6FB0">
        <w:t>,</w:t>
      </w:r>
      <w:r w:rsidRPr="00ED6FB0">
        <w:t xml:space="preserve"> a</w:t>
      </w:r>
      <w:r w:rsidR="00B80536" w:rsidRPr="00ED6FB0">
        <w:t>ko aj</w:t>
      </w:r>
      <w:r w:rsidRPr="00ED6FB0">
        <w:t xml:space="preserve"> s právom Európskej únie.</w:t>
      </w:r>
    </w:p>
    <w:p w:rsidR="00A21CAC" w:rsidRPr="00ED6FB0" w:rsidRDefault="007B7997" w:rsidP="008954D1">
      <w:pPr>
        <w:ind w:firstLine="708"/>
        <w:jc w:val="both"/>
        <w:rPr>
          <w:b/>
        </w:rPr>
      </w:pPr>
      <w:r w:rsidRPr="00ED6FB0">
        <w:rPr>
          <w:b/>
          <w:bCs/>
          <w:caps/>
          <w:spacing w:val="30"/>
        </w:rPr>
        <w:br w:type="page"/>
      </w:r>
      <w:r w:rsidR="0060535F" w:rsidRPr="00ED6FB0">
        <w:rPr>
          <w:b/>
        </w:rPr>
        <w:lastRenderedPageBreak/>
        <w:t>B. Osobitná časť</w:t>
      </w:r>
    </w:p>
    <w:p w:rsidR="00A21CAC" w:rsidRPr="00ED6FB0" w:rsidRDefault="00A21CAC" w:rsidP="00C45114">
      <w:pPr>
        <w:jc w:val="both"/>
        <w:rPr>
          <w:b/>
        </w:rPr>
      </w:pPr>
    </w:p>
    <w:p w:rsidR="0060535F" w:rsidRPr="00ED6FB0" w:rsidRDefault="0060535F" w:rsidP="008954D1">
      <w:pPr>
        <w:ind w:firstLine="708"/>
        <w:jc w:val="both"/>
        <w:rPr>
          <w:b/>
        </w:rPr>
      </w:pPr>
      <w:r w:rsidRPr="00ED6FB0">
        <w:rPr>
          <w:b/>
        </w:rPr>
        <w:t>K Čl. I</w:t>
      </w:r>
    </w:p>
    <w:p w:rsidR="00C45114" w:rsidRPr="00ED6FB0" w:rsidRDefault="00C45114" w:rsidP="00C45114">
      <w:pPr>
        <w:jc w:val="both"/>
        <w:rPr>
          <w:b/>
        </w:rPr>
      </w:pPr>
    </w:p>
    <w:p w:rsidR="00D63180" w:rsidRPr="00ED6FB0" w:rsidRDefault="00883866" w:rsidP="008954D1">
      <w:pPr>
        <w:pStyle w:val="Zkladntext"/>
        <w:spacing w:before="0" w:after="0"/>
        <w:ind w:firstLine="708"/>
        <w:rPr>
          <w:b/>
        </w:rPr>
      </w:pPr>
      <w:r w:rsidRPr="00ED6FB0">
        <w:rPr>
          <w:b/>
        </w:rPr>
        <w:t>K</w:t>
      </w:r>
      <w:r w:rsidR="00D63180" w:rsidRPr="00ED6FB0">
        <w:rPr>
          <w:b/>
        </w:rPr>
        <w:t> bodu 1</w:t>
      </w:r>
      <w:r w:rsidR="00933ACA" w:rsidRPr="00ED6FB0">
        <w:rPr>
          <w:b/>
        </w:rPr>
        <w:t xml:space="preserve"> až </w:t>
      </w:r>
      <w:r w:rsidR="00DF62D4" w:rsidRPr="00ED6FB0">
        <w:rPr>
          <w:b/>
        </w:rPr>
        <w:t>7</w:t>
      </w:r>
    </w:p>
    <w:p w:rsidR="00883866" w:rsidRPr="00ED6FB0" w:rsidRDefault="00883866" w:rsidP="00C45114">
      <w:pPr>
        <w:pStyle w:val="Zkladntext"/>
        <w:spacing w:before="0" w:after="0"/>
        <w:rPr>
          <w:bCs/>
          <w:u w:val="single"/>
        </w:rPr>
      </w:pPr>
    </w:p>
    <w:p w:rsidR="00D63180" w:rsidRPr="00ED6FB0" w:rsidRDefault="00D63180" w:rsidP="00C45114">
      <w:pPr>
        <w:pStyle w:val="Zkladntext"/>
        <w:spacing w:before="0" w:after="0"/>
        <w:rPr>
          <w:bCs/>
        </w:rPr>
      </w:pPr>
      <w:r w:rsidRPr="00ED6FB0">
        <w:rPr>
          <w:bCs/>
        </w:rPr>
        <w:tab/>
      </w:r>
      <w:r w:rsidR="00457C61" w:rsidRPr="00ED6FB0">
        <w:rPr>
          <w:bCs/>
        </w:rPr>
        <w:t xml:space="preserve">Navrhuje sa </w:t>
      </w:r>
      <w:r w:rsidR="00DF62D4" w:rsidRPr="00ED6FB0">
        <w:rPr>
          <w:bCs/>
        </w:rPr>
        <w:t xml:space="preserve">vypustenie </w:t>
      </w:r>
      <w:r w:rsidR="008954D1" w:rsidRPr="00ED6FB0">
        <w:rPr>
          <w:bCs/>
        </w:rPr>
        <w:t xml:space="preserve">a úprava </w:t>
      </w:r>
      <w:r w:rsidR="008C67E9" w:rsidRPr="00ED6FB0">
        <w:rPr>
          <w:bCs/>
        </w:rPr>
        <w:t>tých</w:t>
      </w:r>
      <w:r w:rsidR="00DF62D4" w:rsidRPr="00ED6FB0">
        <w:rPr>
          <w:bCs/>
        </w:rPr>
        <w:t xml:space="preserve"> ustanovení zákona č. 251/2012 Z. z. </w:t>
      </w:r>
      <w:r w:rsidR="00DF62D4" w:rsidRPr="00ED6FB0">
        <w:t>o energetike a o zmene a doplnení niektorých zákonov v znení neskorších predpisov</w:t>
      </w:r>
      <w:r w:rsidR="00DF62D4" w:rsidRPr="00ED6FB0">
        <w:rPr>
          <w:bCs/>
        </w:rPr>
        <w:t xml:space="preserve">, ktoré oprávňujú ministerstvo vydať rozhodnutia vo všeobecnom hospodárskom záujme a uložiť účastníkom trhu s elektrinou </w:t>
      </w:r>
      <w:r w:rsidR="00883866" w:rsidRPr="00ED6FB0">
        <w:t xml:space="preserve">povinnosti, akými sú povinnosť  zabezpečiť </w:t>
      </w:r>
      <w:r w:rsidR="00DF62D4" w:rsidRPr="00ED6FB0">
        <w:t>využitie domáceho uhlia pri výrobe elektriny, prednostný prístup, pripojenie, prenos, distribúciu a dodávku elektriny vyrobenej z domáceho uhlia a poskytovanie podporných služieb potrebných na zabezpečenie prevádzkovej spoľahlivosti sústavy a na poskytovanie systémových služieb v zariadeniach na výrobu elektriny z domáceho uhlia</w:t>
      </w:r>
      <w:r w:rsidR="008C67E9" w:rsidRPr="00ED6FB0">
        <w:t xml:space="preserve">. </w:t>
      </w:r>
    </w:p>
    <w:p w:rsidR="00C45114" w:rsidRPr="00ED6FB0" w:rsidRDefault="00C45114" w:rsidP="00C45114">
      <w:pPr>
        <w:pStyle w:val="Zkladntext"/>
        <w:spacing w:before="0" w:after="0"/>
        <w:rPr>
          <w:bCs/>
        </w:rPr>
      </w:pPr>
    </w:p>
    <w:p w:rsidR="0060535F" w:rsidRPr="00ED6FB0" w:rsidRDefault="0060535F" w:rsidP="008954D1">
      <w:pPr>
        <w:pStyle w:val="Zkladntext"/>
        <w:spacing w:before="0" w:after="0"/>
        <w:ind w:firstLine="708"/>
        <w:rPr>
          <w:b/>
        </w:rPr>
      </w:pPr>
      <w:r w:rsidRPr="00ED6FB0">
        <w:rPr>
          <w:b/>
        </w:rPr>
        <w:t>K bodu</w:t>
      </w:r>
      <w:r w:rsidR="00D63180" w:rsidRPr="00ED6FB0">
        <w:rPr>
          <w:b/>
        </w:rPr>
        <w:t xml:space="preserve"> </w:t>
      </w:r>
      <w:r w:rsidR="00DF62D4" w:rsidRPr="00ED6FB0">
        <w:rPr>
          <w:b/>
        </w:rPr>
        <w:t>8</w:t>
      </w:r>
    </w:p>
    <w:p w:rsidR="00883866" w:rsidRPr="00ED6FB0" w:rsidRDefault="00883866" w:rsidP="00C45114">
      <w:pPr>
        <w:pStyle w:val="Zkladntext"/>
        <w:spacing w:before="0" w:after="0"/>
        <w:rPr>
          <w:b/>
          <w:bCs/>
        </w:rPr>
      </w:pPr>
    </w:p>
    <w:p w:rsidR="008C67E9" w:rsidRPr="00ED6FB0" w:rsidRDefault="008A536A" w:rsidP="00C45114">
      <w:pPr>
        <w:pStyle w:val="Zkladntext"/>
        <w:spacing w:before="0" w:after="0"/>
        <w:rPr>
          <w:bCs/>
        </w:rPr>
      </w:pPr>
      <w:r w:rsidRPr="00ED6FB0">
        <w:rPr>
          <w:bCs/>
        </w:rPr>
        <w:tab/>
      </w:r>
      <w:r w:rsidR="00933ACA" w:rsidRPr="00ED6FB0">
        <w:rPr>
          <w:bCs/>
        </w:rPr>
        <w:t>V prechodných ustanoveniach sa rieši</w:t>
      </w:r>
      <w:r w:rsidR="008C67E9" w:rsidRPr="00ED6FB0">
        <w:rPr>
          <w:bCs/>
        </w:rPr>
        <w:t xml:space="preserve"> trvanie rozhodnutí ministerstva vo všeobecnom hospodárskom záujme pri podpore elektriny z domáceho uhlia, pričom sa (v súlade s rozhodnutím Európskej komisie) navrhuje ukončiť ich trvanie najneskôr 31. decembra 2023. </w:t>
      </w:r>
    </w:p>
    <w:p w:rsidR="008C67E9" w:rsidRPr="00ED6FB0" w:rsidRDefault="008C67E9" w:rsidP="00C45114">
      <w:pPr>
        <w:pStyle w:val="Zkladntext"/>
        <w:spacing w:before="0" w:after="0"/>
        <w:rPr>
          <w:bCs/>
        </w:rPr>
      </w:pPr>
    </w:p>
    <w:p w:rsidR="002B6657" w:rsidRPr="00ED6FB0" w:rsidRDefault="00961ED6" w:rsidP="008954D1">
      <w:pPr>
        <w:pStyle w:val="Zkladntext"/>
        <w:spacing w:before="0" w:after="0"/>
        <w:ind w:firstLine="708"/>
        <w:rPr>
          <w:b/>
        </w:rPr>
      </w:pPr>
      <w:r w:rsidRPr="00ED6FB0">
        <w:rPr>
          <w:b/>
        </w:rPr>
        <w:t>K Čl. II</w:t>
      </w:r>
    </w:p>
    <w:p w:rsidR="00933ACA" w:rsidRPr="00ED6FB0" w:rsidRDefault="00933ACA" w:rsidP="00933ACA">
      <w:pPr>
        <w:pStyle w:val="Zkladntext"/>
        <w:spacing w:before="0" w:after="0"/>
        <w:rPr>
          <w:bCs/>
          <w:u w:val="single"/>
        </w:rPr>
      </w:pPr>
    </w:p>
    <w:p w:rsidR="00933ACA" w:rsidRPr="00ED6FB0" w:rsidRDefault="00933ACA" w:rsidP="008954D1">
      <w:pPr>
        <w:pStyle w:val="Zkladntext"/>
        <w:spacing w:before="0" w:after="0"/>
        <w:ind w:firstLine="708"/>
        <w:rPr>
          <w:b/>
        </w:rPr>
      </w:pPr>
      <w:r w:rsidRPr="00ED6FB0">
        <w:rPr>
          <w:b/>
        </w:rPr>
        <w:t>K bodu 1 a</w:t>
      </w:r>
      <w:r w:rsidR="008C67E9" w:rsidRPr="00ED6FB0">
        <w:rPr>
          <w:b/>
        </w:rPr>
        <w:t>ž</w:t>
      </w:r>
      <w:r w:rsidRPr="00ED6FB0">
        <w:rPr>
          <w:b/>
        </w:rPr>
        <w:t xml:space="preserve"> </w:t>
      </w:r>
      <w:r w:rsidR="000676D7">
        <w:rPr>
          <w:b/>
        </w:rPr>
        <w:t>8</w:t>
      </w:r>
    </w:p>
    <w:p w:rsidR="00883866" w:rsidRPr="00ED6FB0" w:rsidRDefault="00883866" w:rsidP="00933ACA">
      <w:pPr>
        <w:pStyle w:val="Zkladntext"/>
        <w:spacing w:before="0" w:after="0"/>
        <w:rPr>
          <w:bCs/>
          <w:u w:val="single"/>
        </w:rPr>
      </w:pPr>
    </w:p>
    <w:p w:rsidR="00933ACA" w:rsidRPr="00ED6FB0" w:rsidRDefault="00933ACA" w:rsidP="00933ACA">
      <w:pPr>
        <w:pStyle w:val="Zkladntext"/>
        <w:spacing w:before="0" w:after="0"/>
        <w:rPr>
          <w:bCs/>
        </w:rPr>
      </w:pPr>
      <w:r w:rsidRPr="00ED6FB0">
        <w:rPr>
          <w:bCs/>
        </w:rPr>
        <w:tab/>
      </w:r>
      <w:r w:rsidR="008C67E9" w:rsidRPr="00ED6FB0">
        <w:rPr>
          <w:bCs/>
        </w:rPr>
        <w:t xml:space="preserve">Vzhľadom na navrhované zmeny v čl. I sa navrhuje zrušenie </w:t>
      </w:r>
      <w:r w:rsidR="008954D1" w:rsidRPr="00ED6FB0">
        <w:rPr>
          <w:bCs/>
        </w:rPr>
        <w:t xml:space="preserve">alebo úprava </w:t>
      </w:r>
      <w:r w:rsidR="008C67E9" w:rsidRPr="00ED6FB0">
        <w:rPr>
          <w:bCs/>
        </w:rPr>
        <w:t>tých ustanovení zákona č. 250/2012 Z. z.</w:t>
      </w:r>
      <w:r w:rsidR="008C67E9" w:rsidRPr="00ED6FB0">
        <w:t xml:space="preserve"> o regulácii v sieťových odvetviach v znení neskorších predpisov, ktoré upravujú podmienky cenovej regulácie výroby elektriny z domáceho uhlia a cenovej regulácie taríf súvisiacich s úhradou pomernej časti nákladov na plnenie povinností vo všeobecnom hospodárskom záujme. Body 3 až </w:t>
      </w:r>
      <w:r w:rsidR="000676D7">
        <w:t>8</w:t>
      </w:r>
      <w:r w:rsidR="008C67E9" w:rsidRPr="00ED6FB0">
        <w:t xml:space="preserve"> obsahujú zmeny legislatívno-technického charakteru.</w:t>
      </w:r>
    </w:p>
    <w:p w:rsidR="00933ACA" w:rsidRPr="00ED6FB0" w:rsidRDefault="00933ACA" w:rsidP="00933ACA">
      <w:pPr>
        <w:pStyle w:val="Zkladntext"/>
        <w:spacing w:before="0" w:after="0"/>
        <w:rPr>
          <w:bCs/>
        </w:rPr>
      </w:pPr>
    </w:p>
    <w:p w:rsidR="00933ACA" w:rsidRPr="00ED6FB0" w:rsidRDefault="00933ACA" w:rsidP="008954D1">
      <w:pPr>
        <w:pStyle w:val="Zkladntext"/>
        <w:spacing w:before="0" w:after="0"/>
        <w:ind w:firstLine="708"/>
        <w:rPr>
          <w:b/>
        </w:rPr>
      </w:pPr>
      <w:r w:rsidRPr="00ED6FB0">
        <w:rPr>
          <w:b/>
        </w:rPr>
        <w:t xml:space="preserve">K bodu </w:t>
      </w:r>
      <w:r w:rsidR="000676D7">
        <w:rPr>
          <w:b/>
        </w:rPr>
        <w:t>9</w:t>
      </w:r>
    </w:p>
    <w:p w:rsidR="00883866" w:rsidRPr="00ED6FB0" w:rsidRDefault="00883866" w:rsidP="00933ACA">
      <w:pPr>
        <w:pStyle w:val="Zkladntext"/>
        <w:spacing w:before="0" w:after="0"/>
        <w:rPr>
          <w:bCs/>
          <w:u w:val="single"/>
        </w:rPr>
      </w:pPr>
    </w:p>
    <w:p w:rsidR="00933ACA" w:rsidRPr="00ED6FB0" w:rsidRDefault="00933ACA" w:rsidP="00933ACA">
      <w:pPr>
        <w:pStyle w:val="Zkladntext"/>
        <w:spacing w:before="0" w:after="0"/>
        <w:rPr>
          <w:bCs/>
        </w:rPr>
      </w:pPr>
      <w:r w:rsidRPr="00ED6FB0">
        <w:rPr>
          <w:bCs/>
        </w:rPr>
        <w:tab/>
      </w:r>
      <w:r w:rsidR="008C67E9" w:rsidRPr="00ED6FB0">
        <w:rPr>
          <w:bCs/>
        </w:rPr>
        <w:t xml:space="preserve">Prechodné ustanovenia obsahujú úpravu pre cenovú reguláciu do dňa zrušenia už vydaných rozhodnutí vo všeobecnom hospodárskom záujme. </w:t>
      </w:r>
    </w:p>
    <w:p w:rsidR="00933ACA" w:rsidRPr="00ED6FB0" w:rsidRDefault="00933ACA" w:rsidP="00933ACA">
      <w:pPr>
        <w:pStyle w:val="Zkladntext"/>
        <w:spacing w:before="0" w:after="0"/>
        <w:rPr>
          <w:bCs/>
        </w:rPr>
      </w:pPr>
    </w:p>
    <w:p w:rsidR="00933ACA" w:rsidRPr="00ED6FB0" w:rsidRDefault="00933ACA" w:rsidP="008954D1">
      <w:pPr>
        <w:pStyle w:val="Zkladntext"/>
        <w:keepNext/>
        <w:spacing w:before="0" w:after="0"/>
        <w:ind w:firstLine="708"/>
        <w:rPr>
          <w:b/>
        </w:rPr>
      </w:pPr>
      <w:r w:rsidRPr="00ED6FB0">
        <w:rPr>
          <w:b/>
        </w:rPr>
        <w:t>K Čl. III</w:t>
      </w:r>
    </w:p>
    <w:p w:rsidR="00933ACA" w:rsidRPr="00ED6FB0" w:rsidRDefault="00933ACA" w:rsidP="00933ACA">
      <w:pPr>
        <w:pStyle w:val="Zkladntext"/>
        <w:keepNext/>
        <w:spacing w:before="0" w:after="0"/>
        <w:rPr>
          <w:bCs/>
          <w:u w:val="single"/>
        </w:rPr>
      </w:pPr>
    </w:p>
    <w:p w:rsidR="00170A0E" w:rsidRPr="00ED6FB0" w:rsidRDefault="008C67E9" w:rsidP="008954D1">
      <w:pPr>
        <w:pStyle w:val="Zkladntext"/>
        <w:spacing w:before="0" w:after="0"/>
        <w:ind w:firstLine="708"/>
        <w:rPr>
          <w:b/>
          <w:bCs/>
          <w:caps/>
          <w:spacing w:val="30"/>
        </w:rPr>
      </w:pPr>
      <w:r w:rsidRPr="00ED6FB0">
        <w:rPr>
          <w:bCs/>
        </w:rPr>
        <w:t xml:space="preserve">Účinnosť </w:t>
      </w:r>
      <w:r w:rsidR="00C70FCD" w:rsidRPr="00ED6FB0">
        <w:rPr>
          <w:bCs/>
        </w:rPr>
        <w:t xml:space="preserve">predkladaného </w:t>
      </w:r>
      <w:r w:rsidRPr="00ED6FB0">
        <w:rPr>
          <w:bCs/>
        </w:rPr>
        <w:t xml:space="preserve">zákona sa navrhuje </w:t>
      </w:r>
      <w:r w:rsidR="00883866" w:rsidRPr="00ED6FB0">
        <w:rPr>
          <w:bCs/>
        </w:rPr>
        <w:t xml:space="preserve">na </w:t>
      </w:r>
      <w:r w:rsidRPr="00ED6FB0">
        <w:rPr>
          <w:bCs/>
        </w:rPr>
        <w:t xml:space="preserve">1. </w:t>
      </w:r>
      <w:r w:rsidR="000676D7">
        <w:rPr>
          <w:bCs/>
        </w:rPr>
        <w:t>januára</w:t>
      </w:r>
      <w:r w:rsidR="000676D7" w:rsidRPr="00ED6FB0">
        <w:rPr>
          <w:bCs/>
        </w:rPr>
        <w:t xml:space="preserve"> </w:t>
      </w:r>
      <w:r w:rsidRPr="00ED6FB0">
        <w:rPr>
          <w:bCs/>
        </w:rPr>
        <w:t>201</w:t>
      </w:r>
      <w:r w:rsidR="000676D7">
        <w:rPr>
          <w:bCs/>
        </w:rPr>
        <w:t>9</w:t>
      </w:r>
      <w:r w:rsidRPr="00ED6FB0">
        <w:rPr>
          <w:bCs/>
        </w:rPr>
        <w:t>.</w:t>
      </w:r>
      <w:r w:rsidR="00DE3F77" w:rsidRPr="00ED6FB0">
        <w:rPr>
          <w:bCs/>
        </w:rPr>
        <w:t xml:space="preserve"> </w:t>
      </w:r>
    </w:p>
    <w:sectPr w:rsidR="00170A0E" w:rsidRPr="00ED6FB0" w:rsidSect="003175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6F9" w:rsidRDefault="00DB56F9" w:rsidP="00266BC7">
      <w:r>
        <w:separator/>
      </w:r>
    </w:p>
  </w:endnote>
  <w:endnote w:type="continuationSeparator" w:id="0">
    <w:p w:rsidR="00DB56F9" w:rsidRDefault="00DB56F9" w:rsidP="00266BC7">
      <w:r>
        <w:continuationSeparator/>
      </w:r>
    </w:p>
  </w:endnote>
  <w:endnote w:type="continuationNotice" w:id="1">
    <w:p w:rsidR="00DB56F9" w:rsidRDefault="00DB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36" w:rsidRDefault="00677936">
    <w:pPr>
      <w:pStyle w:val="Pta"/>
      <w:jc w:val="right"/>
    </w:pPr>
  </w:p>
  <w:p w:rsidR="00677936" w:rsidRDefault="006779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6F9" w:rsidRDefault="00DB56F9" w:rsidP="00266BC7">
      <w:r>
        <w:separator/>
      </w:r>
    </w:p>
  </w:footnote>
  <w:footnote w:type="continuationSeparator" w:id="0">
    <w:p w:rsidR="00DB56F9" w:rsidRDefault="00DB56F9" w:rsidP="00266BC7">
      <w:r>
        <w:continuationSeparator/>
      </w:r>
    </w:p>
  </w:footnote>
  <w:footnote w:type="continuationNotice" w:id="1">
    <w:p w:rsidR="00DB56F9" w:rsidRDefault="00DB5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FE1"/>
    <w:multiLevelType w:val="hybridMultilevel"/>
    <w:tmpl w:val="75304BB6"/>
    <w:lvl w:ilvl="0" w:tplc="E7A08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5B623C5"/>
    <w:multiLevelType w:val="hybridMultilevel"/>
    <w:tmpl w:val="B92093FC"/>
    <w:lvl w:ilvl="0" w:tplc="CC963A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1D2BB3"/>
    <w:multiLevelType w:val="hybridMultilevel"/>
    <w:tmpl w:val="715EBC10"/>
    <w:lvl w:ilvl="0" w:tplc="2B4A2BEC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8D1BD9"/>
    <w:multiLevelType w:val="hybridMultilevel"/>
    <w:tmpl w:val="EEC46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F7688"/>
    <w:multiLevelType w:val="hybridMultilevel"/>
    <w:tmpl w:val="1EAE709A"/>
    <w:lvl w:ilvl="0" w:tplc="8914363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E"/>
    <w:rsid w:val="000167AB"/>
    <w:rsid w:val="0001783A"/>
    <w:rsid w:val="000229FC"/>
    <w:rsid w:val="000242D8"/>
    <w:rsid w:val="00032833"/>
    <w:rsid w:val="0003619E"/>
    <w:rsid w:val="000532A5"/>
    <w:rsid w:val="00054693"/>
    <w:rsid w:val="00063A0B"/>
    <w:rsid w:val="00064CF3"/>
    <w:rsid w:val="000676D7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3622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1973"/>
    <w:rsid w:val="00266BC7"/>
    <w:rsid w:val="0027321F"/>
    <w:rsid w:val="002842A2"/>
    <w:rsid w:val="00286619"/>
    <w:rsid w:val="002867B7"/>
    <w:rsid w:val="002B6657"/>
    <w:rsid w:val="002D02D2"/>
    <w:rsid w:val="002D0E64"/>
    <w:rsid w:val="002E266C"/>
    <w:rsid w:val="003040AE"/>
    <w:rsid w:val="00310AC6"/>
    <w:rsid w:val="003175BE"/>
    <w:rsid w:val="00337B8F"/>
    <w:rsid w:val="003434D3"/>
    <w:rsid w:val="00343BC6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3D364C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0FE0"/>
    <w:rsid w:val="004838F9"/>
    <w:rsid w:val="0048522B"/>
    <w:rsid w:val="004963E0"/>
    <w:rsid w:val="004C1E72"/>
    <w:rsid w:val="004D05AC"/>
    <w:rsid w:val="004D2CD3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67EC6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E1B68"/>
    <w:rsid w:val="005F14CB"/>
    <w:rsid w:val="005F1DD3"/>
    <w:rsid w:val="005F6F10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7936"/>
    <w:rsid w:val="00682AA7"/>
    <w:rsid w:val="006A30A0"/>
    <w:rsid w:val="006A6B6A"/>
    <w:rsid w:val="006B2FEF"/>
    <w:rsid w:val="006C2648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1E0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3866"/>
    <w:rsid w:val="008862D2"/>
    <w:rsid w:val="008903BA"/>
    <w:rsid w:val="0089411F"/>
    <w:rsid w:val="008954D1"/>
    <w:rsid w:val="008A536A"/>
    <w:rsid w:val="008B6E9B"/>
    <w:rsid w:val="008C6163"/>
    <w:rsid w:val="008C67E9"/>
    <w:rsid w:val="008F6850"/>
    <w:rsid w:val="00912327"/>
    <w:rsid w:val="00932C01"/>
    <w:rsid w:val="00933ACA"/>
    <w:rsid w:val="00936729"/>
    <w:rsid w:val="0096074E"/>
    <w:rsid w:val="00961ED6"/>
    <w:rsid w:val="00965BBC"/>
    <w:rsid w:val="00993743"/>
    <w:rsid w:val="009A4263"/>
    <w:rsid w:val="009A7347"/>
    <w:rsid w:val="009B0E47"/>
    <w:rsid w:val="009B4893"/>
    <w:rsid w:val="009D6FCA"/>
    <w:rsid w:val="009E053A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75E68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622F"/>
    <w:rsid w:val="00B36F5F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0120A"/>
    <w:rsid w:val="00C12D10"/>
    <w:rsid w:val="00C13D09"/>
    <w:rsid w:val="00C15A35"/>
    <w:rsid w:val="00C45114"/>
    <w:rsid w:val="00C46AAA"/>
    <w:rsid w:val="00C54C2F"/>
    <w:rsid w:val="00C70FCD"/>
    <w:rsid w:val="00C73B39"/>
    <w:rsid w:val="00C80768"/>
    <w:rsid w:val="00C81634"/>
    <w:rsid w:val="00C86C8A"/>
    <w:rsid w:val="00C90CCD"/>
    <w:rsid w:val="00C947BA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9019C"/>
    <w:rsid w:val="00DB56F9"/>
    <w:rsid w:val="00DC79A8"/>
    <w:rsid w:val="00DD7FF2"/>
    <w:rsid w:val="00DE3F77"/>
    <w:rsid w:val="00DF216F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97A92"/>
    <w:rsid w:val="00EA0EF7"/>
    <w:rsid w:val="00EA69BC"/>
    <w:rsid w:val="00EA75FC"/>
    <w:rsid w:val="00EC1681"/>
    <w:rsid w:val="00EC3351"/>
    <w:rsid w:val="00ED6FB0"/>
    <w:rsid w:val="00EF4768"/>
    <w:rsid w:val="00EF576C"/>
    <w:rsid w:val="00EF69AF"/>
    <w:rsid w:val="00F04E09"/>
    <w:rsid w:val="00F13A21"/>
    <w:rsid w:val="00F17BA8"/>
    <w:rsid w:val="00F22D52"/>
    <w:rsid w:val="00F2762E"/>
    <w:rsid w:val="00F305A4"/>
    <w:rsid w:val="00F522BA"/>
    <w:rsid w:val="00F73420"/>
    <w:rsid w:val="00F75198"/>
    <w:rsid w:val="00F86291"/>
    <w:rsid w:val="00F94CC2"/>
    <w:rsid w:val="00FC6490"/>
    <w:rsid w:val="00FF59F4"/>
    <w:rsid w:val="00FF5BCA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75B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6349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2F9E"/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66BC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506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">
    <w:name w:val="bodytext"/>
    <w:basedOn w:val="Normlny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ED6F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D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7C095-7AA8-49EE-9A48-330EC07BD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3F385-A677-4E25-B8CC-B1FD67DF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2018-09-28T08:19:00Z</dcterms:created>
  <dcterms:modified xsi:type="dcterms:W3CDTF">2018-09-28T08:19:00Z</dcterms:modified>
</cp:coreProperties>
</file>