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Times New Roman"/>
          <w:b/>
          <w:bCs/>
          <w:caps/>
          <w:spacing w:val="30"/>
        </w:rPr>
      </w:pPr>
      <w:r w:rsidRPr="00043B71">
        <w:rPr>
          <w:rFonts w:eastAsia="Times New Roman"/>
          <w:b/>
          <w:bCs/>
          <w:caps/>
          <w:spacing w:val="30"/>
        </w:rPr>
        <w:t>Doložka zlučiteľnosti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právneho predpisu s právom Európskej únie 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rPr>
          <w:rFonts w:eastAsia="Times New Roman"/>
        </w:rPr>
      </w:pPr>
    </w:p>
    <w:p w:rsidR="00022683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</w:rPr>
      </w:pPr>
      <w:r w:rsidRPr="00043B71">
        <w:rPr>
          <w:rFonts w:eastAsia="Times New Roman"/>
          <w:b/>
          <w:bCs/>
        </w:rPr>
        <w:t>1.</w:t>
      </w:r>
      <w:r w:rsidRPr="00043B71">
        <w:rPr>
          <w:rFonts w:eastAsia="Times New Roman"/>
          <w:b/>
          <w:bCs/>
        </w:rPr>
        <w:tab/>
        <w:t>Predkladateľ právneho predpisu:</w:t>
      </w:r>
      <w:r>
        <w:rPr>
          <w:rFonts w:eastAsia="Times New Roman"/>
        </w:rPr>
        <w:t xml:space="preserve"> </w:t>
      </w:r>
      <w:r w:rsidR="00D7326F">
        <w:rPr>
          <w:rFonts w:eastAsia="Times New Roman"/>
        </w:rPr>
        <w:t>Poslanci Národnej rady Slovenskej republiky Radoslav Pavelka a Anna Zemanová</w:t>
      </w:r>
    </w:p>
    <w:p w:rsidR="00022683" w:rsidRPr="00043B71" w:rsidRDefault="00C660A2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     </w:t>
      </w:r>
    </w:p>
    <w:p w:rsidR="00022683" w:rsidRPr="00043B71" w:rsidRDefault="00022683" w:rsidP="00022683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2.</w:t>
      </w:r>
      <w:r w:rsidRPr="00043B71">
        <w:rPr>
          <w:rFonts w:eastAsia="Times New Roman"/>
          <w:b/>
          <w:bCs/>
        </w:rPr>
        <w:tab/>
        <w:t>Názov návrhu právneho predpisu:</w:t>
      </w:r>
      <w:r w:rsidRPr="00043B71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                                                           </w:t>
      </w:r>
      <w:r w:rsidR="00D7326F">
        <w:rPr>
          <w:rFonts w:eastAsia="Times New Roman"/>
          <w:lang w:eastAsia="en-US"/>
        </w:rPr>
        <w:t>N</w:t>
      </w:r>
      <w:bookmarkStart w:id="0" w:name="_GoBack"/>
      <w:bookmarkEnd w:id="0"/>
      <w:r w:rsidRPr="00043B71">
        <w:rPr>
          <w:rFonts w:eastAsia="Times New Roman"/>
          <w:lang w:eastAsia="en-US"/>
        </w:rPr>
        <w:t xml:space="preserve">ávrh zákona, </w:t>
      </w:r>
      <w:r w:rsidRPr="002A00C9">
        <w:rPr>
          <w:rFonts w:eastAsia="Times New Roman"/>
          <w:lang w:eastAsia="en-US"/>
        </w:rPr>
        <w:t xml:space="preserve">ktorým sa mení </w:t>
      </w:r>
      <w:r w:rsidR="00C660A2">
        <w:rPr>
          <w:rFonts w:eastAsia="Times New Roman"/>
          <w:lang w:eastAsia="en-US"/>
        </w:rPr>
        <w:t>zákon č. 313</w:t>
      </w:r>
      <w:r w:rsidRPr="002A00C9">
        <w:rPr>
          <w:rFonts w:eastAsia="Times New Roman"/>
          <w:lang w:eastAsia="en-US"/>
        </w:rPr>
        <w:t>/20</w:t>
      </w:r>
      <w:r w:rsidR="00C660A2">
        <w:rPr>
          <w:rFonts w:eastAsia="Times New Roman"/>
          <w:lang w:eastAsia="en-US"/>
        </w:rPr>
        <w:t>09 Z. z. o vinohradníctve a vinárstve v znení neskorších predpisov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3.</w:t>
      </w:r>
      <w:r w:rsidRPr="00043B71">
        <w:rPr>
          <w:rFonts w:eastAsia="Times New Roman"/>
          <w:b/>
          <w:bCs/>
        </w:rPr>
        <w:tab/>
        <w:t>Problematika návrhu právneho predpisu: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426"/>
        <w:jc w:val="both"/>
        <w:rPr>
          <w:rFonts w:eastAsia="Times New Roman"/>
        </w:rPr>
      </w:pPr>
      <w:r w:rsidRPr="00043B71">
        <w:rPr>
          <w:rFonts w:eastAsia="Times New Roman"/>
        </w:rPr>
        <w:t>a) nie je upravená v práve Európskej únie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426"/>
        <w:jc w:val="both"/>
        <w:rPr>
          <w:rFonts w:eastAsia="Times New Roman"/>
        </w:rPr>
      </w:pPr>
      <w:r w:rsidRPr="00043B71">
        <w:rPr>
          <w:rFonts w:eastAsia="Times New Roman"/>
        </w:rPr>
        <w:t>b) nie je obsiahnutá v judikatúre Súdneho dvora Európskej únie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4.</w:t>
      </w:r>
      <w:r w:rsidRPr="00043B71">
        <w:rPr>
          <w:rFonts w:eastAsia="Times New Roman"/>
          <w:b/>
          <w:bCs/>
        </w:rPr>
        <w:tab/>
        <w:t xml:space="preserve">Záväzky Slovenskej republiky vo vzťahu k Európskej únii: 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a)</w:t>
      </w:r>
      <w:r w:rsidRPr="00043B71">
        <w:rPr>
          <w:rFonts w:eastAsia="Times New Roman"/>
        </w:rPr>
        <w:tab/>
        <w:t>lehota na prebratie smernice alebo lehota na implementáciu nariadenia alebo rozhodnutia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eastAsia="Times New Roman"/>
        </w:rPr>
      </w:pPr>
      <w:r w:rsidRPr="00043B71">
        <w:rPr>
          <w:rFonts w:eastAsia="Times New Roman"/>
        </w:rPr>
        <w:t>bezpredmetné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b)</w:t>
      </w:r>
      <w:r w:rsidRPr="00043B71">
        <w:rPr>
          <w:rFonts w:eastAsia="Times New Roman"/>
        </w:rPr>
        <w:tab/>
      </w:r>
      <w:r w:rsidRPr="00043B71">
        <w:rPr>
          <w:rFonts w:eastAsia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ab/>
        <w:t>bezpredmetné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c)</w:t>
      </w:r>
      <w:r w:rsidRPr="00043B71">
        <w:rPr>
          <w:rFonts w:eastAsia="Times New Roman"/>
        </w:rPr>
        <w:tab/>
        <w:t>informácia o konaní začatom proti Slovenskej republike o porušení podľa čl. 258 až 260 Zmluvy o fungovaní Európskej únie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Times New Roman"/>
        </w:rPr>
      </w:pPr>
      <w:r w:rsidRPr="00043B71">
        <w:rPr>
          <w:rFonts w:eastAsia="Times New Roman"/>
        </w:rPr>
        <w:t>bezpredmetné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d)</w:t>
      </w:r>
      <w:r w:rsidRPr="00043B71">
        <w:rPr>
          <w:rFonts w:eastAsia="Times New Roman"/>
        </w:rPr>
        <w:tab/>
        <w:t>informácia o právnych predpisoch, v ktorých sú preberané smernice už prebraté spolu s uvedením rozsahu tohto prebratia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Times New Roman"/>
        </w:rPr>
      </w:pPr>
      <w:r w:rsidRPr="00043B71">
        <w:rPr>
          <w:rFonts w:eastAsia="Times New Roman"/>
        </w:rPr>
        <w:t>bezpredmetné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5.</w:t>
      </w:r>
      <w:r w:rsidRPr="00043B71">
        <w:rPr>
          <w:rFonts w:eastAsia="Times New Roman"/>
          <w:b/>
          <w:bCs/>
        </w:rPr>
        <w:tab/>
        <w:t>Stupeň zlučiteľnosti návrhu právneho predpisu s právom Európskej únie: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rFonts w:eastAsia="Times New Roman"/>
        </w:rPr>
      </w:pPr>
      <w:r w:rsidRPr="00043B71">
        <w:rPr>
          <w:rFonts w:eastAsia="Times New Roman"/>
        </w:rPr>
        <w:t xml:space="preserve">Stupeň zlučiteľnosti </w:t>
      </w:r>
      <w:r>
        <w:rPr>
          <w:rFonts w:eastAsia="Times New Roman"/>
        </w:rPr>
        <w:t>–</w:t>
      </w:r>
      <w:r w:rsidRPr="00043B71">
        <w:rPr>
          <w:rFonts w:eastAsia="Times New Roman"/>
        </w:rPr>
        <w:t xml:space="preserve"> úplný</w:t>
      </w: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RDefault="00022683" w:rsidP="00022683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6.</w:t>
      </w:r>
      <w:r w:rsidRPr="00043B71">
        <w:rPr>
          <w:rFonts w:eastAsia="Times New Roman"/>
          <w:b/>
          <w:bCs/>
        </w:rPr>
        <w:tab/>
        <w:t xml:space="preserve">Gestor a spolupracujúce rezorty: </w:t>
      </w:r>
    </w:p>
    <w:p w:rsidR="00022683" w:rsidRPr="00043B71" w:rsidRDefault="00022683" w:rsidP="00022683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F11D6A" w:rsidRDefault="00F11D6A" w:rsidP="00F11D6A">
      <w:pPr>
        <w:ind w:right="-108"/>
        <w:rPr>
          <w:rFonts w:eastAsia="Times New Roman"/>
          <w:bCs/>
        </w:rPr>
      </w:pPr>
      <w:r w:rsidRPr="00F11D6A">
        <w:rPr>
          <w:rFonts w:eastAsia="Times New Roman"/>
          <w:bCs/>
        </w:rPr>
        <w:t xml:space="preserve">Bezpredmetné </w:t>
      </w:r>
    </w:p>
    <w:p w:rsidR="00F11D6A" w:rsidRDefault="00F11D6A" w:rsidP="00022683">
      <w:pPr>
        <w:ind w:right="-108"/>
        <w:jc w:val="center"/>
        <w:rPr>
          <w:rFonts w:eastAsia="Times New Roman"/>
          <w:b/>
          <w:bCs/>
          <w:sz w:val="28"/>
          <w:szCs w:val="28"/>
        </w:rPr>
      </w:pPr>
    </w:p>
    <w:p w:rsidR="00022683" w:rsidRDefault="00022683" w:rsidP="00022683">
      <w:pPr>
        <w:ind w:right="-108"/>
        <w:jc w:val="center"/>
        <w:rPr>
          <w:rFonts w:eastAsia="Times New Roman"/>
          <w:b/>
          <w:bCs/>
          <w:sz w:val="28"/>
          <w:szCs w:val="28"/>
        </w:rPr>
      </w:pPr>
    </w:p>
    <w:p w:rsidR="00022683" w:rsidRPr="003044CB" w:rsidRDefault="00022683" w:rsidP="00022683">
      <w:pPr>
        <w:ind w:right="-108"/>
        <w:jc w:val="center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Doložka vybraných vplyvov</w:t>
      </w:r>
    </w:p>
    <w:p w:rsidR="00022683" w:rsidRPr="003044CB" w:rsidRDefault="00022683" w:rsidP="00C660A2">
      <w:pPr>
        <w:ind w:right="-108"/>
        <w:jc w:val="both"/>
        <w:rPr>
          <w:rFonts w:eastAsia="Times New Roman"/>
        </w:rPr>
      </w:pPr>
    </w:p>
    <w:p w:rsidR="00022683" w:rsidRPr="003044CB" w:rsidRDefault="00022683" w:rsidP="00C660A2">
      <w:pPr>
        <w:jc w:val="both"/>
        <w:rPr>
          <w:rFonts w:eastAsia="Times New Roman"/>
        </w:rPr>
      </w:pPr>
    </w:p>
    <w:p w:rsidR="00C660A2" w:rsidRPr="00043B71" w:rsidRDefault="00022683" w:rsidP="00C660A2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3044CB">
        <w:rPr>
          <w:rFonts w:eastAsia="Times New Roman"/>
          <w:b/>
          <w:bCs/>
        </w:rPr>
        <w:t>A.1. Názov materiálu:</w:t>
      </w:r>
      <w:r w:rsidRPr="003044CB">
        <w:rPr>
          <w:rFonts w:eastAsia="Times New Roman"/>
          <w:bCs/>
        </w:rPr>
        <w:t xml:space="preserve"> </w:t>
      </w:r>
      <w:r w:rsidR="00C660A2">
        <w:rPr>
          <w:rFonts w:eastAsia="Times New Roman"/>
          <w:lang w:eastAsia="en-US"/>
        </w:rPr>
        <w:t>N</w:t>
      </w:r>
      <w:r w:rsidR="00C660A2" w:rsidRPr="00043B71">
        <w:rPr>
          <w:rFonts w:eastAsia="Times New Roman"/>
          <w:lang w:eastAsia="en-US"/>
        </w:rPr>
        <w:t xml:space="preserve">ávrh zákona, </w:t>
      </w:r>
      <w:r w:rsidR="00C660A2" w:rsidRPr="002A00C9">
        <w:rPr>
          <w:rFonts w:eastAsia="Times New Roman"/>
          <w:lang w:eastAsia="en-US"/>
        </w:rPr>
        <w:t xml:space="preserve">ktorým sa mení </w:t>
      </w:r>
      <w:r w:rsidR="00C660A2">
        <w:rPr>
          <w:rFonts w:eastAsia="Times New Roman"/>
          <w:lang w:eastAsia="en-US"/>
        </w:rPr>
        <w:t>zákon č. 313</w:t>
      </w:r>
      <w:r w:rsidR="00C660A2" w:rsidRPr="002A00C9">
        <w:rPr>
          <w:rFonts w:eastAsia="Times New Roman"/>
          <w:lang w:eastAsia="en-US"/>
        </w:rPr>
        <w:t>/20</w:t>
      </w:r>
      <w:r w:rsidR="00C660A2">
        <w:rPr>
          <w:rFonts w:eastAsia="Times New Roman"/>
          <w:lang w:eastAsia="en-US"/>
        </w:rPr>
        <w:t>09 Z. z. o vinohradníctve a vinárstve v znení neskorších predpisov</w:t>
      </w:r>
      <w:r w:rsidR="00C660A2" w:rsidRPr="00043B71">
        <w:rPr>
          <w:rFonts w:eastAsia="Times New Roman"/>
          <w:lang w:eastAsia="en-US"/>
        </w:rPr>
        <w:t>.</w:t>
      </w:r>
    </w:p>
    <w:p w:rsidR="00022683" w:rsidRPr="003044CB" w:rsidRDefault="00022683" w:rsidP="00C660A2">
      <w:pPr>
        <w:jc w:val="both"/>
        <w:rPr>
          <w:rFonts w:eastAsia="Times New Roman"/>
        </w:rPr>
      </w:pPr>
    </w:p>
    <w:p w:rsidR="00022683" w:rsidRPr="003044CB" w:rsidRDefault="00022683" w:rsidP="00C660A2">
      <w:pPr>
        <w:jc w:val="both"/>
        <w:rPr>
          <w:rFonts w:eastAsia="Times New Roman"/>
          <w:b/>
        </w:rPr>
      </w:pPr>
      <w:r w:rsidRPr="003044CB">
        <w:rPr>
          <w:rFonts w:eastAsia="Times New Roman"/>
          <w:b/>
        </w:rPr>
        <w:t>Termín začatia a ukončenia PPK:</w:t>
      </w:r>
    </w:p>
    <w:p w:rsidR="00022683" w:rsidRPr="003044CB" w:rsidRDefault="00022683" w:rsidP="00C660A2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A.2. Vplyvy:</w:t>
      </w:r>
    </w:p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</w:rPr>
        <w:t> </w:t>
      </w:r>
    </w:p>
    <w:tbl>
      <w:tblPr>
        <w:tblW w:w="745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8"/>
        <w:gridCol w:w="1242"/>
        <w:gridCol w:w="1260"/>
        <w:gridCol w:w="1336"/>
      </w:tblGrid>
      <w:tr w:rsidR="00022683" w:rsidRPr="003044CB" w:rsidTr="00F11D6A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Pozitívne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  <w:r w:rsidRPr="003044CB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Žiadne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Negatívne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022683" w:rsidRPr="003044CB" w:rsidTr="00F11D6A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1. Vplyvy na rozpočet verejnej správy</w:t>
            </w:r>
          </w:p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</w:tr>
      <w:tr w:rsidR="00022683" w:rsidRPr="003044CB" w:rsidTr="00F11D6A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</w:tr>
      <w:tr w:rsidR="00022683" w:rsidRPr="003044CB" w:rsidTr="00F11D6A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 xml:space="preserve">3, Sociálne vplyvy </w:t>
            </w:r>
          </w:p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vplyvy  na hospodárenie obyvateľstva,</w:t>
            </w:r>
          </w:p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 xml:space="preserve">– sociálnu </w:t>
            </w:r>
            <w:proofErr w:type="spellStart"/>
            <w:r w:rsidRPr="003044CB">
              <w:rPr>
                <w:rFonts w:eastAsia="Times New Roman"/>
                <w:sz w:val="22"/>
                <w:szCs w:val="22"/>
              </w:rPr>
              <w:t>exklúziu</w:t>
            </w:r>
            <w:proofErr w:type="spellEnd"/>
            <w:r w:rsidRPr="003044CB">
              <w:rPr>
                <w:rFonts w:eastAsia="Times New Roman"/>
                <w:sz w:val="22"/>
                <w:szCs w:val="22"/>
              </w:rPr>
              <w:t>,</w:t>
            </w:r>
          </w:p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</w:tr>
      <w:tr w:rsidR="00022683" w:rsidRPr="003044CB" w:rsidTr="00F11D6A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</w:tr>
      <w:tr w:rsidR="00022683" w:rsidRPr="003044CB" w:rsidTr="00F11D6A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22683" w:rsidRPr="003044CB" w:rsidRDefault="00022683" w:rsidP="00F11D6A">
            <w:pPr>
              <w:jc w:val="center"/>
              <w:rPr>
                <w:rFonts w:eastAsia="Times New Roman"/>
              </w:rPr>
            </w:pPr>
          </w:p>
        </w:tc>
      </w:tr>
    </w:tbl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  <w:b/>
          <w:bCs/>
          <w:sz w:val="16"/>
          <w:szCs w:val="16"/>
        </w:rPr>
        <w:t>*</w:t>
      </w:r>
      <w:r w:rsidRPr="003044CB">
        <w:rPr>
          <w:rFonts w:eastAsia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A.3. Poznámky</w:t>
      </w: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</w:rPr>
        <w:t>Návrh zákona bude mať pozitívny vplyv na podnikateľské prostredie</w:t>
      </w:r>
      <w:r w:rsidR="00C660A2">
        <w:rPr>
          <w:rFonts w:eastAsia="Times New Roman"/>
        </w:rPr>
        <w:t xml:space="preserve">. Vzhľadom na klimatické zmeny nie je možné predpokladať termín dozrievania hrozna, </w:t>
      </w:r>
      <w:r w:rsidR="00941A21">
        <w:rPr>
          <w:rFonts w:eastAsia="Times New Roman"/>
        </w:rPr>
        <w:t>preto časové obmedzenie predaja burčiaku nemá opodstatnenie. Najmä, ak je možné zastaviť proces kvasenia a podľa potreby obnoviť.</w:t>
      </w: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A.4. Alternatívne riešenia</w:t>
      </w: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Pr="003044CB" w:rsidRDefault="00022683" w:rsidP="00022683">
      <w:pPr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 xml:space="preserve">A.5. Stanovisko gestorov </w:t>
      </w:r>
    </w:p>
    <w:p w:rsidR="00022683" w:rsidRPr="003044CB" w:rsidRDefault="00022683" w:rsidP="00022683">
      <w:pPr>
        <w:jc w:val="both"/>
        <w:rPr>
          <w:rFonts w:eastAsia="Times New Roman"/>
        </w:rPr>
      </w:pPr>
    </w:p>
    <w:p w:rsidR="00022683" w:rsidRDefault="00022683" w:rsidP="00022683">
      <w:pPr>
        <w:jc w:val="both"/>
      </w:pPr>
    </w:p>
    <w:sectPr w:rsidR="00022683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83"/>
    <w:rsid w:val="00001916"/>
    <w:rsid w:val="00022683"/>
    <w:rsid w:val="00043B71"/>
    <w:rsid w:val="00207304"/>
    <w:rsid w:val="002A00C9"/>
    <w:rsid w:val="003044CB"/>
    <w:rsid w:val="00342BC1"/>
    <w:rsid w:val="004C4001"/>
    <w:rsid w:val="00510D8A"/>
    <w:rsid w:val="0051226C"/>
    <w:rsid w:val="005527B4"/>
    <w:rsid w:val="005E2159"/>
    <w:rsid w:val="0093418A"/>
    <w:rsid w:val="00941A21"/>
    <w:rsid w:val="00A43788"/>
    <w:rsid w:val="00BA5F02"/>
    <w:rsid w:val="00C543C8"/>
    <w:rsid w:val="00C660A2"/>
    <w:rsid w:val="00D7326F"/>
    <w:rsid w:val="00F11D6A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11100"/>
  <w14:defaultImageDpi w14:val="0"/>
  <w15:docId w15:val="{60E6D786-0388-4CDC-98A8-70F0348D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2683"/>
    <w:rPr>
      <w:rFonts w:ascii="Times New Roman" w:eastAsia="SimSu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Andrej</cp:lastModifiedBy>
  <cp:revision>3</cp:revision>
  <dcterms:created xsi:type="dcterms:W3CDTF">2018-09-24T10:05:00Z</dcterms:created>
  <dcterms:modified xsi:type="dcterms:W3CDTF">2018-09-25T15:38:00Z</dcterms:modified>
</cp:coreProperties>
</file>