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8B0" w:rsidRPr="00032A4B" w:rsidRDefault="004208B0" w:rsidP="004208B0">
      <w:pPr>
        <w:pStyle w:val="Zkladntext"/>
        <w:rPr>
          <w:rFonts w:ascii="Bookman Old Style" w:hAnsi="Bookman Old Style"/>
          <w:b w:val="0"/>
          <w:bCs w:val="0"/>
          <w:iCs/>
          <w:sz w:val="20"/>
          <w:szCs w:val="20"/>
        </w:rPr>
      </w:pPr>
      <w:r w:rsidRPr="00032A4B">
        <w:rPr>
          <w:rFonts w:ascii="Bookman Old Style" w:hAnsi="Bookman Old Style"/>
          <w:iCs/>
          <w:sz w:val="20"/>
          <w:szCs w:val="20"/>
        </w:rPr>
        <w:t>NÁRODNÁ RADA SLOVENSKEJ REPUBLIKY</w:t>
      </w:r>
    </w:p>
    <w:p w:rsidR="004208B0" w:rsidRPr="00032A4B" w:rsidRDefault="004208B0" w:rsidP="004208B0">
      <w:pPr>
        <w:pStyle w:val="Zkladntext"/>
        <w:pBdr>
          <w:bottom w:val="single" w:sz="4" w:space="1" w:color="auto"/>
        </w:pBdr>
        <w:rPr>
          <w:rFonts w:ascii="Bookman Old Style" w:hAnsi="Bookman Old Style"/>
          <w:b w:val="0"/>
          <w:bCs w:val="0"/>
          <w:iCs/>
          <w:sz w:val="20"/>
          <w:szCs w:val="20"/>
        </w:rPr>
      </w:pPr>
      <w:r w:rsidRPr="00032A4B">
        <w:rPr>
          <w:rFonts w:ascii="Bookman Old Style" w:hAnsi="Bookman Old Style"/>
          <w:iCs/>
          <w:sz w:val="20"/>
          <w:szCs w:val="20"/>
        </w:rPr>
        <w:t>VII. volebné obdobie</w:t>
      </w:r>
    </w:p>
    <w:p w:rsidR="004208B0" w:rsidRPr="00032A4B" w:rsidRDefault="004208B0" w:rsidP="004208B0">
      <w:pPr>
        <w:pStyle w:val="Zkladntext"/>
        <w:rPr>
          <w:rFonts w:ascii="Bookman Old Style" w:hAnsi="Bookman Old Style"/>
          <w:bCs w:val="0"/>
          <w:iCs/>
          <w:sz w:val="20"/>
          <w:szCs w:val="20"/>
        </w:rPr>
      </w:pPr>
    </w:p>
    <w:p w:rsidR="004208B0" w:rsidRPr="00032A4B" w:rsidRDefault="004208B0" w:rsidP="004208B0">
      <w:pPr>
        <w:pStyle w:val="Zkladntext"/>
        <w:rPr>
          <w:rFonts w:ascii="Bookman Old Style" w:hAnsi="Bookman Old Style"/>
          <w:bCs w:val="0"/>
          <w:iCs/>
          <w:sz w:val="20"/>
          <w:szCs w:val="20"/>
        </w:rPr>
      </w:pPr>
    </w:p>
    <w:p w:rsidR="004208B0" w:rsidRPr="00032A4B" w:rsidRDefault="004208B0" w:rsidP="004208B0">
      <w:pPr>
        <w:pStyle w:val="Zkladntext"/>
        <w:rPr>
          <w:rFonts w:ascii="Bookman Old Style" w:hAnsi="Bookman Old Style"/>
          <w:bCs w:val="0"/>
          <w:iCs/>
          <w:sz w:val="20"/>
          <w:szCs w:val="20"/>
        </w:rPr>
      </w:pPr>
    </w:p>
    <w:p w:rsidR="004208B0" w:rsidRPr="00032A4B" w:rsidRDefault="004208B0" w:rsidP="004208B0">
      <w:pPr>
        <w:pStyle w:val="Zkladntext"/>
        <w:rPr>
          <w:rFonts w:ascii="Bookman Old Style" w:hAnsi="Bookman Old Style"/>
          <w:bCs w:val="0"/>
          <w:iCs/>
          <w:sz w:val="20"/>
          <w:szCs w:val="20"/>
        </w:rPr>
      </w:pPr>
      <w:r w:rsidRPr="00032A4B">
        <w:rPr>
          <w:rFonts w:ascii="Bookman Old Style" w:hAnsi="Bookman Old Style"/>
          <w:iCs/>
          <w:sz w:val="20"/>
          <w:szCs w:val="20"/>
        </w:rPr>
        <w:t>Návrh</w:t>
      </w:r>
    </w:p>
    <w:p w:rsidR="004208B0" w:rsidRPr="00032A4B" w:rsidRDefault="004208B0" w:rsidP="004208B0">
      <w:pPr>
        <w:pStyle w:val="Zkladntext"/>
        <w:rPr>
          <w:rFonts w:ascii="Bookman Old Style" w:hAnsi="Bookman Old Style"/>
          <w:bCs w:val="0"/>
          <w:iCs/>
          <w:sz w:val="20"/>
          <w:szCs w:val="20"/>
        </w:rPr>
      </w:pPr>
    </w:p>
    <w:p w:rsidR="004208B0" w:rsidRPr="00032A4B" w:rsidRDefault="004208B0" w:rsidP="004208B0">
      <w:pPr>
        <w:spacing w:before="100" w:beforeAutospacing="1" w:after="100" w:afterAutospacing="1"/>
        <w:jc w:val="center"/>
        <w:outlineLvl w:val="1"/>
        <w:rPr>
          <w:rFonts w:ascii="Bookman Old Style" w:hAnsi="Bookman Old Style"/>
          <w:b/>
          <w:bCs/>
          <w:sz w:val="20"/>
          <w:szCs w:val="20"/>
        </w:rPr>
      </w:pPr>
      <w:r w:rsidRPr="00032A4B">
        <w:rPr>
          <w:rFonts w:ascii="Bookman Old Style" w:hAnsi="Bookman Old Style"/>
          <w:b/>
          <w:bCs/>
          <w:sz w:val="20"/>
          <w:szCs w:val="20"/>
        </w:rPr>
        <w:t>ZÁKON</w:t>
      </w:r>
    </w:p>
    <w:p w:rsidR="004208B0" w:rsidRPr="00032A4B" w:rsidRDefault="004208B0" w:rsidP="004208B0">
      <w:pPr>
        <w:jc w:val="center"/>
        <w:rPr>
          <w:rFonts w:ascii="Bookman Old Style" w:hAnsi="Bookman Old Style"/>
          <w:sz w:val="20"/>
          <w:szCs w:val="20"/>
        </w:rPr>
      </w:pPr>
    </w:p>
    <w:p w:rsidR="004208B0" w:rsidRPr="00032A4B" w:rsidRDefault="004208B0" w:rsidP="004208B0">
      <w:pPr>
        <w:jc w:val="center"/>
        <w:rPr>
          <w:rFonts w:ascii="Bookman Old Style" w:hAnsi="Bookman Old Style"/>
          <w:sz w:val="20"/>
          <w:szCs w:val="20"/>
        </w:rPr>
      </w:pPr>
      <w:r w:rsidRPr="00032A4B">
        <w:rPr>
          <w:rFonts w:ascii="Bookman Old Style" w:hAnsi="Bookman Old Style"/>
          <w:sz w:val="20"/>
          <w:szCs w:val="20"/>
        </w:rPr>
        <w:t>z .....................2018,</w:t>
      </w:r>
    </w:p>
    <w:p w:rsidR="004208B0" w:rsidRPr="00032A4B" w:rsidRDefault="004208B0" w:rsidP="004208B0">
      <w:pPr>
        <w:spacing w:after="240"/>
        <w:jc w:val="center"/>
        <w:rPr>
          <w:rFonts w:ascii="Bookman Old Style" w:hAnsi="Bookman Old Style"/>
          <w:sz w:val="20"/>
          <w:szCs w:val="20"/>
        </w:rPr>
      </w:pPr>
    </w:p>
    <w:p w:rsidR="004208B0" w:rsidRPr="00032A4B" w:rsidRDefault="004208B0" w:rsidP="004208B0">
      <w:pPr>
        <w:spacing w:before="100" w:beforeAutospacing="1" w:after="100" w:afterAutospacing="1"/>
        <w:jc w:val="center"/>
        <w:rPr>
          <w:rFonts w:ascii="Bookman Old Style" w:hAnsi="Bookman Old Style"/>
          <w:b/>
          <w:bCs/>
          <w:sz w:val="20"/>
          <w:szCs w:val="20"/>
        </w:rPr>
      </w:pPr>
      <w:r w:rsidRPr="00032A4B">
        <w:rPr>
          <w:rFonts w:ascii="Bookman Old Style" w:hAnsi="Bookman Old Style"/>
          <w:b/>
          <w:bCs/>
          <w:sz w:val="20"/>
          <w:szCs w:val="20"/>
        </w:rPr>
        <w:t>ktorým sa mení a dopĺňa zákon č. 597/2003 Z. z. o financovaní základných škôl, stredných škôl a školských zariadení v znení neskorších predpisov a ktorým sa menia a dopĺňajú niektoré zákony</w:t>
      </w:r>
    </w:p>
    <w:p w:rsidR="004208B0" w:rsidRPr="00032A4B" w:rsidRDefault="004208B0" w:rsidP="004208B0">
      <w:pPr>
        <w:pStyle w:val="Default"/>
        <w:jc w:val="both"/>
        <w:rPr>
          <w:rFonts w:ascii="Bookman Old Style" w:hAnsi="Bookman Old Style" w:cs="Times New Roman"/>
          <w:color w:val="auto"/>
          <w:sz w:val="20"/>
          <w:szCs w:val="20"/>
        </w:rPr>
      </w:pPr>
    </w:p>
    <w:p w:rsidR="004208B0" w:rsidRPr="00032A4B" w:rsidRDefault="004208B0" w:rsidP="004208B0">
      <w:pPr>
        <w:pStyle w:val="Default"/>
        <w:ind w:firstLine="708"/>
        <w:jc w:val="both"/>
        <w:rPr>
          <w:rFonts w:ascii="Bookman Old Style" w:hAnsi="Bookman Old Style" w:cs="Times New Roman"/>
          <w:color w:val="auto"/>
          <w:sz w:val="20"/>
          <w:szCs w:val="20"/>
        </w:rPr>
      </w:pPr>
      <w:r w:rsidRPr="00032A4B">
        <w:rPr>
          <w:rFonts w:ascii="Bookman Old Style" w:hAnsi="Bookman Old Style" w:cs="Times New Roman"/>
          <w:color w:val="auto"/>
          <w:sz w:val="20"/>
          <w:szCs w:val="20"/>
        </w:rPr>
        <w:t>Národná rada Slovenskej republiky sa uzniesla na tomto zákone:</w:t>
      </w:r>
    </w:p>
    <w:p w:rsidR="004208B0" w:rsidRPr="00032A4B" w:rsidRDefault="004208B0" w:rsidP="004208B0">
      <w:pPr>
        <w:spacing w:before="100" w:beforeAutospacing="1" w:after="100" w:afterAutospacing="1"/>
        <w:jc w:val="center"/>
        <w:outlineLvl w:val="0"/>
        <w:rPr>
          <w:rFonts w:ascii="Bookman Old Style" w:hAnsi="Bookman Old Style"/>
          <w:b/>
          <w:bCs/>
          <w:kern w:val="36"/>
          <w:sz w:val="20"/>
          <w:szCs w:val="20"/>
        </w:rPr>
      </w:pPr>
      <w:r w:rsidRPr="00032A4B">
        <w:rPr>
          <w:rFonts w:ascii="Bookman Old Style" w:hAnsi="Bookman Old Style"/>
          <w:b/>
          <w:bCs/>
          <w:kern w:val="36"/>
          <w:sz w:val="20"/>
          <w:szCs w:val="20"/>
        </w:rPr>
        <w:t>Čl. I</w:t>
      </w:r>
    </w:p>
    <w:p w:rsidR="004208B0" w:rsidRPr="00032A4B" w:rsidRDefault="004208B0" w:rsidP="004208B0">
      <w:pPr>
        <w:pStyle w:val="Default"/>
        <w:ind w:firstLine="708"/>
        <w:jc w:val="both"/>
        <w:rPr>
          <w:rFonts w:ascii="Bookman Old Style" w:hAnsi="Bookman Old Style" w:cs="Times New Roman"/>
          <w:color w:val="auto"/>
          <w:sz w:val="20"/>
          <w:szCs w:val="20"/>
        </w:rPr>
      </w:pPr>
      <w:r w:rsidRPr="00032A4B">
        <w:rPr>
          <w:rFonts w:ascii="Bookman Old Style" w:hAnsi="Bookman Old Style" w:cs="Times New Roman"/>
          <w:color w:val="auto"/>
          <w:sz w:val="20"/>
          <w:szCs w:val="20"/>
          <w:lang w:eastAsia="en-US" w:bidi="ar-SA"/>
        </w:rPr>
        <w:t xml:space="preserve">Zákon č. 597/2003 Z. z. o financovaní základných škôl, stredných škôl a školských zariadení v znení zákona č. 523/2004 Z. z., zákona č. 564/2004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 xml:space="preserve">č. 689/2006 Z. z., zákona č. 245/2008 Z. z., zákona č. 462/2008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 xml:space="preserve">č. 179/2009 Z. z., zákona č. 184/2009 Z. z., zákona č. 38/2011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 xml:space="preserve">č. 390/2011 Z. z., zákona č. 325/2012 Z. z., zákona č. 345/2012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 xml:space="preserve">č. 81/2013 Z. z., zákona č. 464/2013 Z. z., zákona č. 307/2014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 xml:space="preserve">č. 377/2014 Z. z., zákona č. 61/2015 Z. z., zákona č. 188/2015 Z. z., zákona </w:t>
      </w:r>
      <w:r w:rsidR="00032A4B">
        <w:rPr>
          <w:rFonts w:ascii="Bookman Old Style" w:hAnsi="Bookman Old Style" w:cs="Times New Roman"/>
          <w:color w:val="auto"/>
          <w:sz w:val="20"/>
          <w:szCs w:val="20"/>
          <w:lang w:eastAsia="en-US" w:bidi="ar-SA"/>
        </w:rPr>
        <w:t xml:space="preserve">                                            </w:t>
      </w:r>
      <w:r w:rsidRPr="00032A4B">
        <w:rPr>
          <w:rFonts w:ascii="Bookman Old Style" w:hAnsi="Bookman Old Style" w:cs="Times New Roman"/>
          <w:color w:val="auto"/>
          <w:sz w:val="20"/>
          <w:szCs w:val="20"/>
          <w:lang w:eastAsia="en-US" w:bidi="ar-SA"/>
        </w:rPr>
        <w:t>č. 125/2016 Z. z., zákona č. 182/2017 Z. z. a zákona č. 209/2018 Z. z. sa mení a dopĺňa takto:</w:t>
      </w:r>
    </w:p>
    <w:p w:rsidR="004208B0" w:rsidRPr="00032A4B" w:rsidRDefault="004208B0" w:rsidP="004208B0">
      <w:pPr>
        <w:jc w:val="both"/>
        <w:rPr>
          <w:rFonts w:ascii="Bookman Old Style" w:hAnsi="Bookman Old Style"/>
          <w:sz w:val="20"/>
          <w:szCs w:val="20"/>
        </w:rPr>
      </w:pPr>
    </w:p>
    <w:p w:rsidR="004208B0" w:rsidRPr="00032A4B" w:rsidRDefault="004208B0" w:rsidP="004208B0">
      <w:pPr>
        <w:pStyle w:val="Odsekzoznamu"/>
        <w:numPr>
          <w:ilvl w:val="0"/>
          <w:numId w:val="20"/>
        </w:numPr>
        <w:autoSpaceDE w:val="0"/>
        <w:autoSpaceDN w:val="0"/>
        <w:adjustRightInd w:val="0"/>
        <w:ind w:left="284" w:hanging="284"/>
        <w:contextualSpacing/>
        <w:jc w:val="both"/>
        <w:rPr>
          <w:rFonts w:ascii="Bookman Old Style" w:hAnsi="Bookman Old Style"/>
          <w:sz w:val="20"/>
          <w:szCs w:val="20"/>
        </w:rPr>
      </w:pPr>
      <w:r w:rsidRPr="00032A4B">
        <w:rPr>
          <w:rFonts w:ascii="Bookman Old Style" w:hAnsi="Bookman Old Style"/>
          <w:sz w:val="20"/>
          <w:szCs w:val="20"/>
        </w:rPr>
        <w:t xml:space="preserve">V § 3 ods. 2 písmeno c) znie: </w:t>
      </w:r>
    </w:p>
    <w:p w:rsidR="004208B0" w:rsidRPr="00032A4B" w:rsidRDefault="004208B0" w:rsidP="004208B0">
      <w:pPr>
        <w:pStyle w:val="Odsekzoznamu"/>
        <w:ind w:left="284"/>
        <w:jc w:val="both"/>
        <w:rPr>
          <w:rFonts w:ascii="Bookman Old Style" w:hAnsi="Bookman Old Style"/>
          <w:sz w:val="20"/>
          <w:szCs w:val="20"/>
        </w:rPr>
      </w:pPr>
      <w:r w:rsidRPr="00032A4B">
        <w:rPr>
          <w:rFonts w:ascii="Bookman Old Style" w:hAnsi="Bookman Old Style"/>
          <w:sz w:val="20"/>
          <w:szCs w:val="20"/>
        </w:rPr>
        <w:t>„c) na vydávanie učebníc, učebných textov a pracovných zošitov,</w:t>
      </w:r>
      <w:r w:rsidRPr="00032A4B">
        <w:rPr>
          <w:rFonts w:ascii="Bookman Old Style" w:hAnsi="Bookman Old Style"/>
          <w:bCs/>
          <w:sz w:val="20"/>
          <w:szCs w:val="20"/>
          <w:shd w:val="clear" w:color="auto" w:fill="FFFFFF"/>
          <w:vertAlign w:val="superscript"/>
        </w:rPr>
        <w:t>20a</w:t>
      </w:r>
      <w:r w:rsidRPr="00032A4B">
        <w:rPr>
          <w:rFonts w:ascii="Bookman Old Style" w:hAnsi="Bookman Old Style"/>
          <w:bCs/>
          <w:sz w:val="20"/>
          <w:szCs w:val="20"/>
          <w:shd w:val="clear" w:color="auto" w:fill="FFFFFF"/>
        </w:rPr>
        <w:t>)</w:t>
      </w:r>
      <w:r w:rsidRPr="00032A4B">
        <w:rPr>
          <w:rFonts w:ascii="Bookman Old Style" w:hAnsi="Bookman Old Style"/>
          <w:sz w:val="20"/>
          <w:szCs w:val="20"/>
        </w:rPr>
        <w:t xml:space="preserve"> podľa plánu zabezpečenia učebníc zostaveného Ministerstvom školstva, vedy, výskumu a športu Slovenskej republiky (ďalej len „ministerstvo“) a na tvorbu a vydávanie metodických pomôcok,“.</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ind w:left="284"/>
        <w:jc w:val="both"/>
        <w:rPr>
          <w:rFonts w:ascii="Bookman Old Style" w:hAnsi="Bookman Old Style"/>
          <w:sz w:val="20"/>
          <w:szCs w:val="20"/>
        </w:rPr>
      </w:pPr>
      <w:r w:rsidRPr="00032A4B">
        <w:rPr>
          <w:rFonts w:ascii="Bookman Old Style" w:hAnsi="Bookman Old Style"/>
          <w:sz w:val="20"/>
          <w:szCs w:val="20"/>
        </w:rPr>
        <w:t xml:space="preserve">Poznámka pod čiarou k odkazu </w:t>
      </w:r>
      <w:r w:rsidRPr="00032A4B">
        <w:rPr>
          <w:rFonts w:ascii="Bookman Old Style" w:hAnsi="Bookman Old Style"/>
          <w:bCs/>
          <w:sz w:val="20"/>
          <w:szCs w:val="20"/>
          <w:shd w:val="clear" w:color="auto" w:fill="FFFFFF"/>
        </w:rPr>
        <w:t>20a</w:t>
      </w:r>
      <w:r w:rsidRPr="00032A4B">
        <w:rPr>
          <w:rFonts w:ascii="Bookman Old Style" w:hAnsi="Bookman Old Style"/>
          <w:sz w:val="20"/>
          <w:szCs w:val="20"/>
        </w:rPr>
        <w:t xml:space="preserve"> znie: </w:t>
      </w:r>
    </w:p>
    <w:p w:rsidR="004208B0" w:rsidRPr="00032A4B" w:rsidRDefault="004208B0" w:rsidP="004208B0">
      <w:pPr>
        <w:pStyle w:val="Odsekzoznamu"/>
        <w:ind w:left="284"/>
        <w:jc w:val="both"/>
        <w:rPr>
          <w:rFonts w:ascii="Bookman Old Style" w:hAnsi="Bookman Old Style"/>
          <w:sz w:val="20"/>
          <w:szCs w:val="20"/>
        </w:rPr>
      </w:pPr>
      <w:r w:rsidRPr="00032A4B">
        <w:rPr>
          <w:rFonts w:ascii="Bookman Old Style" w:hAnsi="Bookman Old Style"/>
          <w:sz w:val="20"/>
          <w:szCs w:val="20"/>
        </w:rPr>
        <w:t>„</w:t>
      </w:r>
      <w:r w:rsidRPr="00032A4B">
        <w:rPr>
          <w:rFonts w:ascii="Bookman Old Style" w:hAnsi="Bookman Old Style"/>
          <w:sz w:val="20"/>
          <w:szCs w:val="20"/>
          <w:vertAlign w:val="superscript"/>
        </w:rPr>
        <w:t>20a</w:t>
      </w:r>
      <w:r w:rsidRPr="00032A4B">
        <w:rPr>
          <w:rFonts w:ascii="Bookman Old Style" w:hAnsi="Bookman Old Style"/>
          <w:sz w:val="20"/>
          <w:szCs w:val="20"/>
        </w:rPr>
        <w:t>) § 13 zákona č. 245/2008 Z. z. v znení zákona č. .../2018 Z. z.“.</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ind w:left="284"/>
        <w:jc w:val="both"/>
        <w:rPr>
          <w:rFonts w:ascii="Bookman Old Style" w:hAnsi="Bookman Old Style"/>
          <w:sz w:val="20"/>
          <w:szCs w:val="20"/>
        </w:rPr>
      </w:pPr>
      <w:r w:rsidRPr="00032A4B">
        <w:rPr>
          <w:rFonts w:ascii="Bookman Old Style" w:hAnsi="Bookman Old Style"/>
          <w:sz w:val="20"/>
          <w:szCs w:val="20"/>
        </w:rPr>
        <w:t>Poznámka pod čiarou k odkazu 20b sa vypúšťa.</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numPr>
          <w:ilvl w:val="0"/>
          <w:numId w:val="20"/>
        </w:numPr>
        <w:autoSpaceDE w:val="0"/>
        <w:autoSpaceDN w:val="0"/>
        <w:adjustRightInd w:val="0"/>
        <w:ind w:left="284" w:hanging="284"/>
        <w:contextualSpacing/>
        <w:jc w:val="both"/>
        <w:rPr>
          <w:rFonts w:ascii="Bookman Old Style" w:hAnsi="Bookman Old Style"/>
          <w:sz w:val="20"/>
          <w:szCs w:val="20"/>
        </w:rPr>
      </w:pPr>
      <w:r w:rsidRPr="00032A4B">
        <w:rPr>
          <w:rFonts w:ascii="Bookman Old Style" w:hAnsi="Bookman Old Style"/>
          <w:sz w:val="20"/>
          <w:szCs w:val="20"/>
        </w:rPr>
        <w:t xml:space="preserve">V § 4 ods. 6 sa za slovami „vyučovacieho jazyka“ slovo „a“ nahrádza čiarkou a vkladajú sa slová „nákladov na zakúpenie odporúčaných učebníc, odporúčaných učebných textov a odporúčaných pracovných </w:t>
      </w:r>
      <w:r w:rsidRPr="00032A4B">
        <w:rPr>
          <w:rFonts w:ascii="Bookman Old Style" w:hAnsi="Bookman Old Style"/>
          <w:sz w:val="20"/>
          <w:szCs w:val="20"/>
          <w:shd w:val="clear" w:color="auto" w:fill="FFFFFF"/>
        </w:rPr>
        <w:t>zošitov</w:t>
      </w:r>
      <w:r w:rsidRPr="00032A4B">
        <w:rPr>
          <w:rFonts w:ascii="Bookman Old Style" w:hAnsi="Bookman Old Style"/>
          <w:sz w:val="20"/>
          <w:szCs w:val="20"/>
          <w:shd w:val="clear" w:color="auto" w:fill="FFFFFF"/>
          <w:vertAlign w:val="superscript"/>
        </w:rPr>
        <w:t>20a</w:t>
      </w:r>
      <w:r w:rsidRPr="00032A4B">
        <w:rPr>
          <w:rFonts w:ascii="Bookman Old Style" w:hAnsi="Bookman Old Style"/>
          <w:bCs/>
          <w:sz w:val="20"/>
          <w:szCs w:val="20"/>
          <w:shd w:val="clear" w:color="auto" w:fill="FFFFFF"/>
        </w:rPr>
        <w:t>) a</w:t>
      </w:r>
      <w:r w:rsidRPr="00032A4B">
        <w:rPr>
          <w:rFonts w:ascii="Bookman Old Style" w:hAnsi="Bookman Old Style"/>
          <w:sz w:val="20"/>
          <w:szCs w:val="20"/>
        </w:rPr>
        <w:t>“.</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numPr>
          <w:ilvl w:val="0"/>
          <w:numId w:val="20"/>
        </w:numPr>
        <w:autoSpaceDE w:val="0"/>
        <w:autoSpaceDN w:val="0"/>
        <w:adjustRightInd w:val="0"/>
        <w:ind w:left="284" w:hanging="284"/>
        <w:contextualSpacing/>
        <w:jc w:val="both"/>
        <w:rPr>
          <w:rFonts w:ascii="Bookman Old Style" w:hAnsi="Bookman Old Style"/>
          <w:sz w:val="20"/>
          <w:szCs w:val="20"/>
        </w:rPr>
      </w:pPr>
      <w:r w:rsidRPr="00032A4B">
        <w:rPr>
          <w:rFonts w:ascii="Bookman Old Style" w:hAnsi="Bookman Old Style"/>
          <w:sz w:val="20"/>
          <w:szCs w:val="20"/>
        </w:rPr>
        <w:t>V § 7 sa vypúšťa odsek 18.</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ind w:left="284"/>
        <w:jc w:val="both"/>
        <w:rPr>
          <w:rFonts w:ascii="Bookman Old Style" w:hAnsi="Bookman Old Style"/>
          <w:sz w:val="20"/>
          <w:szCs w:val="20"/>
        </w:rPr>
      </w:pPr>
      <w:r w:rsidRPr="00032A4B">
        <w:rPr>
          <w:rFonts w:ascii="Bookman Old Style" w:hAnsi="Bookman Old Style"/>
          <w:sz w:val="20"/>
          <w:szCs w:val="20"/>
        </w:rPr>
        <w:t>Doterajšie odseky 19 a 20 sa označujú ako odseky 18 a 19.</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pStyle w:val="Odsekzoznamu"/>
        <w:ind w:left="284"/>
        <w:jc w:val="center"/>
        <w:rPr>
          <w:rFonts w:ascii="Bookman Old Style" w:hAnsi="Bookman Old Style"/>
          <w:b/>
          <w:sz w:val="20"/>
          <w:szCs w:val="20"/>
          <w:shd w:val="clear" w:color="auto" w:fill="F3F3F3"/>
        </w:rPr>
      </w:pPr>
      <w:r w:rsidRPr="00032A4B">
        <w:rPr>
          <w:rFonts w:ascii="Bookman Old Style" w:hAnsi="Bookman Old Style"/>
          <w:b/>
          <w:sz w:val="20"/>
          <w:szCs w:val="20"/>
          <w:shd w:val="clear" w:color="auto" w:fill="F3F3F3"/>
        </w:rPr>
        <w:t>Čl. II</w:t>
      </w:r>
    </w:p>
    <w:p w:rsidR="004208B0" w:rsidRPr="00032A4B" w:rsidRDefault="004208B0" w:rsidP="004208B0">
      <w:pPr>
        <w:pStyle w:val="Odsekzoznamu"/>
        <w:ind w:left="284"/>
        <w:jc w:val="both"/>
        <w:rPr>
          <w:rFonts w:ascii="Bookman Old Style" w:hAnsi="Bookman Old Style"/>
          <w:sz w:val="20"/>
          <w:szCs w:val="20"/>
        </w:rPr>
      </w:pPr>
    </w:p>
    <w:p w:rsidR="004208B0" w:rsidRPr="00032A4B" w:rsidRDefault="004208B0" w:rsidP="004208B0">
      <w:pPr>
        <w:ind w:firstLine="708"/>
        <w:jc w:val="both"/>
        <w:rPr>
          <w:rFonts w:ascii="Bookman Old Style" w:hAnsi="Bookman Old Style"/>
          <w:sz w:val="20"/>
          <w:szCs w:val="20"/>
        </w:rPr>
      </w:pPr>
      <w:r w:rsidRPr="00032A4B">
        <w:rPr>
          <w:rFonts w:ascii="Bookman Old Style" w:hAnsi="Bookman Old Style"/>
          <w:sz w:val="20"/>
          <w:szCs w:val="20"/>
        </w:rPr>
        <w:t xml:space="preserve">Zákon č. 245/2008 Z. z. o výchove a vzdelávaní (školský zákon) a o zmene a doplnení niektorých zákonov v znení zákona č. 462/2008 Z. z., zákona č. 37/2009 Z. z., zákona </w:t>
      </w:r>
      <w:r w:rsidR="00032A4B">
        <w:rPr>
          <w:rFonts w:ascii="Bookman Old Style" w:hAnsi="Bookman Old Style"/>
          <w:sz w:val="20"/>
          <w:szCs w:val="20"/>
        </w:rPr>
        <w:t xml:space="preserve">                      </w:t>
      </w:r>
      <w:r w:rsidRPr="00032A4B">
        <w:rPr>
          <w:rFonts w:ascii="Bookman Old Style" w:hAnsi="Bookman Old Style"/>
          <w:sz w:val="20"/>
          <w:szCs w:val="20"/>
        </w:rPr>
        <w:t xml:space="preserve">č. 184/2009 Z. z., zákona č. 37/2011 Z. z., zákona č. 390/2011 Z. z., zákona </w:t>
      </w:r>
      <w:r w:rsidR="00032A4B">
        <w:rPr>
          <w:rFonts w:ascii="Bookman Old Style" w:hAnsi="Bookman Old Style"/>
          <w:sz w:val="20"/>
          <w:szCs w:val="20"/>
        </w:rPr>
        <w:t xml:space="preserve">                                          </w:t>
      </w:r>
      <w:r w:rsidRPr="00032A4B">
        <w:rPr>
          <w:rFonts w:ascii="Bookman Old Style" w:hAnsi="Bookman Old Style"/>
          <w:sz w:val="20"/>
          <w:szCs w:val="20"/>
        </w:rPr>
        <w:t xml:space="preserve">č. 327/2012 Z. z., zákona č. 125/2013 Z. z., zákona č. 464/2013 Z. z., zákona </w:t>
      </w:r>
      <w:r w:rsidR="00032A4B">
        <w:rPr>
          <w:rFonts w:ascii="Bookman Old Style" w:hAnsi="Bookman Old Style"/>
          <w:sz w:val="20"/>
          <w:szCs w:val="20"/>
        </w:rPr>
        <w:t xml:space="preserve">                                       </w:t>
      </w:r>
      <w:r w:rsidRPr="00032A4B">
        <w:rPr>
          <w:rFonts w:ascii="Bookman Old Style" w:hAnsi="Bookman Old Style"/>
          <w:sz w:val="20"/>
          <w:szCs w:val="20"/>
        </w:rPr>
        <w:lastRenderedPageBreak/>
        <w:t xml:space="preserve">č. 307/2014 Z. z., zákona č. 377/2014 Z. z., zákona č. 61/2015 Z. z., zákona </w:t>
      </w:r>
      <w:r w:rsidR="00032A4B">
        <w:rPr>
          <w:rFonts w:ascii="Bookman Old Style" w:hAnsi="Bookman Old Style"/>
          <w:sz w:val="20"/>
          <w:szCs w:val="20"/>
        </w:rPr>
        <w:t xml:space="preserve">                                            </w:t>
      </w:r>
      <w:r w:rsidRPr="00032A4B">
        <w:rPr>
          <w:rFonts w:ascii="Bookman Old Style" w:hAnsi="Bookman Old Style"/>
          <w:sz w:val="20"/>
          <w:szCs w:val="20"/>
        </w:rPr>
        <w:t xml:space="preserve">č. 188/2015 Z. z., zákona č. 125/2016 Z. z., zákona č. 216/2016 Z. z. </w:t>
      </w:r>
      <w:r w:rsidRPr="00032A4B">
        <w:rPr>
          <w:rFonts w:ascii="Bookman Old Style" w:hAnsi="Bookman Old Style"/>
          <w:sz w:val="20"/>
          <w:szCs w:val="20"/>
          <w:lang w:eastAsia="en-US"/>
        </w:rPr>
        <w:t xml:space="preserve">zákona </w:t>
      </w:r>
      <w:r w:rsidR="00032A4B">
        <w:rPr>
          <w:rFonts w:ascii="Bookman Old Style" w:hAnsi="Bookman Old Style"/>
          <w:sz w:val="20"/>
          <w:szCs w:val="20"/>
          <w:lang w:eastAsia="en-US"/>
        </w:rPr>
        <w:t xml:space="preserve">                                           </w:t>
      </w:r>
      <w:r w:rsidRPr="00032A4B">
        <w:rPr>
          <w:rFonts w:ascii="Bookman Old Style" w:hAnsi="Bookman Old Style"/>
          <w:sz w:val="20"/>
          <w:szCs w:val="20"/>
          <w:lang w:eastAsia="en-US"/>
        </w:rPr>
        <w:t xml:space="preserve">č. 56/2017 Z. z., zákona č. 151/2017 Z. z., zákona č. 178/2017 Z. z., zákona </w:t>
      </w:r>
      <w:r w:rsidR="00032A4B">
        <w:rPr>
          <w:rFonts w:ascii="Bookman Old Style" w:hAnsi="Bookman Old Style"/>
          <w:sz w:val="20"/>
          <w:szCs w:val="20"/>
          <w:lang w:eastAsia="en-US"/>
        </w:rPr>
        <w:t xml:space="preserve">                                          </w:t>
      </w:r>
      <w:r w:rsidRPr="00032A4B">
        <w:rPr>
          <w:rFonts w:ascii="Bookman Old Style" w:hAnsi="Bookman Old Style"/>
          <w:sz w:val="20"/>
          <w:szCs w:val="20"/>
          <w:lang w:eastAsia="en-US"/>
        </w:rPr>
        <w:t xml:space="preserve">č. 182/2017 Z. z., zákona č. 62/2017 Z. z., zákona č. 209/2018 Z. z.    a zákona </w:t>
      </w:r>
      <w:r w:rsidR="00032A4B">
        <w:rPr>
          <w:rFonts w:ascii="Bookman Old Style" w:hAnsi="Bookman Old Style"/>
          <w:sz w:val="20"/>
          <w:szCs w:val="20"/>
          <w:lang w:eastAsia="en-US"/>
        </w:rPr>
        <w:t xml:space="preserve">                                     </w:t>
      </w:r>
      <w:r w:rsidRPr="00032A4B">
        <w:rPr>
          <w:rFonts w:ascii="Bookman Old Style" w:hAnsi="Bookman Old Style"/>
          <w:sz w:val="20"/>
          <w:szCs w:val="20"/>
          <w:lang w:eastAsia="en-US"/>
        </w:rPr>
        <w:t xml:space="preserve">č. 210/2018 Z. z. </w:t>
      </w:r>
      <w:r w:rsidRPr="00032A4B">
        <w:rPr>
          <w:rFonts w:ascii="Bookman Old Style" w:hAnsi="Bookman Old Style"/>
          <w:sz w:val="20"/>
          <w:szCs w:val="20"/>
        </w:rPr>
        <w:t>sa mení a dopĺňa takto:</w:t>
      </w:r>
    </w:p>
    <w:p w:rsidR="004208B0" w:rsidRPr="00032A4B" w:rsidRDefault="004208B0" w:rsidP="004208B0">
      <w:pPr>
        <w:jc w:val="both"/>
        <w:rPr>
          <w:rFonts w:ascii="Bookman Old Style" w:hAnsi="Bookman Old Style"/>
          <w:sz w:val="20"/>
          <w:szCs w:val="20"/>
        </w:rPr>
      </w:pPr>
    </w:p>
    <w:p w:rsidR="004208B0" w:rsidRPr="00032A4B" w:rsidRDefault="004208B0" w:rsidP="004208B0">
      <w:pPr>
        <w:pStyle w:val="Odsekzoznamu"/>
        <w:numPr>
          <w:ilvl w:val="0"/>
          <w:numId w:val="21"/>
        </w:numPr>
        <w:autoSpaceDE w:val="0"/>
        <w:autoSpaceDN w:val="0"/>
        <w:adjustRightInd w:val="0"/>
        <w:contextualSpacing/>
        <w:jc w:val="both"/>
        <w:rPr>
          <w:rFonts w:ascii="Bookman Old Style" w:hAnsi="Bookman Old Style"/>
          <w:sz w:val="20"/>
          <w:szCs w:val="20"/>
        </w:rPr>
      </w:pPr>
      <w:r w:rsidRPr="00032A4B">
        <w:rPr>
          <w:rFonts w:ascii="Bookman Old Style" w:hAnsi="Bookman Old Style"/>
          <w:sz w:val="20"/>
          <w:szCs w:val="20"/>
        </w:rPr>
        <w:t>§ 13 vrátane nadpisu znie:</w:t>
      </w:r>
    </w:p>
    <w:p w:rsidR="004208B0" w:rsidRPr="00032A4B" w:rsidRDefault="004208B0" w:rsidP="004208B0">
      <w:pPr>
        <w:pStyle w:val="Odsekzoznamu"/>
        <w:jc w:val="both"/>
        <w:rPr>
          <w:rFonts w:ascii="Bookman Old Style" w:hAnsi="Bookman Old Style"/>
          <w:sz w:val="20"/>
          <w:szCs w:val="20"/>
        </w:rPr>
      </w:pPr>
    </w:p>
    <w:p w:rsidR="004208B0" w:rsidRPr="00032A4B" w:rsidRDefault="004208B0" w:rsidP="004208B0">
      <w:pPr>
        <w:pStyle w:val="Odsekzoznamu"/>
        <w:jc w:val="center"/>
        <w:rPr>
          <w:rFonts w:ascii="Bookman Old Style" w:hAnsi="Bookman Old Style"/>
          <w:b/>
          <w:sz w:val="20"/>
          <w:szCs w:val="20"/>
        </w:rPr>
      </w:pPr>
      <w:r w:rsidRPr="00032A4B">
        <w:rPr>
          <w:rFonts w:ascii="Bookman Old Style" w:hAnsi="Bookman Old Style"/>
          <w:b/>
          <w:sz w:val="20"/>
          <w:szCs w:val="20"/>
        </w:rPr>
        <w:t>„§ 13</w:t>
      </w:r>
    </w:p>
    <w:p w:rsidR="004208B0" w:rsidRPr="00032A4B" w:rsidRDefault="004208B0" w:rsidP="004208B0">
      <w:pPr>
        <w:pStyle w:val="Odsekzoznamu"/>
        <w:jc w:val="center"/>
        <w:rPr>
          <w:rFonts w:ascii="Bookman Old Style" w:hAnsi="Bookman Old Style"/>
          <w:b/>
          <w:sz w:val="20"/>
          <w:szCs w:val="20"/>
        </w:rPr>
      </w:pPr>
      <w:r w:rsidRPr="00032A4B">
        <w:rPr>
          <w:rFonts w:ascii="Bookman Old Style" w:hAnsi="Bookman Old Style"/>
          <w:b/>
          <w:sz w:val="20"/>
          <w:szCs w:val="20"/>
        </w:rPr>
        <w:t>Učebnice, učebné texty a pracovné zošity</w:t>
      </w:r>
    </w:p>
    <w:p w:rsidR="004208B0" w:rsidRPr="00032A4B" w:rsidRDefault="004208B0" w:rsidP="004208B0">
      <w:pPr>
        <w:pStyle w:val="Odsekzoznamu"/>
        <w:jc w:val="both"/>
        <w:rPr>
          <w:rFonts w:ascii="Bookman Old Style" w:hAnsi="Bookman Old Style"/>
          <w:sz w:val="20"/>
          <w:szCs w:val="20"/>
        </w:rPr>
      </w:pPr>
    </w:p>
    <w:p w:rsidR="004208B0" w:rsidRPr="00032A4B" w:rsidRDefault="004208B0" w:rsidP="004208B0">
      <w:pPr>
        <w:pStyle w:val="Odsekzoznamu"/>
        <w:jc w:val="both"/>
        <w:rPr>
          <w:rFonts w:ascii="Bookman Old Style" w:hAnsi="Bookman Old Style"/>
          <w:sz w:val="20"/>
          <w:szCs w:val="20"/>
        </w:rPr>
      </w:pPr>
      <w:r w:rsidRPr="00032A4B">
        <w:rPr>
          <w:rFonts w:ascii="Bookman Old Style" w:hAnsi="Bookman Old Style"/>
          <w:sz w:val="20"/>
          <w:szCs w:val="20"/>
        </w:rPr>
        <w:t>(1) Na vzdelávanie na školách podľa tohto zákona, ktoré postupujú vo výchovno-vzdelávacom procese podľa štátneho vzdelávacieho programu, sa používajú:</w:t>
      </w:r>
    </w:p>
    <w:p w:rsidR="004208B0" w:rsidRPr="00032A4B" w:rsidRDefault="004208B0" w:rsidP="004208B0">
      <w:pPr>
        <w:pStyle w:val="Odsekzoznamu"/>
        <w:numPr>
          <w:ilvl w:val="0"/>
          <w:numId w:val="22"/>
        </w:numPr>
        <w:autoSpaceDE w:val="0"/>
        <w:autoSpaceDN w:val="0"/>
        <w:adjustRightInd w:val="0"/>
        <w:contextualSpacing/>
        <w:jc w:val="both"/>
        <w:rPr>
          <w:rFonts w:ascii="Bookman Old Style" w:hAnsi="Bookman Old Style"/>
          <w:sz w:val="20"/>
          <w:szCs w:val="20"/>
        </w:rPr>
      </w:pPr>
      <w:r w:rsidRPr="00032A4B">
        <w:rPr>
          <w:rFonts w:ascii="Bookman Old Style" w:hAnsi="Bookman Old Style"/>
          <w:sz w:val="20"/>
          <w:szCs w:val="20"/>
        </w:rPr>
        <w:t>učebnice, učebné texty a pracovné zošity</w:t>
      </w:r>
      <w:r w:rsidRPr="00032A4B">
        <w:rPr>
          <w:rFonts w:ascii="Bookman Old Style" w:hAnsi="Bookman Old Style"/>
          <w:sz w:val="20"/>
          <w:szCs w:val="20"/>
          <w:vertAlign w:val="superscript"/>
        </w:rPr>
        <w:t>14a</w:t>
      </w:r>
      <w:r w:rsidRPr="00032A4B">
        <w:rPr>
          <w:rFonts w:ascii="Bookman Old Style" w:hAnsi="Bookman Old Style"/>
          <w:sz w:val="20"/>
          <w:szCs w:val="20"/>
        </w:rPr>
        <w:t>) vydané na základe plánu zabezpečenia učebníc zostaveného ministerstvom školstva, ak obsahujú odporúčaciu doložku podľa odseku 11,</w:t>
      </w:r>
    </w:p>
    <w:p w:rsidR="004208B0" w:rsidRPr="00032A4B" w:rsidRDefault="004208B0" w:rsidP="004208B0">
      <w:pPr>
        <w:pStyle w:val="Odsekzoznamu"/>
        <w:numPr>
          <w:ilvl w:val="0"/>
          <w:numId w:val="22"/>
        </w:numPr>
        <w:autoSpaceDE w:val="0"/>
        <w:autoSpaceDN w:val="0"/>
        <w:adjustRightInd w:val="0"/>
        <w:contextualSpacing/>
        <w:jc w:val="both"/>
        <w:rPr>
          <w:rFonts w:ascii="Bookman Old Style" w:hAnsi="Bookman Old Style"/>
          <w:sz w:val="20"/>
          <w:szCs w:val="20"/>
        </w:rPr>
      </w:pPr>
      <w:r w:rsidRPr="00032A4B">
        <w:rPr>
          <w:rFonts w:ascii="Bookman Old Style" w:hAnsi="Bookman Old Style"/>
          <w:sz w:val="20"/>
          <w:szCs w:val="20"/>
        </w:rPr>
        <w:t>iné učebnice, učebné texty a pracovné zošity, ak obsahujú odporúčaciu doložku podľa odseku 11.</w:t>
      </w:r>
    </w:p>
    <w:p w:rsidR="004208B0" w:rsidRPr="00032A4B" w:rsidRDefault="004208B0" w:rsidP="004208B0">
      <w:pPr>
        <w:ind w:left="1134" w:hanging="425"/>
        <w:jc w:val="both"/>
        <w:rPr>
          <w:rFonts w:ascii="Bookman Old Style" w:hAnsi="Bookman Old Style"/>
          <w:sz w:val="20"/>
          <w:szCs w:val="20"/>
        </w:rPr>
      </w:pPr>
      <w:r w:rsidRPr="00032A4B">
        <w:rPr>
          <w:rFonts w:ascii="Bookman Old Style" w:hAnsi="Bookman Old Style"/>
          <w:sz w:val="20"/>
          <w:szCs w:val="20"/>
        </w:rPr>
        <w:t>(2) Na vyučovanie predmetu náboženstvo alebo náboženská výchova podľa tohto zákona možno používať učebnice, učebné texty a pracovné zošity schválené štátom uznanou cirkvou alebo náboženskou spoločnosťou.</w:t>
      </w:r>
    </w:p>
    <w:p w:rsidR="004208B0" w:rsidRPr="00032A4B" w:rsidRDefault="004208B0" w:rsidP="004208B0">
      <w:pPr>
        <w:ind w:left="1134" w:hanging="425"/>
        <w:jc w:val="both"/>
        <w:rPr>
          <w:rFonts w:ascii="Bookman Old Style" w:hAnsi="Bookman Old Style"/>
          <w:sz w:val="20"/>
          <w:szCs w:val="20"/>
        </w:rPr>
      </w:pPr>
      <w:r w:rsidRPr="00032A4B">
        <w:rPr>
          <w:rFonts w:ascii="Bookman Old Style" w:hAnsi="Bookman Old Style"/>
          <w:sz w:val="20"/>
          <w:szCs w:val="20"/>
        </w:rPr>
        <w:t>(3)   V súlade s právom detí a žiakov patriacich k národnostným menšinám a etnickým skupinám na vzdelanie v ich materinskom jazyku ustanoveným v § 12 ods. 3 sa v učebniciach, ako aj v učebných textoch a pracovných zošitoch vydávaných v jazyku národnostnej menšiny uvádzajú geografické názvy nasledovným spôsobom:</w:t>
      </w:r>
    </w:p>
    <w:p w:rsidR="004208B0" w:rsidRPr="00032A4B" w:rsidRDefault="004208B0" w:rsidP="004208B0">
      <w:pPr>
        <w:pStyle w:val="Odsekzoznamu"/>
        <w:numPr>
          <w:ilvl w:val="0"/>
          <w:numId w:val="23"/>
        </w:numPr>
        <w:autoSpaceDE w:val="0"/>
        <w:autoSpaceDN w:val="0"/>
        <w:adjustRightInd w:val="0"/>
        <w:contextualSpacing/>
        <w:jc w:val="both"/>
        <w:rPr>
          <w:rFonts w:ascii="Bookman Old Style" w:hAnsi="Bookman Old Style"/>
          <w:sz w:val="20"/>
          <w:szCs w:val="20"/>
        </w:rPr>
      </w:pPr>
      <w:r w:rsidRPr="00032A4B">
        <w:rPr>
          <w:rFonts w:ascii="Bookman Old Style" w:hAnsi="Bookman Old Style"/>
          <w:color w:val="000000"/>
          <w:sz w:val="20"/>
          <w:szCs w:val="20"/>
          <w:shd w:val="clear" w:color="auto" w:fill="FFFFFF"/>
        </w:rPr>
        <w:t>geografické názvy, ktoré sú vžité a zaužívané v jazyku národnostnej menšiny, sa uvádzajú dvojjazyčne, a to najprv v jazyku príslušnej národnostnej menšiny a následne v zátvorke alebo za lomkou v štátnom jazyku, a to spôsobom, ktorý bol používaný v učebniciach schválených v rokoch 2002 až 2006,</w:t>
      </w:r>
    </w:p>
    <w:p w:rsidR="004208B0" w:rsidRPr="00032A4B" w:rsidRDefault="004208B0" w:rsidP="004208B0">
      <w:pPr>
        <w:pStyle w:val="Odsekzoznamu"/>
        <w:numPr>
          <w:ilvl w:val="0"/>
          <w:numId w:val="23"/>
        </w:numPr>
        <w:autoSpaceDE w:val="0"/>
        <w:autoSpaceDN w:val="0"/>
        <w:adjustRightInd w:val="0"/>
        <w:contextualSpacing/>
        <w:jc w:val="both"/>
        <w:rPr>
          <w:rFonts w:ascii="Bookman Old Style" w:hAnsi="Bookman Old Style"/>
          <w:sz w:val="20"/>
          <w:szCs w:val="20"/>
        </w:rPr>
      </w:pPr>
      <w:r w:rsidRPr="00032A4B">
        <w:rPr>
          <w:rFonts w:ascii="Bookman Old Style" w:hAnsi="Bookman Old Style"/>
          <w:color w:val="000000"/>
          <w:sz w:val="20"/>
          <w:szCs w:val="20"/>
          <w:shd w:val="clear" w:color="auto" w:fill="FFFFFF"/>
        </w:rPr>
        <w:t>kartografické diela sa uvádzajú v štátnom jazyku,</w:t>
      </w:r>
    </w:p>
    <w:p w:rsidR="004208B0" w:rsidRPr="00032A4B" w:rsidRDefault="004208B0" w:rsidP="004208B0">
      <w:pPr>
        <w:pStyle w:val="Odsekzoznamu"/>
        <w:numPr>
          <w:ilvl w:val="0"/>
          <w:numId w:val="23"/>
        </w:numPr>
        <w:autoSpaceDE w:val="0"/>
        <w:autoSpaceDN w:val="0"/>
        <w:adjustRightInd w:val="0"/>
        <w:contextualSpacing/>
        <w:jc w:val="both"/>
        <w:rPr>
          <w:rFonts w:ascii="Bookman Old Style" w:hAnsi="Bookman Old Style"/>
          <w:sz w:val="20"/>
          <w:szCs w:val="20"/>
        </w:rPr>
      </w:pPr>
      <w:r w:rsidRPr="00032A4B">
        <w:rPr>
          <w:rFonts w:ascii="Bookman Old Style" w:hAnsi="Bookman Old Style"/>
          <w:color w:val="000000"/>
          <w:sz w:val="20"/>
          <w:szCs w:val="20"/>
          <w:shd w:val="clear" w:color="auto" w:fill="FFFFFF"/>
        </w:rPr>
        <w:t>na konci učebnice sa uvedie súhrnný prehľad geografických názvov vo forme slovníka v jazyku národnostnej menšiny a v štátnom jazyku.</w:t>
      </w:r>
    </w:p>
    <w:p w:rsidR="004208B0" w:rsidRPr="00032A4B" w:rsidRDefault="004208B0" w:rsidP="004208B0">
      <w:pPr>
        <w:ind w:left="1276" w:hanging="567"/>
        <w:jc w:val="both"/>
        <w:rPr>
          <w:rFonts w:ascii="Bookman Old Style" w:hAnsi="Bookman Old Style"/>
          <w:sz w:val="20"/>
          <w:szCs w:val="20"/>
        </w:rPr>
      </w:pPr>
      <w:r w:rsidRPr="00032A4B">
        <w:rPr>
          <w:rFonts w:ascii="Bookman Old Style" w:hAnsi="Bookman Old Style"/>
          <w:sz w:val="20"/>
          <w:szCs w:val="20"/>
        </w:rPr>
        <w:t>(4)    Predkladateľ, ktorým je vydavateľstvo, je povinný požiadať ministerstvo školstva o vydanie odporúčacej doložky na učebnicu, učebný text alebo pracovný zošit podľa odseku 1 písm. a).</w:t>
      </w:r>
    </w:p>
    <w:p w:rsidR="004208B0" w:rsidRPr="00032A4B" w:rsidRDefault="004208B0" w:rsidP="004208B0">
      <w:pPr>
        <w:ind w:left="1276" w:hanging="567"/>
        <w:jc w:val="both"/>
        <w:rPr>
          <w:rFonts w:ascii="Bookman Old Style" w:hAnsi="Bookman Old Style"/>
          <w:sz w:val="20"/>
          <w:szCs w:val="20"/>
        </w:rPr>
      </w:pPr>
      <w:r w:rsidRPr="00032A4B">
        <w:rPr>
          <w:rFonts w:ascii="Bookman Old Style" w:hAnsi="Bookman Old Style"/>
          <w:sz w:val="20"/>
          <w:szCs w:val="20"/>
        </w:rPr>
        <w:t>(5)  Predkladateľ, ktorým je vydavateľstvo, môže požiadať ministerstvo školstva o vydanie odporúčacej doložky na učebnicu, učebný text alebo pracovný zošit podľa odseku 1 písm. b).</w:t>
      </w:r>
    </w:p>
    <w:p w:rsidR="004208B0" w:rsidRPr="00032A4B" w:rsidRDefault="004208B0" w:rsidP="004208B0">
      <w:pPr>
        <w:ind w:left="1276" w:hanging="567"/>
        <w:jc w:val="both"/>
        <w:rPr>
          <w:rFonts w:ascii="Bookman Old Style" w:hAnsi="Bookman Old Style"/>
          <w:sz w:val="20"/>
          <w:szCs w:val="20"/>
        </w:rPr>
      </w:pPr>
      <w:r w:rsidRPr="00032A4B">
        <w:rPr>
          <w:rFonts w:ascii="Bookman Old Style" w:hAnsi="Bookman Old Style"/>
          <w:sz w:val="20"/>
          <w:szCs w:val="20"/>
        </w:rPr>
        <w:t xml:space="preserve">(6)    K žiadosti o vydanie odporúčacej doložky predkladateľ podľa odseku 4 a 5 priloží hotovú učebnicu a minimálne dva recenzné posudky recenzentov zapísaných do zoznamu odborníkov na posúdenie kvality učebníc a jej súladu so štátnym vzdelávacím programom, ktorý zostavuje ministerstvo školstva na základe návrhov Štátneho pedagogického ústavu a Štátneho inštitútu odborného vzdelávania. </w:t>
      </w:r>
    </w:p>
    <w:p w:rsidR="004208B0" w:rsidRPr="00032A4B" w:rsidRDefault="004208B0" w:rsidP="004208B0">
      <w:pPr>
        <w:tabs>
          <w:tab w:val="left" w:pos="1245"/>
        </w:tabs>
        <w:ind w:left="1276" w:hanging="567"/>
        <w:jc w:val="both"/>
        <w:rPr>
          <w:rFonts w:ascii="Bookman Old Style" w:hAnsi="Bookman Old Style"/>
          <w:sz w:val="20"/>
          <w:szCs w:val="20"/>
        </w:rPr>
      </w:pPr>
      <w:r w:rsidRPr="00032A4B">
        <w:rPr>
          <w:rFonts w:ascii="Bookman Old Style" w:hAnsi="Bookman Old Style"/>
          <w:sz w:val="20"/>
          <w:szCs w:val="20"/>
        </w:rPr>
        <w:t>(7)    Náklady na recenzné posudky učebnice, učebného textu alebo pracovného zošita podľa odseku 1 písm. a) znáša ministerstvo školstva.</w:t>
      </w:r>
    </w:p>
    <w:p w:rsidR="004208B0" w:rsidRPr="00032A4B" w:rsidRDefault="004208B0" w:rsidP="004208B0">
      <w:pPr>
        <w:tabs>
          <w:tab w:val="left" w:pos="1245"/>
        </w:tabs>
        <w:ind w:left="1276" w:hanging="567"/>
        <w:jc w:val="both"/>
        <w:rPr>
          <w:rFonts w:ascii="Bookman Old Style" w:hAnsi="Bookman Old Style"/>
          <w:sz w:val="20"/>
          <w:szCs w:val="20"/>
        </w:rPr>
      </w:pPr>
      <w:r w:rsidRPr="00032A4B">
        <w:rPr>
          <w:rFonts w:ascii="Bookman Old Style" w:hAnsi="Bookman Old Style"/>
          <w:sz w:val="20"/>
          <w:szCs w:val="20"/>
        </w:rPr>
        <w:t>(8)    Náklady na recenzné posudky učebnice, učebného textu alebo pracovného zošita podľa odseku 1 písm. b) znáša predkladateľ.</w:t>
      </w:r>
    </w:p>
    <w:p w:rsidR="004208B0" w:rsidRPr="00032A4B" w:rsidRDefault="004208B0" w:rsidP="004208B0">
      <w:pPr>
        <w:tabs>
          <w:tab w:val="left" w:pos="1245"/>
        </w:tabs>
        <w:ind w:left="1276" w:hanging="567"/>
        <w:jc w:val="both"/>
        <w:rPr>
          <w:rFonts w:ascii="Bookman Old Style" w:hAnsi="Bookman Old Style"/>
          <w:sz w:val="20"/>
          <w:szCs w:val="20"/>
        </w:rPr>
      </w:pPr>
      <w:r w:rsidRPr="00032A4B">
        <w:rPr>
          <w:rFonts w:ascii="Bookman Old Style" w:hAnsi="Bookman Old Style"/>
          <w:sz w:val="20"/>
          <w:szCs w:val="20"/>
        </w:rPr>
        <w:t>(9)    Po podaní žiadosti o vydanie odporúčacej doložky ministerstvo školstva:</w:t>
      </w:r>
    </w:p>
    <w:p w:rsidR="004208B0" w:rsidRPr="00032A4B" w:rsidRDefault="004208B0" w:rsidP="004208B0">
      <w:pPr>
        <w:pStyle w:val="Odsekzoznamu"/>
        <w:numPr>
          <w:ilvl w:val="0"/>
          <w:numId w:val="24"/>
        </w:numPr>
        <w:tabs>
          <w:tab w:val="left" w:pos="1245"/>
        </w:tabs>
        <w:autoSpaceDE w:val="0"/>
        <w:autoSpaceDN w:val="0"/>
        <w:adjustRightInd w:val="0"/>
        <w:contextualSpacing/>
        <w:jc w:val="both"/>
        <w:rPr>
          <w:rFonts w:ascii="Bookman Old Style" w:hAnsi="Bookman Old Style"/>
          <w:sz w:val="20"/>
          <w:szCs w:val="20"/>
        </w:rPr>
      </w:pPr>
      <w:r w:rsidRPr="00032A4B">
        <w:rPr>
          <w:rFonts w:ascii="Bookman Old Style" w:hAnsi="Bookman Old Style"/>
          <w:sz w:val="20"/>
          <w:szCs w:val="20"/>
        </w:rPr>
        <w:t>požiada Štátny pedagogický ústav alebo Štátny inštitút odborného vzdelávania podľa obsahového zamerania učebnice, učebného textu alebo pracovného zošita, o vypracovanie odborného posudku pre vydanie odporúčacej doložky do 21 dní odo dňa doručenia písomnej žiadosti ministerstva školstva,</w:t>
      </w:r>
    </w:p>
    <w:p w:rsidR="004208B0" w:rsidRPr="00032A4B" w:rsidRDefault="004208B0" w:rsidP="004208B0">
      <w:pPr>
        <w:pStyle w:val="Odsekzoznamu"/>
        <w:numPr>
          <w:ilvl w:val="0"/>
          <w:numId w:val="24"/>
        </w:numPr>
        <w:tabs>
          <w:tab w:val="left" w:pos="1245"/>
        </w:tabs>
        <w:autoSpaceDE w:val="0"/>
        <w:autoSpaceDN w:val="0"/>
        <w:adjustRightInd w:val="0"/>
        <w:contextualSpacing/>
        <w:jc w:val="both"/>
        <w:rPr>
          <w:rFonts w:ascii="Bookman Old Style" w:hAnsi="Bookman Old Style"/>
          <w:sz w:val="20"/>
          <w:szCs w:val="20"/>
        </w:rPr>
      </w:pPr>
      <w:r w:rsidRPr="00032A4B">
        <w:rPr>
          <w:rFonts w:ascii="Bookman Old Style" w:hAnsi="Bookman Old Style"/>
          <w:sz w:val="20"/>
          <w:szCs w:val="20"/>
        </w:rPr>
        <w:t>na základe kladného odborného posudku vydá odporúčaciu doložku.</w:t>
      </w:r>
    </w:p>
    <w:p w:rsidR="004208B0" w:rsidRPr="00032A4B" w:rsidRDefault="004208B0" w:rsidP="004208B0">
      <w:pPr>
        <w:tabs>
          <w:tab w:val="left" w:pos="1245"/>
        </w:tabs>
        <w:ind w:left="1276" w:hanging="567"/>
        <w:jc w:val="both"/>
        <w:rPr>
          <w:rFonts w:ascii="Bookman Old Style" w:hAnsi="Bookman Old Style"/>
          <w:sz w:val="20"/>
          <w:szCs w:val="20"/>
        </w:rPr>
      </w:pPr>
      <w:r w:rsidRPr="00032A4B">
        <w:rPr>
          <w:rFonts w:ascii="Bookman Old Style" w:hAnsi="Bookman Old Style"/>
          <w:sz w:val="20"/>
          <w:szCs w:val="20"/>
        </w:rPr>
        <w:t xml:space="preserve">(10) Ak Štátny pedagogický ústav alebo Štátny inštitút odborného vzdelávania neodporučí ministerstvu školstva vydať odporúčaciu doložku, ministerstvo školstva túto skutočnosť písomne oznámi predkladateľovi. Predkladateľ má právo do 15 dní odo dňa písomného oznámenia ministerstva školstva požiadať ministerstvo školstva o preskúmanie odborného posudku. Ministerstvo školstva </w:t>
      </w:r>
      <w:r w:rsidRPr="00032A4B">
        <w:rPr>
          <w:rFonts w:ascii="Bookman Old Style" w:hAnsi="Bookman Old Style"/>
          <w:sz w:val="20"/>
          <w:szCs w:val="20"/>
        </w:rPr>
        <w:lastRenderedPageBreak/>
        <w:t>je povinné dať vypracovať ďalšie recenzné posudky recenzentov z registra recenzentov.</w:t>
      </w:r>
    </w:p>
    <w:p w:rsidR="004208B0" w:rsidRPr="00032A4B" w:rsidRDefault="004208B0" w:rsidP="004208B0">
      <w:pPr>
        <w:tabs>
          <w:tab w:val="left" w:pos="1245"/>
        </w:tabs>
        <w:ind w:left="1276" w:hanging="567"/>
        <w:jc w:val="both"/>
        <w:rPr>
          <w:rFonts w:ascii="Bookman Old Style" w:hAnsi="Bookman Old Style"/>
          <w:sz w:val="20"/>
          <w:szCs w:val="20"/>
        </w:rPr>
      </w:pPr>
      <w:r w:rsidRPr="00032A4B">
        <w:rPr>
          <w:rFonts w:ascii="Bookman Old Style" w:hAnsi="Bookman Old Style"/>
          <w:sz w:val="20"/>
          <w:szCs w:val="20"/>
        </w:rPr>
        <w:t>(11)  Odporúčacou doložkou ministerstvo školstva potvrdzuje súlad učebnice, učebného textu alebo pracovného zošita   s princípmi a cieľmi výchovy a vzdelávania podľa tohto zákona a so štátnym vzdelávacím programom, pri plnení ktorého sa majú používať. Odporúčaciu doložku učebniciam, učebným textom a pracovným zošitom pre odborné predmety v zdravotníckych odboroch vzdelávania udeľuje ministerstvo zdravotníctva, ktoré ich zoznam zverejňuje na svojej internetovej stránke.  Zoznam učebníc, učebných textov a pracovných zošitov, ktorým bola udelená odporúčacia doložka, zverejňuje ministerstvo školstva vo vestníku  a na svojom webovom sídle.</w:t>
      </w:r>
    </w:p>
    <w:p w:rsidR="004208B0" w:rsidRPr="00032A4B" w:rsidRDefault="004208B0" w:rsidP="004208B0">
      <w:pPr>
        <w:tabs>
          <w:tab w:val="left" w:pos="1245"/>
        </w:tabs>
        <w:ind w:left="1276" w:hanging="567"/>
        <w:jc w:val="both"/>
        <w:rPr>
          <w:rFonts w:ascii="Bookman Old Style" w:hAnsi="Bookman Old Style"/>
          <w:color w:val="000000"/>
          <w:sz w:val="20"/>
          <w:szCs w:val="20"/>
          <w:shd w:val="clear" w:color="auto" w:fill="FFFFFF"/>
        </w:rPr>
      </w:pPr>
      <w:r w:rsidRPr="00032A4B">
        <w:rPr>
          <w:rFonts w:ascii="Bookman Old Style" w:hAnsi="Bookman Old Style"/>
          <w:sz w:val="20"/>
          <w:szCs w:val="20"/>
        </w:rPr>
        <w:t xml:space="preserve">(12)  Súčasťou odporúčacej doložky podľa odseku 11 je aj určenie lehoty platnosti odporúčacej doložky. Opätovné odborné posúdenie učebníc, učebných textov a pracovných zošitov podľa odseku 1 písm. a) zabezpečí </w:t>
      </w:r>
      <w:r w:rsidRPr="00032A4B">
        <w:rPr>
          <w:rFonts w:ascii="Bookman Old Style" w:hAnsi="Bookman Old Style"/>
          <w:color w:val="000000"/>
          <w:sz w:val="20"/>
          <w:szCs w:val="20"/>
          <w:shd w:val="clear" w:color="auto" w:fill="FFFFFF"/>
        </w:rPr>
        <w:t xml:space="preserve">ministerstvo školstva alebo ministerstvo zdravotníctva jeden rok pred uplynutím určenej lehoty. Ministerstvo školstva alebo Ministerstvo zdravotníctva Slovenskej republiky na základe odborného posúdenia vydá novú odporúčaciu doložku alebo zabezpečí vydanie novej učebnice. Predkladateľ podľa odseku 5 môže požiadať o opätovné odborné posúdenie učebníc, učebných textov a pracovných zošitov podľa odseku 1 písm. b) najneskôr jeden rok pred uplynutím určenej lehoty. Pri opätovnom odbornom posúdení sa postupuje primerane podľa odsekov 5 až 11. </w:t>
      </w:r>
    </w:p>
    <w:p w:rsidR="004208B0" w:rsidRPr="00032A4B" w:rsidRDefault="004208B0" w:rsidP="004208B0">
      <w:pPr>
        <w:tabs>
          <w:tab w:val="left" w:pos="1245"/>
        </w:tabs>
        <w:ind w:left="1276" w:hanging="567"/>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(13) Finančné prostriedky na zakúpenie odporúčaných učebníc, odporúčaných učebných textov a odporúčaných pracovných zošitov vrátane ich prepisu do Braillovho písma alebo iných vhodných foriem prepisov poskytuje ministerstvo školstva školám, v ktorých sa vzdelávanie považuje za sústavnú prípravu na povolanie, v rámci normatívneho príspevku na kalendárny rok podľa osobitného predpisu.</w:t>
      </w:r>
    </w:p>
    <w:p w:rsidR="004208B0" w:rsidRPr="00032A4B" w:rsidRDefault="004208B0" w:rsidP="004208B0">
      <w:pPr>
        <w:tabs>
          <w:tab w:val="left" w:pos="1245"/>
        </w:tabs>
        <w:ind w:left="1276" w:hanging="567"/>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 xml:space="preserve">(14)  Školy, v ktorých sa vzdelávanie považuje za sústavnú prípravu na povolanie, si z finančných prostriedkov poskytnutých podľa ods. 13 na základe vlastného výberu a v potrebnom množstve zakúpia odporúčané učebnice, odporúčané učebné texty a odporúčané pracovné zošity alebo požiadajú ministerstvo školstva o ich dodanie a uhradia za </w:t>
      </w:r>
      <w:proofErr w:type="spellStart"/>
      <w:r w:rsidRPr="00032A4B">
        <w:rPr>
          <w:rFonts w:ascii="Bookman Old Style" w:hAnsi="Bookman Old Style"/>
          <w:color w:val="000000"/>
          <w:sz w:val="20"/>
          <w:szCs w:val="20"/>
          <w:shd w:val="clear" w:color="auto" w:fill="FFFFFF"/>
        </w:rPr>
        <w:t>ne</w:t>
      </w:r>
      <w:proofErr w:type="spellEnd"/>
      <w:r w:rsidRPr="00032A4B">
        <w:rPr>
          <w:rFonts w:ascii="Bookman Old Style" w:hAnsi="Bookman Old Style"/>
          <w:color w:val="000000"/>
          <w:sz w:val="20"/>
          <w:szCs w:val="20"/>
          <w:shd w:val="clear" w:color="auto" w:fill="FFFFFF"/>
        </w:rPr>
        <w:t xml:space="preserve"> ministerstvu školstva príslušnú sumu.</w:t>
      </w:r>
    </w:p>
    <w:p w:rsidR="004208B0" w:rsidRPr="00032A4B" w:rsidRDefault="004208B0" w:rsidP="004208B0">
      <w:pPr>
        <w:tabs>
          <w:tab w:val="left" w:pos="1245"/>
        </w:tabs>
        <w:ind w:left="1276" w:hanging="567"/>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(15)  Základné školy a stredné školy zapožičiavajú žiakom učebnice, učebné texty a pracovné zošity pre povinné vyučovacie predmety bezplatne.</w:t>
      </w:r>
    </w:p>
    <w:p w:rsidR="004208B0" w:rsidRPr="00032A4B" w:rsidRDefault="004208B0" w:rsidP="004208B0">
      <w:pPr>
        <w:tabs>
          <w:tab w:val="left" w:pos="1245"/>
        </w:tabs>
        <w:ind w:left="1276" w:hanging="567"/>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(16)   V školách v pôsobnosti ústredných orgánov štátnej správy podľa</w:t>
      </w:r>
      <w:r w:rsidRPr="00032A4B">
        <w:rPr>
          <w:rStyle w:val="apple-converted-space"/>
          <w:rFonts w:ascii="Bookman Old Style" w:hAnsi="Bookman Old Style"/>
          <w:color w:val="000000"/>
          <w:sz w:val="20"/>
          <w:szCs w:val="20"/>
          <w:shd w:val="clear" w:color="auto" w:fill="FFFFFF"/>
        </w:rPr>
        <w:t> </w:t>
      </w:r>
      <w:r w:rsidRPr="00032A4B">
        <w:rPr>
          <w:rFonts w:ascii="Bookman Old Style" w:hAnsi="Bookman Old Style"/>
          <w:sz w:val="20"/>
          <w:szCs w:val="20"/>
          <w:shd w:val="clear" w:color="auto" w:fill="FFFFFF"/>
        </w:rPr>
        <w:t>§ 109</w:t>
      </w:r>
      <w:r w:rsidRPr="00032A4B">
        <w:rPr>
          <w:rStyle w:val="apple-converted-space"/>
          <w:rFonts w:ascii="Bookman Old Style" w:hAnsi="Bookman Old Style"/>
          <w:color w:val="000000"/>
          <w:sz w:val="20"/>
          <w:szCs w:val="20"/>
          <w:shd w:val="clear" w:color="auto" w:fill="FFFFFF"/>
        </w:rPr>
        <w:t> </w:t>
      </w:r>
      <w:r w:rsidRPr="00032A4B">
        <w:rPr>
          <w:rFonts w:ascii="Bookman Old Style" w:hAnsi="Bookman Old Style"/>
          <w:color w:val="000000"/>
          <w:sz w:val="20"/>
          <w:szCs w:val="20"/>
          <w:shd w:val="clear" w:color="auto" w:fill="FFFFFF"/>
        </w:rPr>
        <w:t>schvaľuje učebnice, učebné texty a učebné pomôcky pre odborné predmety príslušný ústredný orgán štátnej správy a udeľuje odporúčaciu doložku.“.</w:t>
      </w:r>
    </w:p>
    <w:p w:rsidR="004208B0" w:rsidRPr="00032A4B" w:rsidRDefault="004208B0" w:rsidP="004208B0">
      <w:pPr>
        <w:tabs>
          <w:tab w:val="left" w:pos="1245"/>
        </w:tabs>
        <w:ind w:left="1276" w:hanging="425"/>
        <w:jc w:val="both"/>
        <w:rPr>
          <w:rFonts w:ascii="Bookman Old Style" w:hAnsi="Bookman Old Style"/>
          <w:sz w:val="20"/>
          <w:szCs w:val="20"/>
        </w:rPr>
      </w:pPr>
    </w:p>
    <w:p w:rsidR="004208B0" w:rsidRPr="00032A4B" w:rsidRDefault="004208B0" w:rsidP="004208B0">
      <w:pPr>
        <w:jc w:val="both"/>
        <w:rPr>
          <w:rFonts w:ascii="Bookman Old Style" w:hAnsi="Bookman Old Style"/>
          <w:color w:val="000000"/>
          <w:sz w:val="20"/>
          <w:szCs w:val="20"/>
          <w:shd w:val="clear" w:color="auto" w:fill="FFFFFF"/>
        </w:rPr>
      </w:pPr>
      <w:r w:rsidRPr="00032A4B">
        <w:rPr>
          <w:rFonts w:ascii="Bookman Old Style" w:hAnsi="Bookman Old Style"/>
          <w:sz w:val="20"/>
          <w:szCs w:val="20"/>
        </w:rPr>
        <w:t xml:space="preserve">Poznámka pod čiarou k odkazu </w:t>
      </w:r>
      <w:r w:rsidRPr="00032A4B">
        <w:rPr>
          <w:rFonts w:ascii="Bookman Old Style" w:hAnsi="Bookman Old Style"/>
          <w:sz w:val="20"/>
          <w:szCs w:val="20"/>
          <w:shd w:val="clear" w:color="auto" w:fill="FFFFFF"/>
        </w:rPr>
        <w:t>14a</w:t>
      </w:r>
      <w:r w:rsidRPr="00032A4B">
        <w:rPr>
          <w:rFonts w:ascii="Bookman Old Style" w:hAnsi="Bookman Old Style"/>
          <w:color w:val="000000"/>
          <w:sz w:val="20"/>
          <w:szCs w:val="20"/>
          <w:shd w:val="clear" w:color="auto" w:fill="FFFFFF"/>
        </w:rPr>
        <w:t xml:space="preserve"> znie: </w:t>
      </w:r>
    </w:p>
    <w:p w:rsidR="004208B0" w:rsidRPr="00032A4B" w:rsidRDefault="004208B0" w:rsidP="004208B0">
      <w:pPr>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w:t>
      </w:r>
      <w:r w:rsidRPr="00032A4B">
        <w:rPr>
          <w:rFonts w:ascii="Bookman Old Style" w:hAnsi="Bookman Old Style"/>
          <w:bCs/>
          <w:sz w:val="20"/>
          <w:szCs w:val="20"/>
          <w:shd w:val="clear" w:color="auto" w:fill="FFFFFF"/>
          <w:vertAlign w:val="superscript"/>
        </w:rPr>
        <w:t>14a</w:t>
      </w:r>
      <w:r w:rsidRPr="00032A4B">
        <w:rPr>
          <w:rFonts w:ascii="Bookman Old Style" w:hAnsi="Bookman Old Style"/>
          <w:sz w:val="20"/>
          <w:szCs w:val="20"/>
          <w:shd w:val="clear" w:color="auto" w:fill="FFFFFF"/>
        </w:rPr>
        <w:t>)</w:t>
      </w:r>
      <w:r w:rsidRPr="00032A4B">
        <w:rPr>
          <w:rFonts w:ascii="Bookman Old Style" w:hAnsi="Bookman Old Style"/>
          <w:color w:val="000000"/>
          <w:sz w:val="20"/>
          <w:szCs w:val="20"/>
          <w:shd w:val="clear" w:color="auto" w:fill="FFFFFF"/>
        </w:rPr>
        <w:t xml:space="preserve"> § 4 zákona č. 597/2003 Z. z.“.</w:t>
      </w:r>
    </w:p>
    <w:p w:rsidR="004208B0" w:rsidRPr="00032A4B" w:rsidRDefault="004208B0" w:rsidP="004208B0">
      <w:pPr>
        <w:rPr>
          <w:rFonts w:ascii="Bookman Old Style" w:hAnsi="Bookman Old Style"/>
          <w:b/>
          <w:color w:val="000000"/>
          <w:sz w:val="20"/>
          <w:szCs w:val="20"/>
          <w:shd w:val="clear" w:color="auto" w:fill="FFFFFF"/>
        </w:rPr>
      </w:pPr>
    </w:p>
    <w:p w:rsidR="004208B0" w:rsidRPr="00032A4B" w:rsidRDefault="004208B0" w:rsidP="004208B0">
      <w:pPr>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Poznámka pod čiarou k odkazu 14b sa vypúšťa.</w:t>
      </w:r>
    </w:p>
    <w:p w:rsidR="004208B0" w:rsidRPr="00032A4B" w:rsidRDefault="004208B0" w:rsidP="004208B0">
      <w:pPr>
        <w:rPr>
          <w:rFonts w:ascii="Bookman Old Style" w:hAnsi="Bookman Old Style"/>
          <w:b/>
          <w:color w:val="000000"/>
          <w:sz w:val="20"/>
          <w:szCs w:val="20"/>
          <w:shd w:val="clear" w:color="auto" w:fill="FFFFFF"/>
        </w:rPr>
      </w:pPr>
    </w:p>
    <w:p w:rsidR="004208B0" w:rsidRPr="00032A4B" w:rsidRDefault="004208B0" w:rsidP="004208B0">
      <w:pPr>
        <w:pStyle w:val="Odsekzoznamu"/>
        <w:numPr>
          <w:ilvl w:val="0"/>
          <w:numId w:val="21"/>
        </w:numPr>
        <w:autoSpaceDE w:val="0"/>
        <w:autoSpaceDN w:val="0"/>
        <w:adjustRightInd w:val="0"/>
        <w:contextualSpacing/>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Za § 161h sa vkladá § 161i, ktorý vrátane nadpisu znie:</w:t>
      </w:r>
    </w:p>
    <w:p w:rsidR="004208B0" w:rsidRPr="00032A4B" w:rsidRDefault="004208B0" w:rsidP="004208B0">
      <w:pPr>
        <w:pStyle w:val="Odsekzoznamu"/>
        <w:jc w:val="both"/>
        <w:rPr>
          <w:rFonts w:ascii="Bookman Old Style" w:hAnsi="Bookman Old Style"/>
          <w:color w:val="000000"/>
          <w:sz w:val="20"/>
          <w:szCs w:val="20"/>
          <w:shd w:val="clear" w:color="auto" w:fill="FFFFFF"/>
        </w:rPr>
      </w:pPr>
    </w:p>
    <w:p w:rsidR="004208B0" w:rsidRPr="00032A4B" w:rsidRDefault="004208B0" w:rsidP="004208B0">
      <w:pPr>
        <w:pStyle w:val="Odsekzoznamu"/>
        <w:jc w:val="center"/>
        <w:rPr>
          <w:rFonts w:ascii="Bookman Old Style" w:hAnsi="Bookman Old Style"/>
          <w:b/>
          <w:color w:val="000000"/>
          <w:sz w:val="20"/>
          <w:szCs w:val="20"/>
          <w:shd w:val="clear" w:color="auto" w:fill="FFFFFF"/>
        </w:rPr>
      </w:pPr>
      <w:r w:rsidRPr="00032A4B">
        <w:rPr>
          <w:rFonts w:ascii="Bookman Old Style" w:hAnsi="Bookman Old Style"/>
          <w:b/>
          <w:color w:val="000000"/>
          <w:sz w:val="20"/>
          <w:szCs w:val="20"/>
          <w:shd w:val="clear" w:color="auto" w:fill="FFFFFF"/>
        </w:rPr>
        <w:t>„§ 161i</w:t>
      </w:r>
    </w:p>
    <w:p w:rsidR="004208B0" w:rsidRPr="00032A4B" w:rsidRDefault="004208B0" w:rsidP="004208B0">
      <w:pPr>
        <w:pStyle w:val="Odsekzoznamu"/>
        <w:jc w:val="center"/>
        <w:rPr>
          <w:rFonts w:ascii="Bookman Old Style" w:hAnsi="Bookman Old Style"/>
          <w:b/>
          <w:color w:val="000000"/>
          <w:sz w:val="20"/>
          <w:szCs w:val="20"/>
          <w:shd w:val="clear" w:color="auto" w:fill="FFFFFF"/>
        </w:rPr>
      </w:pPr>
      <w:r w:rsidRPr="00032A4B">
        <w:rPr>
          <w:rFonts w:ascii="Bookman Old Style" w:hAnsi="Bookman Old Style"/>
          <w:b/>
          <w:color w:val="000000"/>
          <w:sz w:val="20"/>
          <w:szCs w:val="20"/>
          <w:shd w:val="clear" w:color="auto" w:fill="FFFFFF"/>
        </w:rPr>
        <w:t>Prechodné ustanovenia k úpravám účinným od 1. septembra 2019</w:t>
      </w:r>
    </w:p>
    <w:p w:rsidR="004208B0" w:rsidRPr="00032A4B" w:rsidRDefault="004208B0" w:rsidP="004208B0">
      <w:pPr>
        <w:pStyle w:val="Odsekzoznamu"/>
        <w:jc w:val="both"/>
        <w:rPr>
          <w:rFonts w:ascii="Bookman Old Style" w:hAnsi="Bookman Old Style"/>
          <w:color w:val="000000"/>
          <w:sz w:val="20"/>
          <w:szCs w:val="20"/>
          <w:shd w:val="clear" w:color="auto" w:fill="FFFFFF"/>
        </w:rPr>
      </w:pPr>
    </w:p>
    <w:p w:rsidR="004208B0" w:rsidRPr="00032A4B" w:rsidRDefault="004208B0" w:rsidP="004208B0">
      <w:pPr>
        <w:ind w:firstLine="708"/>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Finančné prostriedky podľa § 13 ods. 13 môžu školy, v ktorých sa vzdelávanie považuje za sústavnú prípravu na povolanie, použiť aj na zakúpenie učebníc, učebných textov a pracovných zošitov, ktorým bola udelená schvaľovacia alebo odporúčacia doložka pred nadobudnutím účinnosti tohto zákona.“.</w:t>
      </w:r>
    </w:p>
    <w:p w:rsidR="004208B0" w:rsidRPr="00032A4B" w:rsidRDefault="004208B0" w:rsidP="004208B0">
      <w:pPr>
        <w:ind w:firstLine="708"/>
        <w:rPr>
          <w:rFonts w:ascii="Bookman Old Style" w:hAnsi="Bookman Old Style"/>
          <w:b/>
          <w:color w:val="000000"/>
          <w:sz w:val="20"/>
          <w:szCs w:val="20"/>
          <w:shd w:val="clear" w:color="auto" w:fill="FFFFFF"/>
        </w:rPr>
      </w:pPr>
    </w:p>
    <w:p w:rsidR="004208B0" w:rsidRPr="00032A4B" w:rsidRDefault="004208B0" w:rsidP="004208B0">
      <w:pPr>
        <w:jc w:val="center"/>
        <w:rPr>
          <w:rFonts w:ascii="Bookman Old Style" w:hAnsi="Bookman Old Style"/>
          <w:b/>
          <w:color w:val="000000"/>
          <w:sz w:val="20"/>
          <w:szCs w:val="20"/>
          <w:shd w:val="clear" w:color="auto" w:fill="FFFFFF"/>
        </w:rPr>
      </w:pPr>
      <w:r w:rsidRPr="00032A4B">
        <w:rPr>
          <w:rFonts w:ascii="Bookman Old Style" w:hAnsi="Bookman Old Style"/>
          <w:b/>
          <w:color w:val="000000"/>
          <w:sz w:val="20"/>
          <w:szCs w:val="20"/>
          <w:shd w:val="clear" w:color="auto" w:fill="FFFFFF"/>
        </w:rPr>
        <w:t>Čl. III</w:t>
      </w:r>
    </w:p>
    <w:p w:rsidR="004208B0" w:rsidRPr="00032A4B" w:rsidRDefault="004208B0" w:rsidP="004208B0">
      <w:pPr>
        <w:jc w:val="both"/>
        <w:rPr>
          <w:rFonts w:ascii="Bookman Old Style" w:hAnsi="Bookman Old Style"/>
          <w:color w:val="000000"/>
          <w:sz w:val="20"/>
          <w:szCs w:val="20"/>
          <w:shd w:val="clear" w:color="auto" w:fill="FFFFFF"/>
        </w:rPr>
      </w:pPr>
    </w:p>
    <w:p w:rsidR="004208B0" w:rsidRPr="00032A4B" w:rsidRDefault="004208B0" w:rsidP="004208B0">
      <w:pPr>
        <w:ind w:firstLine="708"/>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 xml:space="preserve">Zákona č. 596/2003 Z. z. o štátnej správe v školstve a školskej samospráve v znení zákona č. 365/2004 Z. z., zákona č. 564/2004 Z. z., zákona č. 5/2005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t xml:space="preserve">č. 475/2005 Z. z., zákona č. 279/2006 Z. z., zákona č. 689/2006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t xml:space="preserve">č. 245/2008 Z. z., zákona č. 462/2008 Z. z., zákona č. 179/2009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t xml:space="preserve">č. 184/2009 Z. z., zákona č. 214/2009 Z. z., zákona č. 38/2011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t xml:space="preserve">č. 325/2012 Z. z., zákona č. 345/2012 Z. z., zákona č, 312/2013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lastRenderedPageBreak/>
        <w:t xml:space="preserve">č. 464/2013 Z. z., zákona č. 61/2015 Z. z., zákona č. 188/2015 Z. z., zákona </w:t>
      </w:r>
      <w:r w:rsidR="00032A4B">
        <w:rPr>
          <w:rFonts w:ascii="Bookman Old Style" w:hAnsi="Bookman Old Style"/>
          <w:color w:val="000000"/>
          <w:sz w:val="20"/>
          <w:szCs w:val="20"/>
          <w:shd w:val="clear" w:color="auto" w:fill="FFFFFF"/>
        </w:rPr>
        <w:t xml:space="preserve">                                           </w:t>
      </w:r>
      <w:r w:rsidRPr="00032A4B">
        <w:rPr>
          <w:rFonts w:ascii="Bookman Old Style" w:hAnsi="Bookman Old Style"/>
          <w:color w:val="000000"/>
          <w:sz w:val="20"/>
          <w:szCs w:val="20"/>
          <w:shd w:val="clear" w:color="auto" w:fill="FFFFFF"/>
        </w:rPr>
        <w:t xml:space="preserve">č. 42/2015 Z. z., zákona č. 91/2016 Z. z., </w:t>
      </w:r>
      <w:r w:rsidRPr="00032A4B">
        <w:rPr>
          <w:rFonts w:ascii="Bookman Old Style" w:hAnsi="Bookman Old Style"/>
          <w:sz w:val="20"/>
          <w:szCs w:val="20"/>
          <w:lang w:eastAsia="en-US"/>
        </w:rPr>
        <w:t xml:space="preserve">zákona č. 177/2017 Z. z., zákona </w:t>
      </w:r>
      <w:r w:rsidR="00032A4B">
        <w:rPr>
          <w:rFonts w:ascii="Bookman Old Style" w:hAnsi="Bookman Old Style"/>
          <w:sz w:val="20"/>
          <w:szCs w:val="20"/>
          <w:lang w:eastAsia="en-US"/>
        </w:rPr>
        <w:t xml:space="preserve">                                          </w:t>
      </w:r>
      <w:r w:rsidRPr="00032A4B">
        <w:rPr>
          <w:rFonts w:ascii="Bookman Old Style" w:hAnsi="Bookman Old Style"/>
          <w:sz w:val="20"/>
          <w:szCs w:val="20"/>
          <w:lang w:eastAsia="en-US"/>
        </w:rPr>
        <w:t xml:space="preserve">č. 182/2017 Z. z., zákona č. 54/2018 Z. z., zákona č. 177/2018 Z. z. a zákona </w:t>
      </w:r>
      <w:r w:rsidR="00032A4B">
        <w:rPr>
          <w:rFonts w:ascii="Bookman Old Style" w:hAnsi="Bookman Old Style"/>
          <w:sz w:val="20"/>
          <w:szCs w:val="20"/>
          <w:lang w:eastAsia="en-US"/>
        </w:rPr>
        <w:t xml:space="preserve">                                      </w:t>
      </w:r>
      <w:bookmarkStart w:id="0" w:name="_GoBack"/>
      <w:bookmarkEnd w:id="0"/>
      <w:r w:rsidRPr="00032A4B">
        <w:rPr>
          <w:rFonts w:ascii="Bookman Old Style" w:hAnsi="Bookman Old Style"/>
          <w:sz w:val="20"/>
          <w:szCs w:val="20"/>
          <w:lang w:eastAsia="en-US"/>
        </w:rPr>
        <w:t>č. 209/2018 Z. z.</w:t>
      </w:r>
      <w:r w:rsidRPr="00032A4B">
        <w:rPr>
          <w:rFonts w:ascii="Bookman Old Style" w:hAnsi="Bookman Old Style"/>
          <w:color w:val="000000"/>
          <w:sz w:val="20"/>
          <w:szCs w:val="20"/>
          <w:shd w:val="clear" w:color="auto" w:fill="FFFFFF"/>
        </w:rPr>
        <w:t>sa dopĺňa takto:</w:t>
      </w:r>
    </w:p>
    <w:p w:rsidR="004208B0" w:rsidRPr="00032A4B" w:rsidRDefault="004208B0" w:rsidP="004208B0">
      <w:pPr>
        <w:jc w:val="both"/>
        <w:rPr>
          <w:rFonts w:ascii="Bookman Old Style" w:hAnsi="Bookman Old Style"/>
          <w:color w:val="000000"/>
          <w:sz w:val="20"/>
          <w:szCs w:val="20"/>
          <w:shd w:val="clear" w:color="auto" w:fill="FFFFFF"/>
        </w:rPr>
      </w:pPr>
    </w:p>
    <w:p w:rsidR="004208B0" w:rsidRPr="00032A4B" w:rsidRDefault="004208B0" w:rsidP="004208B0">
      <w:pPr>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V § 5 sa odsek 2 dopĺňa písmenom i), ktoré znie:</w:t>
      </w:r>
    </w:p>
    <w:p w:rsidR="004208B0" w:rsidRPr="00032A4B" w:rsidRDefault="004208B0" w:rsidP="004208B0">
      <w:pPr>
        <w:pStyle w:val="Odsekzoznamu"/>
        <w:jc w:val="both"/>
        <w:rPr>
          <w:rFonts w:ascii="Bookman Old Style" w:hAnsi="Bookman Old Style"/>
          <w:color w:val="000000"/>
          <w:sz w:val="20"/>
          <w:szCs w:val="20"/>
          <w:shd w:val="clear" w:color="auto" w:fill="FFFFFF"/>
        </w:rPr>
      </w:pPr>
    </w:p>
    <w:p w:rsidR="004208B0" w:rsidRPr="00032A4B" w:rsidRDefault="004208B0" w:rsidP="004208B0">
      <w:pPr>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„i) výber a zabezpečenie odporúčaných učebníc, odporúčaných učebných textov a odporúčaných pracovných zošitov</w:t>
      </w:r>
      <w:r w:rsidRPr="00032A4B">
        <w:rPr>
          <w:rFonts w:ascii="Bookman Old Style" w:hAnsi="Bookman Old Style"/>
          <w:sz w:val="20"/>
          <w:szCs w:val="20"/>
          <w:shd w:val="clear" w:color="auto" w:fill="FFFFFF"/>
          <w:vertAlign w:val="superscript"/>
        </w:rPr>
        <w:t>15a</w:t>
      </w:r>
      <w:r w:rsidRPr="00032A4B">
        <w:rPr>
          <w:rFonts w:ascii="Bookman Old Style" w:hAnsi="Bookman Old Style"/>
          <w:sz w:val="20"/>
          <w:szCs w:val="20"/>
          <w:shd w:val="clear" w:color="auto" w:fill="FFFFFF"/>
        </w:rPr>
        <w:t>)</w:t>
      </w:r>
      <w:r w:rsidRPr="00032A4B">
        <w:rPr>
          <w:rFonts w:ascii="Bookman Old Style" w:hAnsi="Bookman Old Style"/>
          <w:color w:val="000000"/>
          <w:sz w:val="20"/>
          <w:szCs w:val="20"/>
          <w:shd w:val="clear" w:color="auto" w:fill="FFFFFF"/>
        </w:rPr>
        <w:t xml:space="preserve">  pre školu, ktorú riadi.“.</w:t>
      </w:r>
    </w:p>
    <w:p w:rsidR="004208B0" w:rsidRPr="00032A4B" w:rsidRDefault="004208B0" w:rsidP="004208B0">
      <w:pPr>
        <w:pStyle w:val="Odsekzoznamu"/>
        <w:jc w:val="both"/>
        <w:rPr>
          <w:rFonts w:ascii="Bookman Old Style" w:hAnsi="Bookman Old Style"/>
          <w:color w:val="000000"/>
          <w:sz w:val="20"/>
          <w:szCs w:val="20"/>
          <w:shd w:val="clear" w:color="auto" w:fill="FFFFFF"/>
        </w:rPr>
      </w:pPr>
    </w:p>
    <w:p w:rsidR="004208B0" w:rsidRPr="00032A4B" w:rsidRDefault="004208B0" w:rsidP="004208B0">
      <w:pPr>
        <w:pStyle w:val="Odsekzoznamu"/>
        <w:ind w:hanging="862"/>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 xml:space="preserve">Poznámka pod čiarou k odkazu </w:t>
      </w:r>
      <w:r w:rsidRPr="00032A4B">
        <w:rPr>
          <w:rFonts w:ascii="Bookman Old Style" w:hAnsi="Bookman Old Style"/>
          <w:sz w:val="20"/>
          <w:szCs w:val="20"/>
          <w:shd w:val="clear" w:color="auto" w:fill="FFFFFF"/>
        </w:rPr>
        <w:t>15a</w:t>
      </w:r>
      <w:r w:rsidRPr="00032A4B">
        <w:rPr>
          <w:rFonts w:ascii="Bookman Old Style" w:hAnsi="Bookman Old Style"/>
          <w:color w:val="000000"/>
          <w:sz w:val="20"/>
          <w:szCs w:val="20"/>
          <w:shd w:val="clear" w:color="auto" w:fill="FFFFFF"/>
        </w:rPr>
        <w:t xml:space="preserve"> znie:</w:t>
      </w:r>
    </w:p>
    <w:p w:rsidR="004208B0" w:rsidRPr="00032A4B" w:rsidRDefault="004208B0" w:rsidP="004208B0">
      <w:pPr>
        <w:pStyle w:val="Odsekzoznamu"/>
        <w:ind w:hanging="862"/>
        <w:jc w:val="both"/>
        <w:rPr>
          <w:rFonts w:ascii="Bookman Old Style" w:hAnsi="Bookman Old Style"/>
          <w:color w:val="000000"/>
          <w:sz w:val="20"/>
          <w:szCs w:val="20"/>
          <w:shd w:val="clear" w:color="auto" w:fill="FFFFFF"/>
        </w:rPr>
      </w:pPr>
      <w:r w:rsidRPr="00032A4B">
        <w:rPr>
          <w:rFonts w:ascii="Bookman Old Style" w:hAnsi="Bookman Old Style"/>
          <w:color w:val="000000"/>
          <w:sz w:val="20"/>
          <w:szCs w:val="20"/>
          <w:shd w:val="clear" w:color="auto" w:fill="FFFFFF"/>
        </w:rPr>
        <w:t>„</w:t>
      </w:r>
      <w:r w:rsidRPr="00032A4B">
        <w:rPr>
          <w:rFonts w:ascii="Bookman Old Style" w:hAnsi="Bookman Old Style"/>
          <w:sz w:val="20"/>
          <w:szCs w:val="20"/>
          <w:shd w:val="clear" w:color="auto" w:fill="FFFFFF"/>
          <w:vertAlign w:val="superscript"/>
        </w:rPr>
        <w:t>15a</w:t>
      </w:r>
      <w:r w:rsidRPr="00032A4B">
        <w:rPr>
          <w:rFonts w:ascii="Bookman Old Style" w:hAnsi="Bookman Old Style"/>
          <w:sz w:val="20"/>
          <w:szCs w:val="20"/>
          <w:shd w:val="clear" w:color="auto" w:fill="FFFFFF"/>
        </w:rPr>
        <w:t>)</w:t>
      </w:r>
      <w:r w:rsidRPr="00032A4B">
        <w:rPr>
          <w:rFonts w:ascii="Bookman Old Style" w:hAnsi="Bookman Old Style"/>
          <w:color w:val="000000"/>
          <w:sz w:val="20"/>
          <w:szCs w:val="20"/>
          <w:shd w:val="clear" w:color="auto" w:fill="FFFFFF"/>
        </w:rPr>
        <w:t xml:space="preserve">  § 13 zákona č. 245/2008 Z. z. v znení zákona č. .../2018 Z. z.“.</w:t>
      </w:r>
    </w:p>
    <w:p w:rsidR="004208B0" w:rsidRPr="00032A4B" w:rsidRDefault="004208B0" w:rsidP="004208B0">
      <w:pPr>
        <w:jc w:val="both"/>
        <w:rPr>
          <w:rFonts w:ascii="Bookman Old Style" w:hAnsi="Bookman Old Style"/>
          <w:color w:val="000000"/>
          <w:sz w:val="20"/>
          <w:szCs w:val="20"/>
          <w:shd w:val="clear" w:color="auto" w:fill="FFFFFF"/>
        </w:rPr>
      </w:pPr>
    </w:p>
    <w:p w:rsidR="004208B0" w:rsidRPr="00032A4B" w:rsidRDefault="004208B0" w:rsidP="004208B0">
      <w:pPr>
        <w:jc w:val="center"/>
        <w:rPr>
          <w:rFonts w:ascii="Bookman Old Style" w:hAnsi="Bookman Old Style"/>
          <w:b/>
          <w:sz w:val="20"/>
          <w:szCs w:val="20"/>
        </w:rPr>
      </w:pPr>
      <w:r w:rsidRPr="00032A4B">
        <w:rPr>
          <w:rFonts w:ascii="Bookman Old Style" w:hAnsi="Bookman Old Style"/>
          <w:b/>
          <w:sz w:val="20"/>
          <w:szCs w:val="20"/>
        </w:rPr>
        <w:t>Čl. IV</w:t>
      </w:r>
    </w:p>
    <w:p w:rsidR="004208B0" w:rsidRPr="00032A4B" w:rsidRDefault="004208B0" w:rsidP="004208B0">
      <w:pPr>
        <w:jc w:val="both"/>
        <w:rPr>
          <w:rFonts w:ascii="Bookman Old Style" w:hAnsi="Bookman Old Style"/>
          <w:sz w:val="20"/>
          <w:szCs w:val="20"/>
        </w:rPr>
      </w:pPr>
    </w:p>
    <w:p w:rsidR="004208B0" w:rsidRPr="00032A4B" w:rsidRDefault="004208B0" w:rsidP="004208B0">
      <w:pPr>
        <w:jc w:val="both"/>
        <w:rPr>
          <w:rFonts w:ascii="Bookman Old Style" w:hAnsi="Bookman Old Style"/>
          <w:sz w:val="20"/>
          <w:szCs w:val="20"/>
        </w:rPr>
      </w:pPr>
      <w:r w:rsidRPr="00032A4B">
        <w:rPr>
          <w:rFonts w:ascii="Bookman Old Style" w:hAnsi="Bookman Old Style"/>
          <w:sz w:val="20"/>
          <w:szCs w:val="20"/>
        </w:rPr>
        <w:t>Tento zákon nadobúda účinnosť dňa 1. septembra 2019.</w:t>
      </w:r>
    </w:p>
    <w:p w:rsidR="004208B0" w:rsidRPr="00032A4B" w:rsidRDefault="004208B0" w:rsidP="004208B0">
      <w:pPr>
        <w:jc w:val="both"/>
        <w:rPr>
          <w:rFonts w:ascii="Bookman Old Style" w:hAnsi="Bookman Old Style"/>
          <w:sz w:val="20"/>
          <w:szCs w:val="20"/>
        </w:rPr>
      </w:pPr>
    </w:p>
    <w:p w:rsidR="004208B0" w:rsidRPr="00032A4B" w:rsidRDefault="004208B0" w:rsidP="004208B0">
      <w:pPr>
        <w:pStyle w:val="Default"/>
        <w:jc w:val="both"/>
        <w:rPr>
          <w:rFonts w:ascii="Bookman Old Style" w:hAnsi="Bookman Old Style"/>
          <w:sz w:val="20"/>
          <w:szCs w:val="20"/>
        </w:rPr>
      </w:pPr>
    </w:p>
    <w:p w:rsidR="004208B0" w:rsidRPr="00032A4B" w:rsidRDefault="004208B0" w:rsidP="004208B0">
      <w:pPr>
        <w:rPr>
          <w:rFonts w:ascii="Bookman Old Style" w:hAnsi="Bookman Old Style"/>
          <w:sz w:val="20"/>
          <w:szCs w:val="20"/>
        </w:rPr>
      </w:pPr>
    </w:p>
    <w:p w:rsidR="00337C67" w:rsidRPr="00032A4B" w:rsidRDefault="00337C67" w:rsidP="004208B0">
      <w:pPr>
        <w:rPr>
          <w:rFonts w:ascii="Bookman Old Style" w:hAnsi="Bookman Old Style"/>
          <w:sz w:val="20"/>
          <w:szCs w:val="20"/>
        </w:rPr>
      </w:pPr>
    </w:p>
    <w:sectPr w:rsidR="00337C67" w:rsidRPr="00032A4B" w:rsidSect="000F6110">
      <w:footerReference w:type="even" r:id="rId7"/>
      <w:footerReference w:type="default" r:id="rId8"/>
      <w:pgSz w:w="11906" w:h="16838"/>
      <w:pgMar w:top="1417"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9F1" w:rsidRDefault="003439F1">
      <w:r>
        <w:separator/>
      </w:r>
    </w:p>
  </w:endnote>
  <w:endnote w:type="continuationSeparator" w:id="0">
    <w:p w:rsidR="003439F1" w:rsidRDefault="0034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110" w:rsidRDefault="000F6110" w:rsidP="00292FB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F6110" w:rsidRDefault="000F6110" w:rsidP="00D8351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110" w:rsidRDefault="000F6110" w:rsidP="00292FBB">
    <w:pPr>
      <w:pStyle w:val="Pta"/>
      <w:framePr w:wrap="around" w:vAnchor="text" w:hAnchor="margin" w:xAlign="right" w:y="1"/>
      <w:rPr>
        <w:rStyle w:val="slostrany"/>
      </w:rPr>
    </w:pPr>
  </w:p>
  <w:p w:rsidR="000F6110" w:rsidRDefault="000F6110" w:rsidP="00D8351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9F1" w:rsidRDefault="003439F1">
      <w:r>
        <w:separator/>
      </w:r>
    </w:p>
  </w:footnote>
  <w:footnote w:type="continuationSeparator" w:id="0">
    <w:p w:rsidR="003439F1" w:rsidRDefault="0034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9E4"/>
    <w:multiLevelType w:val="multilevel"/>
    <w:tmpl w:val="7414B1E0"/>
    <w:lvl w:ilvl="0">
      <w:start w:val="10"/>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7D16C2"/>
    <w:multiLevelType w:val="multilevel"/>
    <w:tmpl w:val="9CD29314"/>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320"/>
        </w:tabs>
        <w:ind w:left="1320" w:hanging="36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880"/>
        </w:tabs>
        <w:ind w:left="588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160"/>
        </w:tabs>
        <w:ind w:left="8160" w:hanging="1440"/>
      </w:pPr>
      <w:rPr>
        <w:rFonts w:cs="Times New Roman" w:hint="default"/>
      </w:rPr>
    </w:lvl>
    <w:lvl w:ilvl="8">
      <w:start w:val="1"/>
      <w:numFmt w:val="decimal"/>
      <w:lvlText w:val="%1.%2.%3.%4.%5.%6.%7.%8.%9."/>
      <w:lvlJc w:val="left"/>
      <w:pPr>
        <w:tabs>
          <w:tab w:val="num" w:pos="9480"/>
        </w:tabs>
        <w:ind w:left="9480" w:hanging="1800"/>
      </w:pPr>
      <w:rPr>
        <w:rFonts w:cs="Times New Roman" w:hint="default"/>
      </w:rPr>
    </w:lvl>
  </w:abstractNum>
  <w:abstractNum w:abstractNumId="2" w15:restartNumberingAfterBreak="0">
    <w:nsid w:val="09F827B7"/>
    <w:multiLevelType w:val="hybridMultilevel"/>
    <w:tmpl w:val="9CD07CD4"/>
    <w:lvl w:ilvl="0" w:tplc="179AC348">
      <w:start w:val="8"/>
      <w:numFmt w:val="decimal"/>
      <w:lvlText w:val="%1."/>
      <w:lvlJc w:val="left"/>
      <w:pPr>
        <w:tabs>
          <w:tab w:val="num" w:pos="36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4577C"/>
    <w:multiLevelType w:val="hybridMultilevel"/>
    <w:tmpl w:val="E24658E8"/>
    <w:lvl w:ilvl="0" w:tplc="F1920DDC">
      <w:start w:val="6"/>
      <w:numFmt w:val="decimal"/>
      <w:lvlText w:val="%1."/>
      <w:lvlJc w:val="left"/>
      <w:pPr>
        <w:tabs>
          <w:tab w:val="num" w:pos="36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414CA2"/>
    <w:multiLevelType w:val="hybridMultilevel"/>
    <w:tmpl w:val="3EF46C98"/>
    <w:lvl w:ilvl="0" w:tplc="292606E2">
      <w:start w:val="4"/>
      <w:numFmt w:val="decimal"/>
      <w:lvlText w:val="%1."/>
      <w:lvlJc w:val="left"/>
      <w:pPr>
        <w:tabs>
          <w:tab w:val="num" w:pos="360"/>
        </w:tabs>
        <w:ind w:left="340" w:hanging="340"/>
      </w:pPr>
      <w:rPr>
        <w:rFonts w:cs="Times New Roman" w:hint="default"/>
        <w:color w:val="auto"/>
      </w:rPr>
    </w:lvl>
    <w:lvl w:ilvl="1" w:tplc="8378FD62">
      <w:start w:val="1"/>
      <w:numFmt w:val="lowerLetter"/>
      <w:lvlText w:val="%2)"/>
      <w:lvlJc w:val="left"/>
      <w:pPr>
        <w:tabs>
          <w:tab w:val="num" w:pos="360"/>
        </w:tabs>
        <w:ind w:left="340" w:hanging="340"/>
      </w:pPr>
      <w:rPr>
        <w:rFonts w:cs="Times New Roman" w:hint="default"/>
        <w:color w:val="auto"/>
      </w:rPr>
    </w:lvl>
    <w:lvl w:ilvl="2" w:tplc="556A3A70">
      <w:start w:val="5"/>
      <w:numFmt w:val="decimal"/>
      <w:lvlText w:val="%3."/>
      <w:lvlJc w:val="left"/>
      <w:pPr>
        <w:tabs>
          <w:tab w:val="num" w:pos="360"/>
        </w:tabs>
        <w:ind w:left="340" w:hanging="340"/>
      </w:pPr>
      <w:rPr>
        <w:rFonts w:cs="Times New Roman" w:hint="default"/>
        <w:b w:val="0"/>
        <w:i w:val="0"/>
      </w:rPr>
    </w:lvl>
    <w:lvl w:ilvl="3" w:tplc="57B2DF0A">
      <w:start w:val="5"/>
      <w:numFmt w:val="decimal"/>
      <w:lvlText w:val="%4."/>
      <w:lvlJc w:val="left"/>
      <w:pPr>
        <w:tabs>
          <w:tab w:val="num" w:pos="360"/>
        </w:tabs>
        <w:ind w:left="340" w:hanging="340"/>
      </w:pPr>
      <w:rPr>
        <w:rFonts w:cs="Times New Roman" w:hint="default"/>
        <w:color w:val="auto"/>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F80056"/>
    <w:multiLevelType w:val="hybridMultilevel"/>
    <w:tmpl w:val="184C695C"/>
    <w:lvl w:ilvl="0" w:tplc="041B0017">
      <w:start w:val="1"/>
      <w:numFmt w:val="lowerLetter"/>
      <w:lvlText w:val="%1)"/>
      <w:lvlJc w:val="left"/>
      <w:pPr>
        <w:ind w:left="1500" w:hanging="360"/>
      </w:pPr>
      <w:rPr>
        <w:rFonts w:cs="Times New Roman"/>
      </w:rPr>
    </w:lvl>
    <w:lvl w:ilvl="1" w:tplc="041B0019" w:tentative="1">
      <w:start w:val="1"/>
      <w:numFmt w:val="lowerLetter"/>
      <w:lvlText w:val="%2."/>
      <w:lvlJc w:val="left"/>
      <w:pPr>
        <w:ind w:left="2220" w:hanging="360"/>
      </w:pPr>
      <w:rPr>
        <w:rFonts w:cs="Times New Roman"/>
      </w:rPr>
    </w:lvl>
    <w:lvl w:ilvl="2" w:tplc="041B001B" w:tentative="1">
      <w:start w:val="1"/>
      <w:numFmt w:val="lowerRoman"/>
      <w:lvlText w:val="%3."/>
      <w:lvlJc w:val="right"/>
      <w:pPr>
        <w:ind w:left="2940" w:hanging="180"/>
      </w:pPr>
      <w:rPr>
        <w:rFonts w:cs="Times New Roman"/>
      </w:rPr>
    </w:lvl>
    <w:lvl w:ilvl="3" w:tplc="041B000F" w:tentative="1">
      <w:start w:val="1"/>
      <w:numFmt w:val="decimal"/>
      <w:lvlText w:val="%4."/>
      <w:lvlJc w:val="left"/>
      <w:pPr>
        <w:ind w:left="3660" w:hanging="360"/>
      </w:pPr>
      <w:rPr>
        <w:rFonts w:cs="Times New Roman"/>
      </w:rPr>
    </w:lvl>
    <w:lvl w:ilvl="4" w:tplc="041B0019" w:tentative="1">
      <w:start w:val="1"/>
      <w:numFmt w:val="lowerLetter"/>
      <w:lvlText w:val="%5."/>
      <w:lvlJc w:val="left"/>
      <w:pPr>
        <w:ind w:left="4380" w:hanging="360"/>
      </w:pPr>
      <w:rPr>
        <w:rFonts w:cs="Times New Roman"/>
      </w:rPr>
    </w:lvl>
    <w:lvl w:ilvl="5" w:tplc="041B001B" w:tentative="1">
      <w:start w:val="1"/>
      <w:numFmt w:val="lowerRoman"/>
      <w:lvlText w:val="%6."/>
      <w:lvlJc w:val="right"/>
      <w:pPr>
        <w:ind w:left="5100" w:hanging="180"/>
      </w:pPr>
      <w:rPr>
        <w:rFonts w:cs="Times New Roman"/>
      </w:rPr>
    </w:lvl>
    <w:lvl w:ilvl="6" w:tplc="041B000F" w:tentative="1">
      <w:start w:val="1"/>
      <w:numFmt w:val="decimal"/>
      <w:lvlText w:val="%7."/>
      <w:lvlJc w:val="left"/>
      <w:pPr>
        <w:ind w:left="5820" w:hanging="360"/>
      </w:pPr>
      <w:rPr>
        <w:rFonts w:cs="Times New Roman"/>
      </w:rPr>
    </w:lvl>
    <w:lvl w:ilvl="7" w:tplc="041B0019" w:tentative="1">
      <w:start w:val="1"/>
      <w:numFmt w:val="lowerLetter"/>
      <w:lvlText w:val="%8."/>
      <w:lvlJc w:val="left"/>
      <w:pPr>
        <w:ind w:left="6540" w:hanging="360"/>
      </w:pPr>
      <w:rPr>
        <w:rFonts w:cs="Times New Roman"/>
      </w:rPr>
    </w:lvl>
    <w:lvl w:ilvl="8" w:tplc="041B001B" w:tentative="1">
      <w:start w:val="1"/>
      <w:numFmt w:val="lowerRoman"/>
      <w:lvlText w:val="%9."/>
      <w:lvlJc w:val="right"/>
      <w:pPr>
        <w:ind w:left="7260" w:hanging="180"/>
      </w:pPr>
      <w:rPr>
        <w:rFonts w:cs="Times New Roman"/>
      </w:rPr>
    </w:lvl>
  </w:abstractNum>
  <w:abstractNum w:abstractNumId="6" w15:restartNumberingAfterBreak="0">
    <w:nsid w:val="21DA701C"/>
    <w:multiLevelType w:val="hybridMultilevel"/>
    <w:tmpl w:val="DEDAD04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137759"/>
    <w:multiLevelType w:val="multilevel"/>
    <w:tmpl w:val="AEB0463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1A2622"/>
    <w:multiLevelType w:val="hybridMultilevel"/>
    <w:tmpl w:val="EC4A9376"/>
    <w:lvl w:ilvl="0" w:tplc="8D7E7B64">
      <w:start w:val="1"/>
      <w:numFmt w:val="decimal"/>
      <w:lvlText w:val="(%1)"/>
      <w:lvlJc w:val="left"/>
      <w:pPr>
        <w:tabs>
          <w:tab w:val="num" w:pos="1335"/>
        </w:tabs>
        <w:ind w:left="1335" w:hanging="795"/>
      </w:pPr>
      <w:rPr>
        <w:rFonts w:cs="Times New Roman" w:hint="default"/>
      </w:rPr>
    </w:lvl>
    <w:lvl w:ilvl="1" w:tplc="85381646">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1E66E93"/>
    <w:multiLevelType w:val="hybridMultilevel"/>
    <w:tmpl w:val="ADB8DEA0"/>
    <w:lvl w:ilvl="0" w:tplc="041B0017">
      <w:start w:val="1"/>
      <w:numFmt w:val="lowerLetter"/>
      <w:lvlText w:val="%1)"/>
      <w:lvlJc w:val="left"/>
      <w:pPr>
        <w:ind w:left="1635" w:hanging="360"/>
      </w:pPr>
      <w:rPr>
        <w:rFonts w:cs="Times New Roman"/>
      </w:rPr>
    </w:lvl>
    <w:lvl w:ilvl="1" w:tplc="041B0019" w:tentative="1">
      <w:start w:val="1"/>
      <w:numFmt w:val="lowerLetter"/>
      <w:lvlText w:val="%2."/>
      <w:lvlJc w:val="left"/>
      <w:pPr>
        <w:ind w:left="2355" w:hanging="360"/>
      </w:pPr>
      <w:rPr>
        <w:rFonts w:cs="Times New Roman"/>
      </w:rPr>
    </w:lvl>
    <w:lvl w:ilvl="2" w:tplc="041B001B" w:tentative="1">
      <w:start w:val="1"/>
      <w:numFmt w:val="lowerRoman"/>
      <w:lvlText w:val="%3."/>
      <w:lvlJc w:val="right"/>
      <w:pPr>
        <w:ind w:left="3075" w:hanging="180"/>
      </w:pPr>
      <w:rPr>
        <w:rFonts w:cs="Times New Roman"/>
      </w:rPr>
    </w:lvl>
    <w:lvl w:ilvl="3" w:tplc="041B000F" w:tentative="1">
      <w:start w:val="1"/>
      <w:numFmt w:val="decimal"/>
      <w:lvlText w:val="%4."/>
      <w:lvlJc w:val="left"/>
      <w:pPr>
        <w:ind w:left="3795" w:hanging="360"/>
      </w:pPr>
      <w:rPr>
        <w:rFonts w:cs="Times New Roman"/>
      </w:rPr>
    </w:lvl>
    <w:lvl w:ilvl="4" w:tplc="041B0019" w:tentative="1">
      <w:start w:val="1"/>
      <w:numFmt w:val="lowerLetter"/>
      <w:lvlText w:val="%5."/>
      <w:lvlJc w:val="left"/>
      <w:pPr>
        <w:ind w:left="4515" w:hanging="360"/>
      </w:pPr>
      <w:rPr>
        <w:rFonts w:cs="Times New Roman"/>
      </w:rPr>
    </w:lvl>
    <w:lvl w:ilvl="5" w:tplc="041B001B" w:tentative="1">
      <w:start w:val="1"/>
      <w:numFmt w:val="lowerRoman"/>
      <w:lvlText w:val="%6."/>
      <w:lvlJc w:val="right"/>
      <w:pPr>
        <w:ind w:left="5235" w:hanging="180"/>
      </w:pPr>
      <w:rPr>
        <w:rFonts w:cs="Times New Roman"/>
      </w:rPr>
    </w:lvl>
    <w:lvl w:ilvl="6" w:tplc="041B000F" w:tentative="1">
      <w:start w:val="1"/>
      <w:numFmt w:val="decimal"/>
      <w:lvlText w:val="%7."/>
      <w:lvlJc w:val="left"/>
      <w:pPr>
        <w:ind w:left="5955" w:hanging="360"/>
      </w:pPr>
      <w:rPr>
        <w:rFonts w:cs="Times New Roman"/>
      </w:rPr>
    </w:lvl>
    <w:lvl w:ilvl="7" w:tplc="041B0019" w:tentative="1">
      <w:start w:val="1"/>
      <w:numFmt w:val="lowerLetter"/>
      <w:lvlText w:val="%8."/>
      <w:lvlJc w:val="left"/>
      <w:pPr>
        <w:ind w:left="6675" w:hanging="360"/>
      </w:pPr>
      <w:rPr>
        <w:rFonts w:cs="Times New Roman"/>
      </w:rPr>
    </w:lvl>
    <w:lvl w:ilvl="8" w:tplc="041B001B" w:tentative="1">
      <w:start w:val="1"/>
      <w:numFmt w:val="lowerRoman"/>
      <w:lvlText w:val="%9."/>
      <w:lvlJc w:val="right"/>
      <w:pPr>
        <w:ind w:left="7395" w:hanging="180"/>
      </w:pPr>
      <w:rPr>
        <w:rFonts w:cs="Times New Roman"/>
      </w:rPr>
    </w:lvl>
  </w:abstractNum>
  <w:abstractNum w:abstractNumId="10" w15:restartNumberingAfterBreak="0">
    <w:nsid w:val="35182243"/>
    <w:multiLevelType w:val="hybridMultilevel"/>
    <w:tmpl w:val="AFF615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6464B6B"/>
    <w:multiLevelType w:val="multilevel"/>
    <w:tmpl w:val="2FCE7FB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15:restartNumberingAfterBreak="0">
    <w:nsid w:val="438167B3"/>
    <w:multiLevelType w:val="hybridMultilevel"/>
    <w:tmpl w:val="0316C07E"/>
    <w:lvl w:ilvl="0" w:tplc="8580EC2A">
      <w:start w:val="1"/>
      <w:numFmt w:val="decimal"/>
      <w:lvlText w:val="%1."/>
      <w:lvlJc w:val="left"/>
      <w:pPr>
        <w:tabs>
          <w:tab w:val="num" w:pos="36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8B3CFE"/>
    <w:multiLevelType w:val="hybridMultilevel"/>
    <w:tmpl w:val="4F8627FC"/>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61430FFD"/>
    <w:multiLevelType w:val="hybridMultilevel"/>
    <w:tmpl w:val="D1401FFC"/>
    <w:lvl w:ilvl="0" w:tplc="9D30B02A">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DE2104"/>
    <w:multiLevelType w:val="multilevel"/>
    <w:tmpl w:val="BFCC6EEC"/>
    <w:lvl w:ilvl="0">
      <w:start w:val="5"/>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5D440D9"/>
    <w:multiLevelType w:val="hybridMultilevel"/>
    <w:tmpl w:val="D228DDA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B1949"/>
    <w:multiLevelType w:val="hybridMultilevel"/>
    <w:tmpl w:val="943EBD8A"/>
    <w:lvl w:ilvl="0" w:tplc="12A4949E">
      <w:start w:val="1"/>
      <w:numFmt w:val="lowerLetter"/>
      <w:lvlText w:val="%1)"/>
      <w:lvlJc w:val="left"/>
      <w:pPr>
        <w:tabs>
          <w:tab w:val="num" w:pos="360"/>
        </w:tabs>
        <w:ind w:left="340" w:hanging="340"/>
      </w:pPr>
      <w:rPr>
        <w:rFonts w:cs="Times New Roman" w:hint="default"/>
        <w:color w:val="auto"/>
      </w:rPr>
    </w:lvl>
    <w:lvl w:ilvl="1" w:tplc="FED01728">
      <w:start w:val="3"/>
      <w:numFmt w:val="decimal"/>
      <w:lvlText w:val="%2."/>
      <w:lvlJc w:val="left"/>
      <w:pPr>
        <w:tabs>
          <w:tab w:val="num" w:pos="360"/>
        </w:tabs>
        <w:ind w:left="340" w:hanging="340"/>
      </w:pPr>
      <w:rPr>
        <w:rFonts w:cs="Times New Roman" w:hint="default"/>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EE1F6B"/>
    <w:multiLevelType w:val="multilevel"/>
    <w:tmpl w:val="0BA638A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E8525E9"/>
    <w:multiLevelType w:val="hybridMultilevel"/>
    <w:tmpl w:val="DD325940"/>
    <w:lvl w:ilvl="0" w:tplc="71CACC80">
      <w:start w:val="2"/>
      <w:numFmt w:val="decimal"/>
      <w:lvlText w:val="%1."/>
      <w:lvlJc w:val="left"/>
      <w:pPr>
        <w:tabs>
          <w:tab w:val="num" w:pos="0"/>
        </w:tabs>
      </w:pPr>
      <w:rPr>
        <w:rFonts w:cs="Times New Roman" w:hint="default"/>
        <w:b w:val="0"/>
        <w:i w:val="0"/>
      </w:rPr>
    </w:lvl>
    <w:lvl w:ilvl="1" w:tplc="FCFC0F22">
      <w:start w:val="1"/>
      <w:numFmt w:val="decimal"/>
      <w:lvlText w:val="%2."/>
      <w:lvlJc w:val="left"/>
      <w:pPr>
        <w:tabs>
          <w:tab w:val="num" w:pos="1440"/>
        </w:tabs>
        <w:ind w:left="1440" w:hanging="360"/>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407C37"/>
    <w:multiLevelType w:val="multilevel"/>
    <w:tmpl w:val="1F64A722"/>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500"/>
        </w:tabs>
        <w:ind w:left="1500" w:hanging="480"/>
      </w:pPr>
      <w:rPr>
        <w:rFonts w:cs="Times New Roman" w:hint="default"/>
      </w:rPr>
    </w:lvl>
    <w:lvl w:ilvl="2">
      <w:start w:val="1"/>
      <w:numFmt w:val="decimal"/>
      <w:lvlText w:val="%1.%2.%3."/>
      <w:lvlJc w:val="left"/>
      <w:pPr>
        <w:tabs>
          <w:tab w:val="num" w:pos="2760"/>
        </w:tabs>
        <w:ind w:left="2760" w:hanging="720"/>
      </w:pPr>
      <w:rPr>
        <w:rFonts w:cs="Times New Roman" w:hint="default"/>
      </w:rPr>
    </w:lvl>
    <w:lvl w:ilvl="3">
      <w:start w:val="1"/>
      <w:numFmt w:val="decimal"/>
      <w:lvlText w:val="%1.%2.%3.%4."/>
      <w:lvlJc w:val="left"/>
      <w:pPr>
        <w:tabs>
          <w:tab w:val="num" w:pos="3780"/>
        </w:tabs>
        <w:ind w:left="3780" w:hanging="720"/>
      </w:pPr>
      <w:rPr>
        <w:rFonts w:cs="Times New Roman" w:hint="default"/>
      </w:rPr>
    </w:lvl>
    <w:lvl w:ilvl="4">
      <w:start w:val="1"/>
      <w:numFmt w:val="decimal"/>
      <w:lvlText w:val="%1.%2.%3.%4.%5."/>
      <w:lvlJc w:val="left"/>
      <w:pPr>
        <w:tabs>
          <w:tab w:val="num" w:pos="5160"/>
        </w:tabs>
        <w:ind w:left="5160" w:hanging="1080"/>
      </w:pPr>
      <w:rPr>
        <w:rFonts w:cs="Times New Roman" w:hint="default"/>
      </w:rPr>
    </w:lvl>
    <w:lvl w:ilvl="5">
      <w:start w:val="1"/>
      <w:numFmt w:val="decimal"/>
      <w:lvlText w:val="%1.%2.%3.%4.%5.%6."/>
      <w:lvlJc w:val="left"/>
      <w:pPr>
        <w:tabs>
          <w:tab w:val="num" w:pos="6180"/>
        </w:tabs>
        <w:ind w:left="6180" w:hanging="1080"/>
      </w:pPr>
      <w:rPr>
        <w:rFonts w:cs="Times New Roman" w:hint="default"/>
      </w:rPr>
    </w:lvl>
    <w:lvl w:ilvl="6">
      <w:start w:val="1"/>
      <w:numFmt w:val="decimal"/>
      <w:lvlText w:val="%1.%2.%3.%4.%5.%6.%7."/>
      <w:lvlJc w:val="left"/>
      <w:pPr>
        <w:tabs>
          <w:tab w:val="num" w:pos="7560"/>
        </w:tabs>
        <w:ind w:left="7560" w:hanging="1440"/>
      </w:pPr>
      <w:rPr>
        <w:rFonts w:cs="Times New Roman" w:hint="default"/>
      </w:rPr>
    </w:lvl>
    <w:lvl w:ilvl="7">
      <w:start w:val="1"/>
      <w:numFmt w:val="decimal"/>
      <w:lvlText w:val="%1.%2.%3.%4.%5.%6.%7.%8."/>
      <w:lvlJc w:val="left"/>
      <w:pPr>
        <w:tabs>
          <w:tab w:val="num" w:pos="8580"/>
        </w:tabs>
        <w:ind w:left="8580" w:hanging="1440"/>
      </w:pPr>
      <w:rPr>
        <w:rFonts w:cs="Times New Roman" w:hint="default"/>
      </w:rPr>
    </w:lvl>
    <w:lvl w:ilvl="8">
      <w:start w:val="1"/>
      <w:numFmt w:val="decimal"/>
      <w:lvlText w:val="%1.%2.%3.%4.%5.%6.%7.%8.%9."/>
      <w:lvlJc w:val="left"/>
      <w:pPr>
        <w:tabs>
          <w:tab w:val="num" w:pos="9960"/>
        </w:tabs>
        <w:ind w:left="9960" w:hanging="1800"/>
      </w:pPr>
      <w:rPr>
        <w:rFonts w:cs="Times New Roman" w:hint="default"/>
      </w:rPr>
    </w:lvl>
  </w:abstractNum>
  <w:abstractNum w:abstractNumId="21" w15:restartNumberingAfterBreak="0">
    <w:nsid w:val="79D23152"/>
    <w:multiLevelType w:val="multilevel"/>
    <w:tmpl w:val="01A0CD58"/>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D8941C6"/>
    <w:multiLevelType w:val="multilevel"/>
    <w:tmpl w:val="00CA9934"/>
    <w:lvl w:ilvl="0">
      <w:start w:val="8"/>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ED04E95"/>
    <w:multiLevelType w:val="multilevel"/>
    <w:tmpl w:val="F9200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22"/>
  </w:num>
  <w:num w:numId="5">
    <w:abstractNumId w:val="0"/>
  </w:num>
  <w:num w:numId="6">
    <w:abstractNumId w:val="23"/>
  </w:num>
  <w:num w:numId="7">
    <w:abstractNumId w:val="18"/>
  </w:num>
  <w:num w:numId="8">
    <w:abstractNumId w:val="12"/>
  </w:num>
  <w:num w:numId="9">
    <w:abstractNumId w:val="17"/>
  </w:num>
  <w:num w:numId="10">
    <w:abstractNumId w:val="4"/>
  </w:num>
  <w:num w:numId="11">
    <w:abstractNumId w:val="3"/>
  </w:num>
  <w:num w:numId="12">
    <w:abstractNumId w:val="2"/>
  </w:num>
  <w:num w:numId="13">
    <w:abstractNumId w:val="11"/>
  </w:num>
  <w:num w:numId="14">
    <w:abstractNumId w:val="1"/>
  </w:num>
  <w:num w:numId="15">
    <w:abstractNumId w:val="20"/>
  </w:num>
  <w:num w:numId="16">
    <w:abstractNumId w:val="8"/>
  </w:num>
  <w:num w:numId="17">
    <w:abstractNumId w:val="16"/>
  </w:num>
  <w:num w:numId="18">
    <w:abstractNumId w:val="14"/>
  </w:num>
  <w:num w:numId="19">
    <w:abstractNumId w:val="19"/>
  </w:num>
  <w:num w:numId="20">
    <w:abstractNumId w:val="6"/>
  </w:num>
  <w:num w:numId="21">
    <w:abstractNumId w:val="10"/>
  </w:num>
  <w:num w:numId="22">
    <w:abstractNumId w:val="5"/>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7A"/>
    <w:rsid w:val="00001B80"/>
    <w:rsid w:val="00023549"/>
    <w:rsid w:val="000244DA"/>
    <w:rsid w:val="00027AA6"/>
    <w:rsid w:val="00032A4B"/>
    <w:rsid w:val="00036F0A"/>
    <w:rsid w:val="00051783"/>
    <w:rsid w:val="00051FD1"/>
    <w:rsid w:val="00054C47"/>
    <w:rsid w:val="000800BB"/>
    <w:rsid w:val="00084AC6"/>
    <w:rsid w:val="000A13A2"/>
    <w:rsid w:val="000B2D05"/>
    <w:rsid w:val="000D2160"/>
    <w:rsid w:val="000F6110"/>
    <w:rsid w:val="00102731"/>
    <w:rsid w:val="001062DA"/>
    <w:rsid w:val="00114A2E"/>
    <w:rsid w:val="00123394"/>
    <w:rsid w:val="0013787C"/>
    <w:rsid w:val="001471D5"/>
    <w:rsid w:val="0017604D"/>
    <w:rsid w:val="00180D7A"/>
    <w:rsid w:val="00185268"/>
    <w:rsid w:val="00187028"/>
    <w:rsid w:val="00192D9B"/>
    <w:rsid w:val="001951C0"/>
    <w:rsid w:val="001A0188"/>
    <w:rsid w:val="001A15C3"/>
    <w:rsid w:val="001B10B4"/>
    <w:rsid w:val="001B1C21"/>
    <w:rsid w:val="001C175C"/>
    <w:rsid w:val="001C50F2"/>
    <w:rsid w:val="001C6953"/>
    <w:rsid w:val="001D04CB"/>
    <w:rsid w:val="001D4146"/>
    <w:rsid w:val="00212603"/>
    <w:rsid w:val="00213594"/>
    <w:rsid w:val="00236C5B"/>
    <w:rsid w:val="00271BF5"/>
    <w:rsid w:val="00275C7E"/>
    <w:rsid w:val="00280404"/>
    <w:rsid w:val="00291D4A"/>
    <w:rsid w:val="00292FBB"/>
    <w:rsid w:val="002971D1"/>
    <w:rsid w:val="002A0B52"/>
    <w:rsid w:val="002A4AB2"/>
    <w:rsid w:val="002C24DB"/>
    <w:rsid w:val="002E18A4"/>
    <w:rsid w:val="002F06DB"/>
    <w:rsid w:val="002F1C77"/>
    <w:rsid w:val="002F2514"/>
    <w:rsid w:val="00326968"/>
    <w:rsid w:val="00334FD3"/>
    <w:rsid w:val="00336B9B"/>
    <w:rsid w:val="00337C67"/>
    <w:rsid w:val="003439F1"/>
    <w:rsid w:val="00351852"/>
    <w:rsid w:val="00361F03"/>
    <w:rsid w:val="00363135"/>
    <w:rsid w:val="00366533"/>
    <w:rsid w:val="00366EC1"/>
    <w:rsid w:val="00375CCB"/>
    <w:rsid w:val="0039291E"/>
    <w:rsid w:val="0039323F"/>
    <w:rsid w:val="003A1AC9"/>
    <w:rsid w:val="003A3A2E"/>
    <w:rsid w:val="003C345E"/>
    <w:rsid w:val="003F34D7"/>
    <w:rsid w:val="004107B5"/>
    <w:rsid w:val="004208B0"/>
    <w:rsid w:val="00451F26"/>
    <w:rsid w:val="0045270B"/>
    <w:rsid w:val="00463398"/>
    <w:rsid w:val="004666C6"/>
    <w:rsid w:val="004756A6"/>
    <w:rsid w:val="00482319"/>
    <w:rsid w:val="00482DEA"/>
    <w:rsid w:val="0048493D"/>
    <w:rsid w:val="004A280C"/>
    <w:rsid w:val="004A458E"/>
    <w:rsid w:val="004D4882"/>
    <w:rsid w:val="004E5C8A"/>
    <w:rsid w:val="004E7FC3"/>
    <w:rsid w:val="004F11CD"/>
    <w:rsid w:val="004F554F"/>
    <w:rsid w:val="004F71E6"/>
    <w:rsid w:val="005003C6"/>
    <w:rsid w:val="005144B2"/>
    <w:rsid w:val="00515F81"/>
    <w:rsid w:val="005353A5"/>
    <w:rsid w:val="00564931"/>
    <w:rsid w:val="00566AE0"/>
    <w:rsid w:val="005842D5"/>
    <w:rsid w:val="00591D6F"/>
    <w:rsid w:val="00595DD3"/>
    <w:rsid w:val="005A427A"/>
    <w:rsid w:val="005D3C13"/>
    <w:rsid w:val="005E4416"/>
    <w:rsid w:val="005F520D"/>
    <w:rsid w:val="00612837"/>
    <w:rsid w:val="00614D56"/>
    <w:rsid w:val="0062713C"/>
    <w:rsid w:val="00643B51"/>
    <w:rsid w:val="006512FA"/>
    <w:rsid w:val="00652E1F"/>
    <w:rsid w:val="0066163D"/>
    <w:rsid w:val="00664CCC"/>
    <w:rsid w:val="00666237"/>
    <w:rsid w:val="00666775"/>
    <w:rsid w:val="00672509"/>
    <w:rsid w:val="00675009"/>
    <w:rsid w:val="00681A56"/>
    <w:rsid w:val="006879DA"/>
    <w:rsid w:val="006912DD"/>
    <w:rsid w:val="00694798"/>
    <w:rsid w:val="006A4B38"/>
    <w:rsid w:val="006B228E"/>
    <w:rsid w:val="006B5452"/>
    <w:rsid w:val="006E0C85"/>
    <w:rsid w:val="006E21E8"/>
    <w:rsid w:val="006E256B"/>
    <w:rsid w:val="00700558"/>
    <w:rsid w:val="00710132"/>
    <w:rsid w:val="0071311A"/>
    <w:rsid w:val="007144EB"/>
    <w:rsid w:val="0072035F"/>
    <w:rsid w:val="00720B2F"/>
    <w:rsid w:val="00723D94"/>
    <w:rsid w:val="00724C78"/>
    <w:rsid w:val="0074439A"/>
    <w:rsid w:val="007506A8"/>
    <w:rsid w:val="00750B5B"/>
    <w:rsid w:val="00760098"/>
    <w:rsid w:val="00771A9E"/>
    <w:rsid w:val="007845EB"/>
    <w:rsid w:val="007876E7"/>
    <w:rsid w:val="00791A15"/>
    <w:rsid w:val="00793657"/>
    <w:rsid w:val="00794DD0"/>
    <w:rsid w:val="007971A1"/>
    <w:rsid w:val="007A4D8C"/>
    <w:rsid w:val="007A68EC"/>
    <w:rsid w:val="007C5E81"/>
    <w:rsid w:val="007E20BC"/>
    <w:rsid w:val="007F217D"/>
    <w:rsid w:val="007F3068"/>
    <w:rsid w:val="00831966"/>
    <w:rsid w:val="00836016"/>
    <w:rsid w:val="0085293C"/>
    <w:rsid w:val="00855B57"/>
    <w:rsid w:val="00866FBC"/>
    <w:rsid w:val="008701F6"/>
    <w:rsid w:val="00877B26"/>
    <w:rsid w:val="008828B5"/>
    <w:rsid w:val="008A749A"/>
    <w:rsid w:val="008A7879"/>
    <w:rsid w:val="008B2737"/>
    <w:rsid w:val="008C7C8D"/>
    <w:rsid w:val="008E15B7"/>
    <w:rsid w:val="008F1711"/>
    <w:rsid w:val="009067EC"/>
    <w:rsid w:val="009206E6"/>
    <w:rsid w:val="0092581C"/>
    <w:rsid w:val="00952A15"/>
    <w:rsid w:val="00973715"/>
    <w:rsid w:val="009762FC"/>
    <w:rsid w:val="00982749"/>
    <w:rsid w:val="00987083"/>
    <w:rsid w:val="00992493"/>
    <w:rsid w:val="009A7B6A"/>
    <w:rsid w:val="009B4FC5"/>
    <w:rsid w:val="009C49F0"/>
    <w:rsid w:val="009D4171"/>
    <w:rsid w:val="009E5087"/>
    <w:rsid w:val="009F4E54"/>
    <w:rsid w:val="009F4F13"/>
    <w:rsid w:val="00A04A54"/>
    <w:rsid w:val="00A128CF"/>
    <w:rsid w:val="00A34815"/>
    <w:rsid w:val="00A40372"/>
    <w:rsid w:val="00A43D4D"/>
    <w:rsid w:val="00A505C0"/>
    <w:rsid w:val="00A52939"/>
    <w:rsid w:val="00A646AF"/>
    <w:rsid w:val="00A83E41"/>
    <w:rsid w:val="00A8531F"/>
    <w:rsid w:val="00AA6D25"/>
    <w:rsid w:val="00AC2DDC"/>
    <w:rsid w:val="00AD367A"/>
    <w:rsid w:val="00AD61B2"/>
    <w:rsid w:val="00AD7FEE"/>
    <w:rsid w:val="00AE6307"/>
    <w:rsid w:val="00AE7A25"/>
    <w:rsid w:val="00AE7FFB"/>
    <w:rsid w:val="00AF5E1F"/>
    <w:rsid w:val="00B0350A"/>
    <w:rsid w:val="00B042E3"/>
    <w:rsid w:val="00B13FC9"/>
    <w:rsid w:val="00B431A4"/>
    <w:rsid w:val="00B45A83"/>
    <w:rsid w:val="00B502D1"/>
    <w:rsid w:val="00B86DF5"/>
    <w:rsid w:val="00BB12C3"/>
    <w:rsid w:val="00BB1A03"/>
    <w:rsid w:val="00BD60BC"/>
    <w:rsid w:val="00BE1605"/>
    <w:rsid w:val="00BE58B2"/>
    <w:rsid w:val="00BF3CEA"/>
    <w:rsid w:val="00BF5E00"/>
    <w:rsid w:val="00C01794"/>
    <w:rsid w:val="00C149FE"/>
    <w:rsid w:val="00C36F63"/>
    <w:rsid w:val="00C7081B"/>
    <w:rsid w:val="00C86528"/>
    <w:rsid w:val="00CD45EB"/>
    <w:rsid w:val="00CE2F0A"/>
    <w:rsid w:val="00CF54CB"/>
    <w:rsid w:val="00D03E18"/>
    <w:rsid w:val="00D04EF7"/>
    <w:rsid w:val="00D06813"/>
    <w:rsid w:val="00D07853"/>
    <w:rsid w:val="00D16950"/>
    <w:rsid w:val="00D24876"/>
    <w:rsid w:val="00D52992"/>
    <w:rsid w:val="00D6268B"/>
    <w:rsid w:val="00D65543"/>
    <w:rsid w:val="00D74E4B"/>
    <w:rsid w:val="00D8351A"/>
    <w:rsid w:val="00D95944"/>
    <w:rsid w:val="00DA02B2"/>
    <w:rsid w:val="00DC49D1"/>
    <w:rsid w:val="00DF2164"/>
    <w:rsid w:val="00E0041E"/>
    <w:rsid w:val="00E013B9"/>
    <w:rsid w:val="00E01496"/>
    <w:rsid w:val="00E07B63"/>
    <w:rsid w:val="00E107CB"/>
    <w:rsid w:val="00E12BF4"/>
    <w:rsid w:val="00E324BB"/>
    <w:rsid w:val="00E338CE"/>
    <w:rsid w:val="00E368B1"/>
    <w:rsid w:val="00E5591C"/>
    <w:rsid w:val="00E61555"/>
    <w:rsid w:val="00E80E77"/>
    <w:rsid w:val="00E900A0"/>
    <w:rsid w:val="00EB45FD"/>
    <w:rsid w:val="00EC193B"/>
    <w:rsid w:val="00EE38E6"/>
    <w:rsid w:val="00F04079"/>
    <w:rsid w:val="00F20F7C"/>
    <w:rsid w:val="00F2185C"/>
    <w:rsid w:val="00F21F29"/>
    <w:rsid w:val="00F33953"/>
    <w:rsid w:val="00F37DBC"/>
    <w:rsid w:val="00F46111"/>
    <w:rsid w:val="00F512A3"/>
    <w:rsid w:val="00F603E1"/>
    <w:rsid w:val="00F75053"/>
    <w:rsid w:val="00F761EA"/>
    <w:rsid w:val="00FA1594"/>
    <w:rsid w:val="00FC0B91"/>
    <w:rsid w:val="00FC2608"/>
    <w:rsid w:val="00FC32A2"/>
    <w:rsid w:val="00FD1048"/>
    <w:rsid w:val="00FD520D"/>
    <w:rsid w:val="00FF54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C683"/>
  <w14:defaultImageDpi w14:val="0"/>
  <w15:docId w15:val="{E5D2144C-7318-4032-942E-583C2C1D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rPr>
  </w:style>
  <w:style w:type="paragraph" w:styleId="Nadpis2">
    <w:name w:val="heading 2"/>
    <w:basedOn w:val="Normlny"/>
    <w:next w:val="Normlny"/>
    <w:link w:val="Nadpis2Char"/>
    <w:uiPriority w:val="9"/>
    <w:semiHidden/>
    <w:unhideWhenUsed/>
    <w:qFormat/>
    <w:rsid w:val="00F33953"/>
    <w:pPr>
      <w:keepNext/>
      <w:keepLines/>
      <w:spacing w:before="40" w:line="276" w:lineRule="auto"/>
      <w:outlineLvl w:val="1"/>
    </w:pPr>
    <w:rPr>
      <w:rFonts w:ascii="Calibri Light" w:hAnsi="Calibri Light"/>
      <w:color w:val="2E74B5"/>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sid w:val="00F33953"/>
    <w:rPr>
      <w:rFonts w:ascii="Calibri Light" w:hAnsi="Calibri Light" w:cs="Times New Roman"/>
      <w:color w:val="2E74B5"/>
      <w:sz w:val="26"/>
      <w:szCs w:val="26"/>
      <w:lang w:val="x-none" w:eastAsia="en-US"/>
    </w:rPr>
  </w:style>
  <w:style w:type="paragraph" w:styleId="Zkladntext">
    <w:name w:val="Body Text"/>
    <w:basedOn w:val="Normlny"/>
    <w:link w:val="ZkladntextChar"/>
    <w:uiPriority w:val="99"/>
    <w:pPr>
      <w:jc w:val="center"/>
    </w:pPr>
    <w:rPr>
      <w:b/>
      <w:bCs/>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D8351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
    <w:name w:val="Body Text Indent"/>
    <w:basedOn w:val="Normlny"/>
    <w:link w:val="ZarkazkladnhotextuChar"/>
    <w:uiPriority w:val="99"/>
    <w:rsid w:val="00D8351A"/>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customStyle="1" w:styleId="Paragraf">
    <w:name w:val="Paragraf"/>
    <w:basedOn w:val="Normlny"/>
    <w:rsid w:val="00D8351A"/>
    <w:pPr>
      <w:spacing w:before="240" w:after="120"/>
      <w:ind w:firstLine="425"/>
      <w:jc w:val="center"/>
    </w:pPr>
    <w:rPr>
      <w:szCs w:val="20"/>
      <w:lang w:eastAsia="en-US"/>
    </w:rPr>
  </w:style>
  <w:style w:type="paragraph" w:styleId="Normlnywebov">
    <w:name w:val="Normal (Web)"/>
    <w:basedOn w:val="Normlny"/>
    <w:uiPriority w:val="99"/>
    <w:rsid w:val="00D8351A"/>
    <w:pPr>
      <w:spacing w:before="100" w:beforeAutospacing="1" w:after="100" w:afterAutospacing="1"/>
    </w:pPr>
  </w:style>
  <w:style w:type="paragraph" w:styleId="Zkladntext3">
    <w:name w:val="Body Text 3"/>
    <w:basedOn w:val="Normlny"/>
    <w:link w:val="Zkladntext3Char"/>
    <w:uiPriority w:val="99"/>
    <w:rsid w:val="00D8351A"/>
    <w:pPr>
      <w:spacing w:after="120"/>
    </w:pPr>
    <w:rPr>
      <w:sz w:val="16"/>
      <w:szCs w:val="16"/>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Pta">
    <w:name w:val="footer"/>
    <w:basedOn w:val="Normlny"/>
    <w:link w:val="PtaChar"/>
    <w:uiPriority w:val="99"/>
    <w:rsid w:val="00D8351A"/>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D8351A"/>
    <w:rPr>
      <w:rFonts w:cs="Times New Roman"/>
    </w:rPr>
  </w:style>
  <w:style w:type="paragraph" w:styleId="Zoznam">
    <w:name w:val="List"/>
    <w:basedOn w:val="Normlny"/>
    <w:uiPriority w:val="99"/>
    <w:rsid w:val="005E4416"/>
    <w:pPr>
      <w:ind w:left="283" w:hanging="283"/>
    </w:pPr>
  </w:style>
  <w:style w:type="paragraph" w:styleId="Textbubliny">
    <w:name w:val="Balloon Text"/>
    <w:basedOn w:val="Normlny"/>
    <w:link w:val="TextbublinyChar"/>
    <w:uiPriority w:val="99"/>
    <w:semiHidden/>
    <w:rsid w:val="000D2160"/>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rPr>
  </w:style>
  <w:style w:type="paragraph" w:customStyle="1" w:styleId="Zkladntext1">
    <w:name w:val="Základní text1"/>
    <w:rsid w:val="004A458E"/>
    <w:pPr>
      <w:widowControl w:val="0"/>
      <w:autoSpaceDE w:val="0"/>
      <w:autoSpaceDN w:val="0"/>
    </w:pPr>
    <w:rPr>
      <w:color w:val="000000"/>
      <w:sz w:val="24"/>
      <w:szCs w:val="24"/>
    </w:rPr>
  </w:style>
  <w:style w:type="paragraph" w:styleId="Odsekzoznamu">
    <w:name w:val="List Paragraph"/>
    <w:basedOn w:val="Normlny"/>
    <w:uiPriority w:val="34"/>
    <w:qFormat/>
    <w:rsid w:val="005842D5"/>
    <w:pPr>
      <w:ind w:left="708"/>
    </w:pPr>
  </w:style>
  <w:style w:type="paragraph" w:styleId="Hlavika">
    <w:name w:val="header"/>
    <w:basedOn w:val="Normlny"/>
    <w:link w:val="HlavikaChar"/>
    <w:uiPriority w:val="99"/>
    <w:rsid w:val="00F603E1"/>
    <w:pPr>
      <w:tabs>
        <w:tab w:val="center" w:pos="4536"/>
        <w:tab w:val="right" w:pos="9072"/>
      </w:tabs>
    </w:pPr>
  </w:style>
  <w:style w:type="character" w:customStyle="1" w:styleId="HlavikaChar">
    <w:name w:val="Hlavička Char"/>
    <w:basedOn w:val="Predvolenpsmoodseku"/>
    <w:link w:val="Hlavika"/>
    <w:uiPriority w:val="99"/>
    <w:locked/>
    <w:rsid w:val="00F603E1"/>
    <w:rPr>
      <w:rFonts w:cs="Times New Roman"/>
      <w:sz w:val="24"/>
    </w:rPr>
  </w:style>
  <w:style w:type="table" w:styleId="Mriekatabuky">
    <w:name w:val="Table Grid"/>
    <w:basedOn w:val="Normlnatabuka"/>
    <w:uiPriority w:val="39"/>
    <w:rsid w:val="006E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2185C"/>
    <w:pPr>
      <w:widowControl w:val="0"/>
      <w:autoSpaceDE w:val="0"/>
      <w:autoSpaceDN w:val="0"/>
      <w:adjustRightInd w:val="0"/>
    </w:pPr>
    <w:rPr>
      <w:rFonts w:ascii="Liberation Serif" w:hAnsi="Liberation Serif" w:cs="Liberation Serif"/>
      <w:color w:val="000000"/>
      <w:kern w:val="2"/>
      <w:sz w:val="24"/>
      <w:szCs w:val="24"/>
      <w:lang w:bidi="hi-IN"/>
    </w:rPr>
  </w:style>
  <w:style w:type="character" w:customStyle="1" w:styleId="apple-converted-space">
    <w:name w:val="apple-converted-space"/>
    <w:rsid w:val="00F2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55167">
      <w:marLeft w:val="0"/>
      <w:marRight w:val="0"/>
      <w:marTop w:val="0"/>
      <w:marBottom w:val="0"/>
      <w:divBdr>
        <w:top w:val="none" w:sz="0" w:space="0" w:color="auto"/>
        <w:left w:val="none" w:sz="0" w:space="0" w:color="auto"/>
        <w:bottom w:val="none" w:sz="0" w:space="0" w:color="auto"/>
        <w:right w:val="none" w:sz="0" w:space="0" w:color="auto"/>
      </w:divBdr>
    </w:div>
    <w:div w:id="551355168">
      <w:marLeft w:val="0"/>
      <w:marRight w:val="0"/>
      <w:marTop w:val="0"/>
      <w:marBottom w:val="0"/>
      <w:divBdr>
        <w:top w:val="none" w:sz="0" w:space="0" w:color="auto"/>
        <w:left w:val="none" w:sz="0" w:space="0" w:color="auto"/>
        <w:bottom w:val="none" w:sz="0" w:space="0" w:color="auto"/>
        <w:right w:val="none" w:sz="0" w:space="0" w:color="auto"/>
      </w:divBdr>
    </w:div>
    <w:div w:id="551355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1621</Words>
  <Characters>9240</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N Á R O D N Á   R A D A   S L O V E N S K E J  R E P U B L I K Y</vt:lpstr>
    </vt:vector>
  </TitlesOfParts>
  <Company>Kancelaria NR SR</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subject/>
  <dc:creator>Kamil_Krnac</dc:creator>
  <cp:keywords/>
  <dc:description/>
  <cp:lastModifiedBy>Andrej</cp:lastModifiedBy>
  <cp:revision>5</cp:revision>
  <cp:lastPrinted>2016-03-23T17:02:00Z</cp:lastPrinted>
  <dcterms:created xsi:type="dcterms:W3CDTF">2018-09-28T11:01:00Z</dcterms:created>
  <dcterms:modified xsi:type="dcterms:W3CDTF">2018-09-28T12:06:00Z</dcterms:modified>
</cp:coreProperties>
</file>