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262" w:rsidRDefault="005B6B10" w:rsidP="00CD667D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6E0262" w:rsidRDefault="005B6B10" w:rsidP="00CD667D">
      <w:pPr>
        <w:pStyle w:val="Nadpis1"/>
        <w:keepNext/>
        <w:numPr>
          <w:ilvl w:val="0"/>
          <w:numId w:val="2"/>
        </w:numPr>
        <w:spacing w:before="120" w:beforeAutospacing="0" w:after="0" w:afterAutospacing="0" w:line="276" w:lineRule="auto"/>
        <w:ind w:left="426" w:hanging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Všeobecná časť</w:t>
      </w:r>
    </w:p>
    <w:p w:rsidR="006E0262" w:rsidRDefault="005B6B10" w:rsidP="00CD667D">
      <w:pPr>
        <w:spacing w:before="120" w:after="0"/>
        <w:ind w:firstLine="708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Návrh zákona, </w:t>
      </w:r>
      <w:r>
        <w:rPr>
          <w:rFonts w:ascii="Book Antiqua" w:hAnsi="Book Antiqua"/>
          <w:bCs/>
        </w:rPr>
        <w:t>ktorým sa mení a dopĺňa zákon č. 595/2003 Z. z. o dani z príjmov v znení neskorších predpisov</w:t>
      </w:r>
      <w:r>
        <w:rPr>
          <w:rFonts w:ascii="Book Antiqua" w:hAnsi="Book Antiqua"/>
          <w:b/>
          <w:bCs/>
        </w:rPr>
        <w:t xml:space="preserve"> </w:t>
      </w:r>
      <w:r>
        <w:rPr>
          <w:rFonts w:ascii="Book Antiqua" w:hAnsi="Book Antiqua"/>
        </w:rPr>
        <w:t>(ďalej len „návrh zákona“) predkladá na rokovanie Národnej rady Slovenskej republiky skupina poslancov Národnej rady Slovenskej republiky.</w:t>
      </w:r>
    </w:p>
    <w:p w:rsidR="006E0262" w:rsidRDefault="005B6B10" w:rsidP="00CD667D">
      <w:pPr>
        <w:spacing w:before="120" w:after="0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Daňovník, ktorého posledná známa daňová povinnosť presiahla 2 500 eur je</w:t>
      </w:r>
      <w:r>
        <w:rPr>
          <w:rFonts w:ascii="Book Antiqua" w:hAnsi="Book Antiqua"/>
        </w:rPr>
        <w:t xml:space="preserve"> odo dňa nasledujúceho po uplynutí lehoty na podanie daňového priznania za predchádzajúce zdaňovacie obdobie do posledného dňa lehoty na podanie daňového priznania v nasledujúcom zdaňovacom období, </w:t>
      </w:r>
      <w:r>
        <w:rPr>
          <w:rFonts w:ascii="Book Antiqua" w:hAnsi="Book Antiqua"/>
          <w:b/>
        </w:rPr>
        <w:t>povinný uhrádzať preddavky na daň z príjmu</w:t>
      </w:r>
      <w:r>
        <w:rPr>
          <w:rFonts w:ascii="Book Antiqua" w:hAnsi="Book Antiqua"/>
        </w:rPr>
        <w:t xml:space="preserve">. Daňové preddavky sa uhrádzajú štvrťročne, alebo dokonca mesačne (ak bola povinnosť viac ako 16 600 eur). </w:t>
      </w:r>
    </w:p>
    <w:p w:rsidR="006E0262" w:rsidRDefault="005B6B10" w:rsidP="00CD667D">
      <w:pPr>
        <w:spacing w:before="120" w:after="0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Platenie preddavkov možno vo všeobecnosti považovať len za administratívnu nepríjemnosť spojenú s nastavením a rušením pravidelnej platby. Preddavky sa prirodzene hradia z príjmov aktuálneho roka, pričom ich výška reflektuje príjmy minulého roka. Daň sa zúčtuje a prípadný preplatok štát vráti až po podaní nasledujúceho daňového pr</w:t>
      </w:r>
      <w:r w:rsidR="00CD667D">
        <w:rPr>
          <w:rFonts w:ascii="Book Antiqua" w:hAnsi="Book Antiqua"/>
        </w:rPr>
        <w:t>iznania. Spravidla živnostníkom</w:t>
      </w:r>
      <w:r>
        <w:rPr>
          <w:rFonts w:ascii="Book Antiqua" w:hAnsi="Book Antiqua"/>
        </w:rPr>
        <w:t xml:space="preserve"> spôsobuje súčasné nízke nastavenie hranice daňovej povinnosti, okrem administratívnych nepríjemností aj horší ca</w:t>
      </w:r>
      <w:r w:rsidR="00CD667D">
        <w:rPr>
          <w:rFonts w:ascii="Book Antiqua" w:hAnsi="Book Antiqua"/>
        </w:rPr>
        <w:t xml:space="preserve">sh </w:t>
      </w:r>
      <w:proofErr w:type="spellStart"/>
      <w:r w:rsidR="00CD667D">
        <w:rPr>
          <w:rFonts w:ascii="Book Antiqua" w:hAnsi="Book Antiqua"/>
        </w:rPr>
        <w:t>flow</w:t>
      </w:r>
      <w:proofErr w:type="spellEnd"/>
      <w:r w:rsidR="00CD667D">
        <w:rPr>
          <w:rFonts w:ascii="Book Antiqua" w:hAnsi="Book Antiqua"/>
        </w:rPr>
        <w:t>. Najmä v prípadoch, keď</w:t>
      </w:r>
      <w:r>
        <w:rPr>
          <w:rFonts w:ascii="Book Antiqua" w:hAnsi="Book Antiqua"/>
        </w:rPr>
        <w:t xml:space="preserve"> sú rozdiely v ročn</w:t>
      </w:r>
      <w:r w:rsidR="00F13362">
        <w:rPr>
          <w:rFonts w:ascii="Book Antiqua" w:hAnsi="Book Antiqua"/>
        </w:rPr>
        <w:t>ých príjmoch živnostníka výrazne</w:t>
      </w:r>
      <w:r>
        <w:rPr>
          <w:rFonts w:ascii="Book Antiqua" w:hAnsi="Book Antiqua"/>
        </w:rPr>
        <w:t xml:space="preserve"> odlišné, platenie preddavkov môže dočasne zhoršovať jeho platobné možnosti. </w:t>
      </w:r>
    </w:p>
    <w:p w:rsidR="006E0262" w:rsidRPr="00CD667D" w:rsidRDefault="00CD667D" w:rsidP="00CD667D">
      <w:pPr>
        <w:spacing w:before="120" w:after="0"/>
        <w:ind w:firstLine="708"/>
        <w:jc w:val="both"/>
        <w:rPr>
          <w:rFonts w:ascii="Book Antiqua" w:hAnsi="Book Antiqua"/>
          <w:b/>
        </w:rPr>
      </w:pPr>
      <w:r w:rsidRPr="00CD667D">
        <w:rPr>
          <w:rFonts w:ascii="Book Antiqua" w:hAnsi="Book Antiqua"/>
          <w:b/>
        </w:rPr>
        <w:t xml:space="preserve">Cieľom </w:t>
      </w:r>
      <w:r w:rsidR="005B6B10" w:rsidRPr="00CD667D">
        <w:rPr>
          <w:rFonts w:ascii="Book Antiqua" w:hAnsi="Book Antiqua"/>
          <w:b/>
        </w:rPr>
        <w:t>návrhu zákona je odstránenie nadbytočnej administratívnej záťaže pre približne 30 000 p</w:t>
      </w:r>
      <w:r w:rsidRPr="00CD667D">
        <w:rPr>
          <w:rFonts w:ascii="Book Antiqua" w:hAnsi="Book Antiqua"/>
          <w:b/>
        </w:rPr>
        <w:t>odnikateľských subjektov. Účelom</w:t>
      </w:r>
      <w:r w:rsidR="005B6B10" w:rsidRPr="00CD667D">
        <w:rPr>
          <w:rFonts w:ascii="Book Antiqua" w:hAnsi="Book Antiqua"/>
          <w:b/>
        </w:rPr>
        <w:t xml:space="preserve"> návrhu zákona je odbremeniť menších a stredne veľkých živnostníkov a obchodné spoločnosti od povinnosti platenia preddavkov na daň z príjmov</w:t>
      </w:r>
      <w:r w:rsidRPr="00CD667D">
        <w:rPr>
          <w:rFonts w:ascii="Book Antiqua" w:hAnsi="Book Antiqua"/>
          <w:b/>
        </w:rPr>
        <w:t xml:space="preserve">. Starostlivo </w:t>
      </w:r>
      <w:r w:rsidR="005B6B10" w:rsidRPr="00CD667D">
        <w:rPr>
          <w:rFonts w:ascii="Book Antiqua" w:hAnsi="Book Antiqua"/>
          <w:b/>
        </w:rPr>
        <w:t xml:space="preserve">navrhnutá </w:t>
      </w:r>
      <w:r w:rsidRPr="00CD667D">
        <w:rPr>
          <w:rFonts w:ascii="Book Antiqua" w:hAnsi="Book Antiqua"/>
          <w:b/>
        </w:rPr>
        <w:t xml:space="preserve">nová </w:t>
      </w:r>
      <w:r w:rsidR="005B6B10" w:rsidRPr="00CD667D">
        <w:rPr>
          <w:rFonts w:ascii="Book Antiqua" w:hAnsi="Book Antiqua"/>
          <w:b/>
        </w:rPr>
        <w:t xml:space="preserve">hranica dane z príjmu, znamenajúca povinnosť </w:t>
      </w:r>
      <w:r w:rsidRPr="00CD667D">
        <w:rPr>
          <w:rFonts w:ascii="Book Antiqua" w:hAnsi="Book Antiqua"/>
          <w:b/>
        </w:rPr>
        <w:t xml:space="preserve">daňovníka </w:t>
      </w:r>
      <w:r w:rsidR="005B6B10" w:rsidRPr="00CD667D">
        <w:rPr>
          <w:rFonts w:ascii="Book Antiqua" w:hAnsi="Book Antiqua"/>
          <w:b/>
        </w:rPr>
        <w:t>uhrádzať preddavky na daň z</w:t>
      </w:r>
      <w:r w:rsidRPr="00CD667D">
        <w:rPr>
          <w:rFonts w:ascii="Book Antiqua" w:hAnsi="Book Antiqua"/>
          <w:b/>
        </w:rPr>
        <w:t> </w:t>
      </w:r>
      <w:r w:rsidR="005B6B10" w:rsidRPr="00CD667D">
        <w:rPr>
          <w:rFonts w:ascii="Book Antiqua" w:hAnsi="Book Antiqua"/>
          <w:b/>
        </w:rPr>
        <w:t>príjmu</w:t>
      </w:r>
      <w:r w:rsidRPr="00CD667D">
        <w:rPr>
          <w:rFonts w:ascii="Book Antiqua" w:hAnsi="Book Antiqua"/>
          <w:b/>
        </w:rPr>
        <w:t xml:space="preserve"> až potom, ako jeho posledná známa daňová povinnosť prekročí sumu 10 000 eur</w:t>
      </w:r>
      <w:r w:rsidR="005B6B10" w:rsidRPr="00CD667D">
        <w:rPr>
          <w:rFonts w:ascii="Book Antiqua" w:hAnsi="Book Antiqua"/>
          <w:b/>
        </w:rPr>
        <w:t xml:space="preserve">, uľahčí podnikanie približne 30 000 subjektom, a to </w:t>
      </w:r>
      <w:r w:rsidR="00660DDA">
        <w:rPr>
          <w:rFonts w:ascii="Book Antiqua" w:hAnsi="Book Antiqua"/>
          <w:b/>
        </w:rPr>
        <w:t>bez negatívnych dopadov na rozpočet verejnej správy.</w:t>
      </w:r>
    </w:p>
    <w:p w:rsidR="006E0262" w:rsidRDefault="00CD667D" w:rsidP="00CD667D">
      <w:pPr>
        <w:spacing w:before="120" w:after="0"/>
        <w:ind w:firstLine="708"/>
        <w:jc w:val="both"/>
        <w:rPr>
          <w:rFonts w:ascii="Book Antiqua" w:hAnsi="Book Antiqua"/>
          <w:iCs/>
        </w:rPr>
      </w:pPr>
      <w:bookmarkStart w:id="0" w:name="__DdeLink__1877_496718820"/>
      <w:r>
        <w:rPr>
          <w:rFonts w:ascii="Book Antiqua" w:hAnsi="Book Antiqua"/>
        </w:rPr>
        <w:t xml:space="preserve">Od </w:t>
      </w:r>
      <w:r w:rsidR="005B6B10">
        <w:rPr>
          <w:rFonts w:ascii="Book Antiqua" w:hAnsi="Book Antiqua"/>
        </w:rPr>
        <w:t xml:space="preserve">návrhu zákona sa očakáva výrazne pozitívny vplyv na podnikateľské prostredie, </w:t>
      </w:r>
      <w:r>
        <w:rPr>
          <w:rFonts w:ascii="Book Antiqua" w:hAnsi="Book Antiqua"/>
        </w:rPr>
        <w:t>pričom sa očakávajú len mierne</w:t>
      </w:r>
      <w:r w:rsidR="005B6B10">
        <w:rPr>
          <w:rFonts w:ascii="Book Antiqua" w:hAnsi="Book Antiqua"/>
        </w:rPr>
        <w:t xml:space="preserve"> negatívne vplyvy na rozpočet verejnej správy. Predložený návrh zákona nemá žiaden vplyv na životné prostredie ani na informatizáciu spoločnosti. Návrh zákona primárne nespôsobuje ani žiadne sociálne vplyvy (hospodárenie obyvateľstva).</w:t>
      </w:r>
      <w:bookmarkEnd w:id="0"/>
      <w:r w:rsidR="005B6B10">
        <w:rPr>
          <w:rFonts w:ascii="Book Antiqua" w:hAnsi="Book Antiqua"/>
          <w:iCs/>
        </w:rPr>
        <w:t xml:space="preserve"> </w:t>
      </w:r>
    </w:p>
    <w:p w:rsidR="006E0262" w:rsidRDefault="005B6B10" w:rsidP="00CD667D">
      <w:pPr>
        <w:spacing w:before="120" w:after="0"/>
        <w:ind w:firstLine="708"/>
        <w:jc w:val="both"/>
        <w:rPr>
          <w:rFonts w:ascii="Book Antiqua" w:hAnsi="Book Antiqua"/>
          <w:iCs/>
        </w:rPr>
      </w:pPr>
      <w:r>
        <w:rPr>
          <w:rFonts w:ascii="Book Antiqua" w:hAnsi="Book Antiqua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6E0262" w:rsidRDefault="006E0262" w:rsidP="00CD667D">
      <w:pPr>
        <w:spacing w:before="120" w:after="0"/>
        <w:ind w:firstLine="708"/>
        <w:jc w:val="both"/>
        <w:rPr>
          <w:rFonts w:ascii="Book Antiqua" w:hAnsi="Book Antiqua"/>
        </w:rPr>
      </w:pPr>
    </w:p>
    <w:p w:rsidR="006E0262" w:rsidRDefault="005B6B10" w:rsidP="00CD667D">
      <w:pPr>
        <w:spacing w:before="120" w:after="0"/>
        <w:ind w:firstLine="708"/>
        <w:jc w:val="both"/>
        <w:rPr>
          <w:rFonts w:ascii="Book Antiqua" w:hAnsi="Book Antiqua"/>
        </w:rPr>
      </w:pPr>
      <w:r>
        <w:br w:type="page"/>
      </w:r>
    </w:p>
    <w:p w:rsidR="006E0262" w:rsidRDefault="005B6B10" w:rsidP="00CD667D">
      <w:pPr>
        <w:spacing w:before="120" w:after="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B. Osobitná časť</w:t>
      </w:r>
    </w:p>
    <w:p w:rsidR="006E0262" w:rsidRDefault="005B6B10" w:rsidP="00CD667D">
      <w:pPr>
        <w:spacing w:before="120" w:after="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K Čl. I</w:t>
      </w:r>
    </w:p>
    <w:p w:rsidR="006E0262" w:rsidRDefault="005B6B10" w:rsidP="00CD667D">
      <w:pPr>
        <w:pStyle w:val="Zkladntext"/>
        <w:spacing w:before="120" w:line="276" w:lineRule="auto"/>
        <w:rPr>
          <w:rFonts w:ascii="Book Antiqua" w:hAnsi="Book Antiqua" w:cs="Times New Roman"/>
          <w:bCs/>
          <w:sz w:val="22"/>
          <w:szCs w:val="22"/>
          <w:u w:val="single"/>
        </w:rPr>
      </w:pPr>
      <w:r>
        <w:rPr>
          <w:rFonts w:ascii="Book Antiqua" w:hAnsi="Book Antiqua" w:cs="Times New Roman"/>
          <w:bCs/>
          <w:sz w:val="22"/>
          <w:szCs w:val="22"/>
          <w:u w:val="single"/>
        </w:rPr>
        <w:t>K bodom 1 až 4</w:t>
      </w:r>
    </w:p>
    <w:p w:rsidR="006E0262" w:rsidRDefault="005B6B10" w:rsidP="00CD667D">
      <w:pPr>
        <w:pStyle w:val="Zkladntext"/>
        <w:spacing w:before="120" w:line="276" w:lineRule="auto"/>
        <w:rPr>
          <w:rFonts w:ascii="Book Antiqua" w:hAnsi="Book Antiqua" w:cs="Times New Roman"/>
          <w:bCs/>
          <w:sz w:val="22"/>
          <w:szCs w:val="22"/>
        </w:rPr>
      </w:pPr>
      <w:r>
        <w:rPr>
          <w:rFonts w:ascii="Book Antiqua" w:hAnsi="Book Antiqua" w:cs="Times New Roman"/>
          <w:bCs/>
          <w:sz w:val="22"/>
          <w:szCs w:val="22"/>
        </w:rPr>
        <w:tab/>
      </w:r>
      <w:r w:rsidR="00CD667D">
        <w:rPr>
          <w:rFonts w:ascii="Book Antiqua" w:hAnsi="Book Antiqua" w:cs="Times New Roman"/>
          <w:bCs/>
          <w:sz w:val="22"/>
          <w:szCs w:val="22"/>
        </w:rPr>
        <w:t xml:space="preserve">Zmena výšky preddavkov na daň spôsobom, akým sa navrhuje v tomto návrhu zákona nie je novou myšlienkou, pretože už v minulosti sa s ňou stotožnilo napr. </w:t>
      </w:r>
      <w:r>
        <w:rPr>
          <w:rFonts w:ascii="Book Antiqua" w:hAnsi="Book Antiqua" w:cs="Times New Roman"/>
          <w:bCs/>
          <w:sz w:val="22"/>
          <w:szCs w:val="22"/>
        </w:rPr>
        <w:t xml:space="preserve">Ministerstvo hospodárstva Slovenskej republiky. </w:t>
      </w:r>
    </w:p>
    <w:p w:rsidR="00CD667D" w:rsidRDefault="005B6B10" w:rsidP="00CD667D">
      <w:pPr>
        <w:pStyle w:val="Zkladntext"/>
        <w:spacing w:before="120" w:line="276" w:lineRule="auto"/>
        <w:rPr>
          <w:rFonts w:ascii="Book Antiqua" w:hAnsi="Book Antiqua" w:cs="Times New Roman"/>
          <w:bCs/>
          <w:sz w:val="22"/>
          <w:szCs w:val="22"/>
        </w:rPr>
      </w:pPr>
      <w:r>
        <w:rPr>
          <w:rFonts w:ascii="Book Antiqua" w:hAnsi="Book Antiqua" w:cs="Times New Roman"/>
          <w:bCs/>
          <w:sz w:val="22"/>
          <w:szCs w:val="22"/>
        </w:rPr>
        <w:tab/>
        <w:t xml:space="preserve">Podľa údajov </w:t>
      </w:r>
      <w:proofErr w:type="spellStart"/>
      <w:r>
        <w:rPr>
          <w:rFonts w:ascii="Book Antiqua" w:hAnsi="Book Antiqua" w:cs="Times New Roman"/>
          <w:bCs/>
          <w:sz w:val="22"/>
          <w:szCs w:val="22"/>
        </w:rPr>
        <w:t>Finstatu</w:t>
      </w:r>
      <w:proofErr w:type="spellEnd"/>
      <w:r>
        <w:rPr>
          <w:rFonts w:ascii="Book Antiqua" w:hAnsi="Book Antiqua" w:cs="Times New Roman"/>
          <w:bCs/>
          <w:sz w:val="22"/>
          <w:szCs w:val="22"/>
        </w:rPr>
        <w:t xml:space="preserve"> platí preddavky na daň z príjmu približne 46 000 obchodných spoločností. Rozpočtované príjmy z dane z príjmu právnických osôb dosiahli v roku 2017 sumu 2,56 miliardy eur, pričom 400 najväčších platcov zaplatilo 63%, 1 200 najväčších platcov zaplatilo 74% a 5 000 najväčších platcov uhradilo až 86% všetkých príjmov dane z príjmu právnických osôb.</w:t>
      </w:r>
      <w:r w:rsidR="002617AF">
        <w:rPr>
          <w:rFonts w:ascii="Book Antiqua" w:hAnsi="Book Antiqua" w:cs="Times New Roman"/>
          <w:bCs/>
          <w:sz w:val="22"/>
          <w:szCs w:val="22"/>
        </w:rPr>
        <w:t xml:space="preserve"> </w:t>
      </w:r>
      <w:r>
        <w:rPr>
          <w:rFonts w:ascii="Book Antiqua" w:hAnsi="Book Antiqua" w:cs="Times New Roman"/>
          <w:bCs/>
          <w:sz w:val="22"/>
          <w:szCs w:val="22"/>
        </w:rPr>
        <w:t xml:space="preserve">Vychádzajúc z údajov </w:t>
      </w:r>
      <w:proofErr w:type="spellStart"/>
      <w:r>
        <w:rPr>
          <w:rFonts w:ascii="Book Antiqua" w:hAnsi="Book Antiqua" w:cs="Times New Roman"/>
          <w:bCs/>
          <w:sz w:val="22"/>
          <w:szCs w:val="22"/>
        </w:rPr>
        <w:t>Finstatu</w:t>
      </w:r>
      <w:proofErr w:type="spellEnd"/>
      <w:r>
        <w:rPr>
          <w:rFonts w:ascii="Book Antiqua" w:hAnsi="Book Antiqua" w:cs="Times New Roman"/>
          <w:bCs/>
          <w:sz w:val="22"/>
          <w:szCs w:val="22"/>
        </w:rPr>
        <w:t>, platcovia preddavkov na daň z príjmov s daňovou povinnosťou nižšou ako 10 000 eur, prispievajú do výnosov dane z príjmu právnických osôb (DPPO), len približne 3%. Inými slovami platcovia s daňovou povinnosťou viac ako 10 000 eur zaplatili v roku 2017 až 97% z celkových výnosov dane z </w:t>
      </w:r>
      <w:r w:rsidR="00CD667D">
        <w:rPr>
          <w:rFonts w:ascii="Book Antiqua" w:hAnsi="Book Antiqua" w:cs="Times New Roman"/>
          <w:bCs/>
          <w:sz w:val="22"/>
          <w:szCs w:val="22"/>
        </w:rPr>
        <w:t>príjmu právnických osôb (DPPO).</w:t>
      </w:r>
    </w:p>
    <w:p w:rsidR="00AF4F22" w:rsidRDefault="005B6B10" w:rsidP="00CD667D">
      <w:pPr>
        <w:pStyle w:val="Zkladntext"/>
        <w:spacing w:before="120" w:line="276" w:lineRule="auto"/>
        <w:ind w:firstLine="708"/>
        <w:rPr>
          <w:rFonts w:ascii="Book Antiqua" w:hAnsi="Book Antiqua" w:cs="Times New Roman"/>
          <w:bCs/>
          <w:sz w:val="22"/>
          <w:szCs w:val="22"/>
        </w:rPr>
      </w:pPr>
      <w:r>
        <w:rPr>
          <w:rFonts w:ascii="Book Antiqua" w:hAnsi="Book Antiqua" w:cs="Times New Roman"/>
          <w:bCs/>
          <w:sz w:val="22"/>
          <w:szCs w:val="22"/>
        </w:rPr>
        <w:t xml:space="preserve">V dôsledku predloženého návrhu zákona by štátu vypadol priebežný príjem (z preddavkov). </w:t>
      </w:r>
      <w:r w:rsidR="00F13362">
        <w:rPr>
          <w:rFonts w:ascii="Book Antiqua" w:hAnsi="Book Antiqua" w:cs="Times New Roman"/>
          <w:bCs/>
          <w:sz w:val="22"/>
          <w:szCs w:val="22"/>
        </w:rPr>
        <w:t xml:space="preserve">Tento výpadok štát môže financovať pokladničnými poukážkami vydanými na 3, 6 a 9 mesiacov. </w:t>
      </w:r>
      <w:r w:rsidR="00BD3735">
        <w:rPr>
          <w:rFonts w:ascii="Book Antiqua" w:hAnsi="Book Antiqua" w:cs="Times New Roman"/>
          <w:bCs/>
          <w:sz w:val="22"/>
          <w:szCs w:val="22"/>
        </w:rPr>
        <w:t>Ak by sme vychádzali z</w:t>
      </w:r>
      <w:r w:rsidR="00DB34AB">
        <w:rPr>
          <w:rFonts w:ascii="Book Antiqua" w:hAnsi="Book Antiqua" w:cs="Times New Roman"/>
          <w:bCs/>
          <w:sz w:val="22"/>
          <w:szCs w:val="22"/>
        </w:rPr>
        <w:t xml:space="preserve"> aktuálnych úrokov, </w:t>
      </w:r>
      <w:r w:rsidR="00BD3735">
        <w:rPr>
          <w:rFonts w:ascii="Book Antiqua" w:hAnsi="Book Antiqua" w:cs="Times New Roman"/>
          <w:bCs/>
          <w:sz w:val="22"/>
          <w:szCs w:val="22"/>
        </w:rPr>
        <w:t xml:space="preserve">tak tieto požičané peniaze by </w:t>
      </w:r>
      <w:r w:rsidR="00F13362">
        <w:rPr>
          <w:rFonts w:ascii="Book Antiqua" w:hAnsi="Book Antiqua" w:cs="Times New Roman"/>
          <w:bCs/>
          <w:sz w:val="22"/>
          <w:szCs w:val="22"/>
        </w:rPr>
        <w:t>boli úročené záporným úrokom.</w:t>
      </w:r>
      <w:r w:rsidR="00BD3735">
        <w:rPr>
          <w:rFonts w:ascii="Book Antiqua" w:hAnsi="Book Antiqua" w:cs="Times New Roman"/>
          <w:bCs/>
          <w:sz w:val="22"/>
          <w:szCs w:val="22"/>
        </w:rPr>
        <w:t xml:space="preserve"> Priaznivá situácia stále trvá.</w:t>
      </w:r>
      <w:r w:rsidR="00F13362">
        <w:rPr>
          <w:rFonts w:ascii="Book Antiqua" w:hAnsi="Book Antiqua" w:cs="Times New Roman"/>
          <w:bCs/>
          <w:sz w:val="22"/>
          <w:szCs w:val="22"/>
        </w:rPr>
        <w:t xml:space="preserve"> V praxi to znamená, že štátnemu rozpočtu nevzniknú žiadne náklady. Na druhej strane sa vytvorí priaznivejšie prostredie pre minimálne 30 000 subjektov na trhu. V súčasnosti je ideálne obdobie na túto zmenu, keďže sa dajú tieto výpadky </w:t>
      </w:r>
      <w:r w:rsidR="00BD3735">
        <w:rPr>
          <w:rFonts w:ascii="Book Antiqua" w:hAnsi="Book Antiqua" w:cs="Times New Roman"/>
          <w:bCs/>
          <w:sz w:val="22"/>
          <w:szCs w:val="22"/>
        </w:rPr>
        <w:t xml:space="preserve">pokryť krátkodobou pôžičkou za záporný, resp. nulový úrok. </w:t>
      </w:r>
    </w:p>
    <w:p w:rsidR="006E0262" w:rsidRPr="002617AF" w:rsidRDefault="005B6B10" w:rsidP="00CD667D">
      <w:pPr>
        <w:pStyle w:val="Zkladntext"/>
        <w:spacing w:before="120" w:line="276" w:lineRule="auto"/>
        <w:ind w:firstLine="708"/>
        <w:rPr>
          <w:rFonts w:ascii="Book Antiqua" w:hAnsi="Book Antiqua" w:cs="Times New Roman"/>
          <w:bCs/>
          <w:strike/>
          <w:sz w:val="22"/>
          <w:szCs w:val="22"/>
        </w:rPr>
      </w:pPr>
      <w:r w:rsidRPr="00AF4F22">
        <w:rPr>
          <w:rFonts w:ascii="Book Antiqua" w:hAnsi="Book Antiqua" w:cs="Times New Roman"/>
          <w:bCs/>
          <w:sz w:val="22"/>
          <w:szCs w:val="22"/>
        </w:rPr>
        <w:t>Aj v prípade najpesimistickejších predpovedí; t.j. že by bolo zrušením preddavkov zasiahnutých  až 10% výnosov DPPO, t.j. 256 mil. eur a štát by bol nútený požičať si tieto financie, pri 1% úroku možno očakávať negatívny dopad na štátny rozpočet vo výške 800 000 eur.</w:t>
      </w:r>
      <w:r w:rsidR="00DB34AB">
        <w:rPr>
          <w:rFonts w:ascii="Book Antiqua" w:hAnsi="Book Antiqua" w:cs="Times New Roman"/>
          <w:bCs/>
          <w:sz w:val="22"/>
          <w:szCs w:val="22"/>
        </w:rPr>
        <w:t xml:space="preserve"> Čo je z pohľadu verejnýc</w:t>
      </w:r>
      <w:r w:rsidR="002617AF">
        <w:rPr>
          <w:rFonts w:ascii="Book Antiqua" w:hAnsi="Book Antiqua" w:cs="Times New Roman"/>
          <w:bCs/>
          <w:sz w:val="22"/>
          <w:szCs w:val="22"/>
        </w:rPr>
        <w:t>h financií zanedbateľná čiastka.</w:t>
      </w:r>
    </w:p>
    <w:p w:rsidR="006E0262" w:rsidRDefault="00EE0DD9" w:rsidP="00CD667D">
      <w:pPr>
        <w:pStyle w:val="Zkladntext"/>
        <w:spacing w:before="120" w:line="276" w:lineRule="auto"/>
        <w:ind w:firstLine="708"/>
        <w:rPr>
          <w:rFonts w:ascii="Book Antiqua" w:hAnsi="Book Antiqua" w:cs="Times New Roman"/>
          <w:bCs/>
          <w:sz w:val="22"/>
          <w:szCs w:val="22"/>
        </w:rPr>
      </w:pPr>
      <w:r>
        <w:rPr>
          <w:rFonts w:ascii="Book Antiqua" w:hAnsi="Book Antiqua" w:cs="Times New Roman"/>
          <w:bCs/>
          <w:sz w:val="22"/>
          <w:szCs w:val="22"/>
        </w:rPr>
        <w:t>Treba uviesť, že d</w:t>
      </w:r>
      <w:r w:rsidR="005B6B10">
        <w:rPr>
          <w:rFonts w:ascii="Book Antiqua" w:hAnsi="Book Antiqua" w:cs="Times New Roman"/>
          <w:bCs/>
          <w:sz w:val="22"/>
          <w:szCs w:val="22"/>
        </w:rPr>
        <w:t>rvivá väčšina opatrení nasmerovaných v pros</w:t>
      </w:r>
      <w:r>
        <w:rPr>
          <w:rFonts w:ascii="Book Antiqua" w:hAnsi="Book Antiqua" w:cs="Times New Roman"/>
          <w:bCs/>
          <w:sz w:val="22"/>
          <w:szCs w:val="22"/>
        </w:rPr>
        <w:t>pech podnikateľskej sféry, ale aj bežných občanov so sebou nesie</w:t>
      </w:r>
      <w:r w:rsidR="005B6B10">
        <w:rPr>
          <w:rFonts w:ascii="Book Antiqua" w:hAnsi="Book Antiqua" w:cs="Times New Roman"/>
          <w:bCs/>
          <w:sz w:val="22"/>
          <w:szCs w:val="22"/>
        </w:rPr>
        <w:t xml:space="preserve"> zvýšené výdavky na rozpoč</w:t>
      </w:r>
      <w:r>
        <w:rPr>
          <w:rFonts w:ascii="Book Antiqua" w:hAnsi="Book Antiqua" w:cs="Times New Roman"/>
          <w:bCs/>
          <w:sz w:val="22"/>
          <w:szCs w:val="22"/>
        </w:rPr>
        <w:t>et verejnej správy. N</w:t>
      </w:r>
      <w:r w:rsidR="005B6B10">
        <w:rPr>
          <w:rFonts w:ascii="Book Antiqua" w:hAnsi="Book Antiqua" w:cs="Times New Roman"/>
          <w:bCs/>
          <w:sz w:val="22"/>
          <w:szCs w:val="22"/>
        </w:rPr>
        <w:t>ávrh</w:t>
      </w:r>
      <w:r>
        <w:rPr>
          <w:rFonts w:ascii="Book Antiqua" w:hAnsi="Book Antiqua" w:cs="Times New Roman"/>
          <w:bCs/>
          <w:sz w:val="22"/>
          <w:szCs w:val="22"/>
        </w:rPr>
        <w:t xml:space="preserve"> zákona prináša výrazné výhody</w:t>
      </w:r>
      <w:r w:rsidR="005B6B10">
        <w:rPr>
          <w:rFonts w:ascii="Book Antiqua" w:hAnsi="Book Antiqua" w:cs="Times New Roman"/>
          <w:bCs/>
          <w:sz w:val="22"/>
          <w:szCs w:val="22"/>
        </w:rPr>
        <w:t xml:space="preserve"> pre malých a stredne veľkých podnikateľov zo zanedbateľnými negatívnymi vplyvmi na rozpočet verejnej správy.    </w:t>
      </w:r>
    </w:p>
    <w:p w:rsidR="006E0262" w:rsidRDefault="00CD667D" w:rsidP="00CD667D">
      <w:pPr>
        <w:pStyle w:val="Zkladntext"/>
        <w:spacing w:before="120" w:line="276" w:lineRule="auto"/>
        <w:rPr>
          <w:rFonts w:ascii="Book Antiqua" w:hAnsi="Book Antiqua" w:cs="Times New Roman"/>
          <w:bCs/>
          <w:sz w:val="22"/>
          <w:szCs w:val="22"/>
        </w:rPr>
      </w:pPr>
      <w:r w:rsidRPr="00CD667D">
        <w:rPr>
          <w:rFonts w:ascii="Book Antiqua" w:hAnsi="Book Antiqua" w:cs="Times New Roman"/>
          <w:bCs/>
          <w:sz w:val="22"/>
          <w:szCs w:val="22"/>
          <w:u w:val="single"/>
        </w:rPr>
        <w:t>K bodu 5</w:t>
      </w:r>
    </w:p>
    <w:p w:rsidR="002617AF" w:rsidRDefault="00CD667D" w:rsidP="00CD667D">
      <w:pPr>
        <w:pStyle w:val="Zkladntext"/>
        <w:spacing w:before="120" w:line="276" w:lineRule="auto"/>
        <w:rPr>
          <w:rFonts w:ascii="Book Antiqua" w:hAnsi="Book Antiqua" w:cs="Times New Roman"/>
          <w:bCs/>
          <w:sz w:val="22"/>
          <w:szCs w:val="22"/>
        </w:rPr>
      </w:pPr>
      <w:r>
        <w:rPr>
          <w:rFonts w:ascii="Book Antiqua" w:hAnsi="Book Antiqua" w:cs="Times New Roman"/>
          <w:bCs/>
          <w:sz w:val="22"/>
          <w:szCs w:val="22"/>
        </w:rPr>
        <w:tab/>
        <w:t>Je potrebné upraviť aj prechodné ustanovenia, aby daňovníci neboli v právnej neistote, ktorého zdaňovacieho obdobia sa nový limit na platenie preddavkov na daň týka. Obdobné prechodné ustanovenia boli do zákona vložené aj v minulosti, keď sa preddavky zavádzali, resp. keď sa menila ich právna úprava.</w:t>
      </w:r>
    </w:p>
    <w:p w:rsidR="006E0262" w:rsidRDefault="005B6B10" w:rsidP="00CD667D">
      <w:pPr>
        <w:pStyle w:val="Zkladntext"/>
        <w:spacing w:before="120" w:line="276" w:lineRule="auto"/>
        <w:rPr>
          <w:rFonts w:ascii="Book Antiqua" w:hAnsi="Book Antiqua" w:cs="Times New Roman"/>
          <w:b/>
          <w:sz w:val="22"/>
          <w:szCs w:val="22"/>
        </w:rPr>
      </w:pPr>
      <w:r>
        <w:rPr>
          <w:rFonts w:ascii="Book Antiqua" w:hAnsi="Book Antiqua" w:cs="Times New Roman"/>
          <w:b/>
          <w:sz w:val="22"/>
          <w:szCs w:val="22"/>
        </w:rPr>
        <w:t>K Čl. II</w:t>
      </w:r>
    </w:p>
    <w:p w:rsidR="006E0262" w:rsidRDefault="005B6B10" w:rsidP="002617AF">
      <w:pPr>
        <w:pStyle w:val="Zkladntext"/>
        <w:spacing w:before="120" w:line="276" w:lineRule="auto"/>
        <w:ind w:firstLine="709"/>
        <w:rPr>
          <w:rFonts w:ascii="Book Antiqua" w:hAnsi="Book Antiqua" w:cs="Times New Roman"/>
          <w:bCs/>
          <w:sz w:val="22"/>
          <w:szCs w:val="22"/>
        </w:rPr>
      </w:pPr>
      <w:r>
        <w:rPr>
          <w:rFonts w:ascii="Book Antiqua" w:hAnsi="Book Antiqua" w:cs="Times New Roman"/>
          <w:bCs/>
          <w:sz w:val="22"/>
          <w:szCs w:val="22"/>
        </w:rPr>
        <w:t>Vzhľadom na predpokladanú dĺžku legislatívneho procesu sa účinnosť predkladanej právnej úpra</w:t>
      </w:r>
      <w:r w:rsidR="002617AF">
        <w:rPr>
          <w:rFonts w:ascii="Book Antiqua" w:hAnsi="Book Antiqua" w:cs="Times New Roman"/>
          <w:bCs/>
          <w:sz w:val="22"/>
          <w:szCs w:val="22"/>
        </w:rPr>
        <w:t>vy navrhuje od 1. januára 2019.</w:t>
      </w:r>
    </w:p>
    <w:p w:rsidR="00F931CB" w:rsidRDefault="00F931CB" w:rsidP="002617AF">
      <w:pPr>
        <w:pStyle w:val="Zkladntext"/>
        <w:spacing w:before="120" w:line="276" w:lineRule="auto"/>
        <w:ind w:firstLine="709"/>
        <w:rPr>
          <w:rFonts w:ascii="Book Antiqua" w:hAnsi="Book Antiqua" w:cs="Times New Roman"/>
          <w:bCs/>
          <w:sz w:val="22"/>
          <w:szCs w:val="22"/>
        </w:rPr>
      </w:pPr>
      <w:bookmarkStart w:id="1" w:name="_GoBack"/>
      <w:bookmarkEnd w:id="1"/>
    </w:p>
    <w:p w:rsidR="006E0262" w:rsidRDefault="005B6B10" w:rsidP="00CD667D">
      <w:pPr>
        <w:spacing w:before="120" w:after="0"/>
        <w:ind w:firstLine="708"/>
        <w:jc w:val="center"/>
      </w:pPr>
      <w:r>
        <w:rPr>
          <w:rFonts w:ascii="Book Antiqua" w:hAnsi="Book Antiqua"/>
          <w:b/>
          <w:bCs/>
          <w:caps/>
          <w:spacing w:val="30"/>
        </w:rPr>
        <w:lastRenderedPageBreak/>
        <w:t>DOLOŽKA ZLUČITEĽNOSTI</w:t>
      </w:r>
    </w:p>
    <w:p w:rsidR="006E0262" w:rsidRDefault="005B6B10" w:rsidP="00CD667D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           návrhu zákona</w:t>
      </w:r>
      <w:r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6E0262" w:rsidRDefault="005B6B10" w:rsidP="00CD667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 </w:t>
      </w:r>
    </w:p>
    <w:p w:rsidR="006E0262" w:rsidRDefault="005B6B10" w:rsidP="00CD667D">
      <w:pPr>
        <w:spacing w:before="120" w:after="0"/>
        <w:jc w:val="both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1. Navrhovatelia zákona:</w:t>
      </w:r>
      <w:r>
        <w:rPr>
          <w:rFonts w:ascii="Book Antiqua" w:hAnsi="Book Antiqua"/>
        </w:rPr>
        <w:t xml:space="preserve"> skupina poslancov Národnej rady Slovenskej republiky </w:t>
      </w:r>
    </w:p>
    <w:p w:rsidR="006E0262" w:rsidRDefault="006E0262" w:rsidP="00CD667D">
      <w:pPr>
        <w:spacing w:before="120" w:after="0"/>
        <w:ind w:firstLine="708"/>
        <w:jc w:val="both"/>
        <w:rPr>
          <w:rFonts w:ascii="Book Antiqua" w:hAnsi="Book Antiqua"/>
        </w:rPr>
      </w:pPr>
    </w:p>
    <w:p w:rsidR="006E0262" w:rsidRDefault="005B6B10" w:rsidP="00CD667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2. Názov návrhu zákona:</w:t>
      </w:r>
      <w:r>
        <w:rPr>
          <w:rFonts w:ascii="Book Antiqua" w:hAnsi="Book Antiqua"/>
          <w:sz w:val="22"/>
          <w:szCs w:val="22"/>
        </w:rPr>
        <w:t xml:space="preserve"> návrh zákona, </w:t>
      </w:r>
      <w:r>
        <w:rPr>
          <w:rFonts w:ascii="Book Antiqua" w:hAnsi="Book Antiqua"/>
          <w:bCs/>
          <w:sz w:val="22"/>
          <w:szCs w:val="22"/>
        </w:rPr>
        <w:t>ktorým sa mení a dopĺňa zákon č. 595/2003 Z. z. o dani z príjmov v znení neskorších predpisov</w:t>
      </w:r>
    </w:p>
    <w:p w:rsidR="006E0262" w:rsidRDefault="006E0262" w:rsidP="00CD667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E0262" w:rsidRDefault="005B6B10" w:rsidP="00CD667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6E0262" w:rsidRDefault="005B6B10" w:rsidP="00CD667D">
      <w:pPr>
        <w:pStyle w:val="Normlnywebov"/>
        <w:numPr>
          <w:ilvl w:val="0"/>
          <w:numId w:val="1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6E0262" w:rsidRDefault="005B6B10" w:rsidP="00CD667D">
      <w:pPr>
        <w:pStyle w:val="Normlnywebov"/>
        <w:numPr>
          <w:ilvl w:val="0"/>
          <w:numId w:val="1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6E0262" w:rsidRDefault="005B6B10" w:rsidP="00CD667D">
      <w:pPr>
        <w:pStyle w:val="Normlnywebov"/>
        <w:numPr>
          <w:ilvl w:val="0"/>
          <w:numId w:val="1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>
        <w:rPr>
          <w:rFonts w:ascii="Book Antiqua" w:hAnsi="Book Antiqua"/>
          <w:sz w:val="22"/>
          <w:szCs w:val="22"/>
        </w:rPr>
        <w:t> </w:t>
      </w:r>
    </w:p>
    <w:p w:rsidR="006E0262" w:rsidRDefault="006E0262" w:rsidP="00CD667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6E0262" w:rsidRDefault="005B6B10" w:rsidP="00CD667D">
      <w:pPr>
        <w:pStyle w:val="Normlnywebov"/>
        <w:spacing w:before="120" w:beforeAutospacing="0" w:after="0" w:afterAutospacing="0" w:line="276" w:lineRule="auto"/>
        <w:jc w:val="both"/>
      </w:pPr>
      <w:r>
        <w:rPr>
          <w:rFonts w:ascii="Book Antiqua" w:hAnsi="Book Antiqua"/>
          <w:b/>
          <w:bCs/>
          <w:sz w:val="22"/>
          <w:szCs w:val="22"/>
        </w:rPr>
        <w:t xml:space="preserve">Vzhľadom na to, že predmet návrhu zákona nie je upravený v práve Európskej únie, je bezpredmetné vyjadrovať sa k bodom 4 a 5. </w:t>
      </w:r>
    </w:p>
    <w:p w:rsidR="006E0262" w:rsidRDefault="005B6B10">
      <w:pPr>
        <w:spacing w:before="120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ab/>
      </w:r>
    </w:p>
    <w:p w:rsidR="006E0262" w:rsidRDefault="006E0262">
      <w:pPr>
        <w:spacing w:before="120"/>
        <w:ind w:left="360"/>
        <w:jc w:val="both"/>
        <w:rPr>
          <w:rFonts w:ascii="Book Antiqua" w:hAnsi="Book Antiqua"/>
          <w:b/>
          <w:bCs/>
        </w:rPr>
      </w:pPr>
    </w:p>
    <w:p w:rsidR="006E0262" w:rsidRDefault="006E0262">
      <w:pPr>
        <w:spacing w:before="120"/>
        <w:jc w:val="center"/>
        <w:rPr>
          <w:rFonts w:ascii="Book Antiqua" w:hAnsi="Book Antiqua"/>
          <w:b/>
          <w:bCs/>
          <w:caps/>
          <w:color w:val="000000"/>
          <w:spacing w:val="30"/>
        </w:rPr>
      </w:pPr>
    </w:p>
    <w:p w:rsidR="006E0262" w:rsidRDefault="006E0262">
      <w:pPr>
        <w:spacing w:before="120"/>
        <w:jc w:val="center"/>
        <w:rPr>
          <w:rFonts w:ascii="Book Antiqua" w:hAnsi="Book Antiqua"/>
          <w:b/>
          <w:bCs/>
          <w:caps/>
          <w:color w:val="000000"/>
          <w:spacing w:val="30"/>
        </w:rPr>
      </w:pPr>
    </w:p>
    <w:p w:rsidR="006E0262" w:rsidRDefault="006E0262">
      <w:pPr>
        <w:spacing w:before="120"/>
        <w:jc w:val="center"/>
        <w:rPr>
          <w:rFonts w:ascii="Book Antiqua" w:hAnsi="Book Antiqua"/>
          <w:b/>
          <w:bCs/>
          <w:caps/>
          <w:color w:val="000000"/>
          <w:spacing w:val="30"/>
        </w:rPr>
      </w:pPr>
    </w:p>
    <w:p w:rsidR="006E0262" w:rsidRDefault="006E0262">
      <w:pPr>
        <w:spacing w:before="120"/>
        <w:jc w:val="center"/>
        <w:rPr>
          <w:rFonts w:ascii="Book Antiqua" w:hAnsi="Book Antiqua"/>
          <w:b/>
          <w:bCs/>
          <w:caps/>
          <w:color w:val="000000"/>
          <w:spacing w:val="30"/>
        </w:rPr>
      </w:pPr>
    </w:p>
    <w:p w:rsidR="006E0262" w:rsidRDefault="006E0262">
      <w:pPr>
        <w:spacing w:before="120"/>
        <w:jc w:val="center"/>
        <w:rPr>
          <w:rFonts w:ascii="Book Antiqua" w:hAnsi="Book Antiqua"/>
          <w:b/>
          <w:bCs/>
          <w:caps/>
          <w:color w:val="000000"/>
          <w:spacing w:val="30"/>
        </w:rPr>
      </w:pPr>
    </w:p>
    <w:p w:rsidR="006E0262" w:rsidRDefault="006E0262">
      <w:pPr>
        <w:spacing w:before="120"/>
        <w:jc w:val="center"/>
        <w:rPr>
          <w:rFonts w:ascii="Book Antiqua" w:hAnsi="Book Antiqua"/>
          <w:b/>
          <w:bCs/>
          <w:caps/>
          <w:color w:val="000000"/>
          <w:spacing w:val="30"/>
        </w:rPr>
      </w:pPr>
    </w:p>
    <w:p w:rsidR="006E0262" w:rsidRDefault="006E0262">
      <w:pPr>
        <w:spacing w:before="120"/>
        <w:jc w:val="center"/>
        <w:rPr>
          <w:rFonts w:ascii="Book Antiqua" w:hAnsi="Book Antiqua"/>
          <w:b/>
          <w:bCs/>
          <w:caps/>
          <w:color w:val="000000"/>
          <w:spacing w:val="30"/>
        </w:rPr>
      </w:pPr>
    </w:p>
    <w:p w:rsidR="006E0262" w:rsidRDefault="006E0262">
      <w:pPr>
        <w:spacing w:before="120"/>
        <w:jc w:val="center"/>
        <w:rPr>
          <w:rFonts w:ascii="Book Antiqua" w:hAnsi="Book Antiqua"/>
          <w:b/>
          <w:bCs/>
          <w:caps/>
          <w:color w:val="000000"/>
          <w:spacing w:val="30"/>
        </w:rPr>
      </w:pPr>
    </w:p>
    <w:p w:rsidR="006E0262" w:rsidRDefault="006E0262">
      <w:pPr>
        <w:spacing w:before="120"/>
        <w:jc w:val="center"/>
        <w:rPr>
          <w:rFonts w:ascii="Book Antiqua" w:hAnsi="Book Antiqua"/>
          <w:b/>
          <w:bCs/>
          <w:caps/>
          <w:color w:val="000000"/>
          <w:spacing w:val="30"/>
        </w:rPr>
      </w:pPr>
    </w:p>
    <w:p w:rsidR="006E0262" w:rsidRDefault="006E0262">
      <w:pPr>
        <w:spacing w:before="120"/>
        <w:jc w:val="center"/>
        <w:rPr>
          <w:rFonts w:ascii="Book Antiqua" w:hAnsi="Book Antiqua"/>
          <w:b/>
          <w:bCs/>
          <w:caps/>
          <w:color w:val="000000"/>
          <w:spacing w:val="30"/>
        </w:rPr>
      </w:pPr>
    </w:p>
    <w:p w:rsidR="006E0262" w:rsidRDefault="006E0262">
      <w:pPr>
        <w:spacing w:before="120"/>
        <w:jc w:val="center"/>
        <w:rPr>
          <w:rFonts w:ascii="Book Antiqua" w:hAnsi="Book Antiqua"/>
          <w:b/>
          <w:bCs/>
          <w:caps/>
          <w:color w:val="000000"/>
          <w:spacing w:val="30"/>
        </w:rPr>
      </w:pPr>
    </w:p>
    <w:p w:rsidR="00EE0DD9" w:rsidRDefault="00EE0DD9">
      <w:pPr>
        <w:spacing w:before="120"/>
        <w:jc w:val="center"/>
        <w:rPr>
          <w:rFonts w:ascii="Book Antiqua" w:hAnsi="Book Antiqua"/>
          <w:b/>
          <w:bCs/>
          <w:caps/>
          <w:color w:val="000000"/>
          <w:spacing w:val="30"/>
        </w:rPr>
      </w:pPr>
    </w:p>
    <w:p w:rsidR="00EE0DD9" w:rsidRDefault="00EE0DD9">
      <w:pPr>
        <w:spacing w:before="120"/>
        <w:jc w:val="center"/>
        <w:rPr>
          <w:rFonts w:ascii="Book Antiqua" w:hAnsi="Book Antiqua"/>
          <w:b/>
          <w:bCs/>
          <w:caps/>
          <w:color w:val="000000"/>
          <w:spacing w:val="30"/>
        </w:rPr>
      </w:pPr>
    </w:p>
    <w:p w:rsidR="00F931CB" w:rsidRDefault="00F931CB">
      <w:pPr>
        <w:spacing w:before="120"/>
        <w:jc w:val="center"/>
        <w:rPr>
          <w:rFonts w:ascii="Book Antiqua" w:hAnsi="Book Antiqua"/>
          <w:b/>
          <w:bCs/>
          <w:caps/>
          <w:color w:val="000000"/>
          <w:spacing w:val="30"/>
        </w:rPr>
      </w:pPr>
    </w:p>
    <w:p w:rsidR="006E0262" w:rsidRPr="00EE0DD9" w:rsidRDefault="005B6B10" w:rsidP="00EE0DD9">
      <w:pPr>
        <w:spacing w:before="120" w:after="0"/>
        <w:jc w:val="center"/>
        <w:rPr>
          <w:rFonts w:ascii="Book Antiqua" w:hAnsi="Book Antiqua"/>
        </w:rPr>
      </w:pPr>
      <w:r w:rsidRPr="00EE0DD9">
        <w:rPr>
          <w:rFonts w:ascii="Book Antiqua" w:hAnsi="Book Antiqua"/>
          <w:b/>
          <w:bCs/>
          <w:caps/>
          <w:color w:val="000000"/>
          <w:spacing w:val="30"/>
        </w:rPr>
        <w:t>Doložka</w:t>
      </w:r>
    </w:p>
    <w:p w:rsidR="006E0262" w:rsidRPr="00EE0DD9" w:rsidRDefault="005B6B10" w:rsidP="00EE0DD9">
      <w:pPr>
        <w:spacing w:before="120" w:after="0"/>
        <w:jc w:val="center"/>
        <w:rPr>
          <w:rFonts w:ascii="Book Antiqua" w:hAnsi="Book Antiqua"/>
          <w:b/>
          <w:bCs/>
          <w:color w:val="000000"/>
        </w:rPr>
      </w:pPr>
      <w:r w:rsidRPr="00EE0DD9">
        <w:rPr>
          <w:rFonts w:ascii="Book Antiqua" w:hAnsi="Book Antiqua"/>
          <w:b/>
          <w:bCs/>
          <w:color w:val="000000"/>
        </w:rPr>
        <w:t>vybraných vplyvov</w:t>
      </w:r>
    </w:p>
    <w:p w:rsidR="006E0262" w:rsidRPr="00EE0DD9" w:rsidRDefault="006E0262" w:rsidP="00EE0DD9">
      <w:pPr>
        <w:spacing w:before="120" w:after="0"/>
        <w:jc w:val="both"/>
        <w:rPr>
          <w:rFonts w:ascii="Book Antiqua" w:hAnsi="Book Antiqua"/>
          <w:color w:val="000000"/>
        </w:rPr>
      </w:pPr>
    </w:p>
    <w:p w:rsidR="006E0262" w:rsidRPr="00EE0DD9" w:rsidRDefault="005B6B10" w:rsidP="00EE0DD9">
      <w:pPr>
        <w:spacing w:before="120" w:after="0"/>
        <w:jc w:val="both"/>
        <w:rPr>
          <w:rFonts w:ascii="Book Antiqua" w:hAnsi="Book Antiqua"/>
        </w:rPr>
      </w:pPr>
      <w:r w:rsidRPr="00EE0DD9">
        <w:rPr>
          <w:rFonts w:ascii="Book Antiqua" w:hAnsi="Book Antiqua"/>
          <w:b/>
          <w:bCs/>
          <w:color w:val="000000"/>
        </w:rPr>
        <w:t xml:space="preserve">A.1. Názov materiálu: </w:t>
      </w:r>
      <w:r w:rsidRPr="00EE0DD9">
        <w:rPr>
          <w:rFonts w:ascii="Book Antiqua" w:hAnsi="Book Antiqua"/>
        </w:rPr>
        <w:t xml:space="preserve">návrh zákona, </w:t>
      </w:r>
      <w:r w:rsidRPr="00EE0DD9">
        <w:rPr>
          <w:rFonts w:ascii="Book Antiqua" w:hAnsi="Book Antiqua"/>
          <w:bCs/>
        </w:rPr>
        <w:t>ktorým sa mení a dopĺňa zákon č. 595/2003 Z. z. o dani z príjmov v znení neskorších predpisov</w:t>
      </w:r>
    </w:p>
    <w:p w:rsidR="006E0262" w:rsidRPr="00EE0DD9" w:rsidRDefault="006E0262" w:rsidP="00EE0DD9">
      <w:pPr>
        <w:spacing w:before="120" w:after="0"/>
        <w:jc w:val="both"/>
        <w:rPr>
          <w:rFonts w:ascii="Book Antiqua" w:hAnsi="Book Antiqua"/>
          <w:b/>
          <w:bCs/>
          <w:color w:val="000000"/>
        </w:rPr>
      </w:pPr>
    </w:p>
    <w:p w:rsidR="006E0262" w:rsidRPr="00EE0DD9" w:rsidRDefault="005B6B10" w:rsidP="00EE0DD9">
      <w:pPr>
        <w:spacing w:before="120" w:after="0"/>
        <w:jc w:val="both"/>
        <w:rPr>
          <w:rFonts w:ascii="Book Antiqua" w:hAnsi="Book Antiqua"/>
          <w:i/>
          <w:iCs/>
          <w:color w:val="000000"/>
        </w:rPr>
      </w:pPr>
      <w:r w:rsidRPr="00EE0DD9">
        <w:rPr>
          <w:rFonts w:ascii="Book Antiqua" w:hAnsi="Book Antiqua"/>
          <w:b/>
          <w:bCs/>
          <w:color w:val="000000"/>
        </w:rPr>
        <w:t>Termín začatia a ukončenia PPK:</w:t>
      </w:r>
      <w:r w:rsidRPr="00EE0DD9">
        <w:rPr>
          <w:rFonts w:ascii="Book Antiqua" w:hAnsi="Book Antiqua"/>
          <w:color w:val="000000"/>
        </w:rPr>
        <w:t xml:space="preserve"> </w:t>
      </w:r>
      <w:r w:rsidRPr="00EE0DD9">
        <w:rPr>
          <w:rFonts w:ascii="Book Antiqua" w:hAnsi="Book Antiqua"/>
          <w:i/>
          <w:iCs/>
          <w:color w:val="000000"/>
        </w:rPr>
        <w:t>bezpredmetné</w:t>
      </w:r>
    </w:p>
    <w:p w:rsidR="006E0262" w:rsidRPr="00EE0DD9" w:rsidRDefault="006E0262" w:rsidP="00EE0DD9">
      <w:pPr>
        <w:spacing w:after="0"/>
        <w:jc w:val="both"/>
        <w:rPr>
          <w:rFonts w:ascii="Book Antiqua" w:hAnsi="Book Antiqua"/>
          <w:b/>
          <w:bCs/>
          <w:color w:val="000000"/>
        </w:rPr>
      </w:pPr>
    </w:p>
    <w:p w:rsidR="006E0262" w:rsidRPr="00EE0DD9" w:rsidRDefault="005B6B10" w:rsidP="00EE0DD9">
      <w:pPr>
        <w:spacing w:after="0"/>
        <w:jc w:val="both"/>
        <w:rPr>
          <w:rFonts w:ascii="Book Antiqua" w:hAnsi="Book Antiqua"/>
          <w:b/>
          <w:bCs/>
          <w:color w:val="000000"/>
        </w:rPr>
      </w:pPr>
      <w:r w:rsidRPr="00EE0DD9">
        <w:rPr>
          <w:rFonts w:ascii="Book Antiqua" w:hAnsi="Book Antiqua"/>
          <w:b/>
          <w:bCs/>
          <w:color w:val="000000"/>
        </w:rPr>
        <w:t>A.2. Vplyvy:</w:t>
      </w:r>
    </w:p>
    <w:tbl>
      <w:tblPr>
        <w:tblW w:w="5000" w:type="pct"/>
        <w:tblInd w:w="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1"/>
        <w:gridCol w:w="1188"/>
        <w:gridCol w:w="1175"/>
        <w:gridCol w:w="1192"/>
      </w:tblGrid>
      <w:tr w:rsidR="006E0262" w:rsidRPr="00EE0DD9">
        <w:tc>
          <w:tcPr>
            <w:tcW w:w="55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E0262" w:rsidRPr="00EE0DD9" w:rsidRDefault="006E0262" w:rsidP="00EE0DD9">
            <w:pPr>
              <w:spacing w:after="0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E0262" w:rsidRPr="00EE0DD9" w:rsidRDefault="005B6B10" w:rsidP="00EE0DD9">
            <w:pPr>
              <w:spacing w:after="0"/>
              <w:jc w:val="center"/>
              <w:rPr>
                <w:rFonts w:ascii="Book Antiqua" w:hAnsi="Book Antiqua"/>
                <w:color w:val="000000"/>
              </w:rPr>
            </w:pPr>
            <w:r w:rsidRPr="00EE0DD9">
              <w:rPr>
                <w:rFonts w:ascii="Book Antiqua" w:hAnsi="Book Antiqua"/>
                <w:color w:val="000000"/>
              </w:rPr>
              <w:t>Pozitívne</w:t>
            </w:r>
          </w:p>
        </w:tc>
        <w:tc>
          <w:tcPr>
            <w:tcW w:w="11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E0262" w:rsidRPr="00EE0DD9" w:rsidRDefault="005B6B10" w:rsidP="00EE0DD9">
            <w:pPr>
              <w:spacing w:after="0"/>
              <w:jc w:val="center"/>
              <w:rPr>
                <w:rFonts w:ascii="Book Antiqua" w:hAnsi="Book Antiqua"/>
                <w:color w:val="000000"/>
              </w:rPr>
            </w:pPr>
            <w:r w:rsidRPr="00EE0DD9">
              <w:rPr>
                <w:rFonts w:ascii="Book Antiqua" w:hAnsi="Book Antiqua"/>
                <w:color w:val="000000"/>
              </w:rPr>
              <w:t>Žiadne</w:t>
            </w:r>
          </w:p>
        </w:tc>
        <w:tc>
          <w:tcPr>
            <w:tcW w:w="11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E0262" w:rsidRPr="00EE0DD9" w:rsidRDefault="005B6B10" w:rsidP="00EE0DD9">
            <w:pPr>
              <w:spacing w:after="0"/>
              <w:jc w:val="center"/>
              <w:rPr>
                <w:rFonts w:ascii="Book Antiqua" w:hAnsi="Book Antiqua"/>
                <w:color w:val="000000"/>
              </w:rPr>
            </w:pPr>
            <w:r w:rsidRPr="00EE0DD9">
              <w:rPr>
                <w:rFonts w:ascii="Book Antiqua" w:hAnsi="Book Antiqua"/>
                <w:color w:val="000000"/>
              </w:rPr>
              <w:t>Negatívne</w:t>
            </w:r>
          </w:p>
        </w:tc>
      </w:tr>
      <w:tr w:rsidR="006E0262" w:rsidRPr="00EE0DD9">
        <w:tc>
          <w:tcPr>
            <w:tcW w:w="55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E0262" w:rsidRPr="00EE0DD9" w:rsidRDefault="005B6B10" w:rsidP="00EE0DD9">
            <w:pPr>
              <w:spacing w:after="0"/>
              <w:jc w:val="both"/>
              <w:rPr>
                <w:rFonts w:ascii="Book Antiqua" w:hAnsi="Book Antiqua"/>
                <w:color w:val="000000"/>
              </w:rPr>
            </w:pPr>
            <w:r w:rsidRPr="00EE0DD9">
              <w:rPr>
                <w:rFonts w:ascii="Book Antiqua" w:hAnsi="Book Antiqua"/>
                <w:color w:val="000000"/>
              </w:rPr>
              <w:t>1. Vplyvy na rozpočet verejnej správy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E0262" w:rsidRPr="00EE0DD9" w:rsidRDefault="006E0262" w:rsidP="00EE0DD9">
            <w:pPr>
              <w:spacing w:after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1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E0262" w:rsidRPr="00EE0DD9" w:rsidRDefault="006E0262" w:rsidP="00EE0DD9">
            <w:pPr>
              <w:spacing w:after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1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E0262" w:rsidRPr="00EE0DD9" w:rsidRDefault="005B6B10" w:rsidP="00EE0DD9">
            <w:pPr>
              <w:spacing w:after="0"/>
              <w:jc w:val="center"/>
              <w:rPr>
                <w:rFonts w:ascii="Book Antiqua" w:hAnsi="Book Antiqua"/>
                <w:color w:val="000000"/>
              </w:rPr>
            </w:pPr>
            <w:r w:rsidRPr="00EE0DD9">
              <w:rPr>
                <w:rFonts w:ascii="Book Antiqua" w:hAnsi="Book Antiqua"/>
                <w:color w:val="000000"/>
              </w:rPr>
              <w:t>x</w:t>
            </w:r>
          </w:p>
        </w:tc>
      </w:tr>
      <w:tr w:rsidR="006E0262" w:rsidRPr="00EE0DD9">
        <w:tc>
          <w:tcPr>
            <w:tcW w:w="55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E0262" w:rsidRPr="00EE0DD9" w:rsidRDefault="005B6B10" w:rsidP="00EE0DD9">
            <w:pPr>
              <w:spacing w:after="0"/>
              <w:jc w:val="both"/>
              <w:rPr>
                <w:rFonts w:ascii="Book Antiqua" w:hAnsi="Book Antiqua"/>
                <w:color w:val="000000"/>
              </w:rPr>
            </w:pPr>
            <w:r w:rsidRPr="00EE0DD9">
              <w:rPr>
                <w:rFonts w:ascii="Book Antiqua" w:hAnsi="Book Antiqua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E0262" w:rsidRPr="00EE0DD9" w:rsidRDefault="005B6B10" w:rsidP="00EE0DD9">
            <w:pPr>
              <w:spacing w:after="0"/>
              <w:jc w:val="center"/>
              <w:rPr>
                <w:rFonts w:ascii="Book Antiqua" w:hAnsi="Book Antiqua"/>
                <w:color w:val="000000"/>
              </w:rPr>
            </w:pPr>
            <w:r w:rsidRPr="00EE0DD9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1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E0262" w:rsidRPr="00EE0DD9" w:rsidRDefault="006E0262" w:rsidP="00EE0DD9">
            <w:pPr>
              <w:spacing w:after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1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E0262" w:rsidRPr="00EE0DD9" w:rsidRDefault="006E0262" w:rsidP="00EE0DD9">
            <w:pPr>
              <w:spacing w:after="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6E0262" w:rsidRPr="00EE0DD9">
        <w:tc>
          <w:tcPr>
            <w:tcW w:w="55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E0262" w:rsidRPr="00EE0DD9" w:rsidRDefault="005B6B10" w:rsidP="00EE0DD9">
            <w:pPr>
              <w:spacing w:after="0"/>
              <w:jc w:val="both"/>
              <w:rPr>
                <w:rFonts w:ascii="Book Antiqua" w:hAnsi="Book Antiqua"/>
                <w:color w:val="000000"/>
              </w:rPr>
            </w:pPr>
            <w:r w:rsidRPr="00EE0DD9">
              <w:rPr>
                <w:rFonts w:ascii="Book Antiqua" w:hAnsi="Book Antiqua"/>
                <w:color w:val="000000"/>
              </w:rPr>
              <w:t>3. Sociálne vplyvy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E0262" w:rsidRPr="00EE0DD9" w:rsidRDefault="006E0262" w:rsidP="00EE0DD9">
            <w:pPr>
              <w:spacing w:after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1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E0262" w:rsidRPr="00EE0DD9" w:rsidRDefault="005B6B10" w:rsidP="00EE0DD9">
            <w:pPr>
              <w:spacing w:after="0"/>
              <w:jc w:val="center"/>
              <w:rPr>
                <w:rFonts w:ascii="Book Antiqua" w:hAnsi="Book Antiqua"/>
                <w:color w:val="000000"/>
              </w:rPr>
            </w:pPr>
            <w:r w:rsidRPr="00EE0DD9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1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E0262" w:rsidRPr="00EE0DD9" w:rsidRDefault="006E0262" w:rsidP="00EE0DD9">
            <w:pPr>
              <w:spacing w:after="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6E0262" w:rsidRPr="00EE0DD9">
        <w:tc>
          <w:tcPr>
            <w:tcW w:w="55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E0262" w:rsidRPr="00EE0DD9" w:rsidRDefault="005B6B10" w:rsidP="00EE0DD9">
            <w:pPr>
              <w:spacing w:after="0"/>
              <w:jc w:val="both"/>
              <w:rPr>
                <w:rFonts w:ascii="Book Antiqua" w:hAnsi="Book Antiqua"/>
                <w:color w:val="000000"/>
              </w:rPr>
            </w:pPr>
            <w:r w:rsidRPr="00EE0DD9">
              <w:rPr>
                <w:rFonts w:ascii="Book Antiqua" w:hAnsi="Book Antiqua"/>
                <w:color w:val="000000"/>
              </w:rPr>
              <w:t>– vplyvy na hospodárenie obyvateľstva,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E0262" w:rsidRPr="00EE0DD9" w:rsidRDefault="006E0262" w:rsidP="00EE0DD9">
            <w:pPr>
              <w:spacing w:after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1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E0262" w:rsidRPr="00EE0DD9" w:rsidRDefault="005B6B10" w:rsidP="00EE0DD9">
            <w:pPr>
              <w:spacing w:after="0"/>
              <w:jc w:val="center"/>
              <w:rPr>
                <w:rFonts w:ascii="Book Antiqua" w:hAnsi="Book Antiqua"/>
                <w:color w:val="000000"/>
              </w:rPr>
            </w:pPr>
            <w:r w:rsidRPr="00EE0DD9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1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E0262" w:rsidRPr="00EE0DD9" w:rsidRDefault="006E0262" w:rsidP="00EE0DD9">
            <w:pPr>
              <w:spacing w:after="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6E0262" w:rsidRPr="00EE0DD9">
        <w:tc>
          <w:tcPr>
            <w:tcW w:w="55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E0262" w:rsidRPr="00EE0DD9" w:rsidRDefault="005B6B10" w:rsidP="00EE0DD9">
            <w:pPr>
              <w:spacing w:after="0"/>
              <w:jc w:val="both"/>
              <w:rPr>
                <w:rFonts w:ascii="Book Antiqua" w:hAnsi="Book Antiqua"/>
                <w:color w:val="000000"/>
              </w:rPr>
            </w:pPr>
            <w:r w:rsidRPr="00EE0DD9">
              <w:rPr>
                <w:rFonts w:ascii="Book Antiqua" w:hAnsi="Book Antiqua"/>
                <w:color w:val="000000"/>
              </w:rPr>
              <w:t xml:space="preserve">– sociálnu </w:t>
            </w:r>
            <w:proofErr w:type="spellStart"/>
            <w:r w:rsidRPr="00EE0DD9">
              <w:rPr>
                <w:rFonts w:ascii="Book Antiqua" w:hAnsi="Book Antiqua"/>
                <w:color w:val="000000"/>
              </w:rPr>
              <w:t>exklúziu</w:t>
            </w:r>
            <w:proofErr w:type="spellEnd"/>
            <w:r w:rsidRPr="00EE0DD9">
              <w:rPr>
                <w:rFonts w:ascii="Book Antiqua" w:hAnsi="Book Antiqua"/>
                <w:color w:val="000000"/>
              </w:rPr>
              <w:t>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E0262" w:rsidRPr="00EE0DD9" w:rsidRDefault="006E0262" w:rsidP="00EE0DD9">
            <w:pPr>
              <w:spacing w:after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1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E0262" w:rsidRPr="00EE0DD9" w:rsidRDefault="005B6B10" w:rsidP="00EE0DD9">
            <w:pPr>
              <w:spacing w:after="0"/>
              <w:jc w:val="center"/>
              <w:rPr>
                <w:rFonts w:ascii="Book Antiqua" w:hAnsi="Book Antiqua"/>
                <w:color w:val="000000"/>
              </w:rPr>
            </w:pPr>
            <w:r w:rsidRPr="00EE0DD9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1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E0262" w:rsidRPr="00EE0DD9" w:rsidRDefault="006E0262" w:rsidP="00EE0DD9">
            <w:pPr>
              <w:spacing w:after="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6E0262" w:rsidRPr="00EE0DD9">
        <w:tc>
          <w:tcPr>
            <w:tcW w:w="55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E0262" w:rsidRPr="00EE0DD9" w:rsidRDefault="005B6B10" w:rsidP="00EE0DD9">
            <w:pPr>
              <w:spacing w:after="0"/>
              <w:jc w:val="both"/>
              <w:rPr>
                <w:rFonts w:ascii="Book Antiqua" w:hAnsi="Book Antiqua"/>
                <w:color w:val="000000"/>
              </w:rPr>
            </w:pPr>
            <w:r w:rsidRPr="00EE0DD9">
              <w:rPr>
                <w:rFonts w:ascii="Book Antiqua" w:hAnsi="Book Antiqua"/>
                <w:color w:val="000000"/>
              </w:rPr>
              <w:t>– rovnosť príležitostí a rodovú rovnosť a vplyvy na zamestnanosť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E0262" w:rsidRPr="00EE0DD9" w:rsidRDefault="006E0262" w:rsidP="00EE0DD9">
            <w:pPr>
              <w:spacing w:after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1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E0262" w:rsidRPr="00EE0DD9" w:rsidRDefault="005B6B10" w:rsidP="00EE0DD9">
            <w:pPr>
              <w:spacing w:after="0"/>
              <w:jc w:val="center"/>
              <w:rPr>
                <w:rFonts w:ascii="Book Antiqua" w:hAnsi="Book Antiqua"/>
                <w:color w:val="000000"/>
              </w:rPr>
            </w:pPr>
            <w:r w:rsidRPr="00EE0DD9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1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E0262" w:rsidRPr="00EE0DD9" w:rsidRDefault="006E0262" w:rsidP="00EE0DD9">
            <w:pPr>
              <w:spacing w:after="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6E0262" w:rsidRPr="00EE0DD9">
        <w:tc>
          <w:tcPr>
            <w:tcW w:w="55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E0262" w:rsidRPr="00EE0DD9" w:rsidRDefault="005B6B10" w:rsidP="00EE0DD9">
            <w:pPr>
              <w:spacing w:after="0"/>
              <w:jc w:val="both"/>
              <w:rPr>
                <w:rFonts w:ascii="Book Antiqua" w:hAnsi="Book Antiqua"/>
                <w:color w:val="000000"/>
              </w:rPr>
            </w:pPr>
            <w:r w:rsidRPr="00EE0DD9">
              <w:rPr>
                <w:rFonts w:ascii="Book Antiqua" w:hAnsi="Book Antiqua"/>
                <w:color w:val="000000"/>
              </w:rPr>
              <w:t>4. Vplyvy na životné prostredie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E0262" w:rsidRPr="00EE0DD9" w:rsidRDefault="006E0262" w:rsidP="00EE0DD9">
            <w:pPr>
              <w:spacing w:after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1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E0262" w:rsidRPr="00EE0DD9" w:rsidRDefault="005B6B10" w:rsidP="00EE0DD9">
            <w:pPr>
              <w:spacing w:after="0"/>
              <w:jc w:val="center"/>
              <w:rPr>
                <w:rFonts w:ascii="Book Antiqua" w:hAnsi="Book Antiqua"/>
                <w:color w:val="000000"/>
              </w:rPr>
            </w:pPr>
            <w:r w:rsidRPr="00EE0DD9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1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E0262" w:rsidRPr="00EE0DD9" w:rsidRDefault="006E0262" w:rsidP="00EE0DD9">
            <w:pPr>
              <w:spacing w:after="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6E0262" w:rsidRPr="00EE0DD9">
        <w:tc>
          <w:tcPr>
            <w:tcW w:w="55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E0262" w:rsidRPr="00EE0DD9" w:rsidRDefault="005B6B10" w:rsidP="00EE0DD9">
            <w:pPr>
              <w:spacing w:after="0"/>
              <w:jc w:val="both"/>
              <w:rPr>
                <w:rFonts w:ascii="Book Antiqua" w:hAnsi="Book Antiqua"/>
                <w:color w:val="000000"/>
              </w:rPr>
            </w:pPr>
            <w:r w:rsidRPr="00EE0DD9">
              <w:rPr>
                <w:rFonts w:ascii="Book Antiqua" w:hAnsi="Book Antiqua"/>
                <w:color w:val="000000"/>
              </w:rPr>
              <w:t>5. Vplyvy na informatizáciu spoločnosti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E0262" w:rsidRPr="00EE0DD9" w:rsidRDefault="006E0262" w:rsidP="00EE0DD9">
            <w:pPr>
              <w:spacing w:after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1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E0262" w:rsidRPr="00EE0DD9" w:rsidRDefault="005B6B10" w:rsidP="00EE0DD9">
            <w:pPr>
              <w:spacing w:after="0"/>
              <w:jc w:val="center"/>
              <w:rPr>
                <w:rFonts w:ascii="Book Antiqua" w:hAnsi="Book Antiqua"/>
                <w:color w:val="000000"/>
              </w:rPr>
            </w:pPr>
            <w:r w:rsidRPr="00EE0DD9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1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E0262" w:rsidRPr="00EE0DD9" w:rsidRDefault="006E0262" w:rsidP="00EE0DD9">
            <w:pPr>
              <w:spacing w:after="0"/>
              <w:jc w:val="center"/>
              <w:rPr>
                <w:rFonts w:ascii="Book Antiqua" w:hAnsi="Book Antiqua"/>
                <w:color w:val="000000"/>
              </w:rPr>
            </w:pPr>
          </w:p>
        </w:tc>
      </w:tr>
    </w:tbl>
    <w:p w:rsidR="006E0262" w:rsidRPr="00EE0DD9" w:rsidRDefault="005B6B10" w:rsidP="00EE0DD9">
      <w:pPr>
        <w:spacing w:after="0"/>
        <w:jc w:val="both"/>
        <w:rPr>
          <w:rFonts w:ascii="Book Antiqua" w:hAnsi="Book Antiqua"/>
          <w:color w:val="000000"/>
        </w:rPr>
      </w:pPr>
      <w:r w:rsidRPr="00EE0DD9">
        <w:rPr>
          <w:rFonts w:ascii="Book Antiqua" w:hAnsi="Book Antiqua"/>
          <w:color w:val="000000"/>
        </w:rPr>
        <w:t> </w:t>
      </w:r>
    </w:p>
    <w:p w:rsidR="006E0262" w:rsidRPr="00EE0DD9" w:rsidRDefault="005B6B10" w:rsidP="00EE0DD9">
      <w:pPr>
        <w:spacing w:before="120" w:after="0"/>
        <w:jc w:val="both"/>
        <w:rPr>
          <w:rFonts w:ascii="Book Antiqua" w:hAnsi="Book Antiqua"/>
          <w:b/>
          <w:bCs/>
          <w:color w:val="000000"/>
        </w:rPr>
      </w:pPr>
      <w:r w:rsidRPr="00EE0DD9">
        <w:rPr>
          <w:rFonts w:ascii="Book Antiqua" w:hAnsi="Book Antiqua"/>
          <w:b/>
          <w:bCs/>
          <w:color w:val="000000"/>
        </w:rPr>
        <w:t>A.3. Poznámky</w:t>
      </w:r>
    </w:p>
    <w:p w:rsidR="006E0262" w:rsidRPr="00EE0DD9" w:rsidRDefault="005B6B10" w:rsidP="00EE0DD9">
      <w:pPr>
        <w:spacing w:before="120" w:after="0"/>
        <w:jc w:val="both"/>
        <w:rPr>
          <w:rFonts w:ascii="Book Antiqua" w:hAnsi="Book Antiqua"/>
        </w:rPr>
      </w:pPr>
      <w:r w:rsidRPr="00EE0DD9">
        <w:rPr>
          <w:rFonts w:ascii="Book Antiqua" w:hAnsi="Book Antiqua"/>
          <w:bCs/>
          <w:i/>
          <w:color w:val="000000"/>
        </w:rPr>
        <w:t>Od predloženého návrhu zákona sa očakáva výrazne pozitívny vplyv na podnikateľské prostredie, a to v súvislosti so znížením administratívneho zaťaženia najmä pre malé a stredne veľké obchodné spoločnosti</w:t>
      </w:r>
      <w:r w:rsidR="00EE0DD9" w:rsidRPr="00EE0DD9">
        <w:rPr>
          <w:rFonts w:ascii="Book Antiqua" w:hAnsi="Book Antiqua"/>
          <w:bCs/>
          <w:i/>
          <w:color w:val="000000"/>
        </w:rPr>
        <w:t>,</w:t>
      </w:r>
      <w:r w:rsidRPr="00EE0DD9">
        <w:rPr>
          <w:rFonts w:ascii="Book Antiqua" w:hAnsi="Book Antiqua"/>
          <w:bCs/>
          <w:i/>
          <w:color w:val="000000"/>
        </w:rPr>
        <w:t xml:space="preserve"> ako aj pre väčšinu </w:t>
      </w:r>
      <w:r w:rsidR="00EE0DD9" w:rsidRPr="00EE0DD9">
        <w:rPr>
          <w:rFonts w:ascii="Book Antiqua" w:hAnsi="Book Antiqua"/>
          <w:bCs/>
          <w:i/>
          <w:color w:val="000000"/>
        </w:rPr>
        <w:t>samostatne zárobkovo činných osôb</w:t>
      </w:r>
      <w:r w:rsidRPr="00EE0DD9">
        <w:rPr>
          <w:rFonts w:ascii="Book Antiqua" w:hAnsi="Book Antiqua"/>
          <w:bCs/>
          <w:i/>
          <w:color w:val="000000"/>
        </w:rPr>
        <w:t xml:space="preserve">. </w:t>
      </w:r>
    </w:p>
    <w:p w:rsidR="006E0262" w:rsidRPr="00EE0DD9" w:rsidRDefault="005B6B10" w:rsidP="00EE0DD9">
      <w:pPr>
        <w:spacing w:before="120" w:after="0"/>
        <w:jc w:val="both"/>
        <w:rPr>
          <w:rFonts w:ascii="Book Antiqua" w:hAnsi="Book Antiqua"/>
        </w:rPr>
      </w:pPr>
      <w:r w:rsidRPr="002617AF">
        <w:rPr>
          <w:rFonts w:ascii="Book Antiqua" w:hAnsi="Book Antiqua"/>
          <w:bCs/>
          <w:i/>
          <w:color w:val="000000"/>
        </w:rPr>
        <w:t>Navrhnuté opatrenie so sebou</w:t>
      </w:r>
      <w:r w:rsidR="00DB34AB" w:rsidRPr="002617AF">
        <w:rPr>
          <w:rFonts w:ascii="Book Antiqua" w:hAnsi="Book Antiqua"/>
          <w:bCs/>
          <w:i/>
          <w:color w:val="000000"/>
        </w:rPr>
        <w:t xml:space="preserve"> neprinesie negatívny dopad na rozpočet verejnej správy. V najpesimistickejšom scenári, ktorý sa neočakáva,</w:t>
      </w:r>
      <w:r w:rsidR="002617AF">
        <w:rPr>
          <w:rFonts w:ascii="Book Antiqua" w:hAnsi="Book Antiqua"/>
          <w:bCs/>
          <w:i/>
          <w:color w:val="000000"/>
        </w:rPr>
        <w:t xml:space="preserve"> </w:t>
      </w:r>
      <w:r w:rsidR="00823ABD" w:rsidRPr="002617AF">
        <w:rPr>
          <w:rFonts w:ascii="Book Antiqua" w:hAnsi="Book Antiqua"/>
          <w:bCs/>
          <w:i/>
          <w:color w:val="000000"/>
        </w:rPr>
        <w:t xml:space="preserve">by návrh priniesol  </w:t>
      </w:r>
      <w:r w:rsidR="00EE0DD9" w:rsidRPr="002617AF">
        <w:rPr>
          <w:rFonts w:ascii="Book Antiqua" w:hAnsi="Book Antiqua"/>
          <w:bCs/>
          <w:i/>
          <w:color w:val="000000"/>
        </w:rPr>
        <w:t>len mierne</w:t>
      </w:r>
      <w:r w:rsidRPr="002617AF">
        <w:rPr>
          <w:rFonts w:ascii="Book Antiqua" w:hAnsi="Book Antiqua"/>
          <w:bCs/>
          <w:i/>
          <w:color w:val="000000"/>
        </w:rPr>
        <w:t xml:space="preserve"> zvýšené náklady na rozpočet verejnej správy. Vychádzajúc z prístupných údajov sa </w:t>
      </w:r>
      <w:r w:rsidR="00DB34AB" w:rsidRPr="002617AF">
        <w:rPr>
          <w:rFonts w:ascii="Book Antiqua" w:hAnsi="Book Antiqua"/>
          <w:bCs/>
          <w:i/>
          <w:color w:val="000000"/>
        </w:rPr>
        <w:t xml:space="preserve">teoretické </w:t>
      </w:r>
      <w:r w:rsidRPr="002617AF">
        <w:rPr>
          <w:rFonts w:ascii="Book Antiqua" w:hAnsi="Book Antiqua"/>
          <w:bCs/>
          <w:i/>
          <w:color w:val="000000"/>
        </w:rPr>
        <w:t xml:space="preserve">negatívne vplyvy na rozpočet verejnej správy vyčísľujú na </w:t>
      </w:r>
      <w:r w:rsidR="002617AF">
        <w:rPr>
          <w:rFonts w:ascii="Book Antiqua" w:hAnsi="Book Antiqua"/>
          <w:bCs/>
          <w:i/>
          <w:color w:val="000000"/>
        </w:rPr>
        <w:t>sumu najviac 800 000 eur ročne.</w:t>
      </w:r>
    </w:p>
    <w:p w:rsidR="006E0262" w:rsidRPr="00EE0DD9" w:rsidRDefault="006E0262" w:rsidP="00EE0DD9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i/>
          <w:color w:val="000000"/>
          <w:sz w:val="22"/>
          <w:szCs w:val="22"/>
        </w:rPr>
      </w:pPr>
    </w:p>
    <w:p w:rsidR="006E0262" w:rsidRPr="00EE0DD9" w:rsidRDefault="005B6B10" w:rsidP="00EE0DD9">
      <w:pPr>
        <w:spacing w:before="120" w:after="0"/>
        <w:jc w:val="both"/>
        <w:rPr>
          <w:rFonts w:ascii="Book Antiqua" w:hAnsi="Book Antiqua"/>
          <w:b/>
          <w:bCs/>
          <w:color w:val="000000"/>
        </w:rPr>
      </w:pPr>
      <w:r w:rsidRPr="00EE0DD9">
        <w:rPr>
          <w:rFonts w:ascii="Book Antiqua" w:hAnsi="Book Antiqua"/>
          <w:b/>
          <w:bCs/>
          <w:color w:val="000000"/>
        </w:rPr>
        <w:t>A.4. Alternatívne riešenia</w:t>
      </w:r>
    </w:p>
    <w:p w:rsidR="006E0262" w:rsidRPr="00EE0DD9" w:rsidRDefault="005B6B10" w:rsidP="00EE0DD9">
      <w:pPr>
        <w:spacing w:before="120" w:after="0"/>
        <w:jc w:val="both"/>
        <w:rPr>
          <w:rFonts w:ascii="Book Antiqua" w:hAnsi="Book Antiqua"/>
          <w:b/>
          <w:bCs/>
          <w:i/>
          <w:color w:val="000000"/>
        </w:rPr>
      </w:pPr>
      <w:r w:rsidRPr="00EE0DD9">
        <w:rPr>
          <w:rFonts w:ascii="Book Antiqua" w:hAnsi="Book Antiqua"/>
          <w:i/>
          <w:color w:val="000000"/>
        </w:rPr>
        <w:t>bezpredmetné </w:t>
      </w:r>
    </w:p>
    <w:p w:rsidR="006E0262" w:rsidRPr="00EE0DD9" w:rsidRDefault="006E0262" w:rsidP="00EE0DD9">
      <w:pPr>
        <w:spacing w:before="120" w:after="0"/>
        <w:jc w:val="both"/>
        <w:rPr>
          <w:rFonts w:ascii="Book Antiqua" w:hAnsi="Book Antiqua"/>
          <w:b/>
          <w:bCs/>
          <w:color w:val="000000"/>
        </w:rPr>
      </w:pPr>
    </w:p>
    <w:p w:rsidR="006E0262" w:rsidRPr="00EE0DD9" w:rsidRDefault="005B6B10" w:rsidP="00EE0DD9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EE0DD9">
        <w:rPr>
          <w:rFonts w:ascii="Book Antiqua" w:hAnsi="Book Antiqua"/>
          <w:b/>
          <w:bCs/>
          <w:sz w:val="22"/>
          <w:szCs w:val="22"/>
        </w:rPr>
        <w:t xml:space="preserve">A.5. </w:t>
      </w:r>
      <w:r w:rsidRPr="00EE0DD9">
        <w:rPr>
          <w:rFonts w:ascii="Book Antiqua" w:hAnsi="Book Antiqua"/>
          <w:b/>
          <w:bCs/>
          <w:sz w:val="22"/>
          <w:szCs w:val="22"/>
        </w:rPr>
        <w:tab/>
        <w:t>Stanovisko gestorov</w:t>
      </w:r>
    </w:p>
    <w:p w:rsidR="006E0262" w:rsidRDefault="005B6B10" w:rsidP="00EE0DD9">
      <w:pPr>
        <w:pStyle w:val="Zkladntext"/>
        <w:spacing w:before="120" w:line="276" w:lineRule="auto"/>
        <w:rPr>
          <w:rFonts w:ascii="Book Antiqua" w:hAnsi="Book Antiqua" w:cs="Times New Roman"/>
          <w:b/>
          <w:sz w:val="22"/>
          <w:szCs w:val="22"/>
        </w:rPr>
      </w:pPr>
      <w:r w:rsidRPr="00EE0DD9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</w:t>
      </w:r>
    </w:p>
    <w:p w:rsidR="006E0262" w:rsidRDefault="006E0262"/>
    <w:sectPr w:rsidR="006E0262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D60" w:rsidRDefault="00DA7D60">
      <w:pPr>
        <w:spacing w:after="0" w:line="240" w:lineRule="auto"/>
      </w:pPr>
      <w:r>
        <w:separator/>
      </w:r>
    </w:p>
  </w:endnote>
  <w:endnote w:type="continuationSeparator" w:id="0">
    <w:p w:rsidR="00DA7D60" w:rsidRDefault="00DA7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Palatino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D60" w:rsidRDefault="00DA7D60">
      <w:pPr>
        <w:spacing w:after="0" w:line="240" w:lineRule="auto"/>
      </w:pPr>
      <w:r>
        <w:separator/>
      </w:r>
    </w:p>
  </w:footnote>
  <w:footnote w:type="continuationSeparator" w:id="0">
    <w:p w:rsidR="00DA7D60" w:rsidRDefault="00DA7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262" w:rsidRDefault="006E0262">
    <w:pPr>
      <w:pStyle w:val="Hlavika"/>
    </w:pPr>
  </w:p>
  <w:p w:rsidR="006E0262" w:rsidRDefault="006E0262">
    <w:pPr>
      <w:pStyle w:val="Hlavika"/>
    </w:pPr>
  </w:p>
  <w:p w:rsidR="006E0262" w:rsidRDefault="006E02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62289"/>
    <w:multiLevelType w:val="multilevel"/>
    <w:tmpl w:val="055C0C92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7B4156B"/>
    <w:multiLevelType w:val="multilevel"/>
    <w:tmpl w:val="C55294F4"/>
    <w:lvl w:ilvl="0">
      <w:start w:val="1"/>
      <w:numFmt w:val="upperLetter"/>
      <w:lvlText w:val="%1."/>
      <w:lvlJc w:val="left"/>
      <w:pPr>
        <w:ind w:left="720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F775756"/>
    <w:multiLevelType w:val="multilevel"/>
    <w:tmpl w:val="8C9E0F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262"/>
    <w:rsid w:val="002617AF"/>
    <w:rsid w:val="004C689D"/>
    <w:rsid w:val="005B6B10"/>
    <w:rsid w:val="00620B7D"/>
    <w:rsid w:val="00660DDA"/>
    <w:rsid w:val="006E0262"/>
    <w:rsid w:val="00823ABD"/>
    <w:rsid w:val="00AF4F22"/>
    <w:rsid w:val="00BD3735"/>
    <w:rsid w:val="00CD667D"/>
    <w:rsid w:val="00DA7D60"/>
    <w:rsid w:val="00DB34AB"/>
    <w:rsid w:val="00EE0DD9"/>
    <w:rsid w:val="00F13362"/>
    <w:rsid w:val="00F931CB"/>
    <w:rsid w:val="00FE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9D97"/>
  <w15:docId w15:val="{EA17D380-0E9C-487D-B790-E8B2FA92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496A"/>
    <w:pPr>
      <w:spacing w:after="200" w:line="276" w:lineRule="auto"/>
    </w:pPr>
    <w:rPr>
      <w:rFonts w:eastAsia="Times New Roman" w:cs="Times New Roman"/>
    </w:rPr>
  </w:style>
  <w:style w:type="paragraph" w:styleId="Nadpis1">
    <w:name w:val="heading 1"/>
    <w:basedOn w:val="Normlny"/>
    <w:link w:val="Nadpis1Char"/>
    <w:uiPriority w:val="9"/>
    <w:qFormat/>
    <w:rsid w:val="001F496A"/>
    <w:pPr>
      <w:spacing w:beforeAutospacing="1" w:afterAutospacing="1" w:line="240" w:lineRule="auto"/>
      <w:outlineLvl w:val="0"/>
    </w:pPr>
    <w:rPr>
      <w:rFonts w:ascii="Times New Roman" w:hAnsi="Times New Roman"/>
      <w:b/>
      <w:bCs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qFormat/>
    <w:rsid w:val="001F496A"/>
    <w:rPr>
      <w:rFonts w:ascii="Times New Roman" w:eastAsia="Times New Roman" w:hAnsi="Times New Roman" w:cs="Times New Roman"/>
      <w:b/>
      <w:bCs/>
      <w:sz w:val="48"/>
      <w:szCs w:val="48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1F496A"/>
    <w:rPr>
      <w:rFonts w:ascii="Calibri" w:eastAsia="Times New Roman" w:hAnsi="Calibri" w:cs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1F496A"/>
    <w:rPr>
      <w:rFonts w:ascii="Arial" w:eastAsia="Times New Roman" w:hAnsi="Arial" w:cs="Arial"/>
      <w:sz w:val="24"/>
      <w:szCs w:val="24"/>
      <w:lang w:eastAsia="sk-SK"/>
    </w:rPr>
  </w:style>
  <w:style w:type="character" w:customStyle="1" w:styleId="ListLabel1">
    <w:name w:val="ListLabel 1"/>
    <w:qFormat/>
    <w:rPr>
      <w:rFonts w:ascii="Book Antiqua" w:hAnsi="Book Antiqua" w:cs="Times New Roman"/>
      <w:b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ascii="Book Antiqua" w:hAnsi="Book Antiqua" w:cs="Times New Roman"/>
      <w:sz w:val="22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F496A"/>
    <w:pPr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Hlavika">
    <w:name w:val="header"/>
    <w:basedOn w:val="Normlny"/>
    <w:link w:val="HlavikaChar"/>
    <w:uiPriority w:val="99"/>
    <w:unhideWhenUsed/>
    <w:rsid w:val="001F496A"/>
    <w:pPr>
      <w:tabs>
        <w:tab w:val="center" w:pos="4536"/>
        <w:tab w:val="right" w:pos="9072"/>
      </w:tabs>
      <w:spacing w:after="0" w:line="240" w:lineRule="auto"/>
    </w:pPr>
  </w:style>
  <w:style w:type="paragraph" w:styleId="Normlnywebov">
    <w:name w:val="Normal (Web)"/>
    <w:basedOn w:val="Normlny"/>
    <w:uiPriority w:val="99"/>
    <w:unhideWhenUsed/>
    <w:qFormat/>
    <w:rsid w:val="001F496A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1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17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Lukáč, Jozef (asistent)</cp:lastModifiedBy>
  <cp:revision>3</cp:revision>
  <cp:lastPrinted>2018-09-28T07:26:00Z</cp:lastPrinted>
  <dcterms:created xsi:type="dcterms:W3CDTF">2018-09-28T10:45:00Z</dcterms:created>
  <dcterms:modified xsi:type="dcterms:W3CDTF">2018-09-28T10:45:00Z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Kancelaria NRSR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