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BB5" w:rsidRDefault="005D3D05">
      <w:pPr>
        <w:pBdr>
          <w:bottom w:val="single" w:sz="12" w:space="1" w:color="000001"/>
        </w:pBdr>
        <w:spacing w:before="120" w:line="276" w:lineRule="auto"/>
        <w:jc w:val="center"/>
        <w:rPr>
          <w:rFonts w:ascii="Book Antiqua" w:hAnsi="Book Antiqua"/>
        </w:rPr>
      </w:pPr>
      <w:r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490BB5" w:rsidRDefault="00490BB5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4"/>
        </w:rPr>
      </w:pPr>
    </w:p>
    <w:p w:rsidR="00490BB5" w:rsidRDefault="005D3D05">
      <w:pPr>
        <w:spacing w:before="120" w:line="276" w:lineRule="auto"/>
        <w:jc w:val="center"/>
        <w:rPr>
          <w:rFonts w:ascii="Book Antiqua" w:hAnsi="Book Antiqua"/>
          <w:szCs w:val="24"/>
        </w:rPr>
      </w:pPr>
      <w:r>
        <w:rPr>
          <w:rFonts w:ascii="Book Antiqua" w:hAnsi="Book Antiqua"/>
          <w:spacing w:val="20"/>
          <w:sz w:val="22"/>
          <w:szCs w:val="24"/>
        </w:rPr>
        <w:t>VII. volebné obdobie</w:t>
      </w:r>
    </w:p>
    <w:p w:rsidR="00490BB5" w:rsidRDefault="00490BB5">
      <w:pPr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4"/>
        </w:rPr>
      </w:pPr>
    </w:p>
    <w:p w:rsidR="00490BB5" w:rsidRDefault="00490BB5">
      <w:pPr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4"/>
        </w:rPr>
      </w:pPr>
    </w:p>
    <w:p w:rsidR="00490BB5" w:rsidRDefault="005D3D05">
      <w:pPr>
        <w:spacing w:before="120" w:line="276" w:lineRule="auto"/>
        <w:jc w:val="center"/>
        <w:rPr>
          <w:rFonts w:ascii="Book Antiqua" w:hAnsi="Book Antiqua"/>
          <w:szCs w:val="24"/>
        </w:rPr>
      </w:pPr>
      <w:r>
        <w:rPr>
          <w:rFonts w:ascii="Book Antiqua" w:hAnsi="Book Antiqua"/>
          <w:spacing w:val="30"/>
          <w:sz w:val="22"/>
          <w:szCs w:val="24"/>
        </w:rPr>
        <w:t xml:space="preserve">Návrh </w:t>
      </w:r>
    </w:p>
    <w:p w:rsidR="00490BB5" w:rsidRDefault="00490BB5">
      <w:pPr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4"/>
        </w:rPr>
      </w:pPr>
    </w:p>
    <w:p w:rsidR="00490BB5" w:rsidRDefault="005D3D05">
      <w:pPr>
        <w:spacing w:before="120" w:line="276" w:lineRule="auto"/>
        <w:jc w:val="center"/>
        <w:rPr>
          <w:rFonts w:ascii="Book Antiqua" w:hAnsi="Book Antiqua"/>
          <w:szCs w:val="24"/>
        </w:rPr>
      </w:pPr>
      <w:r>
        <w:rPr>
          <w:rFonts w:ascii="Book Antiqua" w:hAnsi="Book Antiqua"/>
          <w:b/>
          <w:caps/>
          <w:spacing w:val="30"/>
          <w:sz w:val="22"/>
          <w:szCs w:val="24"/>
        </w:rPr>
        <w:t>zákon</w:t>
      </w:r>
    </w:p>
    <w:p w:rsidR="00490BB5" w:rsidRDefault="00490BB5">
      <w:pPr>
        <w:spacing w:before="120" w:line="276" w:lineRule="auto"/>
        <w:jc w:val="center"/>
        <w:rPr>
          <w:rFonts w:ascii="Book Antiqua" w:hAnsi="Book Antiqua"/>
          <w:sz w:val="22"/>
          <w:szCs w:val="24"/>
        </w:rPr>
      </w:pPr>
    </w:p>
    <w:p w:rsidR="00490BB5" w:rsidRDefault="005D3D05">
      <w:pPr>
        <w:spacing w:before="120" w:line="276" w:lineRule="auto"/>
        <w:jc w:val="center"/>
        <w:rPr>
          <w:rFonts w:ascii="Book Antiqua" w:hAnsi="Book Antiqua"/>
          <w:szCs w:val="24"/>
        </w:rPr>
      </w:pPr>
      <w:r>
        <w:rPr>
          <w:rFonts w:ascii="Book Antiqua" w:hAnsi="Book Antiqua"/>
          <w:sz w:val="22"/>
          <w:szCs w:val="24"/>
        </w:rPr>
        <w:t>z ... 2018,</w:t>
      </w:r>
    </w:p>
    <w:p w:rsidR="00490BB5" w:rsidRDefault="00490BB5">
      <w:pPr>
        <w:spacing w:before="120" w:line="276" w:lineRule="auto"/>
        <w:jc w:val="center"/>
        <w:rPr>
          <w:rFonts w:ascii="Book Antiqua" w:hAnsi="Book Antiqua"/>
          <w:sz w:val="22"/>
          <w:szCs w:val="24"/>
        </w:rPr>
      </w:pPr>
    </w:p>
    <w:p w:rsidR="00490BB5" w:rsidRDefault="005D3D05">
      <w:pPr>
        <w:spacing w:before="120" w:line="276" w:lineRule="auto"/>
        <w:jc w:val="center"/>
        <w:rPr>
          <w:rFonts w:ascii="Book Antiqua" w:hAnsi="Book Antiqua"/>
          <w:szCs w:val="24"/>
        </w:rPr>
      </w:pPr>
      <w:r>
        <w:rPr>
          <w:rFonts w:ascii="Book Antiqua" w:hAnsi="Book Antiqua"/>
          <w:b/>
          <w:sz w:val="22"/>
          <w:szCs w:val="24"/>
        </w:rPr>
        <w:t xml:space="preserve">ktorým sa mení </w:t>
      </w:r>
      <w:r w:rsidR="00E301FC">
        <w:rPr>
          <w:rFonts w:ascii="Book Antiqua" w:hAnsi="Book Antiqua"/>
          <w:b/>
          <w:sz w:val="22"/>
          <w:szCs w:val="24"/>
        </w:rPr>
        <w:t xml:space="preserve">a dopĺňa </w:t>
      </w:r>
      <w:r>
        <w:rPr>
          <w:rFonts w:ascii="Book Antiqua" w:hAnsi="Book Antiqua"/>
          <w:b/>
          <w:sz w:val="22"/>
          <w:szCs w:val="24"/>
        </w:rPr>
        <w:t>zákon č. 595/2003 Z. z. o dani z príjmov v znení neskorších predpisov</w:t>
      </w:r>
    </w:p>
    <w:p w:rsidR="00490BB5" w:rsidRDefault="00490BB5">
      <w:pPr>
        <w:spacing w:before="120" w:line="276" w:lineRule="auto"/>
        <w:jc w:val="both"/>
        <w:rPr>
          <w:rFonts w:ascii="Book Antiqua" w:hAnsi="Book Antiqua"/>
          <w:sz w:val="22"/>
          <w:szCs w:val="24"/>
        </w:rPr>
      </w:pPr>
    </w:p>
    <w:p w:rsidR="00490BB5" w:rsidRDefault="005D3D05">
      <w:pPr>
        <w:spacing w:before="120" w:line="276" w:lineRule="auto"/>
        <w:jc w:val="both"/>
        <w:rPr>
          <w:rFonts w:ascii="Book Antiqua" w:hAnsi="Book Antiqua"/>
          <w:szCs w:val="24"/>
        </w:rPr>
      </w:pPr>
      <w:r>
        <w:rPr>
          <w:rFonts w:ascii="Book Antiqua" w:hAnsi="Book Antiqua"/>
          <w:sz w:val="22"/>
          <w:szCs w:val="24"/>
        </w:rPr>
        <w:t xml:space="preserve">Národná rada Slovenskej republiky sa uzniesla na tomto zákone: </w:t>
      </w:r>
    </w:p>
    <w:p w:rsidR="00490BB5" w:rsidRDefault="00490BB5">
      <w:pPr>
        <w:spacing w:before="120" w:line="276" w:lineRule="auto"/>
        <w:jc w:val="center"/>
        <w:rPr>
          <w:rFonts w:ascii="Book Antiqua" w:hAnsi="Book Antiqua"/>
          <w:b/>
          <w:sz w:val="22"/>
          <w:szCs w:val="24"/>
        </w:rPr>
      </w:pPr>
    </w:p>
    <w:p w:rsidR="00490BB5" w:rsidRDefault="005D3D05">
      <w:pPr>
        <w:pStyle w:val="Nadpis3Podcfloha"/>
        <w:numPr>
          <w:ilvl w:val="2"/>
          <w:numId w:val="1"/>
        </w:numPr>
        <w:spacing w:line="276" w:lineRule="auto"/>
        <w:ind w:left="0" w:firstLine="0"/>
        <w:jc w:val="center"/>
        <w:rPr>
          <w:rFonts w:ascii="Book Antiqua" w:hAnsi="Book Antiqua"/>
        </w:rPr>
      </w:pPr>
      <w:r>
        <w:rPr>
          <w:rFonts w:ascii="Book Antiqua" w:hAnsi="Book Antiqua"/>
          <w:b/>
          <w:sz w:val="22"/>
        </w:rPr>
        <w:t>Čl. I</w:t>
      </w:r>
    </w:p>
    <w:p w:rsidR="00490BB5" w:rsidRPr="00E773FD" w:rsidRDefault="005D3D05" w:rsidP="00E773FD">
      <w:pPr>
        <w:spacing w:before="120" w:line="276" w:lineRule="auto"/>
        <w:ind w:firstLine="360"/>
        <w:jc w:val="both"/>
        <w:rPr>
          <w:rFonts w:ascii="Book Antiqua" w:hAnsi="Book Antiqua"/>
          <w:szCs w:val="24"/>
        </w:rPr>
      </w:pPr>
      <w:r>
        <w:rPr>
          <w:rFonts w:ascii="Book Antiqua" w:hAnsi="Book Antiqua"/>
          <w:sz w:val="22"/>
          <w:szCs w:val="24"/>
        </w:rPr>
        <w:t>Zákon č. 595/2003 Z. z. o dani z príjmov v znení zákona č. 43/2004 Z. z., zákona č.</w:t>
      </w:r>
      <w:r>
        <w:rPr>
          <w:rFonts w:ascii="Book Antiqua" w:hAnsi="Book Antiqua"/>
          <w:b/>
          <w:sz w:val="22"/>
          <w:szCs w:val="24"/>
        </w:rPr>
        <w:t> </w:t>
      </w:r>
      <w:r>
        <w:rPr>
          <w:rFonts w:ascii="Book Antiqua" w:hAnsi="Book Antiqua"/>
          <w:sz w:val="22"/>
          <w:szCs w:val="24"/>
        </w:rPr>
        <w:t>177/2004 Z. z., zákona č. 191/2004 Z. z., zákona č. 391/2004 Z. z., zákona č.538/2004</w:t>
      </w:r>
      <w:r>
        <w:rPr>
          <w:rFonts w:ascii="Book Antiqua" w:hAnsi="Book Antiqua"/>
          <w:b/>
          <w:sz w:val="22"/>
          <w:szCs w:val="24"/>
        </w:rPr>
        <w:t> </w:t>
      </w:r>
      <w:r>
        <w:rPr>
          <w:rFonts w:ascii="Book Antiqua" w:hAnsi="Book Antiqua"/>
          <w:sz w:val="22"/>
          <w:szCs w:val="24"/>
        </w:rPr>
        <w:t xml:space="preserve"> Z. z., zákona č. 539/2004 Z. z., zákona č. 659/2004 Z. z., zák</w:t>
      </w:r>
      <w:r w:rsidR="00E773FD">
        <w:rPr>
          <w:rFonts w:ascii="Book Antiqua" w:hAnsi="Book Antiqua"/>
          <w:sz w:val="22"/>
          <w:szCs w:val="24"/>
        </w:rPr>
        <w:t xml:space="preserve">ona č. 68/2005 Z. z., zákona </w:t>
      </w:r>
      <w:r>
        <w:rPr>
          <w:rFonts w:ascii="Book Antiqua" w:hAnsi="Book Antiqua"/>
          <w:sz w:val="22"/>
          <w:szCs w:val="24"/>
        </w:rPr>
        <w:t>č. 314/2005 Z. z., zákona č. 534/2005 Z. z., zákona č. 660/2005 Z. z., zákona č. 688/2006 Z. z., zákona č. 76/2007 Z. z., zákona č. 209/2007 Z. z., zákona č. 519/2007 Z. z., zákona</w:t>
      </w:r>
      <w:r w:rsidR="00214963">
        <w:rPr>
          <w:rFonts w:ascii="Book Antiqua" w:hAnsi="Book Antiqua"/>
          <w:sz w:val="22"/>
          <w:szCs w:val="24"/>
        </w:rPr>
        <w:t xml:space="preserve"> </w:t>
      </w:r>
      <w:r>
        <w:rPr>
          <w:rFonts w:ascii="Book Antiqua" w:hAnsi="Book Antiqua"/>
          <w:sz w:val="22"/>
          <w:szCs w:val="24"/>
        </w:rPr>
        <w:t>č. 530/2007 Z. z., zákona č. 561/2007 Z. z., zákona č. 621/2007 Z. z., zákona č. 653/2007 Z. z., zákona č. 168/2008 Z. z., zákona č. 465/2008 Z. z., zákona č. 514/2008 Z. z., zákona</w:t>
      </w:r>
      <w:r w:rsidR="00E773FD">
        <w:rPr>
          <w:rFonts w:ascii="Book Antiqua" w:hAnsi="Book Antiqua"/>
          <w:sz w:val="22"/>
          <w:szCs w:val="24"/>
        </w:rPr>
        <w:t xml:space="preserve"> </w:t>
      </w:r>
      <w:r>
        <w:rPr>
          <w:rFonts w:ascii="Book Antiqua" w:hAnsi="Book Antiqua"/>
          <w:sz w:val="22"/>
          <w:szCs w:val="24"/>
        </w:rPr>
        <w:t>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</w:t>
      </w:r>
      <w:r w:rsidR="00214963">
        <w:rPr>
          <w:rFonts w:ascii="Book Antiqua" w:hAnsi="Book Antiqua"/>
          <w:sz w:val="22"/>
          <w:szCs w:val="24"/>
        </w:rPr>
        <w:t xml:space="preserve"> </w:t>
      </w:r>
      <w:r>
        <w:rPr>
          <w:rFonts w:ascii="Book Antiqua" w:hAnsi="Book Antiqua"/>
          <w:sz w:val="22"/>
          <w:szCs w:val="24"/>
        </w:rPr>
        <w:t>č. 406/2011 Z. z., zákona č. 547/2011 Z. z., zákona č. 548/2011 Z. z., zákona č. 69/2012 Z. z., uznesenia Ústavného súdu Slovenskej republiky č. 188/2012 Z. z., zákona č. 189/2012 Z. z., zákona č. 252/2012 Z. z., zákona č. 288/2012 Z. z., zákona č. 395/2012 Z. z., zákona č. 70/2013 Z. z., zákona č. 135/2013 Z. z., zákona č. 318/2013 Z. z., zákona č. 463/2013 Z. z., zákona č. 180/2014 Z. z., zákona č. 183/2014 Z. z., zákona č. 333/2014 Z. z., zákona</w:t>
      </w:r>
      <w:r w:rsidR="00214963">
        <w:rPr>
          <w:rFonts w:ascii="Book Antiqua" w:hAnsi="Book Antiqua"/>
          <w:sz w:val="22"/>
          <w:szCs w:val="24"/>
        </w:rPr>
        <w:t xml:space="preserve"> </w:t>
      </w:r>
      <w:r>
        <w:rPr>
          <w:rFonts w:ascii="Book Antiqua" w:hAnsi="Book Antiqua"/>
          <w:sz w:val="22"/>
          <w:szCs w:val="24"/>
        </w:rPr>
        <w:t xml:space="preserve">č. 364/2014 Z. z., zákona č. 371/2014 Z. z., zákona č. 25/2015 Z. z., zákona č. 61/2015 Z. z., zákona č. 62/2015 Z. z., zákona č. 79/2015 Z. z., zákona č. 140/2015 Z. z., zákona č. 253/2015 Z. z., zákona č. 361/2015 Z. z., zákona č. 375/2015 Z. z., zákona č. 378/2015 Z. z., zákona </w:t>
      </w:r>
      <w:r w:rsidR="00E773FD">
        <w:rPr>
          <w:rFonts w:ascii="Book Antiqua" w:hAnsi="Book Antiqua"/>
          <w:sz w:val="22"/>
          <w:szCs w:val="24"/>
        </w:rPr>
        <w:t xml:space="preserve">      </w:t>
      </w:r>
      <w:r>
        <w:rPr>
          <w:rFonts w:ascii="Book Antiqua" w:hAnsi="Book Antiqua"/>
          <w:sz w:val="22"/>
          <w:szCs w:val="24"/>
        </w:rPr>
        <w:t xml:space="preserve">č. 389/2015 Z. z., zákona č. 437/2015 Z. z., zákona č. 440/2015 Z. z., zákona č. 341/2016 Z. z., zákona č. 264/2017 Z. z., zákona č. 279/2017 </w:t>
      </w:r>
      <w:r>
        <w:rPr>
          <w:rFonts w:ascii="Book Antiqua" w:hAnsi="Book Antiqua"/>
          <w:sz w:val="22"/>
          <w:szCs w:val="24"/>
        </w:rPr>
        <w:lastRenderedPageBreak/>
        <w:t xml:space="preserve">Z. z., </w:t>
      </w:r>
      <w:r>
        <w:rPr>
          <w:rFonts w:ascii="Book Antiqua" w:hAnsi="Book Antiqua"/>
          <w:color w:val="000000"/>
          <w:sz w:val="22"/>
          <w:szCs w:val="24"/>
        </w:rPr>
        <w:t>zákona č. 335/2017 Z. z., zákona</w:t>
      </w:r>
      <w:r w:rsidR="00214963">
        <w:rPr>
          <w:rFonts w:ascii="Book Antiqua" w:hAnsi="Book Antiqua"/>
          <w:color w:val="000000"/>
          <w:sz w:val="22"/>
          <w:szCs w:val="24"/>
        </w:rPr>
        <w:t xml:space="preserve"> </w:t>
      </w:r>
      <w:bookmarkStart w:id="0" w:name="_GoBack"/>
      <w:bookmarkEnd w:id="0"/>
      <w:r>
        <w:rPr>
          <w:rFonts w:ascii="Book Antiqua" w:hAnsi="Book Antiqua"/>
          <w:color w:val="000000"/>
          <w:sz w:val="22"/>
          <w:szCs w:val="24"/>
        </w:rPr>
        <w:t>č. 344/2017 Z. z., zákona č. 335/2017 Z. z., zákona č. 57/2018 Z. z., zákona č. 63/2018 Z. z. a zákona č. 209/2018 Z. z. s</w:t>
      </w:r>
      <w:r>
        <w:rPr>
          <w:rFonts w:ascii="Book Antiqua" w:hAnsi="Book Antiqua"/>
          <w:sz w:val="22"/>
          <w:szCs w:val="24"/>
        </w:rPr>
        <w:t xml:space="preserve">a mení </w:t>
      </w:r>
      <w:r w:rsidR="00E301FC">
        <w:rPr>
          <w:rFonts w:ascii="Book Antiqua" w:hAnsi="Book Antiqua"/>
          <w:sz w:val="22"/>
          <w:szCs w:val="24"/>
        </w:rPr>
        <w:t xml:space="preserve">a dopĺňa </w:t>
      </w:r>
      <w:r>
        <w:rPr>
          <w:rFonts w:ascii="Book Antiqua" w:hAnsi="Book Antiqua"/>
          <w:sz w:val="22"/>
          <w:szCs w:val="24"/>
        </w:rPr>
        <w:t>takto:</w:t>
      </w:r>
    </w:p>
    <w:p w:rsidR="00490BB5" w:rsidRDefault="005D3D05" w:rsidP="00E773FD">
      <w:pPr>
        <w:numPr>
          <w:ilvl w:val="0"/>
          <w:numId w:val="2"/>
        </w:numPr>
        <w:tabs>
          <w:tab w:val="left" w:pos="851"/>
        </w:tabs>
        <w:suppressAutoHyphens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 § 34 ods. 1 sa suma „2 500 eur“ nahrádza sumou „10 000 eur“.</w:t>
      </w:r>
    </w:p>
    <w:p w:rsidR="00490BB5" w:rsidRDefault="005D3D05" w:rsidP="00E773FD">
      <w:pPr>
        <w:numPr>
          <w:ilvl w:val="0"/>
          <w:numId w:val="2"/>
        </w:numPr>
        <w:tabs>
          <w:tab w:val="left" w:pos="851"/>
        </w:tabs>
        <w:suppressAutoHyphens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 § 34 ods. 2 sa suma „2 500 eur“ nahrádza sumou „10 000 eur“.</w:t>
      </w:r>
    </w:p>
    <w:p w:rsidR="00490BB5" w:rsidRDefault="005D3D05" w:rsidP="00E773FD">
      <w:pPr>
        <w:numPr>
          <w:ilvl w:val="0"/>
          <w:numId w:val="2"/>
        </w:numPr>
        <w:tabs>
          <w:tab w:val="left" w:pos="851"/>
        </w:tabs>
        <w:suppressAutoHyphens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 § 42 ods. 2 sa suma „2 500 eur“ nahrádza sumou „10 000 eur“. </w:t>
      </w:r>
    </w:p>
    <w:p w:rsidR="00490BB5" w:rsidRPr="005D3D05" w:rsidRDefault="005D3D05" w:rsidP="00E773FD">
      <w:pPr>
        <w:numPr>
          <w:ilvl w:val="0"/>
          <w:numId w:val="2"/>
        </w:numPr>
        <w:tabs>
          <w:tab w:val="left" w:pos="851"/>
        </w:tabs>
        <w:suppressAutoHyphens/>
        <w:spacing w:before="120" w:line="276" w:lineRule="auto"/>
        <w:ind w:left="851" w:hanging="425"/>
        <w:jc w:val="both"/>
        <w:rPr>
          <w:rFonts w:ascii="Book Antiqua" w:hAnsi="Book Antiqua"/>
          <w:color w:val="FF0000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 § 42 ods. 3 písm. a) sa suma „2 500 eur“ nahrádza sumou „10 000 eur“.</w:t>
      </w:r>
    </w:p>
    <w:p w:rsidR="005D3D05" w:rsidRDefault="005D3D05" w:rsidP="005D3D05">
      <w:pPr>
        <w:numPr>
          <w:ilvl w:val="0"/>
          <w:numId w:val="2"/>
        </w:numPr>
        <w:tabs>
          <w:tab w:val="left" w:pos="851"/>
        </w:tabs>
        <w:suppressAutoHyphens/>
        <w:spacing w:before="120" w:line="276" w:lineRule="auto"/>
        <w:ind w:left="851" w:hanging="425"/>
        <w:jc w:val="both"/>
        <w:rPr>
          <w:rFonts w:ascii="Book Antiqua" w:hAnsi="Book Antiqua"/>
          <w:color w:val="FF0000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Za § 52zs sa vkladá § 53zt</w:t>
      </w:r>
      <w:r w:rsidRPr="005D3D05">
        <w:rPr>
          <w:rFonts w:ascii="Book Antiqua" w:hAnsi="Book Antiqua"/>
          <w:sz w:val="22"/>
          <w:szCs w:val="22"/>
        </w:rPr>
        <w:t>, ktorý vrátane nadpisu znie:</w:t>
      </w:r>
    </w:p>
    <w:p w:rsidR="005D3D05" w:rsidRDefault="005D3D05" w:rsidP="005D3D05">
      <w:pPr>
        <w:tabs>
          <w:tab w:val="left" w:pos="851"/>
        </w:tabs>
        <w:suppressAutoHyphens/>
        <w:spacing w:before="120" w:line="276" w:lineRule="auto"/>
        <w:ind w:left="851"/>
        <w:jc w:val="center"/>
        <w:rPr>
          <w:rFonts w:ascii="Book Antiqua" w:hAnsi="Book Antiqua"/>
          <w:color w:val="FF0000"/>
          <w:sz w:val="22"/>
          <w:szCs w:val="22"/>
        </w:rPr>
      </w:pPr>
      <w:r w:rsidRPr="005D3D05">
        <w:rPr>
          <w:rFonts w:ascii="Book Antiqua" w:hAnsi="Book Antiqua"/>
          <w:sz w:val="22"/>
          <w:szCs w:val="22"/>
        </w:rPr>
        <w:t>„</w:t>
      </w:r>
      <w:r>
        <w:rPr>
          <w:rFonts w:ascii="Book Antiqua" w:hAnsi="Book Antiqua"/>
          <w:b/>
          <w:sz w:val="22"/>
          <w:szCs w:val="22"/>
        </w:rPr>
        <w:t>§ 53zt</w:t>
      </w:r>
    </w:p>
    <w:p w:rsidR="005D3D05" w:rsidRDefault="005D3D05" w:rsidP="005D3D05">
      <w:pPr>
        <w:tabs>
          <w:tab w:val="left" w:pos="851"/>
        </w:tabs>
        <w:suppressAutoHyphens/>
        <w:spacing w:before="120" w:line="276" w:lineRule="auto"/>
        <w:ind w:left="851"/>
        <w:jc w:val="center"/>
        <w:rPr>
          <w:rFonts w:ascii="Book Antiqua" w:hAnsi="Book Antiqua"/>
          <w:color w:val="FF0000"/>
          <w:sz w:val="22"/>
          <w:szCs w:val="22"/>
        </w:rPr>
      </w:pPr>
      <w:r w:rsidRPr="005D3D05">
        <w:rPr>
          <w:rFonts w:ascii="Book Antiqua" w:hAnsi="Book Antiqua"/>
          <w:b/>
          <w:sz w:val="22"/>
          <w:szCs w:val="22"/>
        </w:rPr>
        <w:t>Prechodné ustanovenie k úpravám účinným od 1. januára 2019</w:t>
      </w:r>
    </w:p>
    <w:p w:rsidR="005D3D05" w:rsidRPr="005D3D05" w:rsidRDefault="005D3D05" w:rsidP="005D3D05">
      <w:pPr>
        <w:tabs>
          <w:tab w:val="left" w:pos="851"/>
        </w:tabs>
        <w:suppressAutoHyphens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5D3D05">
        <w:rPr>
          <w:rFonts w:ascii="Book Antiqua" w:hAnsi="Book Antiqua" w:cs="Segoe UI"/>
          <w:sz w:val="22"/>
          <w:szCs w:val="22"/>
          <w:shd w:val="clear" w:color="auto" w:fill="FFFFFF"/>
        </w:rPr>
        <w:t>Do začatia preddavkového obdobia podľa </w:t>
      </w:r>
      <w:hyperlink r:id="rId5" w:anchor="paragraf-34" w:tooltip="Odkaz na predpis alebo ustanovenie" w:history="1">
        <w:r w:rsidRPr="005D3D05">
          <w:rPr>
            <w:rStyle w:val="Hypertextovprepojenie"/>
            <w:rFonts w:ascii="Book Antiqua" w:hAnsi="Book Antiqua" w:cs="Segoe UI"/>
            <w:iCs/>
            <w:color w:val="auto"/>
            <w:sz w:val="22"/>
            <w:szCs w:val="22"/>
            <w:u w:val="none"/>
            <w:shd w:val="clear" w:color="auto" w:fill="FFFFFF"/>
          </w:rPr>
          <w:t>§ 34</w:t>
        </w:r>
      </w:hyperlink>
      <w:r w:rsidRPr="005D3D05">
        <w:rPr>
          <w:rFonts w:ascii="Book Antiqua" w:hAnsi="Book Antiqua" w:cs="Segoe UI"/>
          <w:sz w:val="22"/>
          <w:szCs w:val="22"/>
          <w:shd w:val="clear" w:color="auto" w:fill="FFFFFF"/>
        </w:rPr>
        <w:t> </w:t>
      </w:r>
      <w:r>
        <w:rPr>
          <w:rFonts w:ascii="Book Antiqua" w:hAnsi="Book Antiqua" w:cs="Segoe UI"/>
          <w:sz w:val="22"/>
          <w:szCs w:val="22"/>
          <w:shd w:val="clear" w:color="auto" w:fill="FFFFFF"/>
        </w:rPr>
        <w:t>a § 42 v roku 2019</w:t>
      </w:r>
      <w:r w:rsidRPr="005D3D05">
        <w:rPr>
          <w:rFonts w:ascii="Book Antiqua" w:hAnsi="Book Antiqua" w:cs="Segoe UI"/>
          <w:sz w:val="22"/>
          <w:szCs w:val="22"/>
          <w:shd w:val="clear" w:color="auto" w:fill="FFFFFF"/>
        </w:rPr>
        <w:t xml:space="preserve"> platia daňovníci, ktorí sú fyzickými osobami</w:t>
      </w:r>
      <w:r>
        <w:rPr>
          <w:rFonts w:ascii="Book Antiqua" w:hAnsi="Book Antiqua" w:cs="Segoe UI"/>
          <w:sz w:val="22"/>
          <w:szCs w:val="22"/>
          <w:shd w:val="clear" w:color="auto" w:fill="FFFFFF"/>
        </w:rPr>
        <w:t xml:space="preserve"> alebo právnickými osobami</w:t>
      </w:r>
      <w:r w:rsidRPr="005D3D05">
        <w:rPr>
          <w:rFonts w:ascii="Book Antiqua" w:hAnsi="Book Antiqua" w:cs="Segoe UI"/>
          <w:sz w:val="22"/>
          <w:szCs w:val="22"/>
          <w:shd w:val="clear" w:color="auto" w:fill="FFFFFF"/>
        </w:rPr>
        <w:t>, preddavky na daň vypočítané podľa doterajšieho predpisu</w:t>
      </w:r>
      <w:r>
        <w:rPr>
          <w:rFonts w:ascii="Book Antiqua" w:hAnsi="Book Antiqua" w:cs="Segoe UI"/>
          <w:sz w:val="22"/>
          <w:szCs w:val="22"/>
          <w:shd w:val="clear" w:color="auto" w:fill="FFFFFF"/>
        </w:rPr>
        <w:t>.</w:t>
      </w:r>
      <w:r w:rsidRPr="005D3D05">
        <w:rPr>
          <w:rFonts w:ascii="Book Antiqua" w:hAnsi="Book Antiqua" w:cs="Segoe UI"/>
          <w:sz w:val="22"/>
          <w:szCs w:val="22"/>
          <w:shd w:val="clear" w:color="auto" w:fill="FFFFFF"/>
        </w:rPr>
        <w:t>“.</w:t>
      </w:r>
    </w:p>
    <w:p w:rsidR="00490BB5" w:rsidRDefault="005D3D05">
      <w:pPr>
        <w:pStyle w:val="Zkladntext1"/>
        <w:spacing w:before="120" w:line="276" w:lineRule="auto"/>
        <w:rPr>
          <w:rFonts w:ascii="Book Antiqua" w:hAnsi="Book Antiqua"/>
          <w:szCs w:val="24"/>
        </w:rPr>
      </w:pPr>
      <w:r>
        <w:rPr>
          <w:rFonts w:ascii="Book Antiqua" w:hAnsi="Book Antiqua"/>
          <w:sz w:val="22"/>
          <w:szCs w:val="24"/>
          <w:lang w:eastAsia="cs-CZ"/>
        </w:rPr>
        <w:tab/>
      </w:r>
    </w:p>
    <w:p w:rsidR="00490BB5" w:rsidRDefault="005D3D05">
      <w:pPr>
        <w:spacing w:before="120" w:line="276" w:lineRule="auto"/>
        <w:jc w:val="center"/>
        <w:rPr>
          <w:rFonts w:ascii="Book Antiqua" w:hAnsi="Book Antiqua"/>
          <w:szCs w:val="24"/>
        </w:rPr>
      </w:pPr>
      <w:r>
        <w:rPr>
          <w:rFonts w:ascii="Book Antiqua" w:hAnsi="Book Antiqua"/>
          <w:b/>
          <w:sz w:val="22"/>
          <w:szCs w:val="24"/>
        </w:rPr>
        <w:t>Čl. II</w:t>
      </w:r>
    </w:p>
    <w:p w:rsidR="00490BB5" w:rsidRDefault="005D3D05">
      <w:pPr>
        <w:pStyle w:val="Zkladntext1"/>
        <w:spacing w:before="120" w:line="276" w:lineRule="auto"/>
        <w:ind w:firstLine="708"/>
      </w:pPr>
      <w:r>
        <w:rPr>
          <w:rFonts w:ascii="Book Antiqua" w:hAnsi="Book Antiqua"/>
          <w:sz w:val="22"/>
          <w:szCs w:val="24"/>
        </w:rPr>
        <w:t>Tento zákon nadobúda účinnosť 1. januára 2019.</w:t>
      </w:r>
    </w:p>
    <w:sectPr w:rsidR="00490BB5">
      <w:pgSz w:w="11906" w:h="16838"/>
      <w:pgMar w:top="1417" w:right="1417" w:bottom="1417" w:left="1417" w:header="0" w:footer="0" w:gutter="0"/>
      <w:cols w:space="708"/>
      <w:formProt w:val="0"/>
      <w:docGrid w:linePitch="24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E75B8"/>
    <w:multiLevelType w:val="multilevel"/>
    <w:tmpl w:val="BD62F2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24E26B3"/>
    <w:multiLevelType w:val="multilevel"/>
    <w:tmpl w:val="A59261B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CB736B"/>
    <w:multiLevelType w:val="multilevel"/>
    <w:tmpl w:val="5120BF3A"/>
    <w:lvl w:ilvl="0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ascii="Book Antiqua" w:eastAsia="Times New Roman" w:hAnsi="Book Antiqua"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Letter"/>
      <w:lvlText w:val="(%6)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lowerRoman"/>
      <w:lvlText w:val="(%7)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(%8)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(%9)"/>
      <w:lvlJc w:val="left"/>
      <w:pPr>
        <w:ind w:left="3600" w:hanging="360"/>
      </w:pPr>
      <w:rPr>
        <w:rFonts w:eastAsia="Times New Roman"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B5"/>
    <w:rsid w:val="00214963"/>
    <w:rsid w:val="00490BB5"/>
    <w:rsid w:val="005D3D05"/>
    <w:rsid w:val="00E301FC"/>
    <w:rsid w:val="00E65A51"/>
    <w:rsid w:val="00E7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AEB73"/>
  <w15:docId w15:val="{75BFDEA3-E26C-49D8-90B8-71EADD3C0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/>
      <w:szCs w:val="20"/>
    </w:rPr>
  </w:style>
  <w:style w:type="paragraph" w:styleId="Nadpis5">
    <w:name w:val="heading 5"/>
    <w:basedOn w:val="Normlny"/>
    <w:link w:val="Nadpis5Char"/>
    <w:uiPriority w:val="99"/>
    <w:qFormat/>
    <w:pPr>
      <w:tabs>
        <w:tab w:val="left" w:pos="6120"/>
      </w:tabs>
      <w:spacing w:before="240" w:after="60"/>
      <w:ind w:left="288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basedOn w:val="Normlny"/>
    <w:link w:val="Nadpis6Char"/>
    <w:uiPriority w:val="99"/>
    <w:qFormat/>
    <w:pPr>
      <w:tabs>
        <w:tab w:val="left" w:pos="7560"/>
      </w:tabs>
      <w:spacing w:before="240" w:after="60"/>
      <w:ind w:left="3600"/>
      <w:outlineLvl w:val="5"/>
    </w:pPr>
    <w:rPr>
      <w:rFonts w:ascii="Calibri" w:hAnsi="Calibri" w:cs="Calibri"/>
      <w:b/>
      <w:bCs/>
    </w:rPr>
  </w:style>
  <w:style w:type="paragraph" w:styleId="Nadpis7">
    <w:name w:val="heading 7"/>
    <w:basedOn w:val="Normlny"/>
    <w:link w:val="Nadpis7Char"/>
    <w:uiPriority w:val="99"/>
    <w:qFormat/>
    <w:pPr>
      <w:tabs>
        <w:tab w:val="left" w:pos="9000"/>
      </w:tabs>
      <w:spacing w:before="240" w:after="60"/>
      <w:ind w:left="4320"/>
      <w:outlineLvl w:val="6"/>
    </w:pPr>
    <w:rPr>
      <w:rFonts w:ascii="Calibri" w:hAnsi="Calibri" w:cs="Calibri"/>
      <w:sz w:val="24"/>
      <w:szCs w:val="24"/>
    </w:rPr>
  </w:style>
  <w:style w:type="paragraph" w:styleId="Nadpis8">
    <w:name w:val="heading 8"/>
    <w:basedOn w:val="Normlny"/>
    <w:link w:val="Nadpis8Char"/>
    <w:uiPriority w:val="99"/>
    <w:qFormat/>
    <w:pPr>
      <w:tabs>
        <w:tab w:val="left" w:pos="10440"/>
      </w:tabs>
      <w:spacing w:before="240" w:after="60"/>
      <w:ind w:left="5040"/>
      <w:outlineLvl w:val="7"/>
    </w:pPr>
    <w:rPr>
      <w:rFonts w:ascii="Calibri" w:hAnsi="Calibri" w:cs="Calibri"/>
      <w:i/>
      <w:iCs/>
      <w:sz w:val="24"/>
      <w:szCs w:val="24"/>
    </w:rPr>
  </w:style>
  <w:style w:type="paragraph" w:styleId="Nadpis9">
    <w:name w:val="heading 9"/>
    <w:basedOn w:val="Normlny"/>
    <w:link w:val="Nadpis9Char"/>
    <w:uiPriority w:val="99"/>
    <w:qFormat/>
    <w:pPr>
      <w:tabs>
        <w:tab w:val="left" w:pos="11880"/>
      </w:tabs>
      <w:spacing w:before="240" w:after="60"/>
      <w:ind w:left="5760"/>
      <w:outlineLvl w:val="8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semiHidden/>
    <w:qFormat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locked/>
    <w:rPr>
      <w:rFonts w:asciiTheme="majorHAnsi" w:eastAsiaTheme="majorEastAsia" w:hAnsiTheme="majorHAnsi" w:cs="Times New Roman"/>
    </w:rPr>
  </w:style>
  <w:style w:type="character" w:customStyle="1" w:styleId="Heading6Char">
    <w:name w:val="Heading 6 Char"/>
    <w:basedOn w:val="Predvolenpsmoodseku"/>
    <w:uiPriority w:val="99"/>
    <w:qFormat/>
    <w:rPr>
      <w:rFonts w:eastAsia="Times New Roman" w:cs="Times New Roman"/>
      <w:b/>
      <w:bCs/>
    </w:rPr>
  </w:style>
  <w:style w:type="character" w:customStyle="1" w:styleId="Heading5Char">
    <w:name w:val="Heading 5 Char"/>
    <w:basedOn w:val="Predvolenpsmoodseku"/>
    <w:uiPriority w:val="99"/>
    <w:qFormat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Predvolenpsmoodseku"/>
    <w:uiPriority w:val="99"/>
    <w:qFormat/>
    <w:rPr>
      <w:rFonts w:eastAsia="Times New Roman" w:cs="Times New Roman"/>
    </w:rPr>
  </w:style>
  <w:style w:type="character" w:customStyle="1" w:styleId="Heading8Char">
    <w:name w:val="Heading 8 Char"/>
    <w:basedOn w:val="Predvolenpsmoodseku"/>
    <w:uiPriority w:val="99"/>
    <w:qFormat/>
    <w:rPr>
      <w:rFonts w:eastAsia="Times New Roman" w:cs="Times New Roman"/>
      <w:i/>
      <w:iCs/>
    </w:rPr>
  </w:style>
  <w:style w:type="character" w:customStyle="1" w:styleId="Heading9Char">
    <w:name w:val="Heading 9 Char"/>
    <w:basedOn w:val="Predvolenpsmoodseku"/>
    <w:uiPriority w:val="99"/>
    <w:qFormat/>
    <w:rPr>
      <w:rFonts w:eastAsia="Times New Roman" w:cs="Times New Roman"/>
    </w:rPr>
  </w:style>
  <w:style w:type="character" w:customStyle="1" w:styleId="BodyTextChar">
    <w:name w:val="Body Text Char"/>
    <w:basedOn w:val="Predvolenpsmoodseku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qFormat/>
    <w:rPr>
      <w:rFonts w:eastAsia="Times New Roman" w:cs="Times New Roman"/>
      <w:sz w:val="16"/>
      <w:szCs w:val="16"/>
    </w:rPr>
  </w:style>
  <w:style w:type="character" w:customStyle="1" w:styleId="Heading1Char3forob3f8fasChar">
    <w:name w:val="Heading 1 Char.»3fo rob’3f (8fas_) Char"/>
    <w:uiPriority w:val="99"/>
    <w:qFormat/>
    <w:rPr>
      <w:rFonts w:ascii="Times New Roman" w:hAnsi="Times New Roman"/>
      <w:b/>
      <w:sz w:val="28"/>
    </w:rPr>
  </w:style>
  <w:style w:type="character" w:customStyle="1" w:styleId="CommentTextChar">
    <w:name w:val="Comment Text Char"/>
    <w:basedOn w:val="Predvolenpsmoodseku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uiPriority w:val="99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">
    <w:name w:val="Balloon Text Char"/>
    <w:basedOn w:val="Predvolenpsmoodseku"/>
    <w:uiPriority w:val="99"/>
    <w:qFormat/>
    <w:rPr>
      <w:rFonts w:ascii="Tahoma" w:eastAsia="Times New Roman" w:hAnsi="Tahoma" w:cs="Tahoma"/>
      <w:sz w:val="16"/>
      <w:szCs w:val="16"/>
    </w:rPr>
  </w:style>
  <w:style w:type="character" w:styleId="PremennHTML">
    <w:name w:val="HTML Variable"/>
    <w:basedOn w:val="Predvolenpsmoodseku"/>
    <w:uiPriority w:val="99"/>
    <w:qFormat/>
    <w:rPr>
      <w:rFonts w:eastAsia="Times New Roman" w:cs="Times New Roman"/>
      <w:i/>
      <w:iCs/>
    </w:rPr>
  </w:style>
  <w:style w:type="character" w:customStyle="1" w:styleId="apple-converted-space">
    <w:name w:val="apple-converted-space"/>
    <w:basedOn w:val="Predvolenpsmoodseku"/>
    <w:uiPriority w:val="99"/>
    <w:qFormat/>
    <w:rPr>
      <w:rFonts w:eastAsia="Times New Roman" w:cs="Times New Roman"/>
    </w:rPr>
  </w:style>
  <w:style w:type="character" w:customStyle="1" w:styleId="BodyTextIndentChar">
    <w:name w:val="Body Text Indent Char"/>
    <w:basedOn w:val="Predvolenpsmoodseku"/>
    <w:uiPriority w:val="99"/>
    <w:qFormat/>
    <w:rPr>
      <w:rFonts w:ascii="Times New Roman" w:eastAsia="Times New Roman" w:hAnsi="Times New Roman" w:cs="Times New Roman"/>
    </w:rPr>
  </w:style>
  <w:style w:type="character" w:customStyle="1" w:styleId="ListLabel1">
    <w:name w:val="ListLabel 1"/>
    <w:uiPriority w:val="99"/>
    <w:qFormat/>
    <w:rPr>
      <w:rFonts w:eastAsia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locked/>
    <w:rPr>
      <w:rFonts w:ascii="Times New Roman" w:eastAsia="Times New Roman" w:hAnsi="Times New Roman" w:cs="Times New Roman"/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Pr>
      <w:rFonts w:ascii="Segoe UI" w:hAnsi="Segoe UI" w:cs="Segoe UI"/>
      <w:sz w:val="18"/>
      <w:szCs w:val="18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locked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ascii="Book Antiqua" w:eastAsia="Times New Roman" w:hAnsi="Book Antiqua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eastAsia="Times New Roman" w:cs="Times New Roman"/>
    </w:rPr>
  </w:style>
  <w:style w:type="character" w:customStyle="1" w:styleId="ListLabel21">
    <w:name w:val="ListLabel 21"/>
    <w:qFormat/>
    <w:rPr>
      <w:rFonts w:eastAsia="Times New Roman" w:cs="Times New Roman"/>
    </w:rPr>
  </w:style>
  <w:style w:type="character" w:customStyle="1" w:styleId="ListLabel22">
    <w:name w:val="ListLabel 22"/>
    <w:qFormat/>
    <w:rPr>
      <w:rFonts w:eastAsia="Times New Roman" w:cs="Times New Roman"/>
    </w:rPr>
  </w:style>
  <w:style w:type="character" w:customStyle="1" w:styleId="ListLabel23">
    <w:name w:val="ListLabel 23"/>
    <w:qFormat/>
    <w:rPr>
      <w:rFonts w:eastAsia="Times New Roman" w:cs="Times New Roman"/>
    </w:rPr>
  </w:style>
  <w:style w:type="character" w:customStyle="1" w:styleId="ListLabel24">
    <w:name w:val="ListLabel 24"/>
    <w:qFormat/>
    <w:rPr>
      <w:rFonts w:eastAsia="Times New Roman" w:cs="Times New Roman"/>
    </w:rPr>
  </w:style>
  <w:style w:type="character" w:customStyle="1" w:styleId="ListLabel25">
    <w:name w:val="ListLabel 25"/>
    <w:qFormat/>
    <w:rPr>
      <w:rFonts w:eastAsia="Times New Roman" w:cs="Times New Roman"/>
    </w:rPr>
  </w:style>
  <w:style w:type="character" w:customStyle="1" w:styleId="ListLabel26">
    <w:name w:val="ListLabel 26"/>
    <w:qFormat/>
    <w:rPr>
      <w:rFonts w:eastAsia="Times New Roman" w:cs="Times New Roman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eastAsia="Times New Roman" w:cs="Times New Roman"/>
    </w:rPr>
  </w:style>
  <w:style w:type="paragraph" w:customStyle="1" w:styleId="Nadpis">
    <w:name w:val="Nadpis"/>
    <w:basedOn w:val="Normlny"/>
    <w:next w:val="Zkladntext1"/>
    <w:uiPriority w:val="99"/>
    <w:qFormat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Zkladntext1">
    <w:name w:val="Základný text1"/>
    <w:basedOn w:val="Normlny"/>
    <w:uiPriority w:val="99"/>
    <w:pPr>
      <w:spacing w:line="288" w:lineRule="auto"/>
      <w:jc w:val="both"/>
    </w:pPr>
  </w:style>
  <w:style w:type="paragraph" w:styleId="Zoznam">
    <w:name w:val="List"/>
    <w:basedOn w:val="Zkladntext1"/>
    <w:uiPriority w:val="99"/>
  </w:style>
  <w:style w:type="paragraph" w:styleId="Popis">
    <w:name w:val="caption"/>
    <w:basedOn w:val="Normlny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uiPriority w:val="99"/>
    <w:qFormat/>
    <w:pPr>
      <w:suppressLineNumbers/>
    </w:pPr>
  </w:style>
  <w:style w:type="paragraph" w:customStyle="1" w:styleId="Nadpis23floha">
    <w:name w:val="Nadpis 2.3floha"/>
    <w:basedOn w:val="Normlny"/>
    <w:uiPriority w:val="99"/>
    <w:qFormat/>
    <w:pPr>
      <w:tabs>
        <w:tab w:val="left" w:pos="2836"/>
      </w:tabs>
      <w:spacing w:before="120"/>
      <w:ind w:left="1418" w:hanging="851"/>
      <w:jc w:val="both"/>
    </w:pPr>
    <w:rPr>
      <w:sz w:val="24"/>
      <w:szCs w:val="24"/>
    </w:rPr>
  </w:style>
  <w:style w:type="paragraph" w:customStyle="1" w:styleId="Nadpis1bborob928fas">
    <w:name w:val="Nadpis 1.Čbbo robŐ92 (_8fas_)"/>
    <w:basedOn w:val="Normlny"/>
    <w:uiPriority w:val="99"/>
    <w:qFormat/>
    <w:pPr>
      <w:keepNext/>
      <w:tabs>
        <w:tab w:val="left" w:pos="1134"/>
      </w:tabs>
      <w:spacing w:before="360"/>
      <w:ind w:left="567" w:hanging="567"/>
    </w:pPr>
    <w:rPr>
      <w:b/>
      <w:bCs/>
      <w:sz w:val="28"/>
      <w:szCs w:val="28"/>
    </w:rPr>
  </w:style>
  <w:style w:type="paragraph" w:customStyle="1" w:styleId="Nadpis3Podcfloha">
    <w:name w:val="Nadpis 3.Poděcfloha"/>
    <w:basedOn w:val="Normlny"/>
    <w:uiPriority w:val="99"/>
    <w:qFormat/>
    <w:pPr>
      <w:keepNext/>
      <w:tabs>
        <w:tab w:val="left" w:pos="3687"/>
      </w:tabs>
      <w:spacing w:before="120"/>
      <w:ind w:left="2269" w:hanging="851"/>
    </w:pPr>
    <w:rPr>
      <w:sz w:val="24"/>
      <w:szCs w:val="24"/>
    </w:rPr>
  </w:style>
  <w:style w:type="paragraph" w:customStyle="1" w:styleId="Nadpis4Termd5n">
    <w:name w:val="Nadpis 4.TermÕd5n"/>
    <w:basedOn w:val="Normlny"/>
    <w:uiPriority w:val="99"/>
    <w:qFormat/>
    <w:pPr>
      <w:tabs>
        <w:tab w:val="left" w:pos="2836"/>
      </w:tabs>
      <w:spacing w:before="120" w:after="120"/>
      <w:ind w:left="1418" w:hanging="1418"/>
    </w:pPr>
    <w:rPr>
      <w:i/>
      <w:iCs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qFormat/>
  </w:style>
  <w:style w:type="paragraph" w:styleId="Textbubliny">
    <w:name w:val="Balloon Text"/>
    <w:basedOn w:val="Normlny"/>
    <w:link w:val="TextbublinyChar"/>
    <w:uiPriority w:val="99"/>
    <w:qFormat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link w:val="PredmetkomentraChar"/>
    <w:uiPriority w:val="99"/>
    <w:qFormat/>
    <w:rPr>
      <w:b/>
      <w:bCs/>
    </w:rPr>
  </w:style>
  <w:style w:type="paragraph" w:customStyle="1" w:styleId="Zarkazkladnhotextu1">
    <w:name w:val="Zarážka základného textu1"/>
    <w:basedOn w:val="Normlny"/>
    <w:uiPriority w:val="99"/>
    <w:pPr>
      <w:spacing w:after="120"/>
      <w:ind w:left="283"/>
    </w:pPr>
  </w:style>
  <w:style w:type="paragraph" w:styleId="Odsekzoznamu">
    <w:name w:val="List Paragraph"/>
    <w:basedOn w:val="Normlny"/>
    <w:uiPriority w:val="34"/>
    <w:qFormat/>
    <w:rsid w:val="004B03B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5D3D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3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lov-lex.sk/pravne-predpisy/SK/ZZ/2003/595/201809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 RADA  SLOVENSKEJ  REPUBLIKY</vt:lpstr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 SLOVENSKEJ  REPUBLIKY</dc:title>
  <dc:creator>Kadúc</dc:creator>
  <cp:lastModifiedBy>Lukáč, Jozef (asistent)</cp:lastModifiedBy>
  <cp:revision>3</cp:revision>
  <cp:lastPrinted>2015-08-18T16:37:00Z</cp:lastPrinted>
  <dcterms:created xsi:type="dcterms:W3CDTF">2018-09-28T10:54:00Z</dcterms:created>
  <dcterms:modified xsi:type="dcterms:W3CDTF">2018-09-28T10:55:00Z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