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D7E" w:rsidRPr="00D20043" w:rsidRDefault="00974B1B" w:rsidP="00D20043">
      <w:pPr>
        <w:pStyle w:val="Normlnywebov"/>
        <w:spacing w:before="120" w:beforeAutospacing="0" w:after="0" w:afterAutospacing="0" w:line="276" w:lineRule="auto"/>
        <w:jc w:val="center"/>
        <w:rPr>
          <w:rFonts w:ascii="Book Antiqua" w:hAnsi="Book Antiqua"/>
          <w:sz w:val="22"/>
          <w:szCs w:val="22"/>
        </w:rPr>
      </w:pPr>
      <w:r w:rsidRPr="005C59E4">
        <w:rPr>
          <w:rFonts w:ascii="Book Antiqua" w:hAnsi="Book Antiqua"/>
          <w:b/>
          <w:bCs/>
          <w:caps/>
          <w:spacing w:val="30"/>
          <w:sz w:val="22"/>
          <w:szCs w:val="22"/>
        </w:rPr>
        <w:t>Dôvodová správa</w:t>
      </w:r>
    </w:p>
    <w:p w:rsidR="000A2D7E" w:rsidRPr="005C59E4" w:rsidRDefault="000A2D7E" w:rsidP="006F72C5">
      <w:pPr>
        <w:widowControl/>
        <w:numPr>
          <w:ilvl w:val="0"/>
          <w:numId w:val="1"/>
        </w:numPr>
        <w:tabs>
          <w:tab w:val="clear" w:pos="720"/>
          <w:tab w:val="num" w:pos="0"/>
        </w:tabs>
        <w:suppressAutoHyphens w:val="0"/>
        <w:spacing w:before="120" w:line="276" w:lineRule="auto"/>
        <w:ind w:left="0" w:firstLine="0"/>
        <w:jc w:val="both"/>
        <w:rPr>
          <w:rFonts w:ascii="Book Antiqua" w:hAnsi="Book Antiqua"/>
          <w:b/>
          <w:bCs/>
          <w:sz w:val="22"/>
          <w:szCs w:val="22"/>
        </w:rPr>
      </w:pPr>
      <w:r w:rsidRPr="005C59E4">
        <w:rPr>
          <w:rFonts w:ascii="Book Antiqua" w:hAnsi="Book Antiqua"/>
          <w:b/>
          <w:bCs/>
          <w:sz w:val="22"/>
          <w:szCs w:val="22"/>
        </w:rPr>
        <w:t>Všeobecná časť</w:t>
      </w:r>
    </w:p>
    <w:p w:rsidR="00974B1B" w:rsidRPr="005C59E4" w:rsidRDefault="00974B1B" w:rsidP="00974B1B">
      <w:pPr>
        <w:spacing w:before="120" w:line="276" w:lineRule="auto"/>
        <w:ind w:firstLine="708"/>
        <w:jc w:val="both"/>
        <w:rPr>
          <w:rFonts w:ascii="Book Antiqua" w:hAnsi="Book Antiqua"/>
          <w:sz w:val="22"/>
          <w:szCs w:val="22"/>
        </w:rPr>
      </w:pPr>
      <w:r w:rsidRPr="005C59E4">
        <w:rPr>
          <w:rFonts w:ascii="Book Antiqua" w:hAnsi="Book Antiqua"/>
          <w:sz w:val="22"/>
          <w:szCs w:val="22"/>
        </w:rPr>
        <w:t>Návrh zákona</w:t>
      </w:r>
      <w:r w:rsidR="000A2D7E" w:rsidRPr="005C59E4">
        <w:rPr>
          <w:rFonts w:ascii="Book Antiqua" w:hAnsi="Book Antiqua" w:cs="Times New Roman"/>
          <w:kern w:val="0"/>
          <w:sz w:val="22"/>
          <w:szCs w:val="22"/>
          <w:lang w:eastAsia="sk-SK" w:bidi="ar-SA"/>
        </w:rPr>
        <w:t xml:space="preserve">, ktorým sa mení a dopĺňa zákon č. 586/2003 Z. z. o advokácii a o zmene a doplnení zákona č. 455/1991 Zb. o živnostenskom podnikaní (živnostenský zákon) v znení neskorších predpisov </w:t>
      </w:r>
      <w:r w:rsidRPr="005C59E4">
        <w:rPr>
          <w:rFonts w:ascii="Book Antiqua" w:hAnsi="Book Antiqua" w:cs="Times New Roman"/>
          <w:kern w:val="0"/>
          <w:sz w:val="22"/>
          <w:szCs w:val="22"/>
          <w:lang w:eastAsia="sk-SK" w:bidi="ar-SA"/>
        </w:rPr>
        <w:t>v znení neskorších predpisov</w:t>
      </w:r>
      <w:r w:rsidR="000A2D7E" w:rsidRPr="005C59E4">
        <w:rPr>
          <w:rFonts w:ascii="Book Antiqua" w:hAnsi="Book Antiqua" w:cs="Times New Roman"/>
          <w:kern w:val="0"/>
          <w:sz w:val="22"/>
          <w:szCs w:val="22"/>
          <w:lang w:eastAsia="sk-SK" w:bidi="ar-SA"/>
        </w:rPr>
        <w:t xml:space="preserve"> </w:t>
      </w:r>
      <w:r w:rsidRPr="005C59E4">
        <w:rPr>
          <w:rFonts w:ascii="Book Antiqua" w:hAnsi="Book Antiqua" w:cs="Times New Roman"/>
          <w:kern w:val="0"/>
          <w:sz w:val="22"/>
          <w:szCs w:val="22"/>
          <w:lang w:eastAsia="sk-SK" w:bidi="ar-SA"/>
        </w:rPr>
        <w:t xml:space="preserve">(ďalej len „zákon o advokácii“) </w:t>
      </w:r>
      <w:r w:rsidRPr="005C59E4">
        <w:rPr>
          <w:rFonts w:ascii="Book Antiqua" w:hAnsi="Book Antiqua"/>
          <w:sz w:val="22"/>
          <w:szCs w:val="22"/>
        </w:rPr>
        <w:t xml:space="preserve">predkladá skupina poslancov Národnej rady Slovenskej </w:t>
      </w:r>
      <w:r w:rsidR="00D20043">
        <w:rPr>
          <w:rFonts w:ascii="Book Antiqua" w:hAnsi="Book Antiqua"/>
          <w:sz w:val="22"/>
          <w:szCs w:val="22"/>
        </w:rPr>
        <w:t>republiky</w:t>
      </w:r>
      <w:r w:rsidRPr="005C59E4">
        <w:rPr>
          <w:rFonts w:ascii="Book Antiqua" w:hAnsi="Book Antiqua"/>
          <w:sz w:val="22"/>
          <w:szCs w:val="22"/>
        </w:rPr>
        <w:t>.</w:t>
      </w:r>
    </w:p>
    <w:p w:rsidR="002713D6" w:rsidRPr="005C59E4" w:rsidRDefault="002713D6" w:rsidP="002713D6">
      <w:pPr>
        <w:pStyle w:val="Normlnywebov"/>
        <w:spacing w:before="120" w:beforeAutospacing="0" w:after="0" w:afterAutospacing="0" w:line="276" w:lineRule="auto"/>
        <w:ind w:firstLine="708"/>
        <w:jc w:val="both"/>
        <w:rPr>
          <w:rFonts w:ascii="Book Antiqua" w:hAnsi="Book Antiqua"/>
          <w:b/>
          <w:sz w:val="22"/>
          <w:szCs w:val="22"/>
        </w:rPr>
      </w:pPr>
      <w:r w:rsidRPr="005C59E4">
        <w:rPr>
          <w:rFonts w:ascii="Book Antiqua" w:hAnsi="Book Antiqua"/>
          <w:b/>
          <w:sz w:val="22"/>
          <w:szCs w:val="22"/>
        </w:rPr>
        <w:t>Cieľom predkladaného návrhu zákona je (i) skrátiť dĺžku praxe advokátskeho koncipienta z piatich na tri roky a (ii) zjednodušiť prístup k slobodnému povolaniu advokáta tak, aby bolo možné do praxe advokátskeho koncipienta započítať aj prax vyššieho súdneho úradníka, či inú právnu prax. Podľa súčasne platného zákona o advokácii je možné započítať prax len niektorých právnických profesií (napr. sudca, či právny čakateľ prokuratúry). Predkladanou novelou sa tento výpočet navrhuje rozšíriť aj o prax na inej právnickej pozícii, ktorá podľa platného znenia nie je započítateľnou praxou advokátskeho koncipienta, a to aj napriek obdobnej náplni práce.</w:t>
      </w:r>
    </w:p>
    <w:p w:rsidR="002713D6" w:rsidRPr="005C59E4" w:rsidRDefault="002713D6" w:rsidP="002713D6">
      <w:pPr>
        <w:pStyle w:val="Normlnywebov"/>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 xml:space="preserve">Momentálne platná päťročná prax advokátskeho koncipienta sa javí ako neopodstatnene dlhá, až diskriminačná, oproti iným právnickým profesiám (napr. podmienka konkrétnej dĺžky praxe ako predpoklad pripustenia k justičnej skúške). Navyše sa päťročná prax môže javiť aj ako neopodstatnená prekážka v prístupe k výkonu slobodného povolania pre ženy, ktoré práve v najcitlivejšom období – teda po ukončení štúdia na vysokej škole - chcú tiež plniť životnú úlohu matky a musia sa tak často na úkor prerušenia praxe advokátskeho koncipienta rozhodovať v prospech rodiny. </w:t>
      </w:r>
    </w:p>
    <w:p w:rsidR="002713D6" w:rsidRPr="005C59E4" w:rsidRDefault="002713D6" w:rsidP="002713D6">
      <w:pPr>
        <w:pStyle w:val="Normlnywebov"/>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V druhom, nie však poslednom rade platí, že podľa súčasného znenia zákona o advokácii komora započíta do praxe advokátskeho koncipienta prax sudcu, asistenta sudcu Najvyššieho súdu Slovenskej republiky, justičného čakateľa, prokurátora, právneho čakateľa prokuratúry a notársku prax. Výpočet „započítateľných“ právnických profesií podľa súčasného znenia zákona o advokácii tak neobsahuje právnické profesie, ktoré sú svojím zameraním a obsahom rovnako, resp. obdobne príbuzné povolaniu advokáta. Predkladaným návrhom sa tento výpočet explicitne rozširuje o prax vyššieho súdneho úradníka.</w:t>
      </w:r>
    </w:p>
    <w:p w:rsidR="002713D6" w:rsidRPr="005C59E4" w:rsidRDefault="002713D6" w:rsidP="002713D6">
      <w:pPr>
        <w:pStyle w:val="Normlnywebov"/>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 xml:space="preserve">Predkladaný návrh zákona vychádza jednak z potreby zvýšenia mobility spravidla mladších právnikov a tiež z neodôvodnených reštrikcií v advokátskom stave, resp. v stave advokátskych koncipientov zavedených v predchádzajúcom období. Minimálne ide o dve skutočnosti. </w:t>
      </w:r>
    </w:p>
    <w:p w:rsidR="002713D6" w:rsidRPr="005C59E4" w:rsidRDefault="002713D6" w:rsidP="002713D6">
      <w:pPr>
        <w:pStyle w:val="Normlnywebov"/>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 xml:space="preserve">Prvou je, že došlo k predĺženiu praxe advokátskeho koncipienta, a to bez toho, aby boli dopady na komunitu absolventov práva zásadnejšie preskúmané. Prax ukazuje to, čo bolo zrejmé aj pred prijatím uvedeného obmedzenia – dôležitá nie je dĺžka praxe, ale spôsob vedenia advokátskeho koncipienta školiteľom – advokátom. </w:t>
      </w:r>
    </w:p>
    <w:p w:rsidR="002713D6" w:rsidRPr="005C59E4" w:rsidRDefault="002713D6" w:rsidP="002713D6">
      <w:pPr>
        <w:pStyle w:val="Normlnywebov"/>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 xml:space="preserve">Druhou skutočnosťou je, že postavenie advokátskych koncipientov ako „čakateľov advokátov“ je vo vzťahu k ostatným právnickým profesiám dnes nevýhodné. V iných právnických profesiách (napr. výkon činnosti notára) je do dĺžky praxe potrebnej na prípravu na povolanie umožnené započítavanie aj inej právnej praxe, kým advokátsky koncipient túto možnosť nemá. Inou právnou praxou, tak ako to bolo aj v minulosti, sa môže rozumieť </w:t>
      </w:r>
      <w:r w:rsidRPr="005C59E4">
        <w:rPr>
          <w:rFonts w:ascii="Book Antiqua" w:hAnsi="Book Antiqua"/>
          <w:sz w:val="22"/>
          <w:szCs w:val="22"/>
        </w:rPr>
        <w:lastRenderedPageBreak/>
        <w:t>napríklad zamestnanie v súkromnej sfére alebo služobný pomer v štátnej či verejnej službe na právnickej pozícii, na ktorej prijatie sa vyžaduje vysokoškolské právnické vzdelanie. Obmedzenie advokátskych koncipientov v porovnaní s </w:t>
      </w:r>
      <w:r w:rsidR="002D1B30" w:rsidRPr="005C59E4">
        <w:rPr>
          <w:rFonts w:ascii="Book Antiqua" w:hAnsi="Book Antiqua"/>
          <w:sz w:val="22"/>
          <w:szCs w:val="22"/>
        </w:rPr>
        <w:t>ostatnými</w:t>
      </w:r>
      <w:bookmarkStart w:id="0" w:name="_GoBack"/>
      <w:bookmarkEnd w:id="0"/>
      <w:r w:rsidRPr="005C59E4">
        <w:rPr>
          <w:rFonts w:ascii="Book Antiqua" w:hAnsi="Book Antiqua"/>
          <w:sz w:val="22"/>
          <w:szCs w:val="22"/>
        </w:rPr>
        <w:t xml:space="preserve"> právnickými profesiami je podľa predkladateľa neprimerané a najmä neopodstatnené. </w:t>
      </w:r>
    </w:p>
    <w:p w:rsidR="002713D6" w:rsidRPr="005C59E4" w:rsidRDefault="002713D6" w:rsidP="002713D6">
      <w:pPr>
        <w:pStyle w:val="Normlnywebov"/>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Ďalej, ako už bolo spomenuté, umožnením započítania inej právnej praxe do praxe advokátskeho koncipienta sa okrem vyššie uvedených skutočností zvyšuje tiež mobilita zamestnancov.</w:t>
      </w:r>
    </w:p>
    <w:p w:rsidR="00174A3A" w:rsidRPr="005C59E4" w:rsidRDefault="007A626C" w:rsidP="007A626C">
      <w:pPr>
        <w:spacing w:before="120" w:line="276" w:lineRule="auto"/>
        <w:ind w:firstLine="708"/>
        <w:jc w:val="both"/>
        <w:rPr>
          <w:rFonts w:ascii="Book Antiqua" w:hAnsi="Book Antiqua"/>
          <w:sz w:val="22"/>
          <w:szCs w:val="22"/>
        </w:rPr>
      </w:pPr>
      <w:r w:rsidRPr="005C59E4">
        <w:rPr>
          <w:rFonts w:ascii="Book Antiqua" w:hAnsi="Book Antiqua" w:cs="Times New Roman"/>
          <w:kern w:val="0"/>
          <w:sz w:val="22"/>
          <w:szCs w:val="22"/>
          <w:lang w:eastAsia="sk-SK" w:bidi="ar-SA"/>
        </w:rPr>
        <w:t>Predkladaný návrh zákona</w:t>
      </w:r>
      <w:r w:rsidR="000A2D7E" w:rsidRPr="005C59E4">
        <w:rPr>
          <w:rFonts w:ascii="Book Antiqua" w:hAnsi="Book Antiqua" w:cs="Times New Roman"/>
          <w:kern w:val="0"/>
          <w:sz w:val="22"/>
          <w:szCs w:val="22"/>
          <w:lang w:eastAsia="sk-SK" w:bidi="ar-SA"/>
        </w:rPr>
        <w:t xml:space="preserve"> bude mať pozitívne sociálne vplyvy</w:t>
      </w:r>
      <w:r w:rsidRPr="005C59E4">
        <w:rPr>
          <w:rFonts w:ascii="Book Antiqua" w:hAnsi="Book Antiqua" w:cs="Times New Roman"/>
          <w:kern w:val="0"/>
          <w:sz w:val="22"/>
          <w:szCs w:val="22"/>
          <w:lang w:eastAsia="sk-SK" w:bidi="ar-SA"/>
        </w:rPr>
        <w:t>, avšak</w:t>
      </w:r>
      <w:r w:rsidR="000A2D7E" w:rsidRPr="005C59E4">
        <w:rPr>
          <w:rFonts w:ascii="Book Antiqua" w:hAnsi="Book Antiqua" w:cs="Times New Roman"/>
          <w:kern w:val="0"/>
          <w:sz w:val="22"/>
          <w:szCs w:val="22"/>
          <w:lang w:eastAsia="sk-SK" w:bidi="ar-SA"/>
        </w:rPr>
        <w:t xml:space="preserve"> </w:t>
      </w:r>
      <w:r w:rsidR="00174A3A" w:rsidRPr="005C59E4">
        <w:rPr>
          <w:rFonts w:ascii="Book Antiqua" w:hAnsi="Book Antiqua"/>
          <w:sz w:val="22"/>
          <w:szCs w:val="22"/>
        </w:rPr>
        <w:t>nevyvoláva žiadne vplyvy na podnikateľské prostredie, na životné prostredie, ani na informatizáciu spoločnosti a taktiež nezakladá vplyv na rozpočet verejnej správy.</w:t>
      </w:r>
    </w:p>
    <w:p w:rsidR="000A2D7E" w:rsidRPr="005C59E4" w:rsidRDefault="000A2D7E" w:rsidP="006F72C5">
      <w:pPr>
        <w:widowControl/>
        <w:shd w:val="clear" w:color="auto" w:fill="FFFFFF"/>
        <w:suppressAutoHyphens w:val="0"/>
        <w:spacing w:before="120" w:line="276" w:lineRule="auto"/>
        <w:ind w:firstLine="708"/>
        <w:jc w:val="both"/>
        <w:textAlignment w:val="baseline"/>
        <w:rPr>
          <w:rFonts w:ascii="Book Antiqua" w:hAnsi="Book Antiqua" w:cs="Times New Roman"/>
          <w:kern w:val="0"/>
          <w:sz w:val="22"/>
          <w:szCs w:val="22"/>
          <w:lang w:eastAsia="sk-SK" w:bidi="ar-SA"/>
        </w:rPr>
      </w:pPr>
      <w:r w:rsidRPr="005C59E4">
        <w:rPr>
          <w:rFonts w:ascii="Book Antiqua" w:hAnsi="Book Antiqua" w:cs="Times New Roman"/>
          <w:kern w:val="0"/>
          <w:sz w:val="22"/>
          <w:szCs w:val="22"/>
          <w:lang w:eastAsia="sk-SK" w:bidi="ar-SA"/>
        </w:rPr>
        <w:t xml:space="preserve">Návrh zákona je v súlade s Ústavou Slovenskej republiky, ústavnými zákonmi </w:t>
      </w:r>
      <w:r w:rsidR="00174A3A" w:rsidRPr="005C59E4">
        <w:rPr>
          <w:rFonts w:ascii="Book Antiqua" w:hAnsi="Book Antiqua"/>
          <w:sz w:val="22"/>
          <w:szCs w:val="22"/>
        </w:rPr>
        <w:t>a ostatnými všeobecne záväznými právnymi predpismi Slovenskej republiky</w:t>
      </w:r>
      <w:r w:rsidRPr="005C59E4">
        <w:rPr>
          <w:rFonts w:ascii="Book Antiqua" w:hAnsi="Book Antiqua" w:cs="Times New Roman"/>
          <w:kern w:val="0"/>
          <w:sz w:val="22"/>
          <w:szCs w:val="22"/>
          <w:lang w:eastAsia="sk-SK" w:bidi="ar-SA"/>
        </w:rPr>
        <w:t>, medzinárodnými zmluvami a inými medzinárodnými dokumentmi, ktorými je Slovenská republika viazaná.</w:t>
      </w:r>
    </w:p>
    <w:p w:rsidR="000A2D7E" w:rsidRPr="005C59E4" w:rsidRDefault="000A2D7E" w:rsidP="006F72C5">
      <w:pPr>
        <w:widowControl/>
        <w:shd w:val="clear" w:color="auto" w:fill="FFFFFF"/>
        <w:suppressAutoHyphens w:val="0"/>
        <w:spacing w:before="120" w:line="276" w:lineRule="auto"/>
        <w:jc w:val="both"/>
        <w:textAlignment w:val="baseline"/>
        <w:rPr>
          <w:rFonts w:ascii="Book Antiqua" w:hAnsi="Book Antiqua" w:cs="Times New Roman"/>
          <w:kern w:val="0"/>
          <w:sz w:val="22"/>
          <w:szCs w:val="22"/>
          <w:lang w:eastAsia="sk-SK" w:bidi="ar-SA"/>
        </w:rPr>
      </w:pPr>
    </w:p>
    <w:p w:rsidR="000A2D7E" w:rsidRPr="005C59E4" w:rsidRDefault="000A2D7E" w:rsidP="006F72C5">
      <w:pPr>
        <w:widowControl/>
        <w:shd w:val="clear" w:color="auto" w:fill="FFFFFF"/>
        <w:suppressAutoHyphens w:val="0"/>
        <w:spacing w:before="120" w:line="276" w:lineRule="auto"/>
        <w:jc w:val="both"/>
        <w:textAlignment w:val="baseline"/>
        <w:rPr>
          <w:rFonts w:ascii="Book Antiqua" w:hAnsi="Book Antiqua" w:cs="Times New Roman"/>
          <w:kern w:val="0"/>
          <w:sz w:val="22"/>
          <w:szCs w:val="22"/>
          <w:lang w:eastAsia="sk-SK" w:bidi="ar-SA"/>
        </w:rPr>
      </w:pPr>
    </w:p>
    <w:p w:rsidR="000A2D7E" w:rsidRPr="005C59E4" w:rsidRDefault="000A2D7E" w:rsidP="006F72C5">
      <w:pPr>
        <w:widowControl/>
        <w:suppressAutoHyphens w:val="0"/>
        <w:spacing w:before="120" w:line="276" w:lineRule="auto"/>
        <w:rPr>
          <w:rFonts w:ascii="Book Antiqua" w:hAnsi="Book Antiqua" w:cs="Times New Roman"/>
          <w:kern w:val="0"/>
          <w:sz w:val="22"/>
          <w:szCs w:val="22"/>
          <w:lang w:eastAsia="sk-SK" w:bidi="ar-SA"/>
        </w:rPr>
      </w:pPr>
      <w:r w:rsidRPr="005C59E4">
        <w:rPr>
          <w:rFonts w:ascii="Book Antiqua" w:hAnsi="Book Antiqua" w:cs="Times New Roman"/>
          <w:kern w:val="0"/>
          <w:sz w:val="22"/>
          <w:szCs w:val="22"/>
          <w:lang w:eastAsia="sk-SK" w:bidi="ar-SA"/>
        </w:rPr>
        <w:br w:type="page"/>
      </w:r>
    </w:p>
    <w:p w:rsidR="000A2D7E" w:rsidRPr="005C59E4" w:rsidRDefault="000A2D7E" w:rsidP="006F72C5">
      <w:pPr>
        <w:spacing w:before="120" w:line="276" w:lineRule="auto"/>
        <w:rPr>
          <w:rFonts w:ascii="Book Antiqua" w:hAnsi="Book Antiqua"/>
          <w:b/>
          <w:sz w:val="22"/>
          <w:szCs w:val="22"/>
        </w:rPr>
      </w:pPr>
      <w:r w:rsidRPr="005C59E4">
        <w:rPr>
          <w:rFonts w:ascii="Book Antiqua" w:hAnsi="Book Antiqua"/>
          <w:b/>
          <w:sz w:val="22"/>
          <w:szCs w:val="22"/>
        </w:rPr>
        <w:lastRenderedPageBreak/>
        <w:t xml:space="preserve">B. </w:t>
      </w:r>
      <w:r w:rsidRPr="005C59E4">
        <w:rPr>
          <w:rFonts w:ascii="Book Antiqua" w:hAnsi="Book Antiqua"/>
          <w:b/>
          <w:sz w:val="22"/>
          <w:szCs w:val="22"/>
        </w:rPr>
        <w:tab/>
        <w:t>Osobitná časť</w:t>
      </w:r>
    </w:p>
    <w:p w:rsidR="000A2D7E" w:rsidRPr="005C59E4" w:rsidRDefault="000A2D7E" w:rsidP="006F72C5">
      <w:pPr>
        <w:spacing w:before="120" w:line="276" w:lineRule="auto"/>
        <w:rPr>
          <w:rFonts w:ascii="Book Antiqua" w:hAnsi="Book Antiqua"/>
          <w:b/>
          <w:sz w:val="22"/>
          <w:szCs w:val="22"/>
          <w:u w:val="single"/>
        </w:rPr>
      </w:pPr>
    </w:p>
    <w:p w:rsidR="00515AE7" w:rsidRPr="005C59E4" w:rsidRDefault="00515AE7" w:rsidP="00515AE7">
      <w:pPr>
        <w:pStyle w:val="Normlnywebov"/>
        <w:spacing w:before="120" w:beforeAutospacing="0" w:after="0" w:afterAutospacing="0" w:line="276" w:lineRule="auto"/>
        <w:jc w:val="both"/>
        <w:rPr>
          <w:rFonts w:ascii="Book Antiqua" w:hAnsi="Book Antiqua"/>
          <w:b/>
          <w:bCs/>
          <w:sz w:val="22"/>
          <w:szCs w:val="22"/>
        </w:rPr>
      </w:pPr>
      <w:r w:rsidRPr="005C59E4">
        <w:rPr>
          <w:rFonts w:ascii="Book Antiqua" w:hAnsi="Book Antiqua"/>
          <w:b/>
          <w:bCs/>
          <w:sz w:val="22"/>
          <w:szCs w:val="22"/>
        </w:rPr>
        <w:t>K Čl. I</w:t>
      </w:r>
    </w:p>
    <w:p w:rsidR="00515AE7" w:rsidRPr="005C59E4" w:rsidRDefault="00515AE7" w:rsidP="00515AE7">
      <w:pPr>
        <w:pStyle w:val="Normlnywebov"/>
        <w:spacing w:before="120" w:beforeAutospacing="0" w:after="0" w:afterAutospacing="0" w:line="276" w:lineRule="auto"/>
        <w:jc w:val="both"/>
        <w:rPr>
          <w:rFonts w:ascii="Book Antiqua" w:hAnsi="Book Antiqua"/>
          <w:bCs/>
          <w:sz w:val="22"/>
          <w:szCs w:val="22"/>
          <w:u w:val="single"/>
        </w:rPr>
      </w:pPr>
      <w:r w:rsidRPr="005C59E4">
        <w:rPr>
          <w:rFonts w:ascii="Book Antiqua" w:hAnsi="Book Antiqua"/>
          <w:bCs/>
          <w:sz w:val="22"/>
          <w:szCs w:val="22"/>
          <w:u w:val="single"/>
        </w:rPr>
        <w:t>K bodu 1</w:t>
      </w:r>
    </w:p>
    <w:p w:rsidR="00515AE7" w:rsidRPr="005C59E4" w:rsidRDefault="00515AE7" w:rsidP="00515AE7">
      <w:pPr>
        <w:pStyle w:val="Normlnywebov"/>
        <w:spacing w:before="120" w:beforeAutospacing="0" w:after="0" w:afterAutospacing="0" w:line="276" w:lineRule="auto"/>
        <w:ind w:firstLine="708"/>
        <w:jc w:val="both"/>
        <w:rPr>
          <w:rFonts w:ascii="Book Antiqua" w:hAnsi="Book Antiqua"/>
          <w:bCs/>
          <w:sz w:val="22"/>
          <w:szCs w:val="22"/>
          <w:u w:val="single"/>
        </w:rPr>
      </w:pPr>
      <w:r w:rsidRPr="005C59E4">
        <w:rPr>
          <w:rFonts w:ascii="Book Antiqua" w:hAnsi="Book Antiqua"/>
          <w:bCs/>
          <w:sz w:val="22"/>
          <w:szCs w:val="22"/>
        </w:rPr>
        <w:t>Zmenou príslušného ustanovenia sa navrhuje skrátiť prax advokátskeho koncipienta z piatich na tri roky.</w:t>
      </w:r>
    </w:p>
    <w:p w:rsidR="00515AE7" w:rsidRPr="005C59E4" w:rsidRDefault="00515AE7" w:rsidP="00515AE7">
      <w:pPr>
        <w:pStyle w:val="Normlnywebov"/>
        <w:spacing w:before="120" w:beforeAutospacing="0" w:after="0" w:afterAutospacing="0" w:line="276" w:lineRule="auto"/>
        <w:jc w:val="both"/>
        <w:rPr>
          <w:rFonts w:ascii="Book Antiqua" w:hAnsi="Book Antiqua"/>
          <w:bCs/>
          <w:sz w:val="22"/>
          <w:szCs w:val="22"/>
          <w:u w:val="single"/>
        </w:rPr>
      </w:pPr>
      <w:r w:rsidRPr="005C59E4">
        <w:rPr>
          <w:rFonts w:ascii="Book Antiqua" w:hAnsi="Book Antiqua"/>
          <w:bCs/>
          <w:sz w:val="22"/>
          <w:szCs w:val="22"/>
          <w:u w:val="single"/>
        </w:rPr>
        <w:t>K bodu 2</w:t>
      </w:r>
    </w:p>
    <w:p w:rsidR="00515AE7" w:rsidRPr="005C59E4" w:rsidRDefault="00515AE7" w:rsidP="00515AE7">
      <w:pPr>
        <w:pStyle w:val="Normlnywebov"/>
        <w:spacing w:before="120" w:beforeAutospacing="0" w:after="0" w:afterAutospacing="0" w:line="276" w:lineRule="auto"/>
        <w:ind w:firstLine="708"/>
        <w:jc w:val="both"/>
        <w:rPr>
          <w:rFonts w:ascii="Book Antiqua" w:hAnsi="Book Antiqua"/>
          <w:bCs/>
          <w:sz w:val="22"/>
          <w:szCs w:val="22"/>
        </w:rPr>
      </w:pPr>
      <w:r w:rsidRPr="005C59E4">
        <w:rPr>
          <w:rFonts w:ascii="Book Antiqua" w:hAnsi="Book Antiqua"/>
          <w:bCs/>
          <w:sz w:val="22"/>
          <w:szCs w:val="22"/>
        </w:rPr>
        <w:t xml:space="preserve">Zmenou príslušného ustanovenia sa v prvej vete navrhuje rozšíriť, resp. spresniť právnické profesie, ktoré Slovenská advokátska komora (ďalej len „komora“) započíta do praxe advokátskeho koncipienta. Dôvodom je zjednodušenie prístupu inej právnickej profesie k advokátskemu povolaniu. Ustanovenie sa preto dopĺňa o chýbajúcu príbuznú právnickú profesiu s obdobnou právnou praxou ako je prax advokátskeho koncipienta, a to o pozíciu vyššieho súdneho úradníka. Po novom sa tak bude započítavať aj prax </w:t>
      </w:r>
      <w:r w:rsidRPr="005C59E4">
        <w:rPr>
          <w:rFonts w:ascii="Book Antiqua" w:hAnsi="Book Antiqua"/>
          <w:sz w:val="22"/>
          <w:szCs w:val="22"/>
        </w:rPr>
        <w:t>vyššieho súdneho úradníka.</w:t>
      </w:r>
    </w:p>
    <w:p w:rsidR="00515AE7" w:rsidRPr="005C59E4" w:rsidRDefault="00515AE7" w:rsidP="00515AE7">
      <w:pPr>
        <w:pStyle w:val="Normlnywebov"/>
        <w:spacing w:before="120" w:beforeAutospacing="0" w:after="0" w:afterAutospacing="0" w:line="276" w:lineRule="auto"/>
        <w:ind w:firstLine="708"/>
        <w:jc w:val="both"/>
        <w:rPr>
          <w:rFonts w:ascii="Book Antiqua" w:hAnsi="Book Antiqua"/>
          <w:bCs/>
          <w:sz w:val="22"/>
          <w:szCs w:val="22"/>
        </w:rPr>
      </w:pPr>
      <w:r w:rsidRPr="005C59E4">
        <w:rPr>
          <w:rFonts w:ascii="Book Antiqua" w:hAnsi="Book Antiqua"/>
          <w:bCs/>
          <w:sz w:val="22"/>
          <w:szCs w:val="22"/>
        </w:rPr>
        <w:t xml:space="preserve">Znením druhej vety sa umožňuje komore započítať do praxe advokátskeho koncipienta aj inú právnu prax ako je uvedená v prvej vete, čím sa približujú podmienky na výkon advokácie k ostatným právnickým profesiám tak, ako tomu bolo aj v minulosti. Započítať však možno iba takú prax, ktorá priamo súvisí s výkonom činnosti advokáta. </w:t>
      </w:r>
    </w:p>
    <w:p w:rsidR="00515AE7" w:rsidRPr="005C59E4" w:rsidRDefault="00515AE7" w:rsidP="00515AE7">
      <w:pPr>
        <w:pStyle w:val="Normlnywebov"/>
        <w:spacing w:before="120" w:beforeAutospacing="0" w:after="0" w:afterAutospacing="0" w:line="276" w:lineRule="auto"/>
        <w:ind w:firstLine="708"/>
        <w:jc w:val="both"/>
        <w:rPr>
          <w:rFonts w:ascii="Book Antiqua" w:hAnsi="Book Antiqua"/>
          <w:bCs/>
          <w:sz w:val="22"/>
          <w:szCs w:val="22"/>
        </w:rPr>
      </w:pPr>
      <w:r w:rsidRPr="005C59E4">
        <w:rPr>
          <w:rFonts w:ascii="Book Antiqua" w:hAnsi="Book Antiqua"/>
          <w:bCs/>
          <w:sz w:val="22"/>
          <w:szCs w:val="22"/>
        </w:rPr>
        <w:t xml:space="preserve">Obmedzenie, podľa ktorého možno započítať inú právnu prax v rozsahu maximálne dvoch rokov, vychádza zo špecifickosti inej právnej praxe. Vzhľadom </w:t>
      </w:r>
      <w:r w:rsidR="004F2022">
        <w:rPr>
          <w:rFonts w:ascii="Book Antiqua" w:hAnsi="Book Antiqua"/>
          <w:bCs/>
          <w:sz w:val="22"/>
          <w:szCs w:val="22"/>
        </w:rPr>
        <w:t>na to</w:t>
      </w:r>
      <w:r w:rsidRPr="005C59E4">
        <w:rPr>
          <w:rFonts w:ascii="Book Antiqua" w:hAnsi="Book Antiqua"/>
          <w:bCs/>
          <w:sz w:val="22"/>
          <w:szCs w:val="22"/>
        </w:rPr>
        <w:t xml:space="preserve">, že nie je možné explicitne vymenovať všetky právnické povolania, je vhodné umožniť komore posúdiť konkrétny prípad v praxi, či je dané povolanie započítateľné do advokátskej praxe a v akom rozsahu. Keďže uplatňovanie zákona o advokácii v praxi v tomto ohľade vyžaduje istú mieru flexibility, navrhuje sa v zákonom stanovenej maximálnej dĺžke dvoch rokov umožniť komore posúdiť konkrétnu situáciu a určiť, v akom rozsahu je vhodné a potrebné (ak vôbec) inú právnu prax započítať. </w:t>
      </w:r>
    </w:p>
    <w:p w:rsidR="00515AE7" w:rsidRPr="005C59E4" w:rsidRDefault="00515AE7" w:rsidP="00515AE7">
      <w:pPr>
        <w:pStyle w:val="Normlnywebov"/>
        <w:spacing w:before="120" w:beforeAutospacing="0" w:after="0" w:afterAutospacing="0" w:line="276" w:lineRule="auto"/>
        <w:jc w:val="both"/>
        <w:rPr>
          <w:rFonts w:ascii="Book Antiqua" w:hAnsi="Book Antiqua"/>
          <w:bCs/>
          <w:sz w:val="22"/>
          <w:szCs w:val="22"/>
          <w:u w:val="single"/>
        </w:rPr>
      </w:pPr>
      <w:r w:rsidRPr="005C59E4">
        <w:rPr>
          <w:rFonts w:ascii="Book Antiqua" w:hAnsi="Book Antiqua"/>
          <w:bCs/>
          <w:sz w:val="22"/>
          <w:szCs w:val="22"/>
          <w:u w:val="single"/>
        </w:rPr>
        <w:t>K bodu 3</w:t>
      </w:r>
    </w:p>
    <w:p w:rsidR="00515AE7" w:rsidRPr="005C59E4" w:rsidRDefault="00515AE7" w:rsidP="00515AE7">
      <w:pPr>
        <w:pStyle w:val="Normlnywebov"/>
        <w:spacing w:before="120" w:beforeAutospacing="0" w:after="0" w:afterAutospacing="0" w:line="276" w:lineRule="auto"/>
        <w:jc w:val="both"/>
        <w:rPr>
          <w:rFonts w:ascii="Book Antiqua" w:hAnsi="Book Antiqua"/>
          <w:bCs/>
          <w:sz w:val="22"/>
          <w:szCs w:val="22"/>
        </w:rPr>
      </w:pPr>
      <w:r w:rsidRPr="005C59E4">
        <w:rPr>
          <w:rFonts w:ascii="Book Antiqua" w:hAnsi="Book Antiqua"/>
          <w:bCs/>
          <w:sz w:val="22"/>
          <w:szCs w:val="22"/>
        </w:rPr>
        <w:tab/>
      </w:r>
      <w:r w:rsidRPr="00B155FE">
        <w:rPr>
          <w:rFonts w:ascii="Book Antiqua" w:hAnsi="Book Antiqua"/>
          <w:sz w:val="22"/>
          <w:szCs w:val="22"/>
        </w:rPr>
        <w:t>Prechodné ustanovenia upravujú vzťahy súvisiace s praxou advokátskeho koncipienta a jej výkonom, ktorých sa dotýkajú navrhované zmeny.</w:t>
      </w:r>
      <w:r w:rsidR="00B155FE" w:rsidRPr="00B155FE">
        <w:rPr>
          <w:rFonts w:ascii="Book Antiqua" w:hAnsi="Book Antiqua"/>
          <w:sz w:val="22"/>
          <w:szCs w:val="22"/>
        </w:rPr>
        <w:t xml:space="preserve"> V odseku 1 sa </w:t>
      </w:r>
      <w:r w:rsidR="00B155FE">
        <w:rPr>
          <w:rFonts w:ascii="Book Antiqua" w:hAnsi="Book Antiqua"/>
          <w:sz w:val="22"/>
          <w:szCs w:val="22"/>
        </w:rPr>
        <w:t>na rozdiel od odseko</w:t>
      </w:r>
      <w:r w:rsidR="00126D0A">
        <w:rPr>
          <w:rFonts w:ascii="Book Antiqua" w:hAnsi="Book Antiqua"/>
          <w:sz w:val="22"/>
          <w:szCs w:val="22"/>
        </w:rPr>
        <w:t xml:space="preserve">v </w:t>
      </w:r>
      <w:r w:rsidR="00B155FE">
        <w:rPr>
          <w:rFonts w:ascii="Book Antiqua" w:hAnsi="Book Antiqua"/>
          <w:sz w:val="22"/>
          <w:szCs w:val="22"/>
        </w:rPr>
        <w:t xml:space="preserve">2 a 3 </w:t>
      </w:r>
      <w:r w:rsidR="00B155FE" w:rsidRPr="00B155FE">
        <w:rPr>
          <w:rFonts w:ascii="Book Antiqua" w:hAnsi="Book Antiqua"/>
          <w:sz w:val="22"/>
          <w:szCs w:val="22"/>
        </w:rPr>
        <w:t xml:space="preserve">zavádza tzv. nepravá retroaktivita. </w:t>
      </w:r>
      <w:r w:rsidR="00B155FE" w:rsidRPr="00B155FE">
        <w:rPr>
          <w:rFonts w:ascii="Book Antiqua" w:hAnsi="Book Antiqua"/>
          <w:sz w:val="22"/>
          <w:szCs w:val="22"/>
          <w:lang w:eastAsia="en-US"/>
        </w:rPr>
        <w:t xml:space="preserve">Pojem </w:t>
      </w:r>
      <w:r w:rsidR="00B155FE" w:rsidRPr="00B155FE">
        <w:rPr>
          <w:rFonts w:ascii="Book Antiqua" w:hAnsi="Book Antiqua"/>
          <w:i/>
          <w:sz w:val="22"/>
          <w:szCs w:val="22"/>
        </w:rPr>
        <w:t>„nepravá retroaktivita“</w:t>
      </w:r>
      <w:r w:rsidR="00B155FE" w:rsidRPr="00B155FE">
        <w:rPr>
          <w:rFonts w:ascii="Book Antiqua" w:hAnsi="Book Antiqua"/>
          <w:sz w:val="22"/>
          <w:szCs w:val="22"/>
        </w:rPr>
        <w:t xml:space="preserve"> </w:t>
      </w:r>
      <w:r w:rsidR="00B155FE" w:rsidRPr="00B155FE">
        <w:rPr>
          <w:rFonts w:ascii="Book Antiqua" w:hAnsi="Book Antiqua"/>
          <w:sz w:val="22"/>
          <w:szCs w:val="22"/>
          <w:lang w:eastAsia="en-US"/>
        </w:rPr>
        <w:t xml:space="preserve">používa aj Ústavný súd Slovenskej </w:t>
      </w:r>
      <w:r w:rsidR="00845A27">
        <w:rPr>
          <w:rFonts w:ascii="Book Antiqua" w:hAnsi="Book Antiqua"/>
          <w:sz w:val="22"/>
          <w:szCs w:val="22"/>
          <w:lang w:eastAsia="en-US"/>
        </w:rPr>
        <w:t xml:space="preserve">republiky a vysvetľuje ho </w:t>
      </w:r>
      <w:r w:rsidR="00B155FE" w:rsidRPr="00B155FE">
        <w:rPr>
          <w:rFonts w:ascii="Book Antiqua" w:hAnsi="Book Antiqua"/>
          <w:sz w:val="22"/>
          <w:szCs w:val="22"/>
          <w:lang w:eastAsia="en-US"/>
        </w:rPr>
        <w:t xml:space="preserve">nasledovne: </w:t>
      </w:r>
      <w:r w:rsidR="00B155FE" w:rsidRPr="00B155FE">
        <w:rPr>
          <w:rFonts w:ascii="Book Antiqua" w:hAnsi="Book Antiqua"/>
          <w:i/>
          <w:sz w:val="22"/>
          <w:szCs w:val="22"/>
          <w:lang w:eastAsia="en-US"/>
        </w:rPr>
        <w:t>„</w:t>
      </w:r>
      <w:r w:rsidR="00B155FE" w:rsidRPr="00B155FE">
        <w:rPr>
          <w:rFonts w:ascii="Book Antiqua" w:hAnsi="Book Antiqua"/>
          <w:i/>
          <w:sz w:val="22"/>
          <w:szCs w:val="22"/>
          <w:lang w:val="cs-CZ"/>
        </w:rPr>
        <w:t xml:space="preserve">[…] </w:t>
      </w:r>
      <w:r w:rsidR="00B155FE" w:rsidRPr="00B155FE">
        <w:rPr>
          <w:rFonts w:ascii="Book Antiqua" w:hAnsi="Book Antiqua"/>
          <w:i/>
          <w:sz w:val="22"/>
          <w:szCs w:val="22"/>
          <w:lang w:eastAsia="en-US"/>
        </w:rPr>
        <w:t>zákon právne kvalifikuje tie právne úkony, ku ktorým došlo ešte pred  nadobudnutím jeho účinnosti, v dôsledku čoho však môže dôjsť k zmene alebo zrušeniu tých  právnych účinkov, ktoré boli predtým späté s ich uzavretím“</w:t>
      </w:r>
      <w:r w:rsidR="00B155FE" w:rsidRPr="00B155FE">
        <w:rPr>
          <w:rFonts w:ascii="Book Antiqua" w:hAnsi="Book Antiqua"/>
          <w:b/>
          <w:i/>
          <w:sz w:val="22"/>
          <w:szCs w:val="22"/>
          <w:lang w:eastAsia="en-US"/>
        </w:rPr>
        <w:t xml:space="preserve"> </w:t>
      </w:r>
      <w:r w:rsidR="00B155FE" w:rsidRPr="00B155FE">
        <w:rPr>
          <w:rFonts w:ascii="Book Antiqua" w:hAnsi="Book Antiqua"/>
          <w:sz w:val="22"/>
          <w:szCs w:val="22"/>
          <w:lang w:eastAsia="en-US"/>
        </w:rPr>
        <w:t xml:space="preserve">(nález Ústavného súdu SR </w:t>
      </w:r>
      <w:proofErr w:type="spellStart"/>
      <w:r w:rsidR="00B155FE" w:rsidRPr="00B155FE">
        <w:rPr>
          <w:rFonts w:ascii="Book Antiqua" w:hAnsi="Book Antiqua"/>
          <w:sz w:val="22"/>
          <w:szCs w:val="22"/>
          <w:lang w:eastAsia="en-US"/>
        </w:rPr>
        <w:t>sp</w:t>
      </w:r>
      <w:proofErr w:type="spellEnd"/>
      <w:r w:rsidR="00B155FE" w:rsidRPr="00B155FE">
        <w:rPr>
          <w:rFonts w:ascii="Book Antiqua" w:hAnsi="Book Antiqua"/>
          <w:sz w:val="22"/>
          <w:szCs w:val="22"/>
          <w:lang w:eastAsia="en-US"/>
        </w:rPr>
        <w:t>. zn. PL. ÚS 38/99 zo dňa 23. júna 1999).</w:t>
      </w:r>
      <w:r w:rsidR="00B155FE">
        <w:rPr>
          <w:rFonts w:ascii="Book Antiqua" w:hAnsi="Book Antiqua"/>
          <w:sz w:val="22"/>
          <w:szCs w:val="22"/>
          <w:lang w:eastAsia="en-US"/>
        </w:rPr>
        <w:t xml:space="preserve"> Nepravá retroaktivita je aj v zmysle uvedeného </w:t>
      </w:r>
      <w:r w:rsidR="00845A27">
        <w:rPr>
          <w:rFonts w:ascii="Book Antiqua" w:hAnsi="Book Antiqua"/>
          <w:sz w:val="22"/>
          <w:szCs w:val="22"/>
          <w:lang w:eastAsia="en-US"/>
        </w:rPr>
        <w:t>judikátu možná.</w:t>
      </w:r>
    </w:p>
    <w:p w:rsidR="00B155FE" w:rsidRDefault="00B155FE" w:rsidP="00515AE7">
      <w:pPr>
        <w:spacing w:before="120" w:line="276" w:lineRule="auto"/>
        <w:rPr>
          <w:rFonts w:ascii="Book Antiqua" w:hAnsi="Book Antiqua"/>
          <w:b/>
          <w:sz w:val="22"/>
          <w:szCs w:val="22"/>
        </w:rPr>
      </w:pPr>
    </w:p>
    <w:p w:rsidR="00515AE7" w:rsidRPr="005C59E4" w:rsidRDefault="00515AE7" w:rsidP="00515AE7">
      <w:pPr>
        <w:spacing w:before="120" w:line="276" w:lineRule="auto"/>
        <w:rPr>
          <w:rFonts w:ascii="Book Antiqua" w:hAnsi="Book Antiqua"/>
          <w:b/>
          <w:sz w:val="22"/>
          <w:szCs w:val="22"/>
        </w:rPr>
      </w:pPr>
      <w:r w:rsidRPr="005C59E4">
        <w:rPr>
          <w:rFonts w:ascii="Book Antiqua" w:hAnsi="Book Antiqua"/>
          <w:b/>
          <w:sz w:val="22"/>
          <w:szCs w:val="22"/>
        </w:rPr>
        <w:t>K Čl. II</w:t>
      </w:r>
    </w:p>
    <w:p w:rsidR="00515AE7" w:rsidRPr="00845A27" w:rsidRDefault="00515AE7" w:rsidP="00845A27">
      <w:pPr>
        <w:pStyle w:val="Normlnywebov"/>
        <w:spacing w:before="120" w:beforeAutospacing="0" w:after="0" w:afterAutospacing="0" w:line="276" w:lineRule="auto"/>
        <w:ind w:firstLine="708"/>
        <w:jc w:val="both"/>
        <w:rPr>
          <w:rFonts w:ascii="Book Antiqua" w:hAnsi="Book Antiqua"/>
          <w:sz w:val="22"/>
          <w:szCs w:val="22"/>
        </w:rPr>
      </w:pPr>
      <w:r w:rsidRPr="00B155FE">
        <w:rPr>
          <w:rFonts w:ascii="Book Antiqua" w:hAnsi="Book Antiqua"/>
          <w:sz w:val="22"/>
          <w:szCs w:val="22"/>
        </w:rPr>
        <w:t xml:space="preserve">Navrhuje sa účinnosť predkladaného zákona so zohľadnením </w:t>
      </w:r>
      <w:proofErr w:type="spellStart"/>
      <w:r w:rsidRPr="00B155FE">
        <w:rPr>
          <w:rFonts w:ascii="Book Antiqua" w:hAnsi="Book Antiqua"/>
          <w:sz w:val="22"/>
          <w:szCs w:val="22"/>
        </w:rPr>
        <w:t>legisvak</w:t>
      </w:r>
      <w:r w:rsidR="00D20043">
        <w:rPr>
          <w:rFonts w:ascii="Book Antiqua" w:hAnsi="Book Antiqua"/>
          <w:sz w:val="22"/>
          <w:szCs w:val="22"/>
        </w:rPr>
        <w:t>ančnej</w:t>
      </w:r>
      <w:proofErr w:type="spellEnd"/>
      <w:r w:rsidR="00D20043">
        <w:rPr>
          <w:rFonts w:ascii="Book Antiqua" w:hAnsi="Book Antiqua"/>
          <w:sz w:val="22"/>
          <w:szCs w:val="22"/>
        </w:rPr>
        <w:t xml:space="preserve"> lehoty, a to od  1. januára 2019</w:t>
      </w:r>
      <w:r w:rsidRPr="00B155FE">
        <w:rPr>
          <w:rFonts w:ascii="Book Antiqua" w:hAnsi="Book Antiqua"/>
          <w:sz w:val="22"/>
          <w:szCs w:val="22"/>
        </w:rPr>
        <w:t>.</w:t>
      </w:r>
    </w:p>
    <w:p w:rsidR="00EC4D73" w:rsidRPr="005C59E4" w:rsidRDefault="00EC4D73" w:rsidP="006F72C5">
      <w:pPr>
        <w:suppressAutoHyphens w:val="0"/>
        <w:autoSpaceDN w:val="0"/>
        <w:adjustRightInd w:val="0"/>
        <w:spacing w:before="120" w:line="276" w:lineRule="auto"/>
        <w:jc w:val="center"/>
        <w:rPr>
          <w:rFonts w:ascii="Book Antiqua" w:hAnsi="Book Antiqua" w:cs="Calibri"/>
          <w:sz w:val="22"/>
          <w:szCs w:val="22"/>
          <w:lang w:eastAsia="en-US" w:bidi="ar-SA"/>
        </w:rPr>
      </w:pPr>
      <w:r w:rsidRPr="005C59E4">
        <w:rPr>
          <w:rFonts w:ascii="Book Antiqua" w:hAnsi="Book Antiqua" w:cs="Calibri"/>
          <w:b/>
          <w:bCs/>
          <w:caps/>
          <w:spacing w:val="30"/>
          <w:sz w:val="22"/>
          <w:szCs w:val="22"/>
          <w:lang w:eastAsia="en-US" w:bidi="ar-SA"/>
        </w:rPr>
        <w:lastRenderedPageBreak/>
        <w:t>Doložka zlučiteľnosti</w:t>
      </w:r>
    </w:p>
    <w:p w:rsidR="00EC4D73" w:rsidRPr="005C59E4" w:rsidRDefault="00EC4D73" w:rsidP="006F72C5">
      <w:pPr>
        <w:suppressAutoHyphens w:val="0"/>
        <w:autoSpaceDN w:val="0"/>
        <w:adjustRightInd w:val="0"/>
        <w:spacing w:before="120" w:line="276" w:lineRule="auto"/>
        <w:jc w:val="center"/>
        <w:rPr>
          <w:rFonts w:ascii="Book Antiqua" w:hAnsi="Book Antiqua" w:cs="Times New Roman"/>
          <w:sz w:val="22"/>
          <w:szCs w:val="22"/>
          <w:lang w:eastAsia="en-US" w:bidi="ar-SA"/>
        </w:rPr>
      </w:pPr>
      <w:r w:rsidRPr="005C59E4">
        <w:rPr>
          <w:rFonts w:ascii="Book Antiqua" w:hAnsi="Book Antiqua" w:cs="Times New Roman"/>
          <w:b/>
          <w:sz w:val="22"/>
          <w:szCs w:val="22"/>
          <w:lang w:eastAsia="en-US" w:bidi="ar-SA"/>
        </w:rPr>
        <w:t>právneho predpisu s právom Európskej únie</w:t>
      </w:r>
    </w:p>
    <w:p w:rsidR="00EC4D73" w:rsidRPr="005C59E4" w:rsidRDefault="00EC4D73" w:rsidP="006F72C5">
      <w:pPr>
        <w:suppressAutoHyphens w:val="0"/>
        <w:autoSpaceDN w:val="0"/>
        <w:adjustRightInd w:val="0"/>
        <w:spacing w:before="120" w:line="276" w:lineRule="auto"/>
        <w:rPr>
          <w:rFonts w:ascii="Book Antiqua" w:hAnsi="Book Antiqua" w:cs="Times New Roman"/>
          <w:sz w:val="22"/>
          <w:szCs w:val="22"/>
          <w:lang w:eastAsia="en-US" w:bidi="ar-SA"/>
        </w:rPr>
      </w:pPr>
    </w:p>
    <w:p w:rsidR="00EC4D73" w:rsidRPr="005C59E4" w:rsidRDefault="00EC4D73" w:rsidP="006F72C5">
      <w:pPr>
        <w:suppressAutoHyphens w:val="0"/>
        <w:autoSpaceDN w:val="0"/>
        <w:adjustRightInd w:val="0"/>
        <w:spacing w:before="120" w:line="276" w:lineRule="auto"/>
        <w:ind w:left="360" w:hanging="360"/>
        <w:jc w:val="both"/>
        <w:rPr>
          <w:rFonts w:ascii="Book Antiqua" w:hAnsi="Book Antiqua" w:cs="Times New Roman"/>
          <w:sz w:val="22"/>
          <w:szCs w:val="22"/>
          <w:lang w:eastAsia="en-US" w:bidi="ar-SA"/>
        </w:rPr>
      </w:pPr>
      <w:r w:rsidRPr="005C59E4">
        <w:rPr>
          <w:rFonts w:ascii="Book Antiqua" w:hAnsi="Book Antiqua" w:cs="Times New Roman"/>
          <w:b/>
          <w:sz w:val="22"/>
          <w:szCs w:val="22"/>
          <w:lang w:eastAsia="en-US" w:bidi="ar-SA"/>
        </w:rPr>
        <w:t>1. Predkladateľ právneho predpisu:</w:t>
      </w:r>
      <w:r w:rsidRPr="005C59E4">
        <w:rPr>
          <w:rFonts w:ascii="Book Antiqua" w:hAnsi="Book Antiqua" w:cs="Times New Roman"/>
          <w:sz w:val="22"/>
          <w:szCs w:val="22"/>
          <w:lang w:eastAsia="en-US" w:bidi="ar-SA"/>
        </w:rPr>
        <w:t xml:space="preserve"> skupina poslancov Národnej rady Slovenskej republiky</w:t>
      </w:r>
    </w:p>
    <w:p w:rsidR="00EC4D73" w:rsidRPr="005C59E4" w:rsidRDefault="00EC4D73" w:rsidP="006F72C5">
      <w:pPr>
        <w:tabs>
          <w:tab w:val="left" w:pos="360"/>
        </w:tabs>
        <w:suppressAutoHyphens w:val="0"/>
        <w:autoSpaceDN w:val="0"/>
        <w:adjustRightInd w:val="0"/>
        <w:spacing w:before="120" w:line="276" w:lineRule="auto"/>
        <w:ind w:left="360"/>
        <w:jc w:val="both"/>
        <w:rPr>
          <w:rFonts w:ascii="Book Antiqua" w:hAnsi="Book Antiqua" w:cs="Times New Roman"/>
          <w:sz w:val="22"/>
          <w:szCs w:val="22"/>
          <w:lang w:eastAsia="en-US" w:bidi="ar-SA"/>
        </w:rPr>
      </w:pPr>
      <w:r w:rsidRPr="005C59E4">
        <w:rPr>
          <w:rFonts w:ascii="Book Antiqua" w:hAnsi="Book Antiqua" w:cs="Times New Roman"/>
          <w:sz w:val="22"/>
          <w:szCs w:val="22"/>
          <w:lang w:eastAsia="en-US" w:bidi="ar-SA"/>
        </w:rPr>
        <w:t xml:space="preserve"> </w:t>
      </w:r>
    </w:p>
    <w:p w:rsidR="00EC4D73" w:rsidRPr="00845A27" w:rsidRDefault="00EC4D73" w:rsidP="006F72C5">
      <w:pPr>
        <w:suppressAutoHyphens w:val="0"/>
        <w:autoSpaceDN w:val="0"/>
        <w:adjustRightInd w:val="0"/>
        <w:spacing w:before="120" w:line="276" w:lineRule="auto"/>
        <w:jc w:val="both"/>
        <w:rPr>
          <w:rFonts w:ascii="Book Antiqua" w:hAnsi="Book Antiqua" w:cs="Times New Roman"/>
          <w:sz w:val="22"/>
          <w:szCs w:val="22"/>
          <w:lang w:eastAsia="en-US" w:bidi="ar-SA"/>
        </w:rPr>
      </w:pPr>
      <w:r w:rsidRPr="005C59E4">
        <w:rPr>
          <w:rFonts w:ascii="Book Antiqua" w:hAnsi="Book Antiqua" w:cs="Times New Roman"/>
          <w:b/>
          <w:sz w:val="22"/>
          <w:szCs w:val="22"/>
          <w:lang w:eastAsia="en-US" w:bidi="ar-SA"/>
        </w:rPr>
        <w:t>2. Názov návrhu právneho predpisu:</w:t>
      </w:r>
      <w:r w:rsidRPr="005C59E4">
        <w:rPr>
          <w:rFonts w:ascii="Book Antiqua" w:hAnsi="Book Antiqua" w:cs="Times New Roman"/>
          <w:sz w:val="22"/>
          <w:szCs w:val="22"/>
          <w:lang w:eastAsia="en-US" w:bidi="ar-SA"/>
        </w:rPr>
        <w:t xml:space="preserve"> </w:t>
      </w:r>
      <w:r w:rsidR="00DC6F7C" w:rsidRPr="00845A27">
        <w:rPr>
          <w:rFonts w:ascii="Book Antiqua" w:hAnsi="Book Antiqua" w:cs="Times New Roman"/>
          <w:sz w:val="22"/>
          <w:szCs w:val="22"/>
          <w:lang w:eastAsia="en-US" w:bidi="ar-SA"/>
        </w:rPr>
        <w:t>n</w:t>
      </w:r>
      <w:r w:rsidRPr="00845A27">
        <w:rPr>
          <w:rFonts w:ascii="Book Antiqua" w:hAnsi="Book Antiqua" w:cs="Times New Roman"/>
          <w:sz w:val="22"/>
          <w:szCs w:val="22"/>
          <w:lang w:eastAsia="en-US" w:bidi="ar-SA"/>
        </w:rPr>
        <w:t>ávrh zákona, ktorým sa mení a dopĺňa zákon</w:t>
      </w:r>
      <w:r w:rsidR="00EA744C">
        <w:rPr>
          <w:rFonts w:ascii="Book Antiqua" w:hAnsi="Book Antiqua" w:cs="Times New Roman"/>
          <w:sz w:val="22"/>
          <w:szCs w:val="22"/>
          <w:lang w:eastAsia="en-US" w:bidi="ar-SA"/>
        </w:rPr>
        <w:t xml:space="preserve"> </w:t>
      </w:r>
      <w:r w:rsidRPr="00845A27">
        <w:rPr>
          <w:rFonts w:ascii="Book Antiqua" w:hAnsi="Book Antiqua" w:cs="Times New Roman"/>
          <w:sz w:val="22"/>
          <w:szCs w:val="22"/>
          <w:lang w:eastAsia="en-US" w:bidi="ar-SA"/>
        </w:rPr>
        <w:t>č. 586/2003 Z. z. o advokácii a o zmene a doplnení zákona č. 455/1991 Zb. o živnostenskom podnikaní (živnostenský zákon) v znení neskorších predpisov</w:t>
      </w:r>
      <w:r w:rsidR="00515AE7" w:rsidRPr="00845A27">
        <w:rPr>
          <w:rFonts w:ascii="Book Antiqua" w:hAnsi="Book Antiqua"/>
          <w:sz w:val="22"/>
          <w:szCs w:val="22"/>
        </w:rPr>
        <w:t xml:space="preserve"> v znení neskorších predpisov</w:t>
      </w:r>
    </w:p>
    <w:p w:rsidR="00EC4D73" w:rsidRPr="00845A27" w:rsidRDefault="00EC4D73" w:rsidP="006F72C5">
      <w:pPr>
        <w:suppressAutoHyphens w:val="0"/>
        <w:autoSpaceDN w:val="0"/>
        <w:adjustRightInd w:val="0"/>
        <w:spacing w:before="120" w:line="276" w:lineRule="auto"/>
        <w:jc w:val="both"/>
        <w:rPr>
          <w:rFonts w:ascii="Book Antiqua" w:hAnsi="Book Antiqua" w:cs="Times New Roman"/>
          <w:sz w:val="22"/>
          <w:szCs w:val="22"/>
          <w:lang w:eastAsia="en-US" w:bidi="ar-SA"/>
        </w:rPr>
      </w:pPr>
    </w:p>
    <w:p w:rsidR="002713D6" w:rsidRPr="00845A27" w:rsidRDefault="002713D6" w:rsidP="002713D6">
      <w:pPr>
        <w:pStyle w:val="Normlnywebov"/>
        <w:spacing w:before="120" w:beforeAutospacing="0" w:after="0" w:afterAutospacing="0" w:line="276" w:lineRule="auto"/>
        <w:jc w:val="both"/>
        <w:rPr>
          <w:rFonts w:ascii="Book Antiqua" w:hAnsi="Book Antiqua"/>
          <w:b/>
          <w:bCs/>
          <w:sz w:val="22"/>
          <w:szCs w:val="22"/>
        </w:rPr>
      </w:pPr>
      <w:r w:rsidRPr="00845A27">
        <w:rPr>
          <w:rFonts w:ascii="Book Antiqua" w:hAnsi="Book Antiqua"/>
          <w:b/>
          <w:bCs/>
          <w:sz w:val="22"/>
          <w:szCs w:val="22"/>
        </w:rPr>
        <w:t>3. Predmet návrhu zákona:</w:t>
      </w:r>
    </w:p>
    <w:p w:rsidR="002713D6" w:rsidRPr="00845A27" w:rsidRDefault="002713D6" w:rsidP="002713D6">
      <w:pPr>
        <w:pStyle w:val="Normlnywebov"/>
        <w:numPr>
          <w:ilvl w:val="0"/>
          <w:numId w:val="5"/>
        </w:numPr>
        <w:spacing w:before="120" w:beforeAutospacing="0" w:after="0" w:afterAutospacing="0" w:line="276" w:lineRule="auto"/>
        <w:jc w:val="both"/>
        <w:rPr>
          <w:rFonts w:ascii="Book Antiqua" w:hAnsi="Book Antiqua"/>
          <w:bCs/>
          <w:sz w:val="22"/>
          <w:szCs w:val="22"/>
        </w:rPr>
      </w:pPr>
      <w:r w:rsidRPr="00845A27">
        <w:rPr>
          <w:rFonts w:ascii="Book Antiqua" w:hAnsi="Book Antiqua"/>
          <w:bCs/>
          <w:sz w:val="22"/>
          <w:szCs w:val="22"/>
        </w:rPr>
        <w:t>nie je upravený v primárnom práve Európskej únie</w:t>
      </w:r>
      <w:r w:rsidRPr="00845A27">
        <w:rPr>
          <w:rFonts w:ascii="Book Antiqua" w:hAnsi="Book Antiqua"/>
          <w:color w:val="000000"/>
          <w:sz w:val="22"/>
          <w:szCs w:val="22"/>
        </w:rPr>
        <w:t>,</w:t>
      </w:r>
    </w:p>
    <w:p w:rsidR="002713D6" w:rsidRPr="00845A27" w:rsidRDefault="002713D6" w:rsidP="002713D6">
      <w:pPr>
        <w:pStyle w:val="Normlnywebov"/>
        <w:numPr>
          <w:ilvl w:val="0"/>
          <w:numId w:val="5"/>
        </w:numPr>
        <w:spacing w:before="120" w:beforeAutospacing="0" w:after="0" w:afterAutospacing="0" w:line="276" w:lineRule="auto"/>
        <w:jc w:val="both"/>
        <w:rPr>
          <w:rFonts w:ascii="Book Antiqua" w:hAnsi="Book Antiqua"/>
          <w:bCs/>
          <w:sz w:val="22"/>
          <w:szCs w:val="22"/>
        </w:rPr>
      </w:pPr>
      <w:r w:rsidRPr="00845A27">
        <w:rPr>
          <w:rFonts w:ascii="Book Antiqua" w:hAnsi="Book Antiqua"/>
          <w:bCs/>
          <w:sz w:val="22"/>
          <w:szCs w:val="22"/>
        </w:rPr>
        <w:t xml:space="preserve">nie je upravený v sekundárnom práve Európskej únie, </w:t>
      </w:r>
    </w:p>
    <w:p w:rsidR="002713D6" w:rsidRPr="00845A27" w:rsidRDefault="002713D6" w:rsidP="002713D6">
      <w:pPr>
        <w:pStyle w:val="Normlnywebov"/>
        <w:numPr>
          <w:ilvl w:val="0"/>
          <w:numId w:val="5"/>
        </w:numPr>
        <w:spacing w:before="120" w:beforeAutospacing="0" w:after="0" w:afterAutospacing="0" w:line="276" w:lineRule="auto"/>
        <w:jc w:val="both"/>
        <w:rPr>
          <w:rFonts w:ascii="Book Antiqua" w:hAnsi="Book Antiqua"/>
          <w:bCs/>
          <w:sz w:val="22"/>
          <w:szCs w:val="22"/>
        </w:rPr>
      </w:pPr>
      <w:r w:rsidRPr="00845A27">
        <w:rPr>
          <w:rFonts w:ascii="Book Antiqua" w:hAnsi="Book Antiqua"/>
          <w:bCs/>
          <w:sz w:val="22"/>
          <w:szCs w:val="22"/>
        </w:rPr>
        <w:t>nie je upravený v judikatúre Súdneho dvora Európskej únie.</w:t>
      </w:r>
      <w:r w:rsidRPr="00845A27">
        <w:rPr>
          <w:rFonts w:ascii="Book Antiqua" w:hAnsi="Book Antiqua"/>
          <w:sz w:val="22"/>
          <w:szCs w:val="22"/>
        </w:rPr>
        <w:t> </w:t>
      </w:r>
    </w:p>
    <w:p w:rsidR="002713D6" w:rsidRPr="00845A27" w:rsidRDefault="002713D6" w:rsidP="002713D6">
      <w:pPr>
        <w:spacing w:before="120" w:line="276" w:lineRule="auto"/>
        <w:jc w:val="both"/>
        <w:rPr>
          <w:rFonts w:ascii="Book Antiqua" w:hAnsi="Book Antiqua"/>
          <w:b/>
          <w:sz w:val="22"/>
          <w:szCs w:val="22"/>
        </w:rPr>
      </w:pPr>
    </w:p>
    <w:p w:rsidR="002713D6" w:rsidRPr="005C59E4" w:rsidRDefault="002713D6" w:rsidP="002713D6">
      <w:pPr>
        <w:spacing w:before="120" w:line="276" w:lineRule="auto"/>
        <w:jc w:val="both"/>
        <w:rPr>
          <w:rFonts w:ascii="Book Antiqua" w:hAnsi="Book Antiqua"/>
          <w:b/>
          <w:sz w:val="22"/>
          <w:szCs w:val="22"/>
        </w:rPr>
      </w:pPr>
      <w:r w:rsidRPr="00845A27">
        <w:rPr>
          <w:rFonts w:ascii="Book Antiqua" w:hAnsi="Book Antiqua"/>
          <w:b/>
          <w:sz w:val="22"/>
          <w:szCs w:val="22"/>
        </w:rPr>
        <w:t>Vzhľadom na to, že predmet návrhu zákona nie je upravený v práve Európskej únie, je bezpredmetné vyjadrovať sa k bodom 4. a 5.</w:t>
      </w:r>
    </w:p>
    <w:p w:rsidR="00515AE7" w:rsidRPr="005C59E4" w:rsidRDefault="00515AE7">
      <w:pPr>
        <w:widowControl/>
        <w:suppressAutoHyphens w:val="0"/>
        <w:spacing w:after="160" w:line="259" w:lineRule="auto"/>
        <w:rPr>
          <w:rFonts w:ascii="Book Antiqua" w:eastAsiaTheme="minorEastAsia" w:hAnsi="Book Antiqua" w:cs="Times New Roman"/>
          <w:b/>
          <w:caps/>
          <w:color w:val="000000"/>
          <w:spacing w:val="30"/>
          <w:sz w:val="22"/>
          <w:szCs w:val="22"/>
          <w:lang w:eastAsia="en-US" w:bidi="ar-SA"/>
        </w:rPr>
      </w:pPr>
      <w:r w:rsidRPr="005C59E4">
        <w:rPr>
          <w:rFonts w:ascii="Book Antiqua" w:hAnsi="Book Antiqua" w:cs="Times New Roman"/>
          <w:b/>
          <w:caps/>
          <w:color w:val="000000"/>
          <w:spacing w:val="30"/>
          <w:sz w:val="22"/>
          <w:szCs w:val="22"/>
        </w:rPr>
        <w:br w:type="page"/>
      </w:r>
    </w:p>
    <w:p w:rsidR="00EC4D73" w:rsidRPr="005C59E4" w:rsidRDefault="00EC4D73" w:rsidP="006F72C5">
      <w:pPr>
        <w:pStyle w:val="Vchodzie"/>
        <w:spacing w:before="120" w:after="0"/>
        <w:jc w:val="center"/>
        <w:rPr>
          <w:rFonts w:ascii="Book Antiqua" w:hAnsi="Book Antiqua" w:cs="Times New Roman"/>
          <w:lang w:val="sk-SK"/>
        </w:rPr>
      </w:pPr>
      <w:r w:rsidRPr="005C59E4">
        <w:rPr>
          <w:rFonts w:ascii="Book Antiqua" w:hAnsi="Book Antiqua" w:cs="Times New Roman"/>
          <w:b/>
          <w:caps/>
          <w:color w:val="000000"/>
          <w:spacing w:val="30"/>
          <w:lang w:val="sk-SK"/>
        </w:rPr>
        <w:lastRenderedPageBreak/>
        <w:t>Doložka</w:t>
      </w:r>
    </w:p>
    <w:p w:rsidR="00EC4D73" w:rsidRPr="005C59E4" w:rsidRDefault="00EC4D73" w:rsidP="006F72C5">
      <w:pPr>
        <w:pStyle w:val="Vchodzie"/>
        <w:spacing w:before="120" w:after="0"/>
        <w:jc w:val="center"/>
        <w:rPr>
          <w:rFonts w:ascii="Book Antiqua" w:hAnsi="Book Antiqua" w:cs="Times New Roman"/>
          <w:lang w:val="sk-SK"/>
        </w:rPr>
      </w:pPr>
      <w:r w:rsidRPr="005C59E4">
        <w:rPr>
          <w:rFonts w:ascii="Book Antiqua" w:hAnsi="Book Antiqua" w:cs="Times New Roman"/>
          <w:b/>
          <w:color w:val="000000"/>
          <w:lang w:val="sk-SK"/>
        </w:rPr>
        <w:t>vybraných vplyvov</w:t>
      </w:r>
    </w:p>
    <w:p w:rsidR="00EC4D73" w:rsidRPr="005C59E4" w:rsidRDefault="00EC4D73" w:rsidP="006F72C5">
      <w:pPr>
        <w:pStyle w:val="Vchodzie"/>
        <w:spacing w:before="120" w:after="0"/>
        <w:rPr>
          <w:rFonts w:ascii="Book Antiqua" w:hAnsi="Book Antiqua" w:cs="Times New Roman"/>
          <w:lang w:val="sk-SK"/>
        </w:rPr>
      </w:pPr>
    </w:p>
    <w:p w:rsidR="00EC4D73" w:rsidRDefault="00EC4D73" w:rsidP="00515AE7">
      <w:pPr>
        <w:pStyle w:val="Vchodzie"/>
        <w:spacing w:before="120" w:after="0"/>
        <w:jc w:val="both"/>
        <w:rPr>
          <w:rFonts w:ascii="Book Antiqua" w:hAnsi="Book Antiqua" w:cs="Times New Roman"/>
          <w:lang w:val="sk-SK"/>
        </w:rPr>
      </w:pPr>
      <w:r w:rsidRPr="005C59E4">
        <w:rPr>
          <w:rFonts w:ascii="Book Antiqua" w:hAnsi="Book Antiqua" w:cs="Times New Roman"/>
          <w:b/>
          <w:color w:val="000000"/>
          <w:lang w:val="sk-SK"/>
        </w:rPr>
        <w:t xml:space="preserve">A.1. Názov materiálu: </w:t>
      </w:r>
      <w:r w:rsidR="00DC6F7C" w:rsidRPr="00845A27">
        <w:rPr>
          <w:rFonts w:ascii="Book Antiqua" w:hAnsi="Book Antiqua" w:cs="Times New Roman"/>
          <w:lang w:val="sk-SK"/>
        </w:rPr>
        <w:t>n</w:t>
      </w:r>
      <w:r w:rsidRPr="00845A27">
        <w:rPr>
          <w:rFonts w:ascii="Book Antiqua" w:hAnsi="Book Antiqua" w:cs="Times New Roman"/>
          <w:lang w:val="sk-SK"/>
        </w:rPr>
        <w:t>ávrh zákona, ktorým sa mení a dopĺňa zákon č. 586/2003 Z. z. o advokácii a o zmene a doplnení zákona č. 455/1991 Zb. o živnostenskom podnikaní (živnostenský zákon) v znení neskorších predpisov</w:t>
      </w:r>
      <w:r w:rsidR="00DC6F7C" w:rsidRPr="00845A27">
        <w:rPr>
          <w:rFonts w:ascii="Book Antiqua" w:hAnsi="Book Antiqua" w:cs="Times New Roman"/>
          <w:lang w:val="sk-SK"/>
        </w:rPr>
        <w:t xml:space="preserve"> v znení neskorších predpisov</w:t>
      </w:r>
    </w:p>
    <w:p w:rsidR="00845A27" w:rsidRDefault="00845A27" w:rsidP="00515AE7">
      <w:pPr>
        <w:pStyle w:val="Vchodzie"/>
        <w:spacing w:before="120" w:after="0"/>
        <w:jc w:val="both"/>
        <w:rPr>
          <w:rFonts w:ascii="Book Antiqua" w:hAnsi="Book Antiqua" w:cs="Times New Roman"/>
          <w:lang w:val="sk-SK"/>
        </w:rPr>
      </w:pPr>
    </w:p>
    <w:p w:rsidR="00845A27" w:rsidRPr="00845A27" w:rsidRDefault="00845A27" w:rsidP="00515AE7">
      <w:pPr>
        <w:pStyle w:val="Vchodzie"/>
        <w:spacing w:before="120" w:after="0"/>
        <w:jc w:val="both"/>
        <w:rPr>
          <w:rFonts w:ascii="Book Antiqua" w:hAnsi="Book Antiqua" w:cs="Times New Roman"/>
          <w:lang w:val="sk-SK"/>
        </w:rPr>
      </w:pPr>
      <w:r w:rsidRPr="00845A27">
        <w:rPr>
          <w:rFonts w:ascii="Book Antiqua" w:hAnsi="Book Antiqua"/>
          <w:b/>
          <w:color w:val="000000"/>
          <w:lang w:val="sk-SK"/>
        </w:rPr>
        <w:t xml:space="preserve">Termín začatia a ukončenia PPK: </w:t>
      </w:r>
      <w:r w:rsidRPr="00845A27">
        <w:rPr>
          <w:rFonts w:ascii="Book Antiqua" w:hAnsi="Book Antiqua"/>
          <w:i/>
          <w:color w:val="000000"/>
          <w:lang w:val="sk-SK"/>
        </w:rPr>
        <w:t>bezpredmetné</w:t>
      </w:r>
    </w:p>
    <w:p w:rsidR="00845A27" w:rsidRDefault="00845A27" w:rsidP="006F72C5">
      <w:pPr>
        <w:pStyle w:val="Vchodzie"/>
        <w:spacing w:before="120" w:after="0"/>
        <w:jc w:val="both"/>
        <w:rPr>
          <w:rFonts w:ascii="Book Antiqua" w:hAnsi="Book Antiqua" w:cs="Times New Roman"/>
          <w:b/>
          <w:color w:val="000000"/>
          <w:lang w:val="sk-SK"/>
        </w:rPr>
      </w:pPr>
    </w:p>
    <w:p w:rsidR="00EC4D73" w:rsidRPr="005C59E4" w:rsidRDefault="00EC4D73" w:rsidP="006F72C5">
      <w:pPr>
        <w:pStyle w:val="Vchodzie"/>
        <w:spacing w:before="120" w:after="0"/>
        <w:jc w:val="both"/>
        <w:rPr>
          <w:rFonts w:ascii="Book Antiqua" w:hAnsi="Book Antiqua" w:cs="Times New Roman"/>
          <w:b/>
          <w:color w:val="000000"/>
          <w:lang w:val="sk-SK"/>
        </w:rPr>
      </w:pPr>
      <w:r w:rsidRPr="005C59E4">
        <w:rPr>
          <w:rFonts w:ascii="Book Antiqua" w:hAnsi="Book Antiqua" w:cs="Times New Roman"/>
          <w:b/>
          <w:color w:val="000000"/>
          <w:lang w:val="sk-SK"/>
        </w:rPr>
        <w:t>A.2. Vplyvy:</w:t>
      </w:r>
    </w:p>
    <w:p w:rsidR="00EC4D73" w:rsidRPr="005C59E4" w:rsidRDefault="00EC4D73" w:rsidP="006F72C5">
      <w:pPr>
        <w:pStyle w:val="Vchodzie"/>
        <w:spacing w:before="120" w:after="0"/>
        <w:jc w:val="both"/>
        <w:rPr>
          <w:rFonts w:ascii="Book Antiqua" w:hAnsi="Book Antiqua" w:cs="Times New Roman"/>
          <w:b/>
          <w:color w:val="000000"/>
          <w:lang w:val="sk-SK"/>
        </w:rPr>
      </w:pPr>
    </w:p>
    <w:tbl>
      <w:tblPr>
        <w:tblW w:w="90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6"/>
        <w:gridCol w:w="1192"/>
        <w:gridCol w:w="1181"/>
        <w:gridCol w:w="1196"/>
      </w:tblGrid>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p>
        </w:tc>
        <w:tc>
          <w:tcPr>
            <w:tcW w:w="1192" w:type="dxa"/>
            <w:vAlign w:val="center"/>
          </w:tcPr>
          <w:p w:rsidR="00EC4D73" w:rsidRPr="005C59E4" w:rsidRDefault="00EC4D73" w:rsidP="006F72C5">
            <w:pPr>
              <w:pStyle w:val="Vchodzie"/>
              <w:spacing w:before="120" w:after="0"/>
              <w:jc w:val="center"/>
              <w:rPr>
                <w:rFonts w:ascii="Book Antiqua" w:hAnsi="Book Antiqua" w:cs="Times New Roman"/>
                <w:lang w:val="sk-SK"/>
              </w:rPr>
            </w:pPr>
            <w:r w:rsidRPr="005C59E4">
              <w:rPr>
                <w:rFonts w:ascii="Book Antiqua" w:hAnsi="Book Antiqua" w:cs="Times New Roman"/>
                <w:color w:val="000000"/>
                <w:lang w:val="sk-SK"/>
              </w:rPr>
              <w:t>Pozitívne</w:t>
            </w:r>
          </w:p>
        </w:tc>
        <w:tc>
          <w:tcPr>
            <w:tcW w:w="1181" w:type="dxa"/>
            <w:vAlign w:val="center"/>
          </w:tcPr>
          <w:p w:rsidR="00EC4D73" w:rsidRPr="005C59E4" w:rsidRDefault="00EC4D73" w:rsidP="006F72C5">
            <w:pPr>
              <w:pStyle w:val="Vchodzie"/>
              <w:spacing w:before="120" w:after="0"/>
              <w:jc w:val="center"/>
              <w:rPr>
                <w:rFonts w:ascii="Book Antiqua" w:hAnsi="Book Antiqua" w:cs="Times New Roman"/>
                <w:lang w:val="sk-SK"/>
              </w:rPr>
            </w:pPr>
            <w:r w:rsidRPr="005C59E4">
              <w:rPr>
                <w:rFonts w:ascii="Book Antiqua" w:hAnsi="Book Antiqua" w:cs="Times New Roman"/>
                <w:color w:val="000000"/>
                <w:lang w:val="sk-SK"/>
              </w:rPr>
              <w:t>Žiadne</w:t>
            </w:r>
          </w:p>
        </w:tc>
        <w:tc>
          <w:tcPr>
            <w:tcW w:w="1196" w:type="dxa"/>
            <w:vAlign w:val="center"/>
          </w:tcPr>
          <w:p w:rsidR="00EC4D73" w:rsidRPr="005C59E4" w:rsidRDefault="00EC4D73" w:rsidP="006F72C5">
            <w:pPr>
              <w:pStyle w:val="Vchodzie"/>
              <w:spacing w:before="120" w:after="0"/>
              <w:jc w:val="center"/>
              <w:rPr>
                <w:rFonts w:ascii="Book Antiqua" w:hAnsi="Book Antiqua" w:cs="Times New Roman"/>
                <w:lang w:val="sk-SK"/>
              </w:rPr>
            </w:pPr>
            <w:r w:rsidRPr="005C59E4">
              <w:rPr>
                <w:rFonts w:ascii="Book Antiqua" w:hAnsi="Book Antiqua" w:cs="Times New Roman"/>
                <w:color w:val="000000"/>
                <w:lang w:val="sk-SK"/>
              </w:rPr>
              <w:t>Negatívne</w:t>
            </w:r>
          </w:p>
        </w:tc>
      </w:tr>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r w:rsidRPr="005C59E4">
              <w:rPr>
                <w:rFonts w:ascii="Book Antiqua" w:hAnsi="Book Antiqua" w:cs="Times New Roman"/>
                <w:color w:val="000000"/>
                <w:lang w:val="sk-SK"/>
              </w:rPr>
              <w:t>1. Vplyvy na rozpočet verejnej správy</w:t>
            </w:r>
          </w:p>
        </w:tc>
        <w:tc>
          <w:tcPr>
            <w:tcW w:w="1192"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c>
          <w:tcPr>
            <w:tcW w:w="1181" w:type="dxa"/>
            <w:vAlign w:val="center"/>
          </w:tcPr>
          <w:p w:rsidR="00EC4D73" w:rsidRPr="005C59E4" w:rsidRDefault="00814A4D" w:rsidP="006F72C5">
            <w:pPr>
              <w:pStyle w:val="Vchodzie"/>
              <w:spacing w:before="120" w:after="0"/>
              <w:jc w:val="center"/>
              <w:rPr>
                <w:rFonts w:ascii="Book Antiqua" w:hAnsi="Book Antiqua" w:cs="Times New Roman"/>
                <w:lang w:val="sk-SK"/>
              </w:rPr>
            </w:pPr>
            <w:r w:rsidRPr="005C59E4">
              <w:rPr>
                <w:rFonts w:ascii="Book Antiqua" w:hAnsi="Book Antiqua" w:cs="Times New Roman"/>
                <w:color w:val="000000"/>
                <w:lang w:val="sk-SK"/>
              </w:rPr>
              <w:t>x</w:t>
            </w:r>
          </w:p>
        </w:tc>
        <w:tc>
          <w:tcPr>
            <w:tcW w:w="1196"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r>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r w:rsidRPr="005C59E4">
              <w:rPr>
                <w:rFonts w:ascii="Book Antiqua" w:hAnsi="Book Antiqua" w:cs="Times New Roman"/>
                <w:color w:val="000000"/>
                <w:lang w:val="sk-SK"/>
              </w:rPr>
              <w:t>2. Vplyvy na podnikateľské prostredie – dochádza k zvýšeniu regulačného zaťaženia?</w:t>
            </w:r>
          </w:p>
        </w:tc>
        <w:tc>
          <w:tcPr>
            <w:tcW w:w="1192"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c>
          <w:tcPr>
            <w:tcW w:w="1181" w:type="dxa"/>
            <w:vAlign w:val="center"/>
          </w:tcPr>
          <w:p w:rsidR="00EC4D73" w:rsidRPr="005C59E4" w:rsidRDefault="00814A4D" w:rsidP="006F72C5">
            <w:pPr>
              <w:pStyle w:val="Vchodzie"/>
              <w:spacing w:before="120" w:after="0"/>
              <w:jc w:val="center"/>
              <w:rPr>
                <w:rFonts w:ascii="Book Antiqua" w:hAnsi="Book Antiqua" w:cs="Times New Roman"/>
                <w:lang w:val="sk-SK"/>
              </w:rPr>
            </w:pPr>
            <w:r w:rsidRPr="005C59E4">
              <w:rPr>
                <w:rFonts w:ascii="Book Antiqua" w:hAnsi="Book Antiqua" w:cs="Times New Roman"/>
                <w:color w:val="000000"/>
                <w:lang w:val="sk-SK"/>
              </w:rPr>
              <w:t>x</w:t>
            </w:r>
          </w:p>
        </w:tc>
        <w:tc>
          <w:tcPr>
            <w:tcW w:w="1196"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r>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r w:rsidRPr="005C59E4">
              <w:rPr>
                <w:rFonts w:ascii="Book Antiqua" w:hAnsi="Book Antiqua" w:cs="Times New Roman"/>
                <w:color w:val="000000"/>
                <w:lang w:val="sk-SK"/>
              </w:rPr>
              <w:t>3. Sociálne vplyvy</w:t>
            </w:r>
          </w:p>
        </w:tc>
        <w:tc>
          <w:tcPr>
            <w:tcW w:w="1192" w:type="dxa"/>
            <w:vAlign w:val="center"/>
          </w:tcPr>
          <w:p w:rsidR="00EC4D73" w:rsidRPr="005C59E4" w:rsidRDefault="00814A4D" w:rsidP="006F72C5">
            <w:pPr>
              <w:pStyle w:val="Vchodzie"/>
              <w:spacing w:before="120" w:after="0"/>
              <w:jc w:val="center"/>
              <w:rPr>
                <w:rFonts w:ascii="Book Antiqua" w:hAnsi="Book Antiqua" w:cs="Times New Roman"/>
                <w:lang w:val="sk-SK"/>
              </w:rPr>
            </w:pPr>
            <w:r w:rsidRPr="005C59E4">
              <w:rPr>
                <w:rFonts w:ascii="Book Antiqua" w:hAnsi="Book Antiqua" w:cs="Times New Roman"/>
                <w:lang w:val="sk-SK"/>
              </w:rPr>
              <w:t>x</w:t>
            </w:r>
          </w:p>
        </w:tc>
        <w:tc>
          <w:tcPr>
            <w:tcW w:w="1181"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c>
          <w:tcPr>
            <w:tcW w:w="1196"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r>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r w:rsidRPr="005C59E4">
              <w:rPr>
                <w:rFonts w:ascii="Book Antiqua" w:hAnsi="Book Antiqua" w:cs="Times New Roman"/>
                <w:color w:val="000000"/>
                <w:lang w:val="sk-SK"/>
              </w:rPr>
              <w:t>– vplyvy na hospodárenie obyvateľstva,</w:t>
            </w:r>
          </w:p>
        </w:tc>
        <w:tc>
          <w:tcPr>
            <w:tcW w:w="1192" w:type="dxa"/>
            <w:vAlign w:val="center"/>
          </w:tcPr>
          <w:p w:rsidR="00EC4D73" w:rsidRPr="005C59E4" w:rsidRDefault="00814A4D" w:rsidP="006F72C5">
            <w:pPr>
              <w:pStyle w:val="Vchodzie"/>
              <w:spacing w:before="120" w:after="0"/>
              <w:jc w:val="center"/>
              <w:rPr>
                <w:rFonts w:ascii="Book Antiqua" w:hAnsi="Book Antiqua" w:cs="Times New Roman"/>
                <w:lang w:val="sk-SK"/>
              </w:rPr>
            </w:pPr>
            <w:r w:rsidRPr="005C59E4">
              <w:rPr>
                <w:rFonts w:ascii="Book Antiqua" w:hAnsi="Book Antiqua" w:cs="Times New Roman"/>
                <w:lang w:val="sk-SK"/>
              </w:rPr>
              <w:t>x</w:t>
            </w:r>
          </w:p>
        </w:tc>
        <w:tc>
          <w:tcPr>
            <w:tcW w:w="1181"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c>
          <w:tcPr>
            <w:tcW w:w="1196" w:type="dxa"/>
            <w:vAlign w:val="center"/>
          </w:tcPr>
          <w:p w:rsidR="00EC4D73" w:rsidRPr="005C59E4" w:rsidRDefault="00EC4D73" w:rsidP="006F72C5">
            <w:pPr>
              <w:pStyle w:val="Vchodzie"/>
              <w:spacing w:before="120" w:after="0"/>
              <w:rPr>
                <w:rFonts w:ascii="Book Antiqua" w:hAnsi="Book Antiqua" w:cs="Times New Roman"/>
                <w:lang w:val="sk-SK"/>
              </w:rPr>
            </w:pPr>
          </w:p>
        </w:tc>
      </w:tr>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r w:rsidRPr="005C59E4">
              <w:rPr>
                <w:rFonts w:ascii="Book Antiqua" w:hAnsi="Book Antiqua" w:cs="Times New Roman"/>
                <w:color w:val="000000"/>
                <w:lang w:val="sk-SK"/>
              </w:rPr>
              <w:t xml:space="preserve">– sociálnu </w:t>
            </w:r>
            <w:proofErr w:type="spellStart"/>
            <w:r w:rsidRPr="005C59E4">
              <w:rPr>
                <w:rFonts w:ascii="Book Antiqua" w:hAnsi="Book Antiqua" w:cs="Times New Roman"/>
                <w:color w:val="000000"/>
                <w:lang w:val="sk-SK"/>
              </w:rPr>
              <w:t>exklúziu</w:t>
            </w:r>
            <w:proofErr w:type="spellEnd"/>
            <w:r w:rsidRPr="005C59E4">
              <w:rPr>
                <w:rFonts w:ascii="Book Antiqua" w:hAnsi="Book Antiqua" w:cs="Times New Roman"/>
                <w:color w:val="000000"/>
                <w:lang w:val="sk-SK"/>
              </w:rPr>
              <w:t>,</w:t>
            </w:r>
          </w:p>
        </w:tc>
        <w:tc>
          <w:tcPr>
            <w:tcW w:w="1192"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c>
          <w:tcPr>
            <w:tcW w:w="1181" w:type="dxa"/>
            <w:vAlign w:val="center"/>
          </w:tcPr>
          <w:p w:rsidR="00EC4D73" w:rsidRPr="005C59E4" w:rsidRDefault="00814A4D" w:rsidP="006F72C5">
            <w:pPr>
              <w:pStyle w:val="Vchodzie"/>
              <w:spacing w:before="120" w:after="0"/>
              <w:jc w:val="center"/>
              <w:rPr>
                <w:rFonts w:ascii="Book Antiqua" w:hAnsi="Book Antiqua" w:cs="Times New Roman"/>
                <w:lang w:val="sk-SK"/>
              </w:rPr>
            </w:pPr>
            <w:r w:rsidRPr="005C59E4">
              <w:rPr>
                <w:rFonts w:ascii="Book Antiqua" w:hAnsi="Book Antiqua" w:cs="Times New Roman"/>
                <w:lang w:val="sk-SK"/>
              </w:rPr>
              <w:t>x</w:t>
            </w:r>
          </w:p>
        </w:tc>
        <w:tc>
          <w:tcPr>
            <w:tcW w:w="1196"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r>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r w:rsidRPr="005C59E4">
              <w:rPr>
                <w:rFonts w:ascii="Book Antiqua" w:hAnsi="Book Antiqua" w:cs="Times New Roman"/>
                <w:color w:val="000000"/>
                <w:lang w:val="sk-SK"/>
              </w:rPr>
              <w:t>– rovnosť príležitostí a rodovú rovnosť a vplyvy na zamestnanosť</w:t>
            </w:r>
          </w:p>
        </w:tc>
        <w:tc>
          <w:tcPr>
            <w:tcW w:w="1192" w:type="dxa"/>
            <w:vAlign w:val="center"/>
          </w:tcPr>
          <w:p w:rsidR="00EC4D73" w:rsidRPr="005C59E4" w:rsidRDefault="00814A4D" w:rsidP="006F72C5">
            <w:pPr>
              <w:pStyle w:val="Vchodzie"/>
              <w:spacing w:before="120" w:after="0"/>
              <w:jc w:val="center"/>
              <w:rPr>
                <w:rFonts w:ascii="Book Antiqua" w:hAnsi="Book Antiqua" w:cs="Times New Roman"/>
                <w:lang w:val="sk-SK"/>
              </w:rPr>
            </w:pPr>
            <w:r w:rsidRPr="005C59E4">
              <w:rPr>
                <w:rFonts w:ascii="Book Antiqua" w:hAnsi="Book Antiqua" w:cs="Times New Roman"/>
                <w:lang w:val="sk-SK"/>
              </w:rPr>
              <w:t>x</w:t>
            </w:r>
          </w:p>
        </w:tc>
        <w:tc>
          <w:tcPr>
            <w:tcW w:w="1181"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c>
          <w:tcPr>
            <w:tcW w:w="1196"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r>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r w:rsidRPr="005C59E4">
              <w:rPr>
                <w:rFonts w:ascii="Book Antiqua" w:hAnsi="Book Antiqua" w:cs="Times New Roman"/>
                <w:color w:val="000000"/>
                <w:lang w:val="sk-SK"/>
              </w:rPr>
              <w:t>4. Vplyvy na životné prostredie</w:t>
            </w:r>
          </w:p>
        </w:tc>
        <w:tc>
          <w:tcPr>
            <w:tcW w:w="1192"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c>
          <w:tcPr>
            <w:tcW w:w="1181" w:type="dxa"/>
            <w:vAlign w:val="center"/>
          </w:tcPr>
          <w:p w:rsidR="00EC4D73" w:rsidRPr="005C59E4" w:rsidRDefault="00814A4D" w:rsidP="006F72C5">
            <w:pPr>
              <w:pStyle w:val="Vchodzie"/>
              <w:spacing w:before="120" w:after="0"/>
              <w:jc w:val="center"/>
              <w:rPr>
                <w:rFonts w:ascii="Book Antiqua" w:hAnsi="Book Antiqua" w:cs="Times New Roman"/>
                <w:lang w:val="sk-SK"/>
              </w:rPr>
            </w:pPr>
            <w:r w:rsidRPr="005C59E4">
              <w:rPr>
                <w:rFonts w:ascii="Book Antiqua" w:hAnsi="Book Antiqua" w:cs="Times New Roman"/>
                <w:color w:val="000000"/>
                <w:lang w:val="sk-SK"/>
              </w:rPr>
              <w:t>x</w:t>
            </w:r>
          </w:p>
        </w:tc>
        <w:tc>
          <w:tcPr>
            <w:tcW w:w="1196"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r>
      <w:tr w:rsidR="00EC4D73" w:rsidRPr="005C59E4" w:rsidTr="00494E6C">
        <w:tc>
          <w:tcPr>
            <w:tcW w:w="5526" w:type="dxa"/>
            <w:vAlign w:val="center"/>
          </w:tcPr>
          <w:p w:rsidR="00EC4D73" w:rsidRPr="005C59E4" w:rsidRDefault="00EC4D73" w:rsidP="006F72C5">
            <w:pPr>
              <w:pStyle w:val="Vchodzie"/>
              <w:spacing w:before="120" w:after="0"/>
              <w:rPr>
                <w:rFonts w:ascii="Book Antiqua" w:hAnsi="Book Antiqua" w:cs="Times New Roman"/>
                <w:lang w:val="sk-SK"/>
              </w:rPr>
            </w:pPr>
            <w:r w:rsidRPr="005C59E4">
              <w:rPr>
                <w:rFonts w:ascii="Book Antiqua" w:hAnsi="Book Antiqua" w:cs="Times New Roman"/>
                <w:color w:val="000000"/>
                <w:lang w:val="sk-SK"/>
              </w:rPr>
              <w:t>5. Vplyvy na informatizáciu spoločnosti</w:t>
            </w:r>
          </w:p>
        </w:tc>
        <w:tc>
          <w:tcPr>
            <w:tcW w:w="1192"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c>
          <w:tcPr>
            <w:tcW w:w="1181" w:type="dxa"/>
            <w:vAlign w:val="center"/>
          </w:tcPr>
          <w:p w:rsidR="00EC4D73" w:rsidRPr="005C59E4" w:rsidRDefault="00814A4D" w:rsidP="006F72C5">
            <w:pPr>
              <w:pStyle w:val="Vchodzie"/>
              <w:spacing w:before="120" w:after="0"/>
              <w:jc w:val="center"/>
              <w:rPr>
                <w:rFonts w:ascii="Book Antiqua" w:hAnsi="Book Antiqua" w:cs="Times New Roman"/>
                <w:lang w:val="sk-SK"/>
              </w:rPr>
            </w:pPr>
            <w:r w:rsidRPr="005C59E4">
              <w:rPr>
                <w:rFonts w:ascii="Book Antiqua" w:hAnsi="Book Antiqua" w:cs="Times New Roman"/>
                <w:color w:val="000000"/>
                <w:lang w:val="sk-SK"/>
              </w:rPr>
              <w:t>x</w:t>
            </w:r>
          </w:p>
        </w:tc>
        <w:tc>
          <w:tcPr>
            <w:tcW w:w="1196" w:type="dxa"/>
            <w:vAlign w:val="center"/>
          </w:tcPr>
          <w:p w:rsidR="00EC4D73" w:rsidRPr="005C59E4" w:rsidRDefault="00EC4D73" w:rsidP="006F72C5">
            <w:pPr>
              <w:pStyle w:val="Vchodzie"/>
              <w:spacing w:before="120" w:after="0"/>
              <w:jc w:val="center"/>
              <w:rPr>
                <w:rFonts w:ascii="Book Antiqua" w:hAnsi="Book Antiqua" w:cs="Times New Roman"/>
                <w:lang w:val="sk-SK"/>
              </w:rPr>
            </w:pPr>
          </w:p>
        </w:tc>
      </w:tr>
    </w:tbl>
    <w:p w:rsidR="00845A27" w:rsidRPr="00845A27" w:rsidRDefault="00845A27" w:rsidP="00814A4D">
      <w:pPr>
        <w:pStyle w:val="Normlnywebov"/>
        <w:spacing w:before="120" w:beforeAutospacing="0" w:after="0" w:afterAutospacing="0" w:line="276" w:lineRule="auto"/>
        <w:jc w:val="both"/>
        <w:rPr>
          <w:rFonts w:ascii="Book Antiqua" w:hAnsi="Book Antiqua"/>
          <w:b/>
          <w:bCs/>
          <w:color w:val="000000"/>
          <w:sz w:val="22"/>
          <w:szCs w:val="22"/>
        </w:rPr>
      </w:pPr>
    </w:p>
    <w:p w:rsidR="00814A4D" w:rsidRPr="00845A27" w:rsidRDefault="00814A4D" w:rsidP="00814A4D">
      <w:pPr>
        <w:pStyle w:val="Normlnywebov"/>
        <w:spacing w:before="120" w:beforeAutospacing="0" w:after="0" w:afterAutospacing="0" w:line="276" w:lineRule="auto"/>
        <w:jc w:val="both"/>
        <w:rPr>
          <w:rFonts w:ascii="Book Antiqua" w:hAnsi="Book Antiqua"/>
          <w:sz w:val="22"/>
          <w:szCs w:val="22"/>
        </w:rPr>
      </w:pPr>
      <w:r w:rsidRPr="00845A27">
        <w:rPr>
          <w:rFonts w:ascii="Book Antiqua" w:hAnsi="Book Antiqua"/>
          <w:b/>
          <w:bCs/>
          <w:color w:val="000000"/>
          <w:sz w:val="22"/>
          <w:szCs w:val="22"/>
        </w:rPr>
        <w:t>A.3. Poznámky</w:t>
      </w:r>
    </w:p>
    <w:p w:rsidR="00814A4D" w:rsidRPr="00845A27" w:rsidRDefault="00814A4D" w:rsidP="00845A27">
      <w:pPr>
        <w:pStyle w:val="Normlnywebov"/>
        <w:spacing w:before="120" w:beforeAutospacing="0" w:after="0" w:afterAutospacing="0" w:line="276" w:lineRule="auto"/>
        <w:jc w:val="both"/>
        <w:rPr>
          <w:rFonts w:ascii="Book Antiqua" w:hAnsi="Book Antiqua"/>
          <w:i/>
          <w:iCs/>
          <w:color w:val="000000"/>
          <w:sz w:val="22"/>
          <w:szCs w:val="22"/>
        </w:rPr>
      </w:pPr>
      <w:r w:rsidRPr="00845A27">
        <w:rPr>
          <w:rFonts w:ascii="Book Antiqua" w:hAnsi="Book Antiqua"/>
          <w:i/>
          <w:iCs/>
          <w:color w:val="000000"/>
          <w:sz w:val="22"/>
          <w:szCs w:val="22"/>
        </w:rPr>
        <w:t>Návrh zákona vyvoláva pozitívne sociálne vplyvy – vplyvy na hospodárenie obyvateľstva a vplyvy na zamestnanosť vzhľadom na skrátenie lehoty trvania praxe advokátskych koncipientov z piatich na tri roky a možnosť započítať do praxe advokátskych koncipientov aj inú právnu prax.</w:t>
      </w:r>
    </w:p>
    <w:p w:rsidR="007A626C" w:rsidRPr="00845A27" w:rsidRDefault="007A626C" w:rsidP="00814A4D">
      <w:pPr>
        <w:pStyle w:val="Normlnywebov"/>
        <w:spacing w:before="120" w:beforeAutospacing="0" w:after="0" w:afterAutospacing="0" w:line="276" w:lineRule="auto"/>
        <w:jc w:val="both"/>
        <w:rPr>
          <w:rFonts w:ascii="Book Antiqua" w:hAnsi="Book Antiqua"/>
          <w:b/>
          <w:bCs/>
          <w:color w:val="000000"/>
          <w:sz w:val="22"/>
          <w:szCs w:val="22"/>
        </w:rPr>
      </w:pPr>
    </w:p>
    <w:p w:rsidR="00814A4D" w:rsidRPr="00845A27" w:rsidRDefault="00814A4D" w:rsidP="00814A4D">
      <w:pPr>
        <w:pStyle w:val="Normlnywebov"/>
        <w:spacing w:before="120" w:beforeAutospacing="0" w:after="0" w:afterAutospacing="0" w:line="276" w:lineRule="auto"/>
        <w:jc w:val="both"/>
        <w:rPr>
          <w:rFonts w:ascii="Book Antiqua" w:hAnsi="Book Antiqua"/>
          <w:sz w:val="22"/>
          <w:szCs w:val="22"/>
        </w:rPr>
      </w:pPr>
      <w:r w:rsidRPr="00845A27">
        <w:rPr>
          <w:rFonts w:ascii="Book Antiqua" w:hAnsi="Book Antiqua"/>
          <w:b/>
          <w:bCs/>
          <w:color w:val="000000"/>
          <w:sz w:val="22"/>
          <w:szCs w:val="22"/>
        </w:rPr>
        <w:t>A.4. Alternatívne riešenia</w:t>
      </w:r>
    </w:p>
    <w:p w:rsidR="00814A4D" w:rsidRPr="00845A27" w:rsidRDefault="00814A4D" w:rsidP="00814A4D">
      <w:pPr>
        <w:pStyle w:val="Normlnywebov"/>
        <w:spacing w:before="120" w:beforeAutospacing="0" w:after="0" w:afterAutospacing="0" w:line="276" w:lineRule="auto"/>
        <w:jc w:val="both"/>
        <w:rPr>
          <w:rFonts w:ascii="Book Antiqua" w:hAnsi="Book Antiqua"/>
          <w:sz w:val="22"/>
          <w:szCs w:val="22"/>
        </w:rPr>
      </w:pPr>
      <w:r w:rsidRPr="00845A27">
        <w:rPr>
          <w:rFonts w:ascii="Book Antiqua" w:hAnsi="Book Antiqua"/>
          <w:i/>
          <w:iCs/>
          <w:color w:val="000000"/>
          <w:sz w:val="22"/>
          <w:szCs w:val="22"/>
        </w:rPr>
        <w:t>bezpredmetné</w:t>
      </w:r>
    </w:p>
    <w:p w:rsidR="00814A4D" w:rsidRPr="00845A27" w:rsidRDefault="00814A4D" w:rsidP="00814A4D">
      <w:pPr>
        <w:pStyle w:val="Normlnywebov"/>
        <w:spacing w:before="120" w:beforeAutospacing="0" w:after="0" w:afterAutospacing="0" w:line="276" w:lineRule="auto"/>
        <w:jc w:val="both"/>
        <w:rPr>
          <w:rFonts w:ascii="Book Antiqua" w:hAnsi="Book Antiqua"/>
          <w:sz w:val="22"/>
          <w:szCs w:val="22"/>
        </w:rPr>
      </w:pPr>
      <w:r w:rsidRPr="00845A27">
        <w:rPr>
          <w:rFonts w:ascii="Book Antiqua" w:hAnsi="Book Antiqua"/>
          <w:b/>
          <w:bCs/>
          <w:color w:val="000000"/>
          <w:sz w:val="22"/>
          <w:szCs w:val="22"/>
        </w:rPr>
        <w:t> </w:t>
      </w:r>
    </w:p>
    <w:p w:rsidR="00814A4D" w:rsidRPr="00845A27" w:rsidRDefault="00814A4D" w:rsidP="00814A4D">
      <w:pPr>
        <w:pStyle w:val="Normlnywebov"/>
        <w:spacing w:before="120" w:beforeAutospacing="0" w:after="0" w:afterAutospacing="0" w:line="276" w:lineRule="auto"/>
        <w:jc w:val="both"/>
        <w:rPr>
          <w:rFonts w:ascii="Book Antiqua" w:hAnsi="Book Antiqua"/>
          <w:sz w:val="22"/>
          <w:szCs w:val="22"/>
        </w:rPr>
      </w:pPr>
      <w:r w:rsidRPr="00845A27">
        <w:rPr>
          <w:rFonts w:ascii="Book Antiqua" w:hAnsi="Book Antiqua"/>
          <w:b/>
          <w:bCs/>
          <w:color w:val="000000"/>
          <w:sz w:val="22"/>
          <w:szCs w:val="22"/>
        </w:rPr>
        <w:t>A.5. Stanovisko gestorov</w:t>
      </w:r>
    </w:p>
    <w:p w:rsidR="00EC4D73" w:rsidRPr="005C59E4" w:rsidRDefault="00814A4D" w:rsidP="00F92918">
      <w:pPr>
        <w:pStyle w:val="Normlnywebov"/>
        <w:spacing w:before="120" w:beforeAutospacing="0" w:after="0" w:afterAutospacing="0" w:line="276" w:lineRule="auto"/>
        <w:jc w:val="both"/>
        <w:rPr>
          <w:rFonts w:ascii="Book Antiqua" w:hAnsi="Book Antiqua"/>
          <w:sz w:val="22"/>
          <w:szCs w:val="22"/>
        </w:rPr>
      </w:pPr>
      <w:r w:rsidRPr="00845A27">
        <w:rPr>
          <w:rFonts w:ascii="Book Antiqua" w:hAnsi="Book Antiqua"/>
          <w:i/>
          <w:iCs/>
          <w:color w:val="000000"/>
          <w:sz w:val="22"/>
          <w:szCs w:val="22"/>
        </w:rPr>
        <w:t>Návrh zákona bol zaslaný na vyjadrenie Ministerstvu financií SR a stanovisko tohto ministerstva tvorí súčasť predkladaného materiálu.</w:t>
      </w:r>
    </w:p>
    <w:sectPr w:rsidR="00EC4D73" w:rsidRPr="005C59E4" w:rsidSect="001A799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32" w:rsidRDefault="00741A32" w:rsidP="000A2D7E">
      <w:r>
        <w:separator/>
      </w:r>
    </w:p>
  </w:endnote>
  <w:endnote w:type="continuationSeparator" w:id="0">
    <w:p w:rsidR="00741A32" w:rsidRDefault="00741A32" w:rsidP="000A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C000247B" w:usb2="00000009" w:usb3="00000000" w:csb0="000001FF" w:csb1="00000000"/>
  </w:font>
  <w:font w:name="SimSun">
    <w:altName w:val="??ˇ¦||ˇ¦|ˇ§ˇěˇ¦||ˇ¦ˇěˇ¦¨§?"/>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3" w:usb1="00000000" w:usb2="00000000" w:usb3="00000000" w:csb0="00000003" w:csb1="00000000"/>
  </w:font>
  <w:font w:name="Arial">
    <w:altName w:val="Times New Roman"/>
    <w:panose1 w:val="020B0604020202020204"/>
    <w:charset w:val="EE"/>
    <w:family w:val="swiss"/>
    <w:pitch w:val="variable"/>
    <w:sig w:usb0="E0002EFF" w:usb1="C0007843" w:usb2="00000009" w:usb3="00000000" w:csb0="000001FF" w:csb1="00000000"/>
  </w:font>
  <w:font w:name="Book Antiqua">
    <w:altName w:val="Palatino"/>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2A" w:rsidRDefault="00B913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479" w:rsidRPr="00B9132A" w:rsidRDefault="00B54479" w:rsidP="00B9132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2A" w:rsidRDefault="00B913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32" w:rsidRDefault="00741A32" w:rsidP="000A2D7E">
      <w:r>
        <w:separator/>
      </w:r>
    </w:p>
  </w:footnote>
  <w:footnote w:type="continuationSeparator" w:id="0">
    <w:p w:rsidR="00741A32" w:rsidRDefault="00741A32" w:rsidP="000A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2A" w:rsidRDefault="00B9132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2A" w:rsidRDefault="00B9132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2A" w:rsidRDefault="00B9132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80E"/>
    <w:multiLevelType w:val="hybridMultilevel"/>
    <w:tmpl w:val="277AD4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61412A5"/>
    <w:multiLevelType w:val="hybridMultilevel"/>
    <w:tmpl w:val="F34C752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7E"/>
    <w:rsid w:val="00070DE6"/>
    <w:rsid w:val="00081AE8"/>
    <w:rsid w:val="000A2D7E"/>
    <w:rsid w:val="00126891"/>
    <w:rsid w:val="00126D0A"/>
    <w:rsid w:val="00174A3A"/>
    <w:rsid w:val="0017622F"/>
    <w:rsid w:val="00194AF2"/>
    <w:rsid w:val="001A7996"/>
    <w:rsid w:val="001A7EA2"/>
    <w:rsid w:val="001C5320"/>
    <w:rsid w:val="0020442D"/>
    <w:rsid w:val="002713D6"/>
    <w:rsid w:val="002C73CB"/>
    <w:rsid w:val="002D1B30"/>
    <w:rsid w:val="003D6019"/>
    <w:rsid w:val="0045514F"/>
    <w:rsid w:val="00494E6C"/>
    <w:rsid w:val="004A491C"/>
    <w:rsid w:val="004D55D1"/>
    <w:rsid w:val="004F1CE3"/>
    <w:rsid w:val="004F2022"/>
    <w:rsid w:val="00515AE7"/>
    <w:rsid w:val="00520E89"/>
    <w:rsid w:val="00555336"/>
    <w:rsid w:val="005C59E4"/>
    <w:rsid w:val="00611711"/>
    <w:rsid w:val="00653355"/>
    <w:rsid w:val="006558C0"/>
    <w:rsid w:val="00673449"/>
    <w:rsid w:val="006F72C5"/>
    <w:rsid w:val="00741A32"/>
    <w:rsid w:val="00764085"/>
    <w:rsid w:val="007A626C"/>
    <w:rsid w:val="007B3ABD"/>
    <w:rsid w:val="00814A4D"/>
    <w:rsid w:val="00845A27"/>
    <w:rsid w:val="00944551"/>
    <w:rsid w:val="00951DF4"/>
    <w:rsid w:val="00974B1B"/>
    <w:rsid w:val="00AA320B"/>
    <w:rsid w:val="00AB04BA"/>
    <w:rsid w:val="00AC6C6D"/>
    <w:rsid w:val="00B155FE"/>
    <w:rsid w:val="00B27A96"/>
    <w:rsid w:val="00B54479"/>
    <w:rsid w:val="00B73B1F"/>
    <w:rsid w:val="00B83AE8"/>
    <w:rsid w:val="00B9132A"/>
    <w:rsid w:val="00BB3E13"/>
    <w:rsid w:val="00BC4AB8"/>
    <w:rsid w:val="00BD4E39"/>
    <w:rsid w:val="00BD666F"/>
    <w:rsid w:val="00C93230"/>
    <w:rsid w:val="00D20043"/>
    <w:rsid w:val="00D466FA"/>
    <w:rsid w:val="00D6169D"/>
    <w:rsid w:val="00D629AE"/>
    <w:rsid w:val="00D77FA4"/>
    <w:rsid w:val="00DA4D1B"/>
    <w:rsid w:val="00DC6F7C"/>
    <w:rsid w:val="00E70913"/>
    <w:rsid w:val="00EA20DE"/>
    <w:rsid w:val="00EA6144"/>
    <w:rsid w:val="00EA744C"/>
    <w:rsid w:val="00EC0F41"/>
    <w:rsid w:val="00EC4D73"/>
    <w:rsid w:val="00F015E7"/>
    <w:rsid w:val="00F754B5"/>
    <w:rsid w:val="00F929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826B4"/>
  <w14:defaultImageDpi w14:val="0"/>
  <w15:docId w15:val="{79DBEF72-C099-43FB-BDFE-C493AFD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2D7E"/>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0A2D7E"/>
    <w:rPr>
      <w:rFonts w:cs="Times New Roman"/>
      <w:color w:val="0000FF"/>
      <w:u w:val="single"/>
    </w:rPr>
  </w:style>
  <w:style w:type="paragraph" w:styleId="Pta">
    <w:name w:val="footer"/>
    <w:basedOn w:val="Normlny"/>
    <w:link w:val="PtaChar"/>
    <w:uiPriority w:val="99"/>
    <w:rsid w:val="000A2D7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0A2D7E"/>
    <w:rPr>
      <w:rFonts w:ascii="Arial" w:hAnsi="Arial" w:cs="Arial"/>
      <w:sz w:val="20"/>
      <w:szCs w:val="20"/>
      <w:lang w:val="x-none" w:eastAsia="sk-SK"/>
    </w:rPr>
  </w:style>
  <w:style w:type="paragraph" w:styleId="Hlavika">
    <w:name w:val="header"/>
    <w:basedOn w:val="Normlny"/>
    <w:link w:val="HlavikaChar"/>
    <w:uiPriority w:val="99"/>
    <w:semiHidden/>
    <w:unhideWhenUsed/>
    <w:rsid w:val="000A2D7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0A2D7E"/>
    <w:rPr>
      <w:rFonts w:ascii="Times New Roman" w:eastAsia="SimSun" w:hAnsi="Times New Roman" w:cs="Mangal"/>
      <w:kern w:val="1"/>
      <w:sz w:val="21"/>
      <w:szCs w:val="21"/>
      <w:lang w:val="x-none" w:eastAsia="hi-IN" w:bidi="hi-IN"/>
    </w:rPr>
  </w:style>
  <w:style w:type="paragraph" w:styleId="Textpoznmkypodiarou">
    <w:name w:val="footnote text"/>
    <w:basedOn w:val="Normlny"/>
    <w:link w:val="TextpoznmkypodiarouChar"/>
    <w:uiPriority w:val="99"/>
    <w:semiHidden/>
    <w:unhideWhenUsed/>
    <w:rsid w:val="000A2D7E"/>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semiHidden/>
    <w:locked/>
    <w:rsid w:val="000A2D7E"/>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0A2D7E"/>
    <w:rPr>
      <w:rFonts w:cs="Times New Roman"/>
      <w:vertAlign w:val="superscript"/>
    </w:rPr>
  </w:style>
  <w:style w:type="paragraph" w:styleId="Odsekzoznamu">
    <w:name w:val="List Paragraph"/>
    <w:basedOn w:val="Normlny"/>
    <w:uiPriority w:val="34"/>
    <w:qFormat/>
    <w:rsid w:val="000A2D7E"/>
    <w:pPr>
      <w:ind w:left="720"/>
      <w:contextualSpacing/>
    </w:pPr>
    <w:rPr>
      <w:szCs w:val="21"/>
    </w:rPr>
  </w:style>
  <w:style w:type="paragraph" w:styleId="Normlnywebov">
    <w:name w:val="Normal (Web)"/>
    <w:aliases w:val="webb"/>
    <w:basedOn w:val="Normlny"/>
    <w:uiPriority w:val="99"/>
    <w:unhideWhenUsed/>
    <w:rsid w:val="00EC4D73"/>
    <w:pPr>
      <w:widowControl/>
      <w:suppressAutoHyphens w:val="0"/>
      <w:spacing w:before="100" w:beforeAutospacing="1" w:after="100" w:afterAutospacing="1"/>
    </w:pPr>
    <w:rPr>
      <w:rFonts w:eastAsia="Times New Roman" w:cs="Times New Roman"/>
      <w:kern w:val="0"/>
      <w:lang w:eastAsia="sk-SK" w:bidi="ar-SA"/>
    </w:rPr>
  </w:style>
  <w:style w:type="paragraph" w:customStyle="1" w:styleId="Vchodzie">
    <w:name w:val="Vchodzie"/>
    <w:rsid w:val="00EC4D73"/>
    <w:pPr>
      <w:widowControl w:val="0"/>
      <w:autoSpaceDN w:val="0"/>
      <w:adjustRightInd w:val="0"/>
      <w:spacing w:after="200" w:line="276" w:lineRule="auto"/>
    </w:pPr>
    <w:rPr>
      <w:rFonts w:ascii="Calibri" w:eastAsiaTheme="minorEastAsia" w:hAnsi="Calibri" w:cs="Calibri"/>
      <w:ker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7278</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Lipsic, Daniel (asistent)</dc:creator>
  <cp:keywords/>
  <dc:description/>
  <cp:lastModifiedBy>Lukáč, Jozef (asistent)</cp:lastModifiedBy>
  <cp:revision>4</cp:revision>
  <dcterms:created xsi:type="dcterms:W3CDTF">2018-09-28T08:46:00Z</dcterms:created>
  <dcterms:modified xsi:type="dcterms:W3CDTF">2018-09-28T08:47:00Z</dcterms:modified>
</cp:coreProperties>
</file>