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3051" w:rsidRPr="00380774" w:rsidRDefault="00023051" w:rsidP="00023051">
      <w:pPr>
        <w:jc w:val="center"/>
        <w:rPr>
          <w:rFonts w:ascii="Book Antiqua" w:hAnsi="Book Antiqua" w:cs="Arial"/>
          <w:b/>
        </w:rPr>
      </w:pPr>
      <w:bookmarkStart w:id="0" w:name="_GoBack"/>
      <w:bookmarkEnd w:id="0"/>
      <w:r>
        <w:rPr>
          <w:rFonts w:ascii="Book Antiqua" w:hAnsi="Book Antiqua" w:cs="Arial"/>
          <w:b/>
        </w:rPr>
        <w:t>D</w:t>
      </w:r>
      <w:r w:rsidRPr="00380774">
        <w:rPr>
          <w:rFonts w:ascii="Book Antiqua" w:hAnsi="Book Antiqua" w:cs="Arial"/>
          <w:b/>
        </w:rPr>
        <w:t>ôvodová správa</w:t>
      </w:r>
    </w:p>
    <w:p w:rsidR="00023051" w:rsidRPr="00430035" w:rsidRDefault="00023051" w:rsidP="00023051">
      <w:pPr>
        <w:numPr>
          <w:ilvl w:val="0"/>
          <w:numId w:val="1"/>
        </w:numPr>
        <w:ind w:left="270" w:hanging="180"/>
        <w:jc w:val="both"/>
        <w:rPr>
          <w:rFonts w:ascii="Book Antiqua" w:hAnsi="Book Antiqua" w:cs="Arial"/>
          <w:b/>
          <w:i/>
        </w:rPr>
      </w:pPr>
      <w:r w:rsidRPr="00430035">
        <w:rPr>
          <w:rFonts w:ascii="Book Antiqua" w:hAnsi="Book Antiqua" w:cs="Arial"/>
          <w:b/>
          <w:i/>
        </w:rPr>
        <w:t>Všeobecná časť</w:t>
      </w:r>
    </w:p>
    <w:p w:rsidR="00023051" w:rsidRPr="00AC7C7A" w:rsidRDefault="00504EAA" w:rsidP="00023051">
      <w:pPr>
        <w:ind w:left="360"/>
        <w:jc w:val="both"/>
        <w:rPr>
          <w:rFonts w:ascii="Book Antiqua" w:hAnsi="Book Antiqua" w:cs="Arial"/>
        </w:rPr>
      </w:pPr>
      <w:r>
        <w:rPr>
          <w:noProof/>
          <w:lang w:eastAsia="sk-SK"/>
        </w:rPr>
        <mc:AlternateContent>
          <mc:Choice Requires="wps">
            <w:drawing>
              <wp:anchor distT="4294967295" distB="4294967295" distL="114300" distR="114300" simplePos="0" relativeHeight="251660288" behindDoc="0" locked="0" layoutInCell="1" allowOverlap="1">
                <wp:simplePos x="0" y="0"/>
                <wp:positionH relativeFrom="column">
                  <wp:posOffset>-4445</wp:posOffset>
                </wp:positionH>
                <wp:positionV relativeFrom="paragraph">
                  <wp:posOffset>34924</wp:posOffset>
                </wp:positionV>
                <wp:extent cx="5778500" cy="0"/>
                <wp:effectExtent l="0" t="0" r="12700" b="0"/>
                <wp:wrapNone/>
                <wp:docPr id="2" name="Rovná spojovacia šípk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8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9EE1787" id="_x0000_t32" coordsize="21600,21600" o:spt="32" o:oned="t" path="m,l21600,21600e" filled="f">
                <v:path arrowok="t" fillok="f" o:connecttype="none"/>
                <o:lock v:ext="edit" shapetype="t"/>
              </v:shapetype>
              <v:shape id="Rovná spojovacia šípka 2" o:spid="_x0000_s1026" type="#_x0000_t32" style="position:absolute;margin-left:-.35pt;margin-top:2.75pt;width:45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"/>
            </w:pict>
          </mc:Fallback>
        </mc:AlternateContent>
      </w:r>
    </w:p>
    <w:p w:rsidR="00023051" w:rsidRPr="00AC7C7A" w:rsidRDefault="00023051" w:rsidP="001D6141">
      <w:pPr>
        <w:ind w:firstLine="708"/>
        <w:jc w:val="both"/>
        <w:rPr>
          <w:rFonts w:ascii="Book Antiqua" w:hAnsi="Book Antiqua" w:cs="Arial"/>
        </w:rPr>
      </w:pPr>
      <w:r>
        <w:rPr>
          <w:rFonts w:ascii="Book Antiqua" w:hAnsi="Book Antiqua" w:cs="Arial"/>
        </w:rPr>
        <w:t>N</w:t>
      </w:r>
      <w:r w:rsidRPr="00AC7C7A">
        <w:rPr>
          <w:rFonts w:ascii="Book Antiqua" w:hAnsi="Book Antiqua" w:cs="Arial"/>
        </w:rPr>
        <w:t>ávrh</w:t>
      </w:r>
      <w:r>
        <w:rPr>
          <w:rFonts w:ascii="Book Antiqua" w:hAnsi="Book Antiqua" w:cs="Arial"/>
        </w:rPr>
        <w:t xml:space="preserve"> </w:t>
      </w:r>
      <w:r w:rsidRPr="00AC7C7A">
        <w:rPr>
          <w:rFonts w:ascii="Book Antiqua" w:hAnsi="Book Antiqua" w:cs="Arial"/>
        </w:rPr>
        <w:t>zákona, ktorým sa mení</w:t>
      </w:r>
      <w:r>
        <w:rPr>
          <w:rFonts w:ascii="Book Antiqua" w:hAnsi="Book Antiqua" w:cs="Arial"/>
        </w:rPr>
        <w:t xml:space="preserve"> a dopĺňa zákon </w:t>
      </w:r>
      <w:r w:rsidR="0037635C" w:rsidRPr="00F177B8">
        <w:rPr>
          <w:rFonts w:ascii="Book Antiqua" w:hAnsi="Book Antiqua"/>
          <w:color w:val="231F20"/>
          <w:lang w:eastAsia="en-US"/>
        </w:rPr>
        <w:t xml:space="preserve">č. </w:t>
      </w:r>
      <w:r w:rsidR="0037635C" w:rsidRPr="00BE6212">
        <w:rPr>
          <w:rFonts w:ascii="Book Antiqua" w:hAnsi="Book Antiqua"/>
        </w:rPr>
        <w:t>161/2015 Z. z. Civilný mimosporový poriadok</w:t>
      </w:r>
      <w:r w:rsidRPr="000B2FAE">
        <w:rPr>
          <w:rFonts w:ascii="Book Antiqua" w:hAnsi="Book Antiqua" w:cs="Arial"/>
        </w:rPr>
        <w:t xml:space="preserve"> </w:t>
      </w:r>
      <w:r>
        <w:rPr>
          <w:rFonts w:ascii="Book Antiqua" w:hAnsi="Book Antiqua" w:cs="Arial"/>
        </w:rPr>
        <w:t xml:space="preserve">predkladajú </w:t>
      </w:r>
      <w:r w:rsidRPr="00AC7C7A">
        <w:rPr>
          <w:rFonts w:ascii="Book Antiqua" w:hAnsi="Book Antiqua" w:cs="Arial"/>
        </w:rPr>
        <w:t>do Nár</w:t>
      </w:r>
      <w:r>
        <w:rPr>
          <w:rFonts w:ascii="Book Antiqua" w:hAnsi="Book Antiqua" w:cs="Arial"/>
        </w:rPr>
        <w:t>odnej rady Slovenskej</w:t>
      </w:r>
      <w:r w:rsidR="0037635C">
        <w:rPr>
          <w:rFonts w:ascii="Book Antiqua" w:hAnsi="Book Antiqua" w:cs="Arial"/>
        </w:rPr>
        <w:t xml:space="preserve"> republ</w:t>
      </w:r>
      <w:r w:rsidR="000D5A93">
        <w:rPr>
          <w:rFonts w:ascii="Book Antiqua" w:hAnsi="Book Antiqua" w:cs="Arial"/>
        </w:rPr>
        <w:t xml:space="preserve">iky poslanci </w:t>
      </w:r>
      <w:r w:rsidR="0037635C" w:rsidRPr="0037635C">
        <w:rPr>
          <w:rFonts w:ascii="Book Antiqua" w:hAnsi="Book Antiqua"/>
        </w:rPr>
        <w:t>PaedDr. Martina Šimkovičová</w:t>
      </w:r>
      <w:r w:rsidR="000D5A93">
        <w:rPr>
          <w:rFonts w:ascii="Book Antiqua" w:hAnsi="Book Antiqua"/>
        </w:rPr>
        <w:t>, Peter Marček, Miroslav Číž.</w:t>
      </w:r>
      <w:r w:rsidR="0037635C">
        <w:rPr>
          <w:rFonts w:ascii="Book Antiqua" w:hAnsi="Book Antiqua"/>
        </w:rPr>
        <w:t xml:space="preserve"> </w:t>
      </w:r>
    </w:p>
    <w:p w:rsidR="00023051" w:rsidRPr="00F21F17" w:rsidRDefault="00023051" w:rsidP="001D6141">
      <w:pPr>
        <w:ind w:firstLine="708"/>
        <w:jc w:val="both"/>
        <w:rPr>
          <w:rFonts w:ascii="Book Antiqua" w:hAnsi="Book Antiqua" w:cs="Arial"/>
          <w:b/>
        </w:rPr>
      </w:pPr>
      <w:r w:rsidRPr="00F21F17">
        <w:rPr>
          <w:rFonts w:ascii="Book Antiqua" w:hAnsi="Book Antiqua" w:cs="Arial"/>
          <w:b/>
        </w:rPr>
        <w:t xml:space="preserve">Cieľom legislatívneho návrhu je </w:t>
      </w:r>
      <w:r w:rsidR="0037635C">
        <w:rPr>
          <w:rFonts w:ascii="Book Antiqua" w:hAnsi="Book Antiqua" w:cs="Arial"/>
          <w:b/>
        </w:rPr>
        <w:t xml:space="preserve">povoliť podanie žaloby na obnovu konania aj </w:t>
      </w:r>
      <w:r w:rsidR="0037635C" w:rsidRPr="0037635C">
        <w:rPr>
          <w:rFonts w:ascii="Book Antiqua" w:hAnsi="Book Antiqua"/>
          <w:b/>
          <w:color w:val="000000"/>
          <w:shd w:val="clear" w:color="auto" w:fill="FFFFFF"/>
        </w:rPr>
        <w:t>proti právoplatnému uzneseniu v konaní o návrat maloletého do cudziny vo veciach neoprávnené</w:t>
      </w:r>
      <w:r w:rsidR="0037635C">
        <w:rPr>
          <w:rFonts w:ascii="Book Antiqua" w:hAnsi="Book Antiqua"/>
          <w:b/>
          <w:color w:val="000000"/>
          <w:shd w:val="clear" w:color="auto" w:fill="FFFFFF"/>
        </w:rPr>
        <w:t>ho premiestnenia alebo zadržania</w:t>
      </w:r>
      <w:r>
        <w:rPr>
          <w:rFonts w:ascii="Book Antiqua" w:hAnsi="Book Antiqua" w:cs="Arial"/>
          <w:b/>
        </w:rPr>
        <w:t xml:space="preserve">. </w:t>
      </w:r>
    </w:p>
    <w:p w:rsidR="0037635C" w:rsidRDefault="00023051" w:rsidP="001D6141">
      <w:pPr>
        <w:ind w:firstLine="708"/>
        <w:jc w:val="both"/>
        <w:rPr>
          <w:rFonts w:ascii="Book Antiqua" w:hAnsi="Book Antiqua" w:cs="Arial"/>
          <w:b/>
          <w:color w:val="000000" w:themeColor="text1"/>
        </w:rPr>
      </w:pPr>
      <w:r>
        <w:rPr>
          <w:rFonts w:ascii="Book Antiqua" w:hAnsi="Book Antiqua" w:cs="Arial"/>
          <w:b/>
          <w:color w:val="000000" w:themeColor="text1"/>
        </w:rPr>
        <w:t xml:space="preserve">Legislatívny návrh vychádza z prirodzenej nutnosti chrániť </w:t>
      </w:r>
      <w:r w:rsidR="0037635C">
        <w:rPr>
          <w:rFonts w:ascii="Book Antiqua" w:hAnsi="Book Antiqua" w:cs="Arial"/>
          <w:b/>
          <w:color w:val="000000" w:themeColor="text1"/>
        </w:rPr>
        <w:t>životy maloletých</w:t>
      </w:r>
      <w:r>
        <w:rPr>
          <w:rFonts w:ascii="Book Antiqua" w:hAnsi="Book Antiqua" w:cs="Arial"/>
          <w:b/>
          <w:color w:val="000000" w:themeColor="text1"/>
        </w:rPr>
        <w:t xml:space="preserve"> detí</w:t>
      </w:r>
      <w:r w:rsidR="0037635C">
        <w:rPr>
          <w:rFonts w:ascii="Book Antiqua" w:hAnsi="Book Antiqua" w:cs="Arial"/>
          <w:b/>
          <w:color w:val="000000" w:themeColor="text1"/>
        </w:rPr>
        <w:t xml:space="preserve"> a konať v súlade s ich najlepším záujmom a presvedčením</w:t>
      </w:r>
      <w:r>
        <w:rPr>
          <w:rFonts w:ascii="Book Antiqua" w:hAnsi="Book Antiqua" w:cs="Arial"/>
          <w:b/>
          <w:color w:val="000000" w:themeColor="text1"/>
        </w:rPr>
        <w:t xml:space="preserve">. </w:t>
      </w:r>
    </w:p>
    <w:p w:rsidR="0037635C" w:rsidRPr="00886098" w:rsidRDefault="0037635C" w:rsidP="0037635C">
      <w:pPr>
        <w:pStyle w:val="Zkladntext"/>
        <w:spacing w:line="276" w:lineRule="auto"/>
        <w:rPr>
          <w:rFonts w:ascii="Book Antiqua" w:hAnsi="Book Antiqua"/>
          <w:sz w:val="22"/>
          <w:szCs w:val="22"/>
        </w:rPr>
      </w:pPr>
      <w:r w:rsidRPr="0037635C">
        <w:rPr>
          <w:rFonts w:ascii="Book Antiqua" w:hAnsi="Book Antiqua"/>
          <w:sz w:val="22"/>
          <w:szCs w:val="22"/>
          <w:shd w:val="clear" w:color="auto" w:fill="F3F3F3"/>
        </w:rPr>
        <w:tab/>
      </w:r>
      <w:r w:rsidRPr="00886098">
        <w:rPr>
          <w:rFonts w:ascii="Book Antiqua" w:hAnsi="Book Antiqua"/>
          <w:sz w:val="22"/>
          <w:szCs w:val="22"/>
          <w:u w:val="single"/>
          <w:shd w:val="clear" w:color="auto" w:fill="F3F3F3"/>
        </w:rPr>
        <w:t>Žaloba na obnovu konania ako mimoriadny opravný prostriedok nie je viazaná na žiadnu konkrétnu formu súdneho rozhodnutia, možno ňou napadnúť tak uznesenie</w:t>
      </w:r>
      <w:r>
        <w:rPr>
          <w:rFonts w:ascii="Book Antiqua" w:hAnsi="Book Antiqua"/>
          <w:sz w:val="22"/>
          <w:szCs w:val="22"/>
          <w:shd w:val="clear" w:color="auto" w:fill="F3F3F3"/>
        </w:rPr>
        <w:t xml:space="preserve"> ako aj rozsudok či dokonca platobný rozkaz. Vyplýva to z celkovej koncepcie úpravy opravných prostriedkov v našom civilnom procese, ktorá je charakteristická tým, že </w:t>
      </w:r>
      <w:r w:rsidRPr="00886098">
        <w:rPr>
          <w:rFonts w:ascii="Book Antiqua" w:hAnsi="Book Antiqua"/>
          <w:b/>
          <w:sz w:val="22"/>
          <w:szCs w:val="22"/>
          <w:shd w:val="clear" w:color="auto" w:fill="F3F3F3"/>
        </w:rPr>
        <w:t>žiadny opravný prostriedok nie je určený len na preskúmanie iba jedného druhu súdneho rozhodnutia</w:t>
      </w:r>
      <w:r>
        <w:rPr>
          <w:rFonts w:ascii="Book Antiqua" w:hAnsi="Book Antiqua"/>
          <w:sz w:val="22"/>
          <w:szCs w:val="22"/>
          <w:shd w:val="clear" w:color="auto" w:fill="F3F3F3"/>
        </w:rPr>
        <w:t>. Všetky opravné prostriedky sú prípustné voči všetkým druhom súdnych rozhodnutí. V ustanoveniach CSP a CMP nie je priamo vylúčené podanie žaloby na obnovu konania v návratových konaniach. O</w:t>
      </w:r>
      <w:r w:rsidRPr="00106D24">
        <w:rPr>
          <w:rFonts w:ascii="Book Antiqua" w:hAnsi="Book Antiqua"/>
          <w:sz w:val="22"/>
          <w:szCs w:val="22"/>
          <w:shd w:val="clear" w:color="auto" w:fill="F3F3F3"/>
        </w:rPr>
        <w:t>bnova konania ako mimoriadny opravný prostriedok je inštitút úlohou</w:t>
      </w:r>
      <w:r>
        <w:rPr>
          <w:rFonts w:ascii="Book Antiqua" w:hAnsi="Book Antiqua"/>
          <w:sz w:val="22"/>
          <w:szCs w:val="22"/>
          <w:shd w:val="clear" w:color="auto" w:fill="F3F3F3"/>
        </w:rPr>
        <w:t>,</w:t>
      </w:r>
      <w:r w:rsidRPr="00106D24">
        <w:rPr>
          <w:rFonts w:ascii="Book Antiqua" w:hAnsi="Book Antiqua"/>
          <w:sz w:val="22"/>
          <w:szCs w:val="22"/>
          <w:shd w:val="clear" w:color="auto" w:fill="F3F3F3"/>
        </w:rPr>
        <w:t xml:space="preserve"> ktorého je odstrániť nedostatky v zistení skutkového stavu veci, alebo nedodržaní niektorých procesných podmienok. Inštitút obnovy konania umožňuje prekonať prekážku </w:t>
      </w:r>
      <w:r w:rsidRPr="00AB4F95">
        <w:rPr>
          <w:rFonts w:ascii="Book Antiqua" w:hAnsi="Book Antiqua"/>
          <w:i/>
          <w:sz w:val="22"/>
          <w:szCs w:val="22"/>
          <w:shd w:val="clear" w:color="auto" w:fill="F3F3F3"/>
        </w:rPr>
        <w:t xml:space="preserve">rei </w:t>
      </w:r>
      <w:r>
        <w:rPr>
          <w:rFonts w:ascii="Book Antiqua" w:hAnsi="Book Antiqua"/>
          <w:i/>
          <w:sz w:val="22"/>
          <w:szCs w:val="22"/>
          <w:shd w:val="clear" w:color="auto" w:fill="F3F3F3"/>
        </w:rPr>
        <w:t xml:space="preserve">iudicate, </w:t>
      </w:r>
      <w:r w:rsidRPr="002C1671">
        <w:rPr>
          <w:rFonts w:ascii="Book Antiqua" w:hAnsi="Book Antiqua"/>
          <w:sz w:val="22"/>
          <w:szCs w:val="22"/>
          <w:shd w:val="clear" w:color="auto" w:fill="F3F3F3"/>
        </w:rPr>
        <w:t>pričom návratové</w:t>
      </w:r>
      <w:r>
        <w:rPr>
          <w:rFonts w:ascii="Book Antiqua" w:hAnsi="Book Antiqua"/>
          <w:sz w:val="22"/>
          <w:szCs w:val="22"/>
          <w:shd w:val="clear" w:color="auto" w:fill="F3F3F3"/>
        </w:rPr>
        <w:t xml:space="preserve"> konania sú špecifické svojou povahou ako aj priebehom, kedy sa v nich vykonáva riadne dokazovanie, účastníci konania sú predvolávaní na pojednávanie za účelom ich výsluchu, súd spravidla realizuje aj výsluch maloletého dieťaťa, súd si zabezpečuje potrebné listinné a iné dôkazy z dôvodu zistenia skutočného stavu veci a vyzýva účastníkov konania, aby doložili ďalšie dôkazy, ktoré im môžu privodiť priaznivejšie rozhodnutie vo veci samej. Návratové konanie môže začať len na návrh jedného z účastníkov konania, pričom títo účastníci konania sú presne vymedzený ustanovením § 126 CMP. </w:t>
      </w:r>
    </w:p>
    <w:p w:rsidR="0037635C" w:rsidRDefault="0037635C" w:rsidP="0037635C">
      <w:pPr>
        <w:pStyle w:val="Zkladntext"/>
        <w:spacing w:line="276" w:lineRule="auto"/>
        <w:rPr>
          <w:rFonts w:ascii="Book Antiqua" w:hAnsi="Book Antiqua"/>
          <w:sz w:val="22"/>
          <w:szCs w:val="22"/>
          <w:shd w:val="clear" w:color="auto" w:fill="F3F3F3"/>
        </w:rPr>
      </w:pPr>
    </w:p>
    <w:p w:rsidR="0037635C" w:rsidRDefault="0037635C" w:rsidP="0037635C">
      <w:pPr>
        <w:pStyle w:val="Zkladntext"/>
        <w:spacing w:line="276" w:lineRule="auto"/>
        <w:rPr>
          <w:rFonts w:ascii="Book Antiqua" w:hAnsi="Book Antiqua"/>
          <w:sz w:val="22"/>
          <w:szCs w:val="22"/>
          <w:shd w:val="clear" w:color="auto" w:fill="F3F3F3"/>
        </w:rPr>
      </w:pPr>
      <w:r>
        <w:rPr>
          <w:rFonts w:ascii="Book Antiqua" w:hAnsi="Book Antiqua"/>
          <w:sz w:val="22"/>
          <w:szCs w:val="22"/>
          <w:shd w:val="clear" w:color="auto" w:fill="F3F3F3"/>
        </w:rPr>
        <w:tab/>
      </w:r>
      <w:r w:rsidRPr="00582CAC">
        <w:rPr>
          <w:rFonts w:ascii="Book Antiqua" w:hAnsi="Book Antiqua"/>
          <w:b/>
          <w:sz w:val="22"/>
          <w:szCs w:val="22"/>
          <w:shd w:val="clear" w:color="auto" w:fill="F3F3F3"/>
        </w:rPr>
        <w:t>V zmysle ustanovenia § 133 CMP má uznesenie v návratovom konaní rovnaké náležitosti a rovnaké účinky ako rozsudok vo veci samej</w:t>
      </w:r>
      <w:r>
        <w:rPr>
          <w:rFonts w:ascii="Book Antiqua" w:hAnsi="Book Antiqua"/>
          <w:sz w:val="22"/>
          <w:szCs w:val="22"/>
          <w:shd w:val="clear" w:color="auto" w:fill="F3F3F3"/>
        </w:rPr>
        <w:t>. Je pravdou, že zákonodarca vylúčil možnosť podať žalobu na obnovu konania proti uzneseniam,</w:t>
      </w:r>
      <w:r w:rsidRPr="00541BFF">
        <w:rPr>
          <w:rFonts w:ascii="Book Antiqua" w:hAnsi="Book Antiqua"/>
          <w:sz w:val="22"/>
          <w:szCs w:val="22"/>
          <w:shd w:val="clear" w:color="auto" w:fill="F3F3F3"/>
        </w:rPr>
        <w:t xml:space="preserve"> </w:t>
      </w:r>
      <w:r>
        <w:rPr>
          <w:rFonts w:ascii="Book Antiqua" w:hAnsi="Book Antiqua"/>
          <w:sz w:val="22"/>
          <w:szCs w:val="22"/>
          <w:shd w:val="clear" w:color="auto" w:fill="F3F3F3"/>
        </w:rPr>
        <w:t xml:space="preserve">no okruh prípadov, keď súd rozhoduje vo forme uznesenia je v CSP formulovaný negatívne, a to tak, že Uznesením sa rozhoduje, ak sa nerozhoduje vo veci samej. Návratové konanie je osobitné ako aj jeho forma rozhodnutia, kedy základným diferenciačným aspektom je samotné delenie rozhodnutí na meritórne rozhodnutie a uznesenie ako procesné rozhodnutie, a to z nasledujúcich dôvodov: </w:t>
      </w:r>
    </w:p>
    <w:p w:rsidR="0037635C" w:rsidRDefault="0037635C" w:rsidP="0037635C">
      <w:pPr>
        <w:pStyle w:val="Zkladntext"/>
        <w:spacing w:line="276" w:lineRule="auto"/>
        <w:rPr>
          <w:rFonts w:ascii="Book Antiqua" w:hAnsi="Book Antiqua"/>
          <w:sz w:val="22"/>
          <w:szCs w:val="22"/>
          <w:shd w:val="clear" w:color="auto" w:fill="F3F3F3"/>
        </w:rPr>
      </w:pPr>
    </w:p>
    <w:p w:rsidR="0037635C" w:rsidRDefault="0037635C" w:rsidP="0037635C">
      <w:pPr>
        <w:pStyle w:val="Zkladntext"/>
        <w:numPr>
          <w:ilvl w:val="0"/>
          <w:numId w:val="2"/>
        </w:numPr>
        <w:spacing w:line="276" w:lineRule="auto"/>
        <w:rPr>
          <w:rFonts w:ascii="Book Antiqua" w:hAnsi="Book Antiqua"/>
          <w:sz w:val="22"/>
          <w:szCs w:val="22"/>
          <w:shd w:val="clear" w:color="auto" w:fill="F3F3F3"/>
        </w:rPr>
      </w:pPr>
      <w:r>
        <w:rPr>
          <w:rFonts w:ascii="Book Antiqua" w:hAnsi="Book Antiqua"/>
          <w:sz w:val="22"/>
          <w:szCs w:val="22"/>
          <w:shd w:val="clear" w:color="auto" w:fill="F3F3F3"/>
        </w:rPr>
        <w:t xml:space="preserve">Súd v návratovom konaní </w:t>
      </w:r>
      <w:r w:rsidRPr="00F73EB1">
        <w:rPr>
          <w:rFonts w:ascii="Book Antiqua" w:hAnsi="Book Antiqua"/>
          <w:b/>
          <w:sz w:val="22"/>
          <w:szCs w:val="22"/>
          <w:shd w:val="clear" w:color="auto" w:fill="F3F3F3"/>
        </w:rPr>
        <w:t>rozhoduje vo veci samej</w:t>
      </w:r>
      <w:r>
        <w:rPr>
          <w:rFonts w:ascii="Book Antiqua" w:hAnsi="Book Antiqua"/>
          <w:sz w:val="22"/>
          <w:szCs w:val="22"/>
          <w:shd w:val="clear" w:color="auto" w:fill="F3F3F3"/>
        </w:rPr>
        <w:t>, t. j. o žiadosti, ktorá je obsiahnutá v žalobe (žalobnom petite),</w:t>
      </w:r>
    </w:p>
    <w:p w:rsidR="0037635C" w:rsidRDefault="0037635C" w:rsidP="0037635C">
      <w:pPr>
        <w:pStyle w:val="Zkladntext"/>
        <w:numPr>
          <w:ilvl w:val="0"/>
          <w:numId w:val="2"/>
        </w:numPr>
        <w:spacing w:line="276" w:lineRule="auto"/>
        <w:rPr>
          <w:rFonts w:ascii="Book Antiqua" w:hAnsi="Book Antiqua"/>
          <w:sz w:val="22"/>
          <w:szCs w:val="22"/>
          <w:shd w:val="clear" w:color="auto" w:fill="F3F3F3"/>
        </w:rPr>
      </w:pPr>
      <w:r>
        <w:rPr>
          <w:rFonts w:ascii="Book Antiqua" w:hAnsi="Book Antiqua"/>
          <w:sz w:val="22"/>
          <w:szCs w:val="22"/>
          <w:shd w:val="clear" w:color="auto" w:fill="F3F3F3"/>
        </w:rPr>
        <w:t>Súd</w:t>
      </w:r>
      <w:r w:rsidRPr="002C1671">
        <w:rPr>
          <w:rFonts w:ascii="Book Antiqua" w:hAnsi="Book Antiqua"/>
          <w:sz w:val="22"/>
          <w:szCs w:val="22"/>
          <w:shd w:val="clear" w:color="auto" w:fill="F3F3F3"/>
        </w:rPr>
        <w:t xml:space="preserve"> </w:t>
      </w:r>
      <w:r>
        <w:rPr>
          <w:rFonts w:ascii="Book Antiqua" w:hAnsi="Book Antiqua"/>
          <w:sz w:val="22"/>
          <w:szCs w:val="22"/>
          <w:shd w:val="clear" w:color="auto" w:fill="F3F3F3"/>
        </w:rPr>
        <w:t xml:space="preserve">v návratovom konaní vždy vyhotovuje uznesenie </w:t>
      </w:r>
      <w:r w:rsidRPr="00F73EB1">
        <w:rPr>
          <w:rFonts w:ascii="Book Antiqua" w:hAnsi="Book Antiqua"/>
          <w:b/>
          <w:sz w:val="22"/>
          <w:szCs w:val="22"/>
          <w:shd w:val="clear" w:color="auto" w:fill="F3F3F3"/>
        </w:rPr>
        <w:t>v písomnej forme</w:t>
      </w:r>
      <w:r>
        <w:rPr>
          <w:rFonts w:ascii="Book Antiqua" w:hAnsi="Book Antiqua"/>
          <w:sz w:val="22"/>
          <w:szCs w:val="22"/>
          <w:shd w:val="clear" w:color="auto" w:fill="F3F3F3"/>
        </w:rPr>
        <w:t>,</w:t>
      </w:r>
    </w:p>
    <w:p w:rsidR="0037635C" w:rsidRDefault="0037635C" w:rsidP="0037635C">
      <w:pPr>
        <w:pStyle w:val="Zkladntext"/>
        <w:numPr>
          <w:ilvl w:val="0"/>
          <w:numId w:val="2"/>
        </w:numPr>
        <w:spacing w:line="276" w:lineRule="auto"/>
        <w:rPr>
          <w:rFonts w:ascii="Book Antiqua" w:hAnsi="Book Antiqua"/>
          <w:sz w:val="22"/>
          <w:szCs w:val="22"/>
          <w:shd w:val="clear" w:color="auto" w:fill="F3F3F3"/>
        </w:rPr>
      </w:pPr>
      <w:r>
        <w:rPr>
          <w:rFonts w:ascii="Book Antiqua" w:hAnsi="Book Antiqua"/>
          <w:sz w:val="22"/>
          <w:szCs w:val="22"/>
          <w:shd w:val="clear" w:color="auto" w:fill="F3F3F3"/>
        </w:rPr>
        <w:lastRenderedPageBreak/>
        <w:t xml:space="preserve"> Uznesenie v návratovom konaní disponuje </w:t>
      </w:r>
      <w:r w:rsidRPr="00F73EB1">
        <w:rPr>
          <w:rFonts w:ascii="Book Antiqua" w:hAnsi="Book Antiqua"/>
          <w:b/>
          <w:sz w:val="22"/>
          <w:szCs w:val="22"/>
          <w:shd w:val="clear" w:color="auto" w:fill="F3F3F3"/>
        </w:rPr>
        <w:t>vlastnosťou vykonateľnosti</w:t>
      </w:r>
      <w:r>
        <w:rPr>
          <w:rFonts w:ascii="Book Antiqua" w:hAnsi="Book Antiqua"/>
          <w:sz w:val="22"/>
          <w:szCs w:val="22"/>
          <w:shd w:val="clear" w:color="auto" w:fill="F3F3F3"/>
        </w:rPr>
        <w:t xml:space="preserve"> ako vlastnosťou súdneho rozhodnutia ukladajúceho povinnosť plniť, ktorá spočíva v jeho priamej a bezprostrednej vynútiteľnosti zákonnými prostriedkami. </w:t>
      </w:r>
    </w:p>
    <w:p w:rsidR="0037635C" w:rsidRDefault="0037635C" w:rsidP="0037635C">
      <w:pPr>
        <w:pStyle w:val="Zkladntext"/>
        <w:numPr>
          <w:ilvl w:val="0"/>
          <w:numId w:val="2"/>
        </w:numPr>
        <w:spacing w:line="276" w:lineRule="auto"/>
        <w:rPr>
          <w:rFonts w:ascii="Book Antiqua" w:hAnsi="Book Antiqua"/>
          <w:sz w:val="22"/>
          <w:szCs w:val="22"/>
          <w:shd w:val="clear" w:color="auto" w:fill="F3F3F3"/>
        </w:rPr>
      </w:pPr>
      <w:r>
        <w:rPr>
          <w:rFonts w:ascii="Book Antiqua" w:hAnsi="Book Antiqua"/>
          <w:sz w:val="22"/>
          <w:szCs w:val="22"/>
          <w:shd w:val="clear" w:color="auto" w:fill="F3F3F3"/>
        </w:rPr>
        <w:t xml:space="preserve">Prostriedkom nápravy proti uzneseniu v návratovom konaní je vždy </w:t>
      </w:r>
      <w:r w:rsidRPr="00F73EB1">
        <w:rPr>
          <w:rFonts w:ascii="Book Antiqua" w:hAnsi="Book Antiqua"/>
          <w:b/>
          <w:sz w:val="22"/>
          <w:szCs w:val="22"/>
          <w:shd w:val="clear" w:color="auto" w:fill="F3F3F3"/>
        </w:rPr>
        <w:t>odvolanie ako riadny opravný prostriedok</w:t>
      </w:r>
      <w:r>
        <w:rPr>
          <w:rFonts w:ascii="Book Antiqua" w:hAnsi="Book Antiqua"/>
          <w:sz w:val="22"/>
          <w:szCs w:val="22"/>
          <w:shd w:val="clear" w:color="auto" w:fill="F3F3F3"/>
        </w:rPr>
        <w:t xml:space="preserve">. Pričom naopak primárnym procesným prostriedkom nápravy proti uzneseniu je sťažnosť.  </w:t>
      </w:r>
    </w:p>
    <w:p w:rsidR="0037635C" w:rsidRDefault="0037635C" w:rsidP="0037635C">
      <w:pPr>
        <w:pStyle w:val="Zkladntext"/>
        <w:spacing w:line="276" w:lineRule="auto"/>
        <w:rPr>
          <w:rFonts w:ascii="Book Antiqua" w:hAnsi="Book Antiqua"/>
          <w:sz w:val="22"/>
          <w:szCs w:val="22"/>
          <w:shd w:val="clear" w:color="auto" w:fill="F3F3F3"/>
        </w:rPr>
      </w:pPr>
    </w:p>
    <w:p w:rsidR="0037635C" w:rsidRDefault="0037635C" w:rsidP="0037635C">
      <w:pPr>
        <w:pStyle w:val="Zkladntext"/>
        <w:spacing w:line="276" w:lineRule="auto"/>
        <w:rPr>
          <w:rFonts w:ascii="Book Antiqua" w:hAnsi="Book Antiqua"/>
          <w:sz w:val="22"/>
          <w:szCs w:val="22"/>
          <w:shd w:val="clear" w:color="auto" w:fill="F3F3F3"/>
        </w:rPr>
      </w:pPr>
      <w:r>
        <w:rPr>
          <w:rFonts w:ascii="Book Antiqua" w:hAnsi="Book Antiqua"/>
          <w:sz w:val="22"/>
          <w:szCs w:val="22"/>
          <w:shd w:val="clear" w:color="auto" w:fill="F3F3F3"/>
        </w:rPr>
        <w:tab/>
        <w:t xml:space="preserve">V zmysle ustanovenia § 74 CMP žaloba na obnovu konania nie je prípustná len proti rozsudku, ktorým sa vyslovilo, že sa manželstvo rozvádza, že je neplatné alebo že nie je. Uvedené zákonodarca dôvodil narušením princípu právnej istoty strán, ktorých vec bola právoplatne skončená. V tomto ustanovení však nie je spomenuté návratové konanie a to i napriek tomu, že hneď v ustanovení § 76 CMP zákonodarca myslel nielen na konania vo veci rozsudku, ktorým sa vyslovilo, že sa manželstvo rozvádza, že je neplatné alebo že nie je, ale aj na samotné návratové konanie. </w:t>
      </w:r>
    </w:p>
    <w:p w:rsidR="0037635C" w:rsidRDefault="0037635C" w:rsidP="0037635C">
      <w:pPr>
        <w:pStyle w:val="Zkladntext"/>
        <w:spacing w:line="276" w:lineRule="auto"/>
        <w:rPr>
          <w:rFonts w:ascii="Book Antiqua" w:hAnsi="Book Antiqua"/>
          <w:sz w:val="22"/>
          <w:szCs w:val="22"/>
          <w:shd w:val="clear" w:color="auto" w:fill="F3F3F3"/>
        </w:rPr>
      </w:pPr>
    </w:p>
    <w:p w:rsidR="0037635C" w:rsidRDefault="0037635C" w:rsidP="0037635C">
      <w:pPr>
        <w:pStyle w:val="Zkladntext"/>
        <w:spacing w:line="276" w:lineRule="auto"/>
        <w:rPr>
          <w:rFonts w:ascii="Book Antiqua" w:hAnsi="Book Antiqua"/>
          <w:sz w:val="22"/>
          <w:szCs w:val="22"/>
          <w:shd w:val="clear" w:color="auto" w:fill="F3F3F3"/>
        </w:rPr>
      </w:pPr>
      <w:r>
        <w:rPr>
          <w:rFonts w:ascii="Book Antiqua" w:hAnsi="Book Antiqua"/>
          <w:sz w:val="22"/>
          <w:szCs w:val="22"/>
          <w:shd w:val="clear" w:color="auto" w:fill="F3F3F3"/>
        </w:rPr>
        <w:tab/>
        <w:t xml:space="preserve">V ustanovení § 76 CMP zákonodarca upravil odlišnosti vo vzťahu k právnej úprave uvedenej v CSP a výslovne vylúčil možnosť podania dovolania v návratových konania. Uvedené dôvodil potrebou rýchleho rozhodnutia vo veci samej, kedy mimoriadnu úlohu zohráva práve čas a povolenie dovolacieho konania by nesledovalo najlepší záujem dieťaťa, ale </w:t>
      </w:r>
      <w:r w:rsidRPr="00494725">
        <w:rPr>
          <w:rFonts w:ascii="Book Antiqua" w:hAnsi="Book Antiqua"/>
          <w:sz w:val="22"/>
          <w:szCs w:val="22"/>
          <w:shd w:val="clear" w:color="auto" w:fill="F3F3F3"/>
        </w:rPr>
        <w:t xml:space="preserve">naopak by smerovalo k zbytočným prieťahom v konaní. I napriek tomu, že zákonodarca pri kreovaní zákonných ustanovení presne myslel na dôvodnosť nepovolenia dovolania v návratových konaniach, žalobou na obnovu konania sa nezaoberal a túto ponechal neupravenú. </w:t>
      </w:r>
    </w:p>
    <w:p w:rsidR="0037635C" w:rsidRPr="00494725" w:rsidRDefault="0037635C" w:rsidP="0037635C">
      <w:pPr>
        <w:pStyle w:val="Zkladntext"/>
        <w:spacing w:line="276" w:lineRule="auto"/>
        <w:rPr>
          <w:rFonts w:ascii="Book Antiqua" w:hAnsi="Book Antiqua"/>
          <w:sz w:val="22"/>
          <w:szCs w:val="22"/>
          <w:shd w:val="clear" w:color="auto" w:fill="F3F3F3"/>
        </w:rPr>
      </w:pPr>
    </w:p>
    <w:p w:rsidR="0037635C" w:rsidRPr="00F72C0B" w:rsidRDefault="0037635C" w:rsidP="0037635C">
      <w:pPr>
        <w:pStyle w:val="Zkladntext"/>
        <w:spacing w:line="276" w:lineRule="auto"/>
        <w:rPr>
          <w:rFonts w:ascii="Book Antiqua" w:hAnsi="Book Antiqua"/>
          <w:sz w:val="22"/>
          <w:szCs w:val="22"/>
          <w:shd w:val="clear" w:color="auto" w:fill="F3F3F3"/>
        </w:rPr>
      </w:pPr>
      <w:r w:rsidRPr="00494725">
        <w:rPr>
          <w:rFonts w:ascii="Book Antiqua" w:hAnsi="Book Antiqua"/>
          <w:sz w:val="22"/>
          <w:szCs w:val="22"/>
          <w:shd w:val="clear" w:color="auto" w:fill="F3F3F3"/>
        </w:rPr>
        <w:tab/>
      </w:r>
      <w:r w:rsidRPr="00494725">
        <w:rPr>
          <w:rFonts w:ascii="Book Antiqua" w:hAnsi="Book Antiqua"/>
          <w:sz w:val="22"/>
          <w:szCs w:val="22"/>
        </w:rPr>
        <w:t>Odhliadnuc od vyššie uvedeného poukazujeme na článok 11 druhý odsek Dohovoru o občianskoprávnych aspektoch medzinárodných únosov detí zákon č. 119/2001 (ďalej len ako „</w:t>
      </w:r>
      <w:r w:rsidRPr="00494725">
        <w:rPr>
          <w:rFonts w:ascii="Book Antiqua" w:hAnsi="Book Antiqua"/>
          <w:i/>
          <w:sz w:val="22"/>
          <w:szCs w:val="22"/>
        </w:rPr>
        <w:t>Haagsky dohovor</w:t>
      </w:r>
      <w:r w:rsidRPr="00494725">
        <w:rPr>
          <w:rFonts w:ascii="Book Antiqua" w:hAnsi="Book Antiqua"/>
          <w:sz w:val="22"/>
          <w:szCs w:val="22"/>
        </w:rPr>
        <w:t xml:space="preserve">“): </w:t>
      </w:r>
      <w:r w:rsidRPr="00494725">
        <w:rPr>
          <w:rFonts w:ascii="Book Antiqua" w:hAnsi="Book Antiqua"/>
          <w:i/>
          <w:sz w:val="22"/>
          <w:szCs w:val="22"/>
        </w:rPr>
        <w:t xml:space="preserve">„Ak príslušný justičný alebo správny orgán nevydá </w:t>
      </w:r>
      <w:r w:rsidRPr="00494725">
        <w:rPr>
          <w:rFonts w:ascii="Book Antiqua" w:hAnsi="Book Antiqua"/>
          <w:b/>
          <w:i/>
          <w:sz w:val="22"/>
          <w:szCs w:val="22"/>
          <w:u w:val="single"/>
        </w:rPr>
        <w:t>rozhodnutie</w:t>
      </w:r>
      <w:r w:rsidRPr="00494725">
        <w:rPr>
          <w:rFonts w:ascii="Book Antiqua" w:hAnsi="Book Antiqua"/>
          <w:i/>
          <w:sz w:val="22"/>
          <w:szCs w:val="22"/>
        </w:rPr>
        <w:t xml:space="preserve"> do šiestich týždňov odo dňa začatia konania, žiadateľ alebo ústredný orgán dožiadaného štátu má právo na vlastný podnet alebo na požiadanie ústredného orgánu dožadujúceho štátu dostať vyjadrenie o dôvodoch omeškania. Ak bola ústrednému orgánu dožiadaného štátu doručená odpoveď, zašle ju podľa okolností dožadujúcemu ústrednému orgánu alebo žiadateľovi.“. </w:t>
      </w:r>
      <w:r w:rsidRPr="00494725">
        <w:rPr>
          <w:rFonts w:ascii="Book Antiqua" w:hAnsi="Book Antiqua"/>
          <w:sz w:val="22"/>
          <w:szCs w:val="22"/>
        </w:rPr>
        <w:t>Haagsky dohovor pojednáva o rozhodnutí ako takom, teda za rozhodnutie považuje aj rozsudok vo veci samej a aj uznesenie vo veci samej. Haagsky dohovor neustanovuje jednu konkrétnu formu rozhodnutia v návratovom konaní a na všetky rozhodnutia učinené vo veci samej (či už Uznesenia alebo Rozsudok) nahliada ako na rovnocenné rozhodnutia. Z takejto jednoznačnej formulácie Haagskeho dohovoru vyplýva, že úmyslom a najmä cieľom Haagskeho dohovoru je chrániť práva dieťaťa a ponechať formu rozhodnutia v návratovom konaní na vnútroštátnu úpravu toho, ktorého členského štátu. Haagsky dohovor teda priznáva rovnakú právnu silu a dôležitosť rozhodnutiu učinenému vo forme rozsudku ako aj rozhodnutiu učinenému vo forme uznesenia. Toto sa týka aj samotnej žaloby na obnovu konania, ktorá z tohto dôvodu v návratovom konaní prípustná je a nie je možné účastníka konania znevýhodniť len v dôsledku odlišnej vnútroštátnej právnej úpravy. Naopak Nariadenie Rady (ES) č. 2201/2003 z 27. novembra 2003 o súdnej právomoci a uznávaní a výkone rozsudkov v manželských veciach a vo veciach rodičovských práv a povinností, ktorým sa zrušuje nariadenie (ES) č. 1347/2000 (ďalej len ako „</w:t>
      </w:r>
      <w:r w:rsidRPr="00494725">
        <w:rPr>
          <w:rFonts w:ascii="Book Antiqua" w:hAnsi="Book Antiqua"/>
          <w:i/>
          <w:sz w:val="22"/>
          <w:szCs w:val="22"/>
        </w:rPr>
        <w:t>Nariadenie Brusel IIa</w:t>
      </w:r>
      <w:r w:rsidRPr="00494725">
        <w:rPr>
          <w:rFonts w:ascii="Book Antiqua" w:hAnsi="Book Antiqua"/>
          <w:sz w:val="22"/>
          <w:szCs w:val="22"/>
        </w:rPr>
        <w:t>“). V Nariadení Brusel IIa sa v článku 11 ods. 1 v poslednej vete ustanovuje, že „</w:t>
      </w:r>
      <w:r w:rsidRPr="00494725">
        <w:rPr>
          <w:rFonts w:ascii="Book Antiqua" w:hAnsi="Book Antiqua"/>
          <w:i/>
          <w:sz w:val="22"/>
          <w:szCs w:val="22"/>
        </w:rPr>
        <w:t xml:space="preserve">Bez toho, aby bola dotknutá prvá veta tohto odseku, súd vydá </w:t>
      </w:r>
      <w:r w:rsidRPr="00494725">
        <w:rPr>
          <w:rFonts w:ascii="Book Antiqua" w:hAnsi="Book Antiqua"/>
          <w:b/>
          <w:i/>
          <w:sz w:val="22"/>
          <w:szCs w:val="22"/>
          <w:u w:val="single"/>
        </w:rPr>
        <w:lastRenderedPageBreak/>
        <w:t>rozsudok</w:t>
      </w:r>
      <w:r w:rsidRPr="00494725">
        <w:rPr>
          <w:rFonts w:ascii="Book Antiqua" w:hAnsi="Book Antiqua"/>
          <w:i/>
          <w:sz w:val="22"/>
          <w:szCs w:val="22"/>
        </w:rPr>
        <w:t xml:space="preserve"> najneskôr do šiestich týždňov od podania žiadosti, ak tomu nebránia výnimočné okolnosti.</w:t>
      </w:r>
      <w:r w:rsidRPr="00494725">
        <w:rPr>
          <w:rFonts w:ascii="Book Antiqua" w:hAnsi="Book Antiqua"/>
          <w:sz w:val="22"/>
          <w:szCs w:val="22"/>
        </w:rPr>
        <w:t>“. Z uvedeného je zrejmé, že Nariadenie Brusel IIa prezumuje jasnú a jednotnú formu rozhodnutia v návratovom konaní, ktorou má byť rozsudok a nie uznesenie tak ako si ho upravila slovenská právna úprava v civilnom mimosporovom poriadku. Slovenský zákonodarca teda reštriktívne obmedzil práva účastníka konania, oslabil postavenie matky, otca a samotných maloletých detí v súdnom konaní, keďže zmenil formu rozhodnutia vo veci samej a následne opomenul dodatočnú úpravu obnovy konania v nadväzujúcich ustanoveniach CMP. Nariadenie Brusel IIa je založené nielen na zásadách rýchleho a efektívneho konania, ale aj na zásadách zabezpečenia záujmu maloletého dieťaťa, jeho cieľom je zabezpečiť oprávnené premiestnenie dieťaťa a docieliť stav zhodný so skutočným stavom veci. Vzhľadom na účel obnovy konania, je jej uplatnenie v návratovom konaní viac než žiaduce a napĺňajúce požadovaný účel.</w:t>
      </w:r>
      <w:r w:rsidRPr="00F72C0B">
        <w:rPr>
          <w:rFonts w:ascii="Book Antiqua" w:hAnsi="Book Antiqua"/>
          <w:sz w:val="22"/>
          <w:szCs w:val="22"/>
        </w:rPr>
        <w:t xml:space="preserve">  </w:t>
      </w:r>
    </w:p>
    <w:p w:rsidR="0037635C" w:rsidRDefault="0037635C" w:rsidP="0037635C">
      <w:pPr>
        <w:pStyle w:val="Zkladntext"/>
        <w:spacing w:line="276" w:lineRule="auto"/>
        <w:rPr>
          <w:rFonts w:ascii="Book Antiqua" w:hAnsi="Book Antiqua"/>
          <w:sz w:val="22"/>
          <w:szCs w:val="22"/>
          <w:shd w:val="clear" w:color="auto" w:fill="F3F3F3"/>
        </w:rPr>
      </w:pPr>
    </w:p>
    <w:p w:rsidR="0037635C" w:rsidRDefault="0037635C" w:rsidP="0037635C">
      <w:pPr>
        <w:pStyle w:val="Zkladntext"/>
        <w:spacing w:line="276" w:lineRule="auto"/>
        <w:rPr>
          <w:rFonts w:ascii="Book Antiqua" w:hAnsi="Book Antiqua"/>
          <w:sz w:val="22"/>
          <w:szCs w:val="22"/>
          <w:shd w:val="clear" w:color="auto" w:fill="F3F3F3"/>
        </w:rPr>
      </w:pPr>
      <w:r>
        <w:rPr>
          <w:rFonts w:ascii="Book Antiqua" w:hAnsi="Book Antiqua"/>
          <w:sz w:val="22"/>
          <w:szCs w:val="22"/>
          <w:shd w:val="clear" w:color="auto" w:fill="F3F3F3"/>
        </w:rPr>
        <w:tab/>
      </w:r>
      <w:r w:rsidRPr="00886098">
        <w:rPr>
          <w:rFonts w:ascii="Book Antiqua" w:hAnsi="Book Antiqua"/>
          <w:b/>
          <w:sz w:val="22"/>
          <w:szCs w:val="22"/>
          <w:shd w:val="clear" w:color="auto" w:fill="F3F3F3"/>
        </w:rPr>
        <w:t>Z</w:t>
      </w:r>
      <w:r>
        <w:rPr>
          <w:rFonts w:ascii="Book Antiqua" w:hAnsi="Book Antiqua"/>
          <w:b/>
          <w:sz w:val="22"/>
          <w:szCs w:val="22"/>
          <w:shd w:val="clear" w:color="auto" w:fill="F3F3F3"/>
        </w:rPr>
        <w:t xml:space="preserve"> vyššie uvedených ustanovení CMP, Haagskeho dohovoru a Nariadenia Brusel IIa vyplýva, že zákonodarca v ustanovení § 74 CMP mienil vylúčiť len žalobu na obnovu konania proti </w:t>
      </w:r>
      <w:r w:rsidRPr="007723CE">
        <w:rPr>
          <w:rFonts w:ascii="Book Antiqua" w:hAnsi="Book Antiqua"/>
          <w:b/>
          <w:sz w:val="22"/>
          <w:szCs w:val="22"/>
          <w:shd w:val="clear" w:color="auto" w:fill="F3F3F3"/>
        </w:rPr>
        <w:t>rozsudku, ktorým sa vyslovilo, že sa manželstvo rozvádza, že je neplatné alebo že nie je</w:t>
      </w:r>
      <w:r>
        <w:rPr>
          <w:rFonts w:ascii="Book Antiqua" w:hAnsi="Book Antiqua"/>
          <w:b/>
          <w:sz w:val="22"/>
          <w:szCs w:val="22"/>
          <w:shd w:val="clear" w:color="auto" w:fill="F3F3F3"/>
        </w:rPr>
        <w:t xml:space="preserve">, pričom pri formulácii ustanovení CMP zabudol na formu rozhodnutia v návratovom konaní, kedy sa v tomto rozhoduje Uznesením. Z týchto dôvodov </w:t>
      </w:r>
      <w:r w:rsidRPr="00886098">
        <w:rPr>
          <w:rFonts w:ascii="Book Antiqua" w:hAnsi="Book Antiqua"/>
          <w:b/>
          <w:sz w:val="22"/>
          <w:szCs w:val="22"/>
          <w:shd w:val="clear" w:color="auto" w:fill="F3F3F3"/>
        </w:rPr>
        <w:t xml:space="preserve">je zrejmé, že rozhodnutie vo veci samej, i napriek tomu, že je učinené vo forme uznesenia, sa analogicky spravuje ustanoveniami § 397 a nasl. CSP, </w:t>
      </w:r>
      <w:r w:rsidRPr="00886098">
        <w:rPr>
          <w:rFonts w:ascii="Book Antiqua" w:hAnsi="Book Antiqua"/>
          <w:b/>
          <w:sz w:val="22"/>
          <w:szCs w:val="22"/>
          <w:u w:val="single"/>
          <w:shd w:val="clear" w:color="auto" w:fill="F3F3F3"/>
        </w:rPr>
        <w:t>kedy podanie žaloby na obnovu konania prípustné je</w:t>
      </w:r>
      <w:r w:rsidRPr="00886098">
        <w:rPr>
          <w:rFonts w:ascii="Book Antiqua" w:hAnsi="Book Antiqua"/>
          <w:b/>
          <w:sz w:val="22"/>
          <w:szCs w:val="22"/>
          <w:shd w:val="clear" w:color="auto" w:fill="F3F3F3"/>
        </w:rPr>
        <w:t>.</w:t>
      </w:r>
      <w:r w:rsidRPr="00B773D9">
        <w:rPr>
          <w:rFonts w:ascii="Book Antiqua" w:hAnsi="Book Antiqua"/>
          <w:sz w:val="22"/>
          <w:szCs w:val="22"/>
        </w:rPr>
        <w:t xml:space="preserve"> </w:t>
      </w:r>
      <w:r>
        <w:rPr>
          <w:rFonts w:ascii="Book Antiqua" w:hAnsi="Book Antiqua"/>
          <w:sz w:val="22"/>
          <w:szCs w:val="22"/>
        </w:rPr>
        <w:t xml:space="preserve">V prípade, že by zákonodarca nepovolil žalobu na obnovu konania v návratových konaniach postupoval by asymetricky, v priamom rozpore so spravodlivým súdnym konaním a </w:t>
      </w:r>
      <w:r>
        <w:rPr>
          <w:rFonts w:ascii="Book Antiqua" w:hAnsi="Book Antiqua"/>
          <w:sz w:val="22"/>
          <w:szCs w:val="22"/>
          <w:shd w:val="clear" w:color="auto" w:fill="F3F3F3"/>
        </w:rPr>
        <w:t>vážne by zasiahol do práv účastníkov konania a najmä do práv maloletého dieťaťa, nakoľko ani sám súd nemôže vopred predpokladať situáciu, ktorá nastane po právoplatnosti rozhodnutia vo veci samej, nehovoriac o možných nedostatkoch priebehu konania vo veci samej. V systéme konaní, ktoré sú uvedené v CMP týkajúce sa maloletých detí  je jediné návratové konanie, ktoré sa končí uznesením. Ide však o konanie, v ktorom sa vykonáva riadene dokazovanie, zákon dokonca vyzýva na predloženie dôkazov, pričom toto konanie je ovládané zásadou preukázania materiálnej pravdy. Ak ide teda o konanie, v ktorom účastníci konania predkladajú súdu dôkazy, sú priamo súdom vyzývaní na predkladanie dôkazov, navrhujú doplnenie dôkazov a súd tieto riadne vyhodnocuje, bolo by celkom zrejme v rozpore so systémom procesného práva, ak by nemohol účastník konania po právoplatne skončenom konaní v rámci konania o mimoriadnom opravnom prostriedku navrhovať obnovu konania, ak sa ukázalo, že dôkazy v konaní  predložené sú nepravdivé, po právoplatnosti konania sa zistí podstatná okolnosť, ktorá má celkom zrejme spôsobilosť a obsahovú silu privodiť zmenu rozhodnutia – priaznivejšie rozhodnutie účastníka návratového konania. Využitie žaloby na obnovu konania ako mimoriadneho opravného prostriedku je</w:t>
      </w:r>
      <w:r w:rsidRPr="007211A9">
        <w:rPr>
          <w:rFonts w:ascii="Book Antiqua" w:hAnsi="Book Antiqua"/>
          <w:sz w:val="22"/>
          <w:szCs w:val="22"/>
          <w:shd w:val="clear" w:color="auto" w:fill="F3F3F3"/>
        </w:rPr>
        <w:t xml:space="preserve"> štandardné v Českej republike, Rakúsku, Nemecku a ďalších krajinách európskeho spoločenstva. </w:t>
      </w:r>
    </w:p>
    <w:p w:rsidR="0037635C" w:rsidRDefault="0037635C" w:rsidP="0037635C">
      <w:pPr>
        <w:pStyle w:val="Zkladntext"/>
        <w:spacing w:line="276" w:lineRule="auto"/>
        <w:jc w:val="center"/>
        <w:rPr>
          <w:rFonts w:ascii="Book Antiqua" w:hAnsi="Book Antiqua"/>
          <w:b/>
          <w:sz w:val="22"/>
          <w:szCs w:val="22"/>
        </w:rPr>
      </w:pPr>
    </w:p>
    <w:p w:rsidR="0037635C" w:rsidRDefault="0037635C" w:rsidP="0037635C">
      <w:pPr>
        <w:pStyle w:val="Zkladntext"/>
        <w:numPr>
          <w:ilvl w:val="0"/>
          <w:numId w:val="4"/>
        </w:numPr>
        <w:spacing w:line="276" w:lineRule="auto"/>
        <w:ind w:left="-1276"/>
        <w:jc w:val="center"/>
        <w:rPr>
          <w:rFonts w:ascii="Book Antiqua" w:hAnsi="Book Antiqua"/>
          <w:b/>
          <w:sz w:val="22"/>
          <w:szCs w:val="22"/>
        </w:rPr>
      </w:pPr>
      <w:r>
        <w:rPr>
          <w:rFonts w:ascii="Book Antiqua" w:hAnsi="Book Antiqua"/>
          <w:b/>
          <w:sz w:val="22"/>
          <w:szCs w:val="22"/>
        </w:rPr>
        <w:t>Prípustnosť podania žaloby na obnovu konania v českej právnej úprave</w:t>
      </w:r>
    </w:p>
    <w:p w:rsidR="0037635C" w:rsidRPr="00DC5715" w:rsidRDefault="0037635C" w:rsidP="0037635C">
      <w:pPr>
        <w:pStyle w:val="l5"/>
        <w:shd w:val="clear" w:color="auto" w:fill="FFFFFF"/>
        <w:spacing w:before="0" w:beforeAutospacing="0" w:after="0" w:afterAutospacing="0"/>
        <w:jc w:val="both"/>
        <w:rPr>
          <w:rStyle w:val="PremennHTML"/>
          <w:rFonts w:ascii="Book Antiqua" w:hAnsi="Book Antiqua" w:cs="Arial"/>
          <w:b/>
          <w:bCs/>
          <w:i w:val="0"/>
          <w:iCs w:val="0"/>
          <w:color w:val="000000"/>
          <w:sz w:val="22"/>
          <w:szCs w:val="22"/>
        </w:rPr>
      </w:pPr>
    </w:p>
    <w:p w:rsidR="0037635C" w:rsidRPr="00DC5715" w:rsidRDefault="0037635C" w:rsidP="0037635C">
      <w:pPr>
        <w:pStyle w:val="l5"/>
        <w:shd w:val="clear" w:color="auto" w:fill="FFFFFF"/>
        <w:spacing w:before="0" w:beforeAutospacing="0" w:after="0" w:afterAutospacing="0" w:line="276" w:lineRule="auto"/>
        <w:jc w:val="both"/>
        <w:rPr>
          <w:rFonts w:ascii="Book Antiqua" w:hAnsi="Book Antiqua" w:cs="Arial"/>
          <w:bCs/>
          <w:color w:val="000000"/>
          <w:sz w:val="22"/>
          <w:szCs w:val="22"/>
        </w:rPr>
      </w:pPr>
      <w:r w:rsidRPr="00DC5715">
        <w:rPr>
          <w:rStyle w:val="PremennHTML"/>
          <w:rFonts w:ascii="Book Antiqua" w:hAnsi="Book Antiqua" w:cs="Arial"/>
          <w:b/>
          <w:bCs/>
          <w:color w:val="000000"/>
          <w:sz w:val="22"/>
          <w:szCs w:val="22"/>
        </w:rPr>
        <w:tab/>
      </w:r>
      <w:r w:rsidRPr="00DC5715">
        <w:rPr>
          <w:rStyle w:val="PremennHTML"/>
          <w:rFonts w:ascii="Book Antiqua" w:hAnsi="Book Antiqua" w:cs="Arial"/>
          <w:bCs/>
          <w:color w:val="000000"/>
          <w:sz w:val="22"/>
          <w:szCs w:val="22"/>
        </w:rPr>
        <w:t xml:space="preserve">V zmysle </w:t>
      </w:r>
      <w:r>
        <w:rPr>
          <w:rStyle w:val="PremennHTML"/>
          <w:rFonts w:ascii="Book Antiqua" w:hAnsi="Book Antiqua" w:cs="Arial"/>
          <w:bCs/>
          <w:color w:val="000000"/>
          <w:sz w:val="22"/>
          <w:szCs w:val="22"/>
        </w:rPr>
        <w:t>ustanovenia § 228 ods. 1 z</w:t>
      </w:r>
      <w:r w:rsidRPr="00DC5715">
        <w:rPr>
          <w:rFonts w:ascii="Book Antiqua" w:hAnsi="Book Antiqua"/>
          <w:bCs/>
          <w:color w:val="070707"/>
          <w:sz w:val="22"/>
          <w:szCs w:val="22"/>
        </w:rPr>
        <w:t>ákon</w:t>
      </w:r>
      <w:r>
        <w:rPr>
          <w:rFonts w:ascii="Book Antiqua" w:hAnsi="Book Antiqua"/>
          <w:bCs/>
          <w:color w:val="070707"/>
          <w:sz w:val="22"/>
          <w:szCs w:val="22"/>
        </w:rPr>
        <w:t>a</w:t>
      </w:r>
      <w:r w:rsidRPr="00DC5715">
        <w:rPr>
          <w:rFonts w:ascii="Book Antiqua" w:hAnsi="Book Antiqua"/>
          <w:bCs/>
          <w:color w:val="070707"/>
          <w:sz w:val="22"/>
          <w:szCs w:val="22"/>
        </w:rPr>
        <w:t xml:space="preserve"> č. 99/1963 </w:t>
      </w:r>
      <w:r w:rsidRPr="00DC5715">
        <w:rPr>
          <w:rFonts w:ascii="Book Antiqua" w:hAnsi="Book Antiqua"/>
          <w:bCs/>
          <w:color w:val="070707"/>
          <w:sz w:val="22"/>
          <w:szCs w:val="22"/>
          <w:lang w:val="cs-CZ"/>
        </w:rPr>
        <w:t xml:space="preserve">Sb. </w:t>
      </w:r>
      <w:r w:rsidRPr="00DC5715">
        <w:rPr>
          <w:rStyle w:val="h1a"/>
          <w:rFonts w:ascii="Book Antiqua" w:hAnsi="Book Antiqua" w:cs="Arial"/>
          <w:iCs/>
          <w:color w:val="070707"/>
          <w:sz w:val="22"/>
          <w:szCs w:val="22"/>
          <w:lang w:val="cs-CZ"/>
        </w:rPr>
        <w:t>Občanský soudní řád</w:t>
      </w:r>
      <w:r>
        <w:rPr>
          <w:rStyle w:val="h1a"/>
          <w:rFonts w:ascii="Book Antiqua" w:hAnsi="Book Antiqua" w:cs="Arial"/>
          <w:iCs/>
          <w:color w:val="070707"/>
          <w:sz w:val="22"/>
          <w:szCs w:val="22"/>
        </w:rPr>
        <w:t xml:space="preserve"> je možné podať žalobu na obnovu konania tak proti právoplatnému rozsudku, ako aj proti právoplatnému uzneseniu, ktorým sa rozhodlo vo veci samej. </w:t>
      </w:r>
    </w:p>
    <w:p w:rsidR="0037635C" w:rsidRDefault="0037635C" w:rsidP="0037635C">
      <w:pPr>
        <w:pStyle w:val="l5"/>
        <w:shd w:val="clear" w:color="auto" w:fill="FFFFFF"/>
        <w:spacing w:before="0" w:beforeAutospacing="0" w:after="0" w:afterAutospacing="0" w:line="276" w:lineRule="auto"/>
        <w:jc w:val="both"/>
        <w:rPr>
          <w:rStyle w:val="PremennHTML"/>
          <w:rFonts w:ascii="Book Antiqua" w:hAnsi="Book Antiqua" w:cs="Arial"/>
          <w:bCs/>
          <w:i w:val="0"/>
          <w:iCs w:val="0"/>
          <w:color w:val="000000"/>
          <w:sz w:val="22"/>
          <w:szCs w:val="22"/>
          <w:lang w:val="cs-CZ"/>
        </w:rPr>
      </w:pPr>
    </w:p>
    <w:p w:rsidR="0037635C" w:rsidRPr="00DC5715" w:rsidRDefault="0037635C" w:rsidP="0037635C">
      <w:pPr>
        <w:pStyle w:val="l5"/>
        <w:numPr>
          <w:ilvl w:val="0"/>
          <w:numId w:val="3"/>
        </w:numPr>
        <w:shd w:val="clear" w:color="auto" w:fill="FFFFFF"/>
        <w:spacing w:before="0" w:beforeAutospacing="0" w:after="0" w:afterAutospacing="0" w:line="276" w:lineRule="auto"/>
        <w:jc w:val="both"/>
        <w:rPr>
          <w:rFonts w:ascii="Book Antiqua" w:hAnsi="Book Antiqua" w:cs="Arial"/>
          <w:i/>
          <w:color w:val="000000"/>
          <w:sz w:val="22"/>
          <w:szCs w:val="22"/>
          <w:lang w:val="cs-CZ"/>
        </w:rPr>
      </w:pPr>
      <w:r w:rsidRPr="00DC5715">
        <w:rPr>
          <w:rFonts w:ascii="Book Antiqua" w:hAnsi="Book Antiqua" w:cs="Arial"/>
          <w:i/>
          <w:color w:val="000000"/>
          <w:sz w:val="22"/>
          <w:szCs w:val="22"/>
          <w:lang w:val="cs-CZ"/>
        </w:rPr>
        <w:lastRenderedPageBreak/>
        <w:t xml:space="preserve">Žalobou na obnovu řízení účastník </w:t>
      </w:r>
      <w:r w:rsidRPr="00DC5715">
        <w:rPr>
          <w:rFonts w:ascii="Book Antiqua" w:hAnsi="Book Antiqua" w:cs="Arial"/>
          <w:b/>
          <w:i/>
          <w:color w:val="000000"/>
          <w:sz w:val="22"/>
          <w:szCs w:val="22"/>
          <w:u w:val="single"/>
          <w:lang w:val="cs-CZ"/>
        </w:rPr>
        <w:t>může napadnout pravomocný rozsudek nebo pravomocné usnesení</w:t>
      </w:r>
      <w:r w:rsidRPr="00DC5715">
        <w:rPr>
          <w:rFonts w:ascii="Book Antiqua" w:hAnsi="Book Antiqua" w:cs="Arial"/>
          <w:i/>
          <w:color w:val="000000"/>
          <w:sz w:val="22"/>
          <w:szCs w:val="22"/>
          <w:lang w:val="cs-CZ"/>
        </w:rPr>
        <w:t>, kterým bylo rozhodnuto ve věci samé:</w:t>
      </w:r>
    </w:p>
    <w:p w:rsidR="0037635C" w:rsidRPr="00DC5715" w:rsidRDefault="0037635C" w:rsidP="0037635C">
      <w:pPr>
        <w:pStyle w:val="l5"/>
        <w:shd w:val="clear" w:color="auto" w:fill="FFFFFF"/>
        <w:spacing w:before="0" w:beforeAutospacing="0" w:after="0" w:afterAutospacing="0" w:line="276" w:lineRule="auto"/>
        <w:ind w:left="420"/>
        <w:jc w:val="both"/>
        <w:rPr>
          <w:rFonts w:ascii="Book Antiqua" w:hAnsi="Book Antiqua" w:cs="Arial"/>
          <w:i/>
          <w:color w:val="000000"/>
          <w:sz w:val="22"/>
          <w:szCs w:val="22"/>
          <w:lang w:val="cs-CZ"/>
        </w:rPr>
      </w:pPr>
    </w:p>
    <w:p w:rsidR="0037635C" w:rsidRPr="00DC5715" w:rsidRDefault="0037635C" w:rsidP="0037635C">
      <w:pPr>
        <w:pStyle w:val="l6"/>
        <w:shd w:val="clear" w:color="auto" w:fill="FFFFFF"/>
        <w:spacing w:before="0" w:beforeAutospacing="0" w:after="0" w:afterAutospacing="0" w:line="276" w:lineRule="auto"/>
        <w:jc w:val="both"/>
        <w:rPr>
          <w:rFonts w:ascii="Book Antiqua" w:hAnsi="Book Antiqua" w:cs="Arial"/>
          <w:i/>
          <w:color w:val="000000"/>
          <w:sz w:val="22"/>
          <w:szCs w:val="22"/>
          <w:lang w:val="cs-CZ"/>
        </w:rPr>
      </w:pPr>
      <w:r w:rsidRPr="00DC5715">
        <w:rPr>
          <w:rStyle w:val="PremennHTML"/>
          <w:rFonts w:ascii="Book Antiqua" w:hAnsi="Book Antiqua" w:cs="Arial"/>
          <w:b/>
          <w:bCs/>
          <w:color w:val="000000"/>
          <w:sz w:val="22"/>
          <w:szCs w:val="22"/>
          <w:lang w:val="cs-CZ"/>
        </w:rPr>
        <w:t>a)</w:t>
      </w:r>
      <w:r w:rsidRPr="00DC5715">
        <w:rPr>
          <w:rFonts w:ascii="Book Antiqua" w:hAnsi="Book Antiqua" w:cs="Arial"/>
          <w:i/>
          <w:color w:val="000000"/>
          <w:sz w:val="22"/>
          <w:szCs w:val="22"/>
          <w:lang w:val="cs-CZ"/>
        </w:rPr>
        <w:t> jsou-li tu skutečnosti, rozhodnutí nebo důkazy, které bez své viny nemohl použít v původním řízení před soudem prvního stupně nebo za podmínek uvedených v ustanovení § 205a a 211 a též před odvolacím soudem, pokud mohou přivodit pro něho příznivější rozhodnutí ve věci;</w:t>
      </w:r>
    </w:p>
    <w:p w:rsidR="0037635C" w:rsidRPr="00DC5715" w:rsidRDefault="0037635C" w:rsidP="0037635C">
      <w:pPr>
        <w:pStyle w:val="l6"/>
        <w:shd w:val="clear" w:color="auto" w:fill="FFFFFF"/>
        <w:spacing w:before="0" w:beforeAutospacing="0" w:after="0" w:afterAutospacing="0" w:line="276" w:lineRule="auto"/>
        <w:jc w:val="both"/>
        <w:rPr>
          <w:rFonts w:ascii="Book Antiqua" w:hAnsi="Book Antiqua" w:cs="Arial"/>
          <w:i/>
          <w:color w:val="000000"/>
          <w:sz w:val="22"/>
          <w:szCs w:val="22"/>
          <w:lang w:val="cs-CZ"/>
        </w:rPr>
      </w:pPr>
    </w:p>
    <w:p w:rsidR="0037635C" w:rsidRDefault="0037635C" w:rsidP="0037635C">
      <w:pPr>
        <w:pStyle w:val="l6"/>
        <w:shd w:val="clear" w:color="auto" w:fill="FFFFFF"/>
        <w:spacing w:before="0" w:beforeAutospacing="0" w:after="0" w:afterAutospacing="0" w:line="276" w:lineRule="auto"/>
        <w:jc w:val="both"/>
        <w:rPr>
          <w:rFonts w:ascii="Book Antiqua" w:hAnsi="Book Antiqua" w:cs="Arial"/>
          <w:i/>
          <w:color w:val="000000"/>
          <w:sz w:val="22"/>
          <w:szCs w:val="22"/>
          <w:lang w:val="cs-CZ"/>
        </w:rPr>
      </w:pPr>
      <w:r w:rsidRPr="00DC5715">
        <w:rPr>
          <w:rStyle w:val="PremennHTML"/>
          <w:rFonts w:ascii="Book Antiqua" w:hAnsi="Book Antiqua" w:cs="Arial"/>
          <w:b/>
          <w:bCs/>
          <w:color w:val="000000"/>
          <w:sz w:val="22"/>
          <w:szCs w:val="22"/>
          <w:lang w:val="cs-CZ"/>
        </w:rPr>
        <w:t>b)</w:t>
      </w:r>
      <w:r w:rsidRPr="00DC5715">
        <w:rPr>
          <w:rFonts w:ascii="Book Antiqua" w:hAnsi="Book Antiqua" w:cs="Arial"/>
          <w:i/>
          <w:color w:val="000000"/>
          <w:sz w:val="22"/>
          <w:szCs w:val="22"/>
          <w:lang w:val="cs-CZ"/>
        </w:rPr>
        <w:t> lze-li provést důkazy, které nemohly být provedeny v původním řízení před soudem prvního stupně nebo za podmínek uvedených v ustanovení § 205a a 211a též před odvolacím soudem, pokud mohou přivodit pro něho příznivější rozhodnutí ve věci.</w:t>
      </w:r>
    </w:p>
    <w:p w:rsidR="0037635C" w:rsidRDefault="0037635C" w:rsidP="0037635C">
      <w:pPr>
        <w:pStyle w:val="l6"/>
        <w:shd w:val="clear" w:color="auto" w:fill="FFFFFF"/>
        <w:spacing w:before="0" w:beforeAutospacing="0" w:after="0" w:afterAutospacing="0" w:line="276" w:lineRule="auto"/>
        <w:jc w:val="both"/>
        <w:rPr>
          <w:rFonts w:ascii="Book Antiqua" w:hAnsi="Book Antiqua" w:cs="Arial"/>
          <w:i/>
          <w:color w:val="000000"/>
          <w:sz w:val="22"/>
          <w:szCs w:val="22"/>
          <w:lang w:val="cs-CZ"/>
        </w:rPr>
      </w:pPr>
    </w:p>
    <w:p w:rsidR="0037635C" w:rsidRPr="00DC5715" w:rsidRDefault="0037635C" w:rsidP="0037635C">
      <w:pPr>
        <w:pStyle w:val="l6"/>
        <w:shd w:val="clear" w:color="auto" w:fill="FFFFFF"/>
        <w:spacing w:before="0" w:beforeAutospacing="0" w:after="0" w:afterAutospacing="0" w:line="276" w:lineRule="auto"/>
        <w:jc w:val="both"/>
        <w:rPr>
          <w:rFonts w:ascii="Book Antiqua" w:hAnsi="Book Antiqua" w:cs="Arial"/>
          <w:color w:val="000000"/>
          <w:sz w:val="22"/>
          <w:szCs w:val="22"/>
        </w:rPr>
      </w:pPr>
      <w:r>
        <w:rPr>
          <w:rFonts w:ascii="Book Antiqua" w:hAnsi="Book Antiqua" w:cs="Arial"/>
          <w:color w:val="000000"/>
          <w:sz w:val="22"/>
          <w:szCs w:val="22"/>
          <w:lang w:val="cs-CZ"/>
        </w:rPr>
        <w:tab/>
      </w:r>
      <w:r w:rsidRPr="00DC5715">
        <w:rPr>
          <w:rFonts w:ascii="Book Antiqua" w:hAnsi="Book Antiqua" w:cs="Arial"/>
          <w:color w:val="000000"/>
          <w:sz w:val="22"/>
          <w:szCs w:val="22"/>
        </w:rPr>
        <w:t>Česká právna úprava</w:t>
      </w:r>
      <w:r>
        <w:rPr>
          <w:rFonts w:ascii="Book Antiqua" w:hAnsi="Book Antiqua" w:cs="Arial"/>
          <w:color w:val="000000"/>
          <w:sz w:val="22"/>
          <w:szCs w:val="22"/>
        </w:rPr>
        <w:t xml:space="preserve"> teda plne reflektovala elementárnu potrebu a nevyhnutnosť podania žaloby na obnovu konania aj v návratových konaniach, kedy i napriek tomu, že sa v konaní o návrat rozhoduje Uznesením je proti takémuto rozhodnutiu – uzneseniu prípustná žaloba na obnovu konania. </w:t>
      </w:r>
      <w:r w:rsidRPr="00DC5715">
        <w:rPr>
          <w:rFonts w:ascii="Book Antiqua" w:hAnsi="Book Antiqua" w:cs="Arial"/>
          <w:color w:val="000000"/>
          <w:sz w:val="22"/>
          <w:szCs w:val="22"/>
        </w:rPr>
        <w:t xml:space="preserve"> </w:t>
      </w:r>
    </w:p>
    <w:p w:rsidR="0037635C" w:rsidRPr="00DC5715" w:rsidRDefault="0037635C" w:rsidP="0037635C">
      <w:pPr>
        <w:pStyle w:val="Zkladntext"/>
        <w:spacing w:line="276" w:lineRule="auto"/>
        <w:jc w:val="center"/>
        <w:rPr>
          <w:rFonts w:ascii="Book Antiqua" w:hAnsi="Book Antiqua"/>
          <w:b/>
          <w:sz w:val="22"/>
          <w:szCs w:val="22"/>
        </w:rPr>
      </w:pPr>
    </w:p>
    <w:p w:rsidR="0037635C" w:rsidRDefault="0037635C" w:rsidP="0037635C">
      <w:pPr>
        <w:pStyle w:val="Zkladntext"/>
        <w:numPr>
          <w:ilvl w:val="0"/>
          <w:numId w:val="4"/>
        </w:numPr>
        <w:spacing w:line="276" w:lineRule="auto"/>
        <w:ind w:left="0"/>
        <w:jc w:val="center"/>
        <w:rPr>
          <w:rFonts w:ascii="Book Antiqua" w:hAnsi="Book Antiqua"/>
          <w:b/>
          <w:sz w:val="22"/>
          <w:szCs w:val="22"/>
        </w:rPr>
      </w:pPr>
      <w:r>
        <w:rPr>
          <w:rFonts w:ascii="Book Antiqua" w:hAnsi="Book Antiqua"/>
          <w:b/>
          <w:sz w:val="22"/>
          <w:szCs w:val="22"/>
        </w:rPr>
        <w:t>Prípustnosť podania žaloby na obnovu konania v rakúskej a nemeckej právnej úprave</w:t>
      </w:r>
    </w:p>
    <w:p w:rsidR="0037635C" w:rsidRDefault="0037635C" w:rsidP="0037635C">
      <w:pPr>
        <w:jc w:val="both"/>
        <w:rPr>
          <w:rFonts w:ascii="Book Antiqua" w:hAnsi="Book Antiqua"/>
        </w:rPr>
      </w:pPr>
    </w:p>
    <w:p w:rsidR="0037635C" w:rsidRPr="008041BE" w:rsidRDefault="0037635C" w:rsidP="0037635C">
      <w:pPr>
        <w:jc w:val="both"/>
        <w:rPr>
          <w:rFonts w:ascii="Book Antiqua" w:hAnsi="Book Antiqua"/>
        </w:rPr>
      </w:pPr>
      <w:r>
        <w:rPr>
          <w:rFonts w:ascii="Book Antiqua" w:hAnsi="Book Antiqua"/>
        </w:rPr>
        <w:tab/>
      </w:r>
      <w:r w:rsidRPr="008041BE">
        <w:rPr>
          <w:rFonts w:ascii="Book Antiqua" w:hAnsi="Book Antiqua"/>
        </w:rPr>
        <w:t xml:space="preserve">Obdobne sa k prípustnosti podania žaloby na obnovu konania postavila aj rakúska a nemecká právna úprava. V zmysle ustanovenia § 578 a nasl. zákona Zivilprozessordnung v nemeckom právnom poriadku je prípustná žaloba na obnovu konania a v zmysle ustanovenie § 529 a nasl. Zivilprozessordnung rakúskej právnej úprave je táto taktiež prípustná, a to aj v návratových konaniach. </w:t>
      </w:r>
    </w:p>
    <w:p w:rsidR="001D6141" w:rsidRDefault="001D6141" w:rsidP="00023051">
      <w:pPr>
        <w:spacing w:before="120" w:after="0"/>
        <w:jc w:val="center"/>
        <w:rPr>
          <w:rFonts w:ascii="Book Antiqua" w:hAnsi="Book Antiqua" w:cs="Arial"/>
          <w:color w:val="000000" w:themeColor="text1"/>
        </w:rPr>
      </w:pPr>
    </w:p>
    <w:p w:rsidR="001D6141" w:rsidRPr="009F6924" w:rsidRDefault="001D6141" w:rsidP="001D6141">
      <w:pPr>
        <w:numPr>
          <w:ilvl w:val="0"/>
          <w:numId w:val="1"/>
        </w:numPr>
        <w:ind w:left="270" w:hanging="270"/>
        <w:rPr>
          <w:rFonts w:ascii="Book Antiqua" w:hAnsi="Book Antiqua" w:cs="Arial"/>
          <w:b/>
          <w:i/>
          <w:color w:val="000000"/>
        </w:rPr>
      </w:pPr>
      <w:r w:rsidRPr="009F6924">
        <w:rPr>
          <w:rFonts w:ascii="Book Antiqua" w:hAnsi="Book Antiqua" w:cs="Arial"/>
          <w:b/>
          <w:i/>
          <w:color w:val="000000"/>
        </w:rPr>
        <w:t>Osobitná časť</w:t>
      </w:r>
    </w:p>
    <w:p w:rsidR="001D6141" w:rsidRPr="009F6924" w:rsidRDefault="00504EAA" w:rsidP="001D6141">
      <w:pPr>
        <w:ind w:left="360"/>
        <w:jc w:val="both"/>
        <w:rPr>
          <w:rFonts w:ascii="Book Antiqua" w:hAnsi="Book Antiqua" w:cs="Arial"/>
          <w:color w:val="000000"/>
        </w:rPr>
      </w:pPr>
      <w:r>
        <w:rPr>
          <w:noProof/>
          <w:lang w:eastAsia="sk-SK"/>
        </w:rPr>
        <mc:AlternateContent>
          <mc:Choice Requires="wps">
            <w:drawing>
              <wp:anchor distT="4294967294" distB="4294967294" distL="114300" distR="114300" simplePos="0" relativeHeight="251662336" behindDoc="0" locked="0" layoutInCell="1" allowOverlap="1">
                <wp:simplePos x="0" y="0"/>
                <wp:positionH relativeFrom="column">
                  <wp:posOffset>-4445</wp:posOffset>
                </wp:positionH>
                <wp:positionV relativeFrom="paragraph">
                  <wp:posOffset>34924</wp:posOffset>
                </wp:positionV>
                <wp:extent cx="5778500" cy="0"/>
                <wp:effectExtent l="0" t="0" r="12700" b="0"/>
                <wp:wrapNone/>
                <wp:docPr id="1" name="Rovná spojovacia šípk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8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768B8F" id="Rovná spojovacia šípka 1" o:spid="_x0000_s1026" type="#_x0000_t32" style="position:absolute;margin-left:-.35pt;margin-top:2.75pt;width:455pt;height:0;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"/>
            </w:pict>
          </mc:Fallback>
        </mc:AlternateContent>
      </w:r>
    </w:p>
    <w:p w:rsidR="001D6141" w:rsidRPr="00B94FBD" w:rsidRDefault="001D6141" w:rsidP="001D6141">
      <w:pPr>
        <w:jc w:val="both"/>
        <w:rPr>
          <w:rFonts w:ascii="Book Antiqua" w:hAnsi="Book Antiqua" w:cs="Arial"/>
          <w:b/>
          <w:color w:val="000000"/>
        </w:rPr>
      </w:pPr>
      <w:r>
        <w:rPr>
          <w:rFonts w:ascii="Book Antiqua" w:hAnsi="Book Antiqua" w:cs="Arial"/>
          <w:b/>
          <w:color w:val="000000"/>
        </w:rPr>
        <w:t>Čl. I</w:t>
      </w:r>
    </w:p>
    <w:p w:rsidR="001D6141" w:rsidRPr="00B94FBD" w:rsidRDefault="001D6141" w:rsidP="001D6141">
      <w:pPr>
        <w:jc w:val="both"/>
        <w:rPr>
          <w:rFonts w:ascii="Book Antiqua" w:hAnsi="Book Antiqua" w:cs="Arial"/>
          <w:color w:val="000000"/>
          <w:u w:val="single"/>
        </w:rPr>
      </w:pPr>
      <w:r w:rsidRPr="00B94FBD">
        <w:rPr>
          <w:rFonts w:ascii="Book Antiqua" w:hAnsi="Book Antiqua" w:cs="Arial"/>
          <w:color w:val="000000"/>
          <w:u w:val="single"/>
        </w:rPr>
        <w:t>K bodu 1</w:t>
      </w:r>
      <w:r w:rsidR="005E2F9C">
        <w:rPr>
          <w:rFonts w:ascii="Book Antiqua" w:hAnsi="Book Antiqua" w:cs="Arial"/>
          <w:color w:val="000000"/>
          <w:u w:val="single"/>
        </w:rPr>
        <w:t xml:space="preserve"> až 4</w:t>
      </w:r>
    </w:p>
    <w:p w:rsidR="005E2F9C" w:rsidRDefault="001D6141" w:rsidP="005E2F9C">
      <w:pPr>
        <w:ind w:firstLine="708"/>
        <w:jc w:val="both"/>
        <w:rPr>
          <w:rFonts w:ascii="Book Antiqua" w:hAnsi="Book Antiqua" w:cs="Arial"/>
        </w:rPr>
      </w:pPr>
      <w:r>
        <w:rPr>
          <w:rFonts w:ascii="Book Antiqua" w:hAnsi="Book Antiqua" w:cs="Arial"/>
          <w:color w:val="000000"/>
        </w:rPr>
        <w:t>Účelom novely zákona</w:t>
      </w:r>
      <w:r w:rsidR="005E2F9C">
        <w:rPr>
          <w:rFonts w:ascii="Book Antiqua" w:hAnsi="Book Antiqua" w:cs="Arial"/>
          <w:color w:val="000000"/>
        </w:rPr>
        <w:t xml:space="preserve"> č. 161/2015 Z. z.</w:t>
      </w:r>
      <w:r>
        <w:rPr>
          <w:rFonts w:ascii="Book Antiqua" w:hAnsi="Book Antiqua" w:cs="Arial"/>
          <w:color w:val="000000"/>
        </w:rPr>
        <w:t xml:space="preserve"> </w:t>
      </w:r>
      <w:r w:rsidRPr="00837398">
        <w:rPr>
          <w:rFonts w:ascii="Book Antiqua" w:hAnsi="Book Antiqua" w:cs="Arial"/>
          <w:color w:val="000000"/>
        </w:rPr>
        <w:t>o</w:t>
      </w:r>
      <w:r w:rsidR="005E2F9C">
        <w:rPr>
          <w:rFonts w:ascii="Book Antiqua" w:hAnsi="Book Antiqua" w:cs="Arial"/>
          <w:color w:val="000000"/>
        </w:rPr>
        <w:t> Civilnom mimosporovom poriadku</w:t>
      </w:r>
      <w:r>
        <w:rPr>
          <w:rFonts w:ascii="Book Antiqua" w:hAnsi="Book Antiqua" w:cs="Arial"/>
          <w:color w:val="000000"/>
        </w:rPr>
        <w:t xml:space="preserve"> je </w:t>
      </w:r>
      <w:r>
        <w:rPr>
          <w:rFonts w:ascii="Book Antiqua" w:hAnsi="Book Antiqua" w:cs="Arial"/>
          <w:bCs/>
          <w:color w:val="000000"/>
        </w:rPr>
        <w:t>upraviť režim</w:t>
      </w:r>
      <w:r w:rsidR="005E2F9C">
        <w:rPr>
          <w:rFonts w:ascii="Book Antiqua" w:hAnsi="Book Antiqua" w:cs="Arial"/>
          <w:bCs/>
          <w:color w:val="000000"/>
        </w:rPr>
        <w:t xml:space="preserve"> </w:t>
      </w:r>
      <w:r w:rsidR="005E2F9C" w:rsidRPr="005E2F9C">
        <w:rPr>
          <w:rFonts w:ascii="Book Antiqua" w:hAnsi="Book Antiqua" w:cs="Arial"/>
        </w:rPr>
        <w:t xml:space="preserve">podania žaloby na obnovu konania aj </w:t>
      </w:r>
      <w:r w:rsidR="005E2F9C" w:rsidRPr="005E2F9C">
        <w:rPr>
          <w:rFonts w:ascii="Book Antiqua" w:hAnsi="Book Antiqua"/>
          <w:color w:val="000000"/>
          <w:shd w:val="clear" w:color="auto" w:fill="FFFFFF"/>
        </w:rPr>
        <w:t>proti právoplatnému uzneseniu v konaní o návrat maloletého do cudziny vo veciach neoprávneného premiestnenia alebo zadržania</w:t>
      </w:r>
      <w:r w:rsidR="005E2F9C" w:rsidRPr="005E2F9C">
        <w:rPr>
          <w:rFonts w:ascii="Book Antiqua" w:hAnsi="Book Antiqua" w:cs="Arial"/>
        </w:rPr>
        <w:t xml:space="preserve">. </w:t>
      </w:r>
    </w:p>
    <w:p w:rsidR="005E2F9C" w:rsidRPr="005E2F9C" w:rsidRDefault="005E2F9C" w:rsidP="005E2F9C">
      <w:pPr>
        <w:ind w:firstLine="708"/>
        <w:jc w:val="both"/>
        <w:rPr>
          <w:rFonts w:ascii="Book Antiqua" w:hAnsi="Book Antiqua" w:cs="Arial"/>
        </w:rPr>
      </w:pPr>
      <w:r>
        <w:rPr>
          <w:rFonts w:ascii="Book Antiqua" w:hAnsi="Book Antiqua" w:cs="Arial"/>
        </w:rPr>
        <w:t>Sme toho názoru, že v</w:t>
      </w:r>
      <w:r>
        <w:rPr>
          <w:rFonts w:ascii="Book Antiqua" w:hAnsi="Book Antiqua"/>
        </w:rPr>
        <w:t xml:space="preserve"> prípade, že by zákonodarca nepovolil žalobu na obnovu konania v návratových konaniach postupoval by asymetricky, v priamom rozpore so spravodlivým súdnym konaním a </w:t>
      </w:r>
      <w:r>
        <w:rPr>
          <w:rFonts w:ascii="Book Antiqua" w:hAnsi="Book Antiqua"/>
          <w:shd w:val="clear" w:color="auto" w:fill="F3F3F3"/>
        </w:rPr>
        <w:t>vážne by zasiahol do práv účastníkov konania a najmä do práv maloletého dieťaťa, nakoľko ani sám súd nemôže vopred predpokladať situáciu, ktorá nastane po právoplatnosti rozhodnutia vo veci samej, nehovoriac o možných nedostatkoch priebehu konania vo veci samej.</w:t>
      </w:r>
    </w:p>
    <w:p w:rsidR="001D6141" w:rsidRPr="00B94FBD" w:rsidRDefault="001D6141" w:rsidP="001D6141">
      <w:pPr>
        <w:jc w:val="both"/>
        <w:rPr>
          <w:rFonts w:ascii="Book Antiqua" w:hAnsi="Book Antiqua" w:cs="Arial"/>
          <w:b/>
          <w:color w:val="000000"/>
        </w:rPr>
      </w:pPr>
      <w:r w:rsidRPr="00B94FBD">
        <w:rPr>
          <w:rFonts w:ascii="Book Antiqua" w:hAnsi="Book Antiqua" w:cs="Arial"/>
          <w:b/>
          <w:color w:val="000000"/>
        </w:rPr>
        <w:t>Čl. II</w:t>
      </w:r>
    </w:p>
    <w:p w:rsidR="001D6141" w:rsidRPr="001D6141" w:rsidRDefault="001D6141" w:rsidP="001D6141">
      <w:pPr>
        <w:ind w:firstLine="708"/>
        <w:jc w:val="both"/>
        <w:rPr>
          <w:rFonts w:ascii="Book Antiqua" w:hAnsi="Book Antiqua" w:cs="Book Antiqua"/>
          <w:color w:val="000000"/>
          <w:kern w:val="1"/>
        </w:rPr>
      </w:pPr>
      <w:r w:rsidRPr="003254A1">
        <w:rPr>
          <w:rFonts w:ascii="Book Antiqua" w:hAnsi="Book Antiqua" w:cs="Arial"/>
          <w:color w:val="000000"/>
          <w:kern w:val="1"/>
        </w:rPr>
        <w:t>Navrhuje sa účinnosť</w:t>
      </w:r>
      <w:r>
        <w:rPr>
          <w:rFonts w:ascii="Book Antiqua" w:hAnsi="Book Antiqua" w:cs="Arial"/>
          <w:color w:val="000000"/>
          <w:kern w:val="1"/>
        </w:rPr>
        <w:t xml:space="preserve"> </w:t>
      </w:r>
      <w:r w:rsidRPr="003254A1">
        <w:rPr>
          <w:rFonts w:ascii="Book Antiqua" w:hAnsi="Book Antiqua" w:cs="Arial"/>
          <w:color w:val="000000"/>
          <w:kern w:val="1"/>
        </w:rPr>
        <w:t xml:space="preserve">zákona </w:t>
      </w:r>
      <w:r>
        <w:rPr>
          <w:rFonts w:ascii="Book Antiqua" w:hAnsi="Book Antiqua" w:cs="Arial"/>
          <w:color w:val="000000"/>
          <w:kern w:val="1"/>
        </w:rPr>
        <w:t>1</w:t>
      </w:r>
      <w:r w:rsidR="001E0B52">
        <w:rPr>
          <w:rFonts w:ascii="Book Antiqua" w:hAnsi="Book Antiqua" w:cs="Arial"/>
          <w:color w:val="000000"/>
          <w:kern w:val="1"/>
        </w:rPr>
        <w:t>. januára</w:t>
      </w:r>
      <w:r w:rsidR="00D84F72">
        <w:rPr>
          <w:rFonts w:ascii="Book Antiqua" w:hAnsi="Book Antiqua" w:cs="Arial"/>
          <w:color w:val="000000"/>
          <w:kern w:val="1"/>
        </w:rPr>
        <w:t xml:space="preserve"> 2019</w:t>
      </w:r>
      <w:r w:rsidRPr="003254A1">
        <w:rPr>
          <w:rFonts w:ascii="Book Antiqua" w:hAnsi="Book Antiqua" w:cs="Arial"/>
          <w:color w:val="000000"/>
          <w:kern w:val="1"/>
        </w:rPr>
        <w:t>.</w:t>
      </w:r>
    </w:p>
    <w:sectPr w:rsidR="001D6141" w:rsidRPr="001D6141" w:rsidSect="001D6141">
      <w:pgSz w:w="11906" w:h="16838"/>
      <w:pgMar w:top="1417"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EE"/>
    <w:family w:val="roman"/>
    <w:pitch w:val="variable"/>
    <w:sig w:usb0="E0002EFF" w:usb1="C0007843" w:usb2="00000009" w:usb3="00000000" w:csb0="000001FF" w:csb1="00000000"/>
  </w:font>
  <w:font w:name="Calibri">
    <w:altName w:val="Arial"/>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Book Antiqua">
    <w:altName w:val="Book Antiqua"/>
    <w:panose1 w:val="02040602050305030304"/>
    <w:charset w:val="EE"/>
    <w:family w:val="roman"/>
    <w:pitch w:val="variable"/>
    <w:sig w:usb0="00000287" w:usb1="00000000" w:usb2="00000000" w:usb3="00000000" w:csb0="0000009F" w:csb1="00000000"/>
  </w:font>
  <w:font w:name="Arial">
    <w:altName w:val="Times New Roman"/>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815DC"/>
    <w:multiLevelType w:val="hybridMultilevel"/>
    <w:tmpl w:val="7A024564"/>
    <w:lvl w:ilvl="0" w:tplc="BEC29C58">
      <w:start w:val="1"/>
      <w:numFmt w:val="decimal"/>
      <w:lvlText w:val="(%1)"/>
      <w:lvlJc w:val="left"/>
      <w:pPr>
        <w:ind w:left="420" w:hanging="360"/>
      </w:pPr>
      <w:rPr>
        <w:rFonts w:cs="Times New Roman" w:hint="default"/>
        <w:b/>
      </w:rPr>
    </w:lvl>
    <w:lvl w:ilvl="1" w:tplc="041B0019" w:tentative="1">
      <w:start w:val="1"/>
      <w:numFmt w:val="lowerLetter"/>
      <w:lvlText w:val="%2."/>
      <w:lvlJc w:val="left"/>
      <w:pPr>
        <w:ind w:left="1140" w:hanging="360"/>
      </w:pPr>
      <w:rPr>
        <w:rFonts w:cs="Times New Roman"/>
      </w:rPr>
    </w:lvl>
    <w:lvl w:ilvl="2" w:tplc="041B001B" w:tentative="1">
      <w:start w:val="1"/>
      <w:numFmt w:val="lowerRoman"/>
      <w:lvlText w:val="%3."/>
      <w:lvlJc w:val="right"/>
      <w:pPr>
        <w:ind w:left="1860" w:hanging="180"/>
      </w:pPr>
      <w:rPr>
        <w:rFonts w:cs="Times New Roman"/>
      </w:rPr>
    </w:lvl>
    <w:lvl w:ilvl="3" w:tplc="041B000F" w:tentative="1">
      <w:start w:val="1"/>
      <w:numFmt w:val="decimal"/>
      <w:lvlText w:val="%4."/>
      <w:lvlJc w:val="left"/>
      <w:pPr>
        <w:ind w:left="2580" w:hanging="360"/>
      </w:pPr>
      <w:rPr>
        <w:rFonts w:cs="Times New Roman"/>
      </w:rPr>
    </w:lvl>
    <w:lvl w:ilvl="4" w:tplc="041B0019" w:tentative="1">
      <w:start w:val="1"/>
      <w:numFmt w:val="lowerLetter"/>
      <w:lvlText w:val="%5."/>
      <w:lvlJc w:val="left"/>
      <w:pPr>
        <w:ind w:left="3300" w:hanging="360"/>
      </w:pPr>
      <w:rPr>
        <w:rFonts w:cs="Times New Roman"/>
      </w:rPr>
    </w:lvl>
    <w:lvl w:ilvl="5" w:tplc="041B001B" w:tentative="1">
      <w:start w:val="1"/>
      <w:numFmt w:val="lowerRoman"/>
      <w:lvlText w:val="%6."/>
      <w:lvlJc w:val="right"/>
      <w:pPr>
        <w:ind w:left="4020" w:hanging="180"/>
      </w:pPr>
      <w:rPr>
        <w:rFonts w:cs="Times New Roman"/>
      </w:rPr>
    </w:lvl>
    <w:lvl w:ilvl="6" w:tplc="041B000F" w:tentative="1">
      <w:start w:val="1"/>
      <w:numFmt w:val="decimal"/>
      <w:lvlText w:val="%7."/>
      <w:lvlJc w:val="left"/>
      <w:pPr>
        <w:ind w:left="4740" w:hanging="360"/>
      </w:pPr>
      <w:rPr>
        <w:rFonts w:cs="Times New Roman"/>
      </w:rPr>
    </w:lvl>
    <w:lvl w:ilvl="7" w:tplc="041B0019" w:tentative="1">
      <w:start w:val="1"/>
      <w:numFmt w:val="lowerLetter"/>
      <w:lvlText w:val="%8."/>
      <w:lvlJc w:val="left"/>
      <w:pPr>
        <w:ind w:left="5460" w:hanging="360"/>
      </w:pPr>
      <w:rPr>
        <w:rFonts w:cs="Times New Roman"/>
      </w:rPr>
    </w:lvl>
    <w:lvl w:ilvl="8" w:tplc="041B001B" w:tentative="1">
      <w:start w:val="1"/>
      <w:numFmt w:val="lowerRoman"/>
      <w:lvlText w:val="%9."/>
      <w:lvlJc w:val="right"/>
      <w:pPr>
        <w:ind w:left="6180" w:hanging="180"/>
      </w:pPr>
      <w:rPr>
        <w:rFonts w:cs="Times New Roman"/>
      </w:rPr>
    </w:lvl>
  </w:abstractNum>
  <w:abstractNum w:abstractNumId="1" w15:restartNumberingAfterBreak="0">
    <w:nsid w:val="473C0834"/>
    <w:multiLevelType w:val="hybridMultilevel"/>
    <w:tmpl w:val="9F1CA23C"/>
    <w:lvl w:ilvl="0" w:tplc="CF4E9D6C">
      <w:start w:val="1"/>
      <w:numFmt w:val="upperRoman"/>
      <w:lvlText w:val="%1."/>
      <w:lvlJc w:val="left"/>
      <w:pPr>
        <w:ind w:left="1620" w:hanging="720"/>
      </w:pPr>
      <w:rPr>
        <w:rFonts w:cs="Times New Roman" w:hint="default"/>
      </w:rPr>
    </w:lvl>
    <w:lvl w:ilvl="1" w:tplc="041B0019" w:tentative="1">
      <w:start w:val="1"/>
      <w:numFmt w:val="lowerLetter"/>
      <w:lvlText w:val="%2."/>
      <w:lvlJc w:val="left"/>
      <w:pPr>
        <w:ind w:left="1980" w:hanging="360"/>
      </w:pPr>
      <w:rPr>
        <w:rFonts w:cs="Times New Roman"/>
      </w:rPr>
    </w:lvl>
    <w:lvl w:ilvl="2" w:tplc="041B001B" w:tentative="1">
      <w:start w:val="1"/>
      <w:numFmt w:val="lowerRoman"/>
      <w:lvlText w:val="%3."/>
      <w:lvlJc w:val="right"/>
      <w:pPr>
        <w:ind w:left="2700" w:hanging="180"/>
      </w:pPr>
      <w:rPr>
        <w:rFonts w:cs="Times New Roman"/>
      </w:rPr>
    </w:lvl>
    <w:lvl w:ilvl="3" w:tplc="041B000F" w:tentative="1">
      <w:start w:val="1"/>
      <w:numFmt w:val="decimal"/>
      <w:lvlText w:val="%4."/>
      <w:lvlJc w:val="left"/>
      <w:pPr>
        <w:ind w:left="3420" w:hanging="360"/>
      </w:pPr>
      <w:rPr>
        <w:rFonts w:cs="Times New Roman"/>
      </w:rPr>
    </w:lvl>
    <w:lvl w:ilvl="4" w:tplc="041B0019" w:tentative="1">
      <w:start w:val="1"/>
      <w:numFmt w:val="lowerLetter"/>
      <w:lvlText w:val="%5."/>
      <w:lvlJc w:val="left"/>
      <w:pPr>
        <w:ind w:left="4140" w:hanging="360"/>
      </w:pPr>
      <w:rPr>
        <w:rFonts w:cs="Times New Roman"/>
      </w:rPr>
    </w:lvl>
    <w:lvl w:ilvl="5" w:tplc="041B001B" w:tentative="1">
      <w:start w:val="1"/>
      <w:numFmt w:val="lowerRoman"/>
      <w:lvlText w:val="%6."/>
      <w:lvlJc w:val="right"/>
      <w:pPr>
        <w:ind w:left="4860" w:hanging="180"/>
      </w:pPr>
      <w:rPr>
        <w:rFonts w:cs="Times New Roman"/>
      </w:rPr>
    </w:lvl>
    <w:lvl w:ilvl="6" w:tplc="041B000F" w:tentative="1">
      <w:start w:val="1"/>
      <w:numFmt w:val="decimal"/>
      <w:lvlText w:val="%7."/>
      <w:lvlJc w:val="left"/>
      <w:pPr>
        <w:ind w:left="5580" w:hanging="360"/>
      </w:pPr>
      <w:rPr>
        <w:rFonts w:cs="Times New Roman"/>
      </w:rPr>
    </w:lvl>
    <w:lvl w:ilvl="7" w:tplc="041B0019" w:tentative="1">
      <w:start w:val="1"/>
      <w:numFmt w:val="lowerLetter"/>
      <w:lvlText w:val="%8."/>
      <w:lvlJc w:val="left"/>
      <w:pPr>
        <w:ind w:left="6300" w:hanging="360"/>
      </w:pPr>
      <w:rPr>
        <w:rFonts w:cs="Times New Roman"/>
      </w:rPr>
    </w:lvl>
    <w:lvl w:ilvl="8" w:tplc="041B001B" w:tentative="1">
      <w:start w:val="1"/>
      <w:numFmt w:val="lowerRoman"/>
      <w:lvlText w:val="%9."/>
      <w:lvlJc w:val="right"/>
      <w:pPr>
        <w:ind w:left="7020" w:hanging="180"/>
      </w:pPr>
      <w:rPr>
        <w:rFonts w:cs="Times New Roman"/>
      </w:rPr>
    </w:lvl>
  </w:abstractNum>
  <w:abstractNum w:abstractNumId="2" w15:restartNumberingAfterBreak="0">
    <w:nsid w:val="4A35162D"/>
    <w:multiLevelType w:val="hybridMultilevel"/>
    <w:tmpl w:val="142AF42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 w15:restartNumberingAfterBreak="0">
    <w:nsid w:val="4CF17F1C"/>
    <w:multiLevelType w:val="hybridMultilevel"/>
    <w:tmpl w:val="D27A361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051"/>
    <w:rsid w:val="00023051"/>
    <w:rsid w:val="00030589"/>
    <w:rsid w:val="000B2FAE"/>
    <w:rsid w:val="000D5A93"/>
    <w:rsid w:val="000E35B9"/>
    <w:rsid w:val="00106D24"/>
    <w:rsid w:val="001A1A74"/>
    <w:rsid w:val="001D6141"/>
    <w:rsid w:val="001E0B52"/>
    <w:rsid w:val="002C1671"/>
    <w:rsid w:val="003254A1"/>
    <w:rsid w:val="0037635C"/>
    <w:rsid w:val="00380774"/>
    <w:rsid w:val="00430035"/>
    <w:rsid w:val="00494725"/>
    <w:rsid w:val="004E6DBF"/>
    <w:rsid w:val="00504EAA"/>
    <w:rsid w:val="00506ED7"/>
    <w:rsid w:val="00520652"/>
    <w:rsid w:val="00541BFF"/>
    <w:rsid w:val="00582CAC"/>
    <w:rsid w:val="005A7BE4"/>
    <w:rsid w:val="005E2F9C"/>
    <w:rsid w:val="00647D48"/>
    <w:rsid w:val="007211A9"/>
    <w:rsid w:val="007723CE"/>
    <w:rsid w:val="008041BE"/>
    <w:rsid w:val="00837398"/>
    <w:rsid w:val="00886098"/>
    <w:rsid w:val="008D4FF3"/>
    <w:rsid w:val="009F6924"/>
    <w:rsid w:val="00A60C8B"/>
    <w:rsid w:val="00A97B11"/>
    <w:rsid w:val="00AB4F95"/>
    <w:rsid w:val="00AC7C7A"/>
    <w:rsid w:val="00AD095D"/>
    <w:rsid w:val="00AF0EF8"/>
    <w:rsid w:val="00B26A26"/>
    <w:rsid w:val="00B612A1"/>
    <w:rsid w:val="00B7568B"/>
    <w:rsid w:val="00B773D9"/>
    <w:rsid w:val="00B94FBD"/>
    <w:rsid w:val="00BE6212"/>
    <w:rsid w:val="00C14FE9"/>
    <w:rsid w:val="00D56C6B"/>
    <w:rsid w:val="00D84F72"/>
    <w:rsid w:val="00DC5715"/>
    <w:rsid w:val="00EB166F"/>
    <w:rsid w:val="00EB63B5"/>
    <w:rsid w:val="00F177B8"/>
    <w:rsid w:val="00F21F17"/>
    <w:rsid w:val="00F515BE"/>
    <w:rsid w:val="00F72C0B"/>
    <w:rsid w:val="00F73EB1"/>
    <w:rsid w:val="00FF210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C9DF88A-B08D-4179-B7AD-5B581BCB6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23051"/>
    <w:pPr>
      <w:suppressAutoHyphens/>
    </w:pPr>
    <w:rPr>
      <w:rFonts w:ascii="Calibri" w:hAnsi="Calibri" w:cs="Times New Roman"/>
      <w:lang w:eastAsia="zh-C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rsid w:val="00023051"/>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023051"/>
    <w:rPr>
      <w:rFonts w:ascii="Tahoma" w:hAnsi="Tahoma" w:cs="Tahoma"/>
      <w:sz w:val="16"/>
      <w:szCs w:val="16"/>
      <w:lang w:val="x-none" w:eastAsia="zh-CN"/>
    </w:rPr>
  </w:style>
  <w:style w:type="paragraph" w:styleId="Zkladntext">
    <w:name w:val="Body Text"/>
    <w:basedOn w:val="Normlny"/>
    <w:link w:val="ZkladntextChar"/>
    <w:uiPriority w:val="99"/>
    <w:rsid w:val="0037635C"/>
    <w:pPr>
      <w:suppressAutoHyphens w:val="0"/>
      <w:spacing w:after="0" w:line="240" w:lineRule="auto"/>
      <w:jc w:val="both"/>
    </w:pPr>
    <w:rPr>
      <w:rFonts w:ascii="Times New Roman" w:hAnsi="Times New Roman"/>
      <w:sz w:val="24"/>
      <w:szCs w:val="24"/>
      <w:lang w:eastAsia="cs-CZ"/>
    </w:rPr>
  </w:style>
  <w:style w:type="character" w:customStyle="1" w:styleId="ZkladntextChar">
    <w:name w:val="Základný text Char"/>
    <w:basedOn w:val="Predvolenpsmoodseku"/>
    <w:link w:val="Zkladntext"/>
    <w:uiPriority w:val="99"/>
    <w:locked/>
    <w:rsid w:val="0037635C"/>
    <w:rPr>
      <w:rFonts w:ascii="Times New Roman" w:hAnsi="Times New Roman" w:cs="Times New Roman"/>
      <w:sz w:val="24"/>
      <w:szCs w:val="24"/>
      <w:lang w:val="x-none" w:eastAsia="cs-CZ"/>
    </w:rPr>
  </w:style>
  <w:style w:type="character" w:styleId="PremennHTML">
    <w:name w:val="HTML Variable"/>
    <w:basedOn w:val="Predvolenpsmoodseku"/>
    <w:uiPriority w:val="99"/>
    <w:semiHidden/>
    <w:unhideWhenUsed/>
    <w:rsid w:val="0037635C"/>
    <w:rPr>
      <w:rFonts w:cs="Times New Roman"/>
      <w:i/>
      <w:iCs/>
    </w:rPr>
  </w:style>
  <w:style w:type="paragraph" w:customStyle="1" w:styleId="l5">
    <w:name w:val="l5"/>
    <w:basedOn w:val="Normlny"/>
    <w:rsid w:val="0037635C"/>
    <w:pPr>
      <w:suppressAutoHyphens w:val="0"/>
      <w:spacing w:before="100" w:beforeAutospacing="1" w:after="100" w:afterAutospacing="1" w:line="240" w:lineRule="auto"/>
    </w:pPr>
    <w:rPr>
      <w:rFonts w:ascii="Times New Roman" w:hAnsi="Times New Roman"/>
      <w:sz w:val="24"/>
      <w:szCs w:val="24"/>
      <w:lang w:eastAsia="sk-SK"/>
    </w:rPr>
  </w:style>
  <w:style w:type="paragraph" w:customStyle="1" w:styleId="l6">
    <w:name w:val="l6"/>
    <w:basedOn w:val="Normlny"/>
    <w:rsid w:val="0037635C"/>
    <w:pPr>
      <w:suppressAutoHyphens w:val="0"/>
      <w:spacing w:before="100" w:beforeAutospacing="1" w:after="100" w:afterAutospacing="1" w:line="240" w:lineRule="auto"/>
    </w:pPr>
    <w:rPr>
      <w:rFonts w:ascii="Times New Roman" w:hAnsi="Times New Roman"/>
      <w:sz w:val="24"/>
      <w:szCs w:val="24"/>
      <w:lang w:eastAsia="sk-SK"/>
    </w:rPr>
  </w:style>
  <w:style w:type="character" w:customStyle="1" w:styleId="h1a">
    <w:name w:val="h1a"/>
    <w:basedOn w:val="Predvolenpsmoodseku"/>
    <w:rsid w:val="0037635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1786</Words>
  <Characters>10183</Characters>
  <Application>Microsoft Office Word</Application>
  <DocSecurity>0</DocSecurity>
  <Lines>84</Lines>
  <Paragraphs>23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Milan</dc:creator>
  <cp:keywords/>
  <dc:description/>
  <cp:lastModifiedBy>Šimkovičová, Martina (asistent)</cp:lastModifiedBy>
  <cp:revision>2</cp:revision>
  <dcterms:created xsi:type="dcterms:W3CDTF">2018-09-27T13:22:00Z</dcterms:created>
  <dcterms:modified xsi:type="dcterms:W3CDTF">2018-09-27T13:22:00Z</dcterms:modified>
</cp:coreProperties>
</file>