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CA" w:rsidRPr="00962FCA" w:rsidRDefault="00962FCA" w:rsidP="00962FCA">
      <w:pPr>
        <w:jc w:val="center"/>
        <w:rPr>
          <w:b/>
          <w:spacing w:val="30"/>
        </w:rPr>
      </w:pPr>
      <w:r w:rsidRPr="00962FCA">
        <w:rPr>
          <w:b/>
          <w:spacing w:val="30"/>
        </w:rPr>
        <w:t>DÔVODOVÁ SPRÁVA</w:t>
      </w:r>
    </w:p>
    <w:p w:rsidR="00962FCA" w:rsidRPr="00962FCA" w:rsidRDefault="00962FCA" w:rsidP="00962FCA">
      <w:pPr>
        <w:ind w:firstLine="709"/>
        <w:jc w:val="both"/>
        <w:rPr>
          <w:b/>
        </w:rPr>
      </w:pPr>
    </w:p>
    <w:p w:rsidR="00962FCA" w:rsidRPr="00962FCA" w:rsidRDefault="00962FCA" w:rsidP="00962FCA">
      <w:pPr>
        <w:jc w:val="both"/>
        <w:rPr>
          <w:b/>
        </w:rPr>
      </w:pPr>
      <w:r w:rsidRPr="00962FCA">
        <w:rPr>
          <w:b/>
        </w:rPr>
        <w:t xml:space="preserve">A. Všeobecná časť </w:t>
      </w:r>
    </w:p>
    <w:p w:rsidR="00962FCA" w:rsidRPr="00962FCA" w:rsidRDefault="00962FCA" w:rsidP="00962FCA">
      <w:pPr>
        <w:ind w:firstLine="709"/>
        <w:jc w:val="both"/>
        <w:rPr>
          <w:b/>
        </w:rPr>
      </w:pPr>
    </w:p>
    <w:p w:rsidR="00BF10CE" w:rsidRDefault="00B17EE5" w:rsidP="00962FCA">
      <w:pPr>
        <w:ind w:firstLine="709"/>
        <w:jc w:val="both"/>
      </w:pPr>
      <w:r>
        <w:t xml:space="preserve">Cieľom </w:t>
      </w:r>
      <w:r w:rsidRPr="00B17EE5">
        <w:t xml:space="preserve">návrhu </w:t>
      </w:r>
      <w:r>
        <w:t xml:space="preserve">zákona </w:t>
      </w:r>
      <w:r w:rsidRPr="00B17EE5">
        <w:t xml:space="preserve">je </w:t>
      </w:r>
      <w:r>
        <w:t>p</w:t>
      </w:r>
      <w:r w:rsidRPr="00B17EE5">
        <w:t>osunutie termínu posudzovania znakov závislej práce u</w:t>
      </w:r>
      <w:r w:rsidR="00EA04DC">
        <w:t> </w:t>
      </w:r>
      <w:r w:rsidRPr="00B17EE5">
        <w:t>fyzickej osoby, ktorá odplatne vykonáva šport za športovú organizáciu na základe zmluvy o</w:t>
      </w:r>
      <w:r w:rsidR="00EA04DC">
        <w:t> </w:t>
      </w:r>
      <w:r w:rsidRPr="00B17EE5">
        <w:t>profesionálnom vykonávaní športu  z pohľadu zákona č. 461/2003 Z. z. o sociálnom poistení v znení neskorších predpisov a zákona č. 580/2004 Z. z. o zdravotnom poistení v znení neskorších predpisov.</w:t>
      </w:r>
    </w:p>
    <w:p w:rsidR="00F06134" w:rsidRDefault="00F06134" w:rsidP="00F72DD1">
      <w:pPr>
        <w:jc w:val="both"/>
      </w:pPr>
    </w:p>
    <w:p w:rsidR="00BF10CE" w:rsidRPr="00962FCA" w:rsidRDefault="00BF10CE" w:rsidP="00BF10CE">
      <w:pPr>
        <w:autoSpaceDE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je v súlade s Ústavou, ústavnými zákonmi, medzinárodnými zmluvami, ktorými je Slovenská republika viazaná,  zákonmi</w:t>
      </w:r>
      <w:r w:rsidR="00565B19">
        <w:rPr>
          <w:rFonts w:eastAsia="Times New Roman"/>
        </w:rPr>
        <w:t xml:space="preserve">, </w:t>
      </w:r>
      <w:r w:rsidRPr="00962FCA">
        <w:rPr>
          <w:rFonts w:eastAsia="Times New Roman"/>
        </w:rPr>
        <w:t>v súlade s právom Európskej únie</w:t>
      </w:r>
      <w:r w:rsidR="00565B19">
        <w:rPr>
          <w:rFonts w:eastAsia="Times New Roman"/>
        </w:rPr>
        <w:t xml:space="preserve"> a v súlade s nálezmi Ústavného súdu Slovenskej republiky</w:t>
      </w:r>
      <w:r w:rsidRPr="00962FCA">
        <w:rPr>
          <w:rFonts w:eastAsia="Times New Roman"/>
        </w:rPr>
        <w:t>.</w:t>
      </w:r>
    </w:p>
    <w:p w:rsidR="00BF10CE" w:rsidRPr="00962FCA" w:rsidRDefault="00BF10CE" w:rsidP="00962FCA">
      <w:pPr>
        <w:ind w:firstLine="709"/>
        <w:jc w:val="both"/>
      </w:pPr>
    </w:p>
    <w:p w:rsidR="00962FCA" w:rsidRPr="00962FCA" w:rsidRDefault="00565B19" w:rsidP="00962FCA">
      <w:pPr>
        <w:ind w:firstLine="708"/>
        <w:jc w:val="both"/>
      </w:pPr>
      <w:r w:rsidRPr="00565B19">
        <w:t>Návrh zákona nemá vplyv na rozpočet verejnej spr</w:t>
      </w:r>
      <w:r w:rsidR="006E6510">
        <w:t>ávy, sociálne vplyvy, vplyvy na </w:t>
      </w:r>
      <w:r w:rsidRPr="00565B19">
        <w:t>podnikateľské prostredie, životné prostredie, na informatizáciu spoločnosti ani na služby verejnej správy pre občana.</w:t>
      </w:r>
    </w:p>
    <w:p w:rsidR="00962FCA" w:rsidRPr="00962FCA" w:rsidRDefault="00962FCA" w:rsidP="00962FCA">
      <w:pPr>
        <w:autoSpaceDE w:val="0"/>
        <w:ind w:firstLine="708"/>
        <w:jc w:val="both"/>
        <w:rPr>
          <w:rFonts w:eastAsia="Times New Roman"/>
        </w:rPr>
      </w:pPr>
    </w:p>
    <w:p w:rsidR="00962FCA" w:rsidRPr="00962FCA" w:rsidRDefault="00962FCA" w:rsidP="00962FCA">
      <w:pPr>
        <w:autoSpaceDE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bol podľa § 33 ods. 2 zákona č. 523/2004 Z. z. o rozpočtových pravidlách verejnej správy a o zmene a doplnení n</w:t>
      </w:r>
      <w:r w:rsidR="006E6510">
        <w:rPr>
          <w:rFonts w:eastAsia="Times New Roman"/>
        </w:rPr>
        <w:t>iektorých zákonov prerokovaný s </w:t>
      </w:r>
      <w:r w:rsidRPr="00962FCA">
        <w:rPr>
          <w:rFonts w:eastAsia="Times New Roman"/>
        </w:rPr>
        <w:t>Ministerstvom financií Slovenskej republiky.</w:t>
      </w:r>
    </w:p>
    <w:p w:rsidR="00962FCA" w:rsidRPr="00962FCA" w:rsidRDefault="00962FCA" w:rsidP="00962FCA">
      <w:pPr>
        <w:autoSpaceDE w:val="0"/>
        <w:ind w:firstLine="708"/>
        <w:jc w:val="both"/>
        <w:rPr>
          <w:rFonts w:eastAsia="Times New Roman"/>
        </w:rPr>
      </w:pPr>
    </w:p>
    <w:p w:rsidR="00962FCA" w:rsidRPr="00962FCA" w:rsidRDefault="00962FCA" w:rsidP="00962FCA">
      <w:pPr>
        <w:autoSpaceDE w:val="0"/>
        <w:ind w:firstLine="708"/>
        <w:jc w:val="both"/>
        <w:rPr>
          <w:rFonts w:eastAsia="Times New Roman"/>
        </w:rPr>
      </w:pPr>
    </w:p>
    <w:p w:rsidR="00962FCA" w:rsidRPr="00962FCA" w:rsidRDefault="00962FCA" w:rsidP="00962FCA">
      <w:pPr>
        <w:ind w:firstLine="709"/>
        <w:jc w:val="both"/>
      </w:pPr>
    </w:p>
    <w:p w:rsidR="00962FCA" w:rsidRPr="00962FCA" w:rsidRDefault="00962FCA" w:rsidP="00962FCA">
      <w:pPr>
        <w:ind w:firstLine="709"/>
        <w:jc w:val="both"/>
      </w:pPr>
    </w:p>
    <w:p w:rsidR="00E766EC" w:rsidRDefault="00E766EC">
      <w:pPr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3416B2" w:rsidRPr="009B3D22" w:rsidRDefault="003416B2" w:rsidP="003416B2">
      <w:pPr>
        <w:jc w:val="center"/>
        <w:rPr>
          <w:b/>
          <w:bCs/>
        </w:rPr>
      </w:pPr>
      <w:r>
        <w:rPr>
          <w:b/>
          <w:bCs/>
        </w:rPr>
        <w:lastRenderedPageBreak/>
        <w:t>Doložka vybraných vplyvov</w:t>
      </w:r>
    </w:p>
    <w:p w:rsidR="003416B2" w:rsidRDefault="003416B2" w:rsidP="003416B2">
      <w:pPr>
        <w:pStyle w:val="odsek"/>
        <w:keepNext w:val="0"/>
        <w:widowControl w:val="0"/>
        <w:ind w:firstLine="0"/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2"/>
        <w:gridCol w:w="3622"/>
      </w:tblGrid>
      <w:tr w:rsidR="003416B2" w:rsidRPr="002C07B8" w:rsidTr="00087556"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9B3D22" w:rsidRDefault="003416B2" w:rsidP="00087556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</w:t>
            </w: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1.  Základné údaje</w:t>
            </w:r>
          </w:p>
        </w:tc>
      </w:tr>
      <w:tr w:rsidR="003416B2" w:rsidRPr="002C07B8" w:rsidTr="00087556"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3416B2" w:rsidRPr="009B3D22" w:rsidRDefault="003416B2" w:rsidP="0008755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9B3D22">
              <w:rPr>
                <w:sz w:val="20"/>
                <w:szCs w:val="20"/>
              </w:rPr>
              <w:t xml:space="preserve"> </w:t>
            </w:r>
          </w:p>
          <w:p w:rsidR="003416B2" w:rsidRPr="009B3D22" w:rsidRDefault="003416B2" w:rsidP="00087556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3416B2" w:rsidRPr="002C07B8" w:rsidTr="00087556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1C0FFE" w:rsidRDefault="003416B2" w:rsidP="00087556">
            <w:pPr>
              <w:jc w:val="both"/>
              <w:rPr>
                <w:sz w:val="20"/>
                <w:szCs w:val="20"/>
              </w:rPr>
            </w:pPr>
            <w:r w:rsidRPr="001C0FFE">
              <w:rPr>
                <w:sz w:val="20"/>
                <w:szCs w:val="20"/>
              </w:rPr>
              <w:t xml:space="preserve"> Návrh zákona, </w:t>
            </w:r>
            <w:r w:rsidRPr="003416B2">
              <w:rPr>
                <w:sz w:val="20"/>
                <w:szCs w:val="20"/>
              </w:rPr>
              <w:t>ktorým sa mení zákon č. 461/2003 Z. z. o sociálnom poistení v znení neskorších predpisov a ktorým sa mení zákon č. 580/2004 Z. z. o zdravotnom poistení a o zmene a doplnení zákona č. 95/2002 Z. z. o poisťovníctve a o zmene a doplnení niektorých zákonov v znení neskorších predpisov</w:t>
            </w:r>
          </w:p>
        </w:tc>
      </w:tr>
      <w:tr w:rsidR="003416B2" w:rsidRPr="002C07B8" w:rsidTr="00087556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3416B2" w:rsidRPr="002C07B8" w:rsidTr="00087556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932CE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  <w:r w:rsidR="00753891">
              <w:rPr>
                <w:rFonts w:ascii="Times" w:hAnsi="Times" w:cs="Times"/>
                <w:sz w:val="20"/>
                <w:szCs w:val="20"/>
              </w:rPr>
              <w:t xml:space="preserve"> </w:t>
            </w:r>
            <w:bookmarkStart w:id="0" w:name="_Hlk525846455"/>
            <w:r w:rsidR="00753891" w:rsidRPr="00753891">
              <w:rPr>
                <w:rFonts w:ascii="Times" w:hAnsi="Times" w:cs="Times"/>
                <w:sz w:val="20"/>
                <w:szCs w:val="20"/>
              </w:rPr>
              <w:t>Mart</w:t>
            </w:r>
            <w:bookmarkStart w:id="1" w:name="_GoBack"/>
            <w:bookmarkEnd w:id="1"/>
            <w:r w:rsidR="00753891" w:rsidRPr="00753891">
              <w:rPr>
                <w:rFonts w:ascii="Times" w:hAnsi="Times" w:cs="Times"/>
                <w:sz w:val="20"/>
                <w:szCs w:val="20"/>
              </w:rPr>
              <w:t>in Glv</w:t>
            </w:r>
            <w:r w:rsidR="00932CEF">
              <w:rPr>
                <w:rFonts w:ascii="Times" w:hAnsi="Times" w:cs="Times"/>
                <w:sz w:val="20"/>
                <w:szCs w:val="20"/>
              </w:rPr>
              <w:t>á</w:t>
            </w:r>
            <w:r w:rsidR="00753891" w:rsidRPr="00753891">
              <w:rPr>
                <w:rFonts w:ascii="Times" w:hAnsi="Times" w:cs="Times"/>
                <w:sz w:val="20"/>
                <w:szCs w:val="20"/>
              </w:rPr>
              <w:t>č, Tibor Jančul</w:t>
            </w:r>
            <w:r w:rsidR="00753891">
              <w:rPr>
                <w:rFonts w:ascii="Times" w:hAnsi="Times" w:cs="Times"/>
                <w:sz w:val="20"/>
                <w:szCs w:val="20"/>
              </w:rPr>
              <w:t>a</w:t>
            </w:r>
            <w:r w:rsidR="00753891" w:rsidRPr="00753891">
              <w:rPr>
                <w:rFonts w:ascii="Times" w:hAnsi="Times" w:cs="Times"/>
                <w:sz w:val="20"/>
                <w:szCs w:val="20"/>
              </w:rPr>
              <w:t>, Dušan Galis, Dušan Tittel, Ľubomír Petrák a Tibor Bernaťák</w:t>
            </w:r>
            <w:bookmarkEnd w:id="0"/>
          </w:p>
        </w:tc>
      </w:tr>
      <w:tr w:rsidR="003416B2" w:rsidRPr="002C07B8" w:rsidTr="00087556"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416B2" w:rsidRPr="002C07B8" w:rsidRDefault="003416B2" w:rsidP="00087556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416B2" w:rsidRPr="002C07B8" w:rsidTr="00087556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416B2" w:rsidRPr="002C07B8" w:rsidTr="00087556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416B2" w:rsidRPr="002C07B8" w:rsidTr="00087556"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416B2" w:rsidRPr="002C07B8" w:rsidTr="00087556"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087556">
            <w:pPr>
              <w:rPr>
                <w:sz w:val="20"/>
                <w:szCs w:val="20"/>
              </w:rPr>
            </w:pPr>
            <w:r w:rsidRPr="002C07B8">
              <w:rPr>
                <w:bCs/>
                <w:sz w:val="20"/>
                <w:szCs w:val="20"/>
              </w:rPr>
              <w:t>Materiál nebol predmetom PPK</w:t>
            </w:r>
          </w:p>
        </w:tc>
      </w:tr>
      <w:tr w:rsidR="003416B2" w:rsidRPr="002C07B8" w:rsidTr="00087556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087556">
            <w:pPr>
              <w:rPr>
                <w:sz w:val="20"/>
                <w:szCs w:val="20"/>
              </w:rPr>
            </w:pPr>
            <w:r w:rsidRPr="002C07B8">
              <w:rPr>
                <w:bCs/>
                <w:sz w:val="20"/>
                <w:szCs w:val="20"/>
              </w:rPr>
              <w:t>Materiál nebol predmetom MPK</w:t>
            </w:r>
          </w:p>
        </w:tc>
      </w:tr>
      <w:tr w:rsidR="003416B2" w:rsidRPr="002C07B8" w:rsidTr="00087556"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087556">
            <w:pPr>
              <w:rPr>
                <w:sz w:val="20"/>
                <w:szCs w:val="20"/>
              </w:rPr>
            </w:pPr>
            <w:r w:rsidRPr="002C07B8">
              <w:rPr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3416B2" w:rsidRPr="002C07B8" w:rsidTr="00087556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3416B2" w:rsidRPr="002C07B8" w:rsidTr="00087556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3416B2">
            <w:pPr>
              <w:autoSpaceDE w:val="0"/>
              <w:autoSpaceDN w:val="0"/>
              <w:rPr>
                <w:rFonts w:ascii="Times" w:hAnsi="Times" w:cs="Times"/>
                <w:sz w:val="20"/>
                <w:szCs w:val="20"/>
              </w:rPr>
            </w:pPr>
            <w:r w:rsidRPr="003416B2">
              <w:rPr>
                <w:rFonts w:ascii="Times" w:hAnsi="Times" w:cs="Times"/>
                <w:sz w:val="20"/>
                <w:szCs w:val="20"/>
              </w:rPr>
              <w:t xml:space="preserve">Viaceré ligové kluby </w:t>
            </w:r>
            <w:r>
              <w:rPr>
                <w:rFonts w:ascii="Times" w:hAnsi="Times" w:cs="Times"/>
                <w:sz w:val="20"/>
                <w:szCs w:val="20"/>
              </w:rPr>
              <w:t>v</w:t>
            </w:r>
            <w:r w:rsidRPr="003416B2">
              <w:rPr>
                <w:rFonts w:ascii="Times" w:hAnsi="Times" w:cs="Times"/>
                <w:sz w:val="20"/>
                <w:szCs w:val="20"/>
              </w:rPr>
              <w:t xml:space="preserve"> súčasnosti avizujú, že </w:t>
            </w:r>
            <w:r>
              <w:rPr>
                <w:rFonts w:ascii="Times" w:hAnsi="Times" w:cs="Times"/>
                <w:sz w:val="20"/>
                <w:szCs w:val="20"/>
              </w:rPr>
              <w:t>vo vzťahu k ustanoveniam § 293do zákona č. 461/2003 Z. z. a §</w:t>
            </w:r>
            <w:r w:rsidR="00753891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38ei zákona č. 580/2004 Z. z. v kontexte § 102 ods. 4 zákona č. 440/2015 Z. z. </w:t>
            </w:r>
            <w:r w:rsidRPr="003416B2">
              <w:rPr>
                <w:rFonts w:ascii="Times" w:hAnsi="Times" w:cs="Times"/>
                <w:sz w:val="20"/>
                <w:szCs w:val="20"/>
              </w:rPr>
              <w:t>nebudú schopné ekonomicky zvládnuť zvýšené náklady osobné náklady športovcov, a nebudú sa vedieť ďalej starať o rozvoj profesionálneho športu na Slovensku.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3416B2" w:rsidRPr="002C07B8" w:rsidTr="00087556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3416B2" w:rsidRPr="002C07B8" w:rsidTr="00087556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Default="003416B2" w:rsidP="00087556">
            <w:pPr>
              <w:autoSpaceDE w:val="0"/>
              <w:autoSpaceDN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</w:t>
            </w:r>
            <w:r w:rsidRPr="003416B2">
              <w:rPr>
                <w:rFonts w:ascii="Times" w:hAnsi="Times" w:cs="Times"/>
                <w:sz w:val="20"/>
                <w:szCs w:val="20"/>
              </w:rPr>
              <w:t>osunutie termínu posudzovania znakov závislej práce u fyzickej osoby, ktorá odplatne vykonáva šport za športovú organizáciu na základe zmluvy o profesionálnom vykonávaní športu  z pohľadu zákona č. 461/2003 Z.</w:t>
            </w:r>
            <w:r w:rsidR="00753891">
              <w:rPr>
                <w:rFonts w:ascii="Times" w:hAnsi="Times" w:cs="Times"/>
                <w:sz w:val="20"/>
                <w:szCs w:val="20"/>
              </w:rPr>
              <w:t> </w:t>
            </w:r>
            <w:r w:rsidRPr="003416B2">
              <w:rPr>
                <w:rFonts w:ascii="Times" w:hAnsi="Times" w:cs="Times"/>
                <w:sz w:val="20"/>
                <w:szCs w:val="20"/>
              </w:rPr>
              <w:t>z. o sociálnom poistení v znení neskorších predpisov a zákona č. 580/2004 Z. z. o zdravotnom poistení v</w:t>
            </w:r>
            <w:r w:rsidR="00753891">
              <w:rPr>
                <w:rFonts w:ascii="Times" w:hAnsi="Times" w:cs="Times"/>
                <w:sz w:val="20"/>
                <w:szCs w:val="20"/>
              </w:rPr>
              <w:t> </w:t>
            </w:r>
            <w:r w:rsidRPr="003416B2">
              <w:rPr>
                <w:rFonts w:ascii="Times" w:hAnsi="Times" w:cs="Times"/>
                <w:sz w:val="20"/>
                <w:szCs w:val="20"/>
              </w:rPr>
              <w:t>znení neskorších predpisov</w:t>
            </w:r>
          </w:p>
          <w:p w:rsidR="003416B2" w:rsidRPr="00D02C93" w:rsidRDefault="003416B2" w:rsidP="00087556">
            <w:pPr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</w:tr>
      <w:tr w:rsidR="003416B2" w:rsidRPr="002C07B8" w:rsidTr="00087556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3416B2" w:rsidRPr="002C07B8" w:rsidTr="00087556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Športové organizácie, profesionálni športovci</w:t>
            </w:r>
          </w:p>
        </w:tc>
      </w:tr>
      <w:tr w:rsidR="003416B2" w:rsidRPr="002C07B8" w:rsidTr="00087556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 w:rsidR="003416B2" w:rsidRPr="002C07B8" w:rsidTr="00087556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3416B2" w:rsidRPr="002C07B8" w:rsidTr="00087556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3416B2" w:rsidRPr="002C07B8" w:rsidTr="00087556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3416B2" w:rsidRPr="002C07B8" w:rsidTr="00087556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3416B2" w:rsidRPr="002C07B8" w:rsidTr="00087556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3416B2" w:rsidRPr="002C07B8" w:rsidTr="00087556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2C07B8" w:rsidRDefault="003416B2" w:rsidP="0008755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3416B2" w:rsidRDefault="003416B2" w:rsidP="003416B2">
      <w:pPr>
        <w:pStyle w:val="odsek"/>
        <w:keepNext w:val="0"/>
        <w:widowControl w:val="0"/>
        <w:ind w:firstLine="0"/>
      </w:pPr>
    </w:p>
    <w:p w:rsidR="003416B2" w:rsidRPr="00B06366" w:rsidRDefault="003416B2" w:rsidP="003416B2"/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1813"/>
        <w:gridCol w:w="1811"/>
        <w:gridCol w:w="1811"/>
      </w:tblGrid>
      <w:tr w:rsidR="003416B2" w:rsidRPr="009B3D22" w:rsidTr="00087556"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 xml:space="preserve">9.   </w:t>
            </w:r>
            <w:r w:rsidRPr="006D75BA">
              <w:rPr>
                <w:b/>
                <w:bCs/>
                <w:sz w:val="20"/>
                <w:szCs w:val="20"/>
              </w:rPr>
              <w:t>Vplyvy navrhovaného materiálu</w:t>
            </w:r>
          </w:p>
        </w:tc>
      </w:tr>
      <w:tr w:rsidR="003416B2" w:rsidRPr="009B3D22" w:rsidTr="00087556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3416B2" w:rsidRPr="006D75BA" w:rsidRDefault="003416B2" w:rsidP="00087556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b/>
                <w:bCs/>
                <w:sz w:val="20"/>
                <w:szCs w:val="20"/>
              </w:rPr>
              <w:t>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 </w:t>
            </w:r>
            <w:r w:rsidRPr="009B3D22">
              <w:rPr>
                <w:sz w:val="20"/>
                <w:szCs w:val="20"/>
              </w:rPr>
              <w:t xml:space="preserve">    </w:t>
            </w:r>
            <w:r>
              <w:rPr>
                <w:sz w:val="20"/>
                <w:szCs w:val="20"/>
              </w:rPr>
              <w:t xml:space="preserve"> </w:t>
            </w:r>
            <w:r w:rsidRPr="009B3D22">
              <w:rPr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x    </w:t>
            </w:r>
            <w:r w:rsidRPr="009B3D22">
              <w:rPr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B3D22">
              <w:rPr>
                <w:sz w:val="20"/>
                <w:szCs w:val="20"/>
              </w:rPr>
              <w:t xml:space="preserve">  </w:t>
            </w:r>
            <w:r>
              <w:rPr>
                <w:sz w:val="20"/>
                <w:szCs w:val="20"/>
              </w:rPr>
              <w:t xml:space="preserve"> </w:t>
            </w:r>
            <w:r w:rsidRPr="009B3D22">
              <w:rPr>
                <w:sz w:val="20"/>
                <w:szCs w:val="20"/>
              </w:rPr>
              <w:t>Negatívne</w:t>
            </w:r>
          </w:p>
        </w:tc>
      </w:tr>
      <w:tr w:rsidR="003416B2" w:rsidRPr="009B3D22" w:rsidTr="00087556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3416B2" w:rsidRPr="006D75BA" w:rsidRDefault="003416B2" w:rsidP="00087556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6D75BA">
              <w:rPr>
                <w:bCs/>
                <w:sz w:val="20"/>
                <w:szCs w:val="20"/>
              </w:rPr>
              <w:t>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  <w:r w:rsidRPr="009B3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    </w:t>
            </w:r>
            <w:r w:rsidRPr="009B3D22">
              <w:rPr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Negatívne</w:t>
            </w:r>
          </w:p>
        </w:tc>
      </w:tr>
      <w:tr w:rsidR="003416B2" w:rsidRPr="009B3D22" w:rsidTr="00087556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3416B2" w:rsidRPr="009B3D22" w:rsidRDefault="003416B2" w:rsidP="00087556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  <w:r w:rsidRPr="009B3D22">
              <w:rPr>
                <w:sz w:val="20"/>
                <w:szCs w:val="20"/>
              </w:rPr>
              <w:t xml:space="preserve">   </w:t>
            </w:r>
            <w:r>
              <w:rPr>
                <w:sz w:val="20"/>
                <w:szCs w:val="20"/>
              </w:rPr>
              <w:t xml:space="preserve">  </w:t>
            </w:r>
            <w:r w:rsidRPr="009B3D22">
              <w:rPr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x</w:t>
            </w:r>
            <w:r w:rsidRPr="009B3D22">
              <w:rPr>
                <w:sz w:val="20"/>
                <w:szCs w:val="20"/>
              </w:rPr>
              <w:t xml:space="preserve">  </w:t>
            </w:r>
            <w:r>
              <w:rPr>
                <w:sz w:val="20"/>
                <w:szCs w:val="20"/>
              </w:rPr>
              <w:t xml:space="preserve"> </w:t>
            </w:r>
            <w:r w:rsidRPr="009B3D22">
              <w:rPr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Negatívne</w:t>
            </w:r>
          </w:p>
        </w:tc>
      </w:tr>
      <w:tr w:rsidR="003416B2" w:rsidRPr="009B3D22" w:rsidTr="00087556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3416B2" w:rsidRPr="006D75BA" w:rsidRDefault="003416B2" w:rsidP="00087556">
            <w:pPr>
              <w:ind w:left="129" w:hanging="129"/>
              <w:contextualSpacing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  <w:r w:rsidRPr="009B3D22">
              <w:rPr>
                <w:sz w:val="20"/>
                <w:szCs w:val="20"/>
              </w:rPr>
              <w:t></w:t>
            </w:r>
            <w:r>
              <w:rPr>
                <w:sz w:val="20"/>
                <w:szCs w:val="20"/>
              </w:rPr>
              <w:t xml:space="preserve">  </w:t>
            </w:r>
            <w:r w:rsidRPr="009B3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x</w:t>
            </w:r>
            <w:r w:rsidRPr="009B3D22">
              <w:rPr>
                <w:sz w:val="20"/>
                <w:szCs w:val="20"/>
              </w:rPr>
              <w:t xml:space="preserve">   </w:t>
            </w:r>
            <w:r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Čiastočne</w:t>
            </w:r>
          </w:p>
        </w:tc>
      </w:tr>
      <w:tr w:rsidR="003416B2" w:rsidRPr="009B3D22" w:rsidTr="00087556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416B2" w:rsidRPr="009B3D22" w:rsidRDefault="003416B2" w:rsidP="00087556">
            <w:pPr>
              <w:contextualSpacing/>
              <w:rPr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3416B2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  </w:t>
            </w:r>
            <w:r w:rsidRPr="009B3D22">
              <w:rPr>
                <w:sz w:val="20"/>
                <w:szCs w:val="20"/>
              </w:rPr>
              <w:t></w:t>
            </w:r>
            <w:r>
              <w:rPr>
                <w:sz w:val="20"/>
                <w:szCs w:val="20"/>
              </w:rPr>
              <w:t xml:space="preserve"> </w:t>
            </w:r>
            <w:r w:rsidRPr="009B3D22">
              <w:rPr>
                <w:sz w:val="20"/>
                <w:szCs w:val="20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3416B2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 xml:space="preserve"> x</w:t>
            </w:r>
            <w:r w:rsidRPr="009B3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9B3D22">
              <w:rPr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Negatívne</w:t>
            </w:r>
          </w:p>
        </w:tc>
      </w:tr>
      <w:tr w:rsidR="003416B2" w:rsidRPr="009B3D22" w:rsidTr="00087556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416B2" w:rsidRPr="009B3D22" w:rsidRDefault="003416B2" w:rsidP="00087556">
            <w:pPr>
              <w:contextualSpacing/>
              <w:rPr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 xml:space="preserve">   </w:t>
            </w:r>
            <w:r>
              <w:rPr>
                <w:sz w:val="20"/>
                <w:szCs w:val="20"/>
              </w:rPr>
              <w:t xml:space="preserve">  </w:t>
            </w:r>
            <w:r w:rsidRPr="009B3D22">
              <w:rPr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t xml:space="preserve"> x   </w:t>
            </w:r>
            <w:r w:rsidRPr="009B3D22">
              <w:rPr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Negatívne</w:t>
            </w:r>
          </w:p>
        </w:tc>
      </w:tr>
      <w:tr w:rsidR="003416B2" w:rsidRPr="009B3D22" w:rsidTr="00087556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  <w:r w:rsidRPr="009B3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x    </w:t>
            </w:r>
            <w:r w:rsidRPr="009B3D22">
              <w:rPr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Negatívne</w:t>
            </w:r>
          </w:p>
        </w:tc>
      </w:tr>
      <w:tr w:rsidR="003416B2" w:rsidRPr="009B3D22" w:rsidTr="00087556"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Vplyvy na služby pre občana z toho</w:t>
            </w:r>
            <w:r w:rsidRPr="009B3D22">
              <w:rPr>
                <w:sz w:val="20"/>
                <w:szCs w:val="20"/>
              </w:rPr>
              <w:br/>
              <w:t>    vplyvy služieb verejnej správy na občana</w:t>
            </w:r>
            <w:r w:rsidRPr="009B3D22">
              <w:rPr>
                <w:sz w:val="20"/>
                <w:szCs w:val="20"/>
              </w:rPr>
              <w:br/>
              <w:t>    vplyvy na procesy služieb vo verejnej</w:t>
            </w:r>
            <w:r w:rsidRPr="009B3D22">
              <w:rPr>
                <w:sz w:val="20"/>
                <w:szCs w:val="20"/>
              </w:rPr>
              <w:br/>
              <w:t>    správe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br/>
              <w:t xml:space="preserve">  </w:t>
            </w:r>
            <w:r w:rsidRPr="009B3D22">
              <w:rPr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br/>
              <w:t xml:space="preserve">  </w:t>
            </w:r>
            <w:r>
              <w:rPr>
                <w:sz w:val="20"/>
                <w:szCs w:val="20"/>
              </w:rPr>
              <w:t xml:space="preserve">  x </w:t>
            </w:r>
            <w:r w:rsidRPr="009B3D22">
              <w:rPr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br/>
              <w:t xml:space="preserve">  </w:t>
            </w:r>
            <w:r w:rsidRPr="009B3D22">
              <w:rPr>
                <w:sz w:val="20"/>
                <w:szCs w:val="20"/>
              </w:rPr>
              <w:t>   Negatívne</w:t>
            </w:r>
          </w:p>
        </w:tc>
      </w:tr>
      <w:tr w:rsidR="003416B2" w:rsidRPr="009B3D22" w:rsidTr="00087556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 xml:space="preserve">  x</w:t>
            </w:r>
            <w:r w:rsidRPr="009B3D22">
              <w:rPr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3416B2" w:rsidRPr="009B3D22" w:rsidRDefault="003416B2" w:rsidP="00087556">
            <w:pPr>
              <w:rPr>
                <w:sz w:val="20"/>
                <w:szCs w:val="20"/>
              </w:rPr>
            </w:pPr>
            <w:r w:rsidRPr="009B3D22">
              <w:rPr>
                <w:sz w:val="20"/>
                <w:szCs w:val="20"/>
              </w:rPr>
              <w:t xml:space="preserve">  </w:t>
            </w:r>
            <w:r w:rsidRPr="009B3D22">
              <w:rPr>
                <w:sz w:val="20"/>
                <w:szCs w:val="20"/>
              </w:rPr>
              <w:t>   Negatívne</w:t>
            </w:r>
          </w:p>
        </w:tc>
      </w:tr>
      <w:tr w:rsidR="003416B2" w:rsidRPr="009B3D22" w:rsidTr="00087556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9B3D22" w:rsidRDefault="003416B2" w:rsidP="00087556">
            <w:pPr>
              <w:rPr>
                <w:b/>
                <w:bCs/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lastRenderedPageBreak/>
              <w:t>  10.  Poznámky</w:t>
            </w:r>
          </w:p>
        </w:tc>
      </w:tr>
      <w:tr w:rsidR="003416B2" w:rsidRPr="009B3D22" w:rsidTr="00087556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9B3D22" w:rsidRDefault="003416B2" w:rsidP="000875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16B2" w:rsidRPr="009B3D22" w:rsidTr="00087556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9B3D22" w:rsidRDefault="003416B2" w:rsidP="00087556">
            <w:pPr>
              <w:rPr>
                <w:b/>
                <w:bCs/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3416B2" w:rsidRPr="009B3D22" w:rsidTr="00087556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9B3D22" w:rsidRDefault="003416B2" w:rsidP="000875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16B2" w:rsidRPr="009B3D22" w:rsidTr="00087556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9B3D22" w:rsidRDefault="003416B2" w:rsidP="00087556">
            <w:pPr>
              <w:rPr>
                <w:b/>
                <w:bCs/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12.  Zdroje</w:t>
            </w:r>
          </w:p>
        </w:tc>
      </w:tr>
      <w:tr w:rsidR="003416B2" w:rsidRPr="009B3D22" w:rsidTr="00087556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9B3D22" w:rsidRDefault="003416B2" w:rsidP="000875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16B2" w:rsidRPr="009B3D22" w:rsidTr="00087556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3416B2" w:rsidRPr="009B3D22" w:rsidRDefault="003416B2" w:rsidP="00087556">
            <w:pPr>
              <w:rPr>
                <w:b/>
                <w:bCs/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3416B2" w:rsidRPr="009B3D22" w:rsidTr="00087556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416B2" w:rsidRPr="009B3D22" w:rsidRDefault="003416B2" w:rsidP="000875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9B3D22">
              <w:rPr>
                <w:bCs/>
                <w:sz w:val="20"/>
                <w:szCs w:val="20"/>
              </w:rPr>
              <w:t>Materiál nebol predmetom PPK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:rsidR="00E766EC" w:rsidRDefault="00E766EC">
      <w:pPr>
        <w:spacing w:after="200" w:line="276" w:lineRule="auto"/>
        <w:rPr>
          <w:b/>
          <w:bCs/>
          <w:spacing w:val="30"/>
        </w:rPr>
      </w:pPr>
      <w:r>
        <w:rPr>
          <w:b/>
          <w:bCs/>
          <w:spacing w:val="30"/>
        </w:rPr>
        <w:br w:type="page"/>
      </w:r>
    </w:p>
    <w:p w:rsidR="00E766EC" w:rsidRPr="002E7CAD" w:rsidRDefault="00E766EC" w:rsidP="00E766EC">
      <w:pPr>
        <w:jc w:val="center"/>
        <w:rPr>
          <w:b/>
          <w:bCs/>
          <w:spacing w:val="30"/>
        </w:rPr>
      </w:pPr>
      <w:r w:rsidRPr="002E7CAD">
        <w:rPr>
          <w:b/>
          <w:bCs/>
          <w:spacing w:val="30"/>
        </w:rPr>
        <w:lastRenderedPageBreak/>
        <w:t>DOLOŽKA ZLUČITEĽNOSTI</w:t>
      </w:r>
    </w:p>
    <w:p w:rsidR="00E766EC" w:rsidRPr="002E7CAD" w:rsidRDefault="00E766EC" w:rsidP="00E766EC">
      <w:pPr>
        <w:jc w:val="center"/>
        <w:rPr>
          <w:b/>
          <w:bCs/>
        </w:rPr>
      </w:pPr>
      <w:r w:rsidRPr="002E7CAD">
        <w:rPr>
          <w:b/>
          <w:bCs/>
        </w:rPr>
        <w:t xml:space="preserve">návrhu vyhlášky </w:t>
      </w:r>
      <w:r w:rsidRPr="002E7CAD">
        <w:rPr>
          <w:b/>
        </w:rPr>
        <w:t>s právom Európskej únie</w:t>
      </w:r>
    </w:p>
    <w:p w:rsidR="00E766EC" w:rsidRPr="002E7CAD" w:rsidRDefault="00E766EC" w:rsidP="00E766EC">
      <w:pPr>
        <w:jc w:val="both"/>
        <w:rPr>
          <w:b/>
          <w:bCs/>
        </w:rPr>
      </w:pPr>
    </w:p>
    <w:p w:rsidR="00E766EC" w:rsidRPr="002E7CAD" w:rsidRDefault="00E766EC" w:rsidP="00E766EC">
      <w:pPr>
        <w:jc w:val="both"/>
        <w:rPr>
          <w:b/>
          <w:bCs/>
        </w:rPr>
      </w:pPr>
    </w:p>
    <w:p w:rsidR="00E766EC" w:rsidRPr="002E7CAD" w:rsidRDefault="00B17EE5" w:rsidP="002822AE">
      <w:pPr>
        <w:numPr>
          <w:ilvl w:val="0"/>
          <w:numId w:val="2"/>
        </w:numPr>
        <w:jc w:val="both"/>
      </w:pPr>
      <w:r>
        <w:rPr>
          <w:b/>
          <w:bCs/>
        </w:rPr>
        <w:t>Predkladateľ právneho predpisu</w:t>
      </w:r>
      <w:r w:rsidR="00E766EC" w:rsidRPr="002E7CAD">
        <w:rPr>
          <w:b/>
          <w:bCs/>
        </w:rPr>
        <w:t xml:space="preserve">: </w:t>
      </w:r>
      <w:r w:rsidR="00E766EC">
        <w:t>poslan</w:t>
      </w:r>
      <w:r w:rsidR="001F0F19">
        <w:t>ci</w:t>
      </w:r>
      <w:r w:rsidR="00E766EC">
        <w:t xml:space="preserve"> Národnej rady Slovenskej republiky </w:t>
      </w:r>
      <w:r w:rsidR="00753891" w:rsidRPr="00753891">
        <w:t>Martin Glv</w:t>
      </w:r>
      <w:r w:rsidR="00932CEF">
        <w:t>á</w:t>
      </w:r>
      <w:r w:rsidR="00753891" w:rsidRPr="00753891">
        <w:t>č, Tibor Jančula, Dušan Galis, Dušan Tittel, Ľubomír Petrák a Tibor Bernaťák</w:t>
      </w:r>
    </w:p>
    <w:p w:rsidR="00E766EC" w:rsidRPr="002E7CAD" w:rsidRDefault="00E766EC" w:rsidP="00E766EC">
      <w:pPr>
        <w:jc w:val="both"/>
      </w:pPr>
    </w:p>
    <w:p w:rsidR="00E766EC" w:rsidRPr="006E1F35" w:rsidRDefault="00E766EC" w:rsidP="00557A9A">
      <w:pPr>
        <w:numPr>
          <w:ilvl w:val="0"/>
          <w:numId w:val="2"/>
        </w:numPr>
        <w:jc w:val="both"/>
        <w:rPr>
          <w:b/>
          <w:bCs/>
        </w:rPr>
      </w:pPr>
      <w:r w:rsidRPr="006E1F35">
        <w:rPr>
          <w:b/>
          <w:bCs/>
        </w:rPr>
        <w:t xml:space="preserve">Názov návrhu </w:t>
      </w:r>
      <w:r w:rsidR="00557A9A">
        <w:rPr>
          <w:b/>
          <w:bCs/>
        </w:rPr>
        <w:t>právneho predpisu</w:t>
      </w:r>
      <w:r w:rsidRPr="006E1F35">
        <w:rPr>
          <w:b/>
          <w:bCs/>
        </w:rPr>
        <w:t>:</w:t>
      </w:r>
      <w:r w:rsidRPr="002E7CAD">
        <w:t xml:space="preserve"> </w:t>
      </w:r>
      <w:r w:rsidR="006E1F35" w:rsidRPr="006E1F35">
        <w:rPr>
          <w:rFonts w:eastAsia="Times New Roman"/>
          <w:bCs/>
        </w:rPr>
        <w:t xml:space="preserve">návrh zákona, </w:t>
      </w:r>
      <w:r w:rsidR="00557A9A" w:rsidRPr="00557A9A">
        <w:rPr>
          <w:rFonts w:eastAsia="Times New Roman"/>
          <w:bCs/>
        </w:rPr>
        <w:t>ktorým sa mení zákon č. 461/2003 Z. z. o sociálnom poistení v znení neskorších predpisov a ktorým sa mení zákon č. 580/2004 Z. z. o zdravotnom poistení a o zmene a doplnení zákona č. 95/2002 Z. z. o poisťovníctve a o zmene a doplnení niektorých zákonov v znení neskorších predpisov</w:t>
      </w:r>
      <w:r w:rsidR="006E1F35" w:rsidRPr="006E1F35">
        <w:rPr>
          <w:rFonts w:eastAsia="Times New Roman"/>
          <w:bCs/>
        </w:rPr>
        <w:t xml:space="preserve">  </w:t>
      </w:r>
    </w:p>
    <w:p w:rsidR="006E1F35" w:rsidRPr="006E1F35" w:rsidRDefault="006E1F35" w:rsidP="006E1F35">
      <w:pPr>
        <w:ind w:left="360"/>
        <w:jc w:val="both"/>
        <w:rPr>
          <w:b/>
          <w:bCs/>
        </w:rPr>
      </w:pPr>
    </w:p>
    <w:p w:rsidR="00E766EC" w:rsidRPr="002E7CAD" w:rsidRDefault="00E766EC" w:rsidP="00E766EC">
      <w:pPr>
        <w:numPr>
          <w:ilvl w:val="0"/>
          <w:numId w:val="2"/>
        </w:numPr>
        <w:jc w:val="both"/>
        <w:rPr>
          <w:b/>
          <w:bCs/>
        </w:rPr>
      </w:pPr>
      <w:r w:rsidRPr="002E7CAD">
        <w:rPr>
          <w:b/>
          <w:bCs/>
        </w:rPr>
        <w:t xml:space="preserve">Problematika návrhu </w:t>
      </w:r>
      <w:r w:rsidR="00557A9A">
        <w:rPr>
          <w:b/>
          <w:bCs/>
        </w:rPr>
        <w:t>právneho predpisu</w:t>
      </w:r>
      <w:r w:rsidRPr="002E7CAD">
        <w:rPr>
          <w:b/>
          <w:bCs/>
        </w:rPr>
        <w:t>:</w:t>
      </w:r>
    </w:p>
    <w:p w:rsidR="00E766EC" w:rsidRPr="002E7CAD" w:rsidRDefault="00557A9A" w:rsidP="00557A9A">
      <w:pPr>
        <w:pStyle w:val="Zarkazkladnhotextu3"/>
        <w:spacing w:after="0"/>
        <w:jc w:val="both"/>
        <w:rPr>
          <w:sz w:val="24"/>
          <w:szCs w:val="24"/>
          <w:lang w:val="sk-SK"/>
        </w:rPr>
      </w:pPr>
      <w:r w:rsidRPr="00557A9A">
        <w:rPr>
          <w:sz w:val="24"/>
          <w:szCs w:val="24"/>
          <w:lang w:val="sk-SK"/>
        </w:rPr>
        <w:t>Je v súlade s právnou úpravou Európskej únie.</w:t>
      </w:r>
    </w:p>
    <w:p w:rsidR="00E766EC" w:rsidRDefault="00E766EC" w:rsidP="00E766EC">
      <w:pPr>
        <w:pStyle w:val="Zarkazkladnhotextu3"/>
        <w:spacing w:after="0"/>
        <w:ind w:left="0"/>
        <w:jc w:val="both"/>
        <w:rPr>
          <w:sz w:val="24"/>
          <w:szCs w:val="24"/>
          <w:lang w:val="sk-SK"/>
        </w:rPr>
      </w:pPr>
    </w:p>
    <w:p w:rsidR="00557A9A" w:rsidRPr="00557A9A" w:rsidRDefault="00557A9A" w:rsidP="00557A9A">
      <w:pPr>
        <w:pStyle w:val="Zarkazkladnhotextu3"/>
        <w:numPr>
          <w:ilvl w:val="0"/>
          <w:numId w:val="2"/>
        </w:numPr>
        <w:spacing w:after="0"/>
        <w:jc w:val="both"/>
        <w:rPr>
          <w:b/>
          <w:sz w:val="24"/>
          <w:szCs w:val="24"/>
          <w:lang w:val="sk-SK"/>
        </w:rPr>
      </w:pPr>
      <w:r w:rsidRPr="00557A9A">
        <w:rPr>
          <w:b/>
          <w:sz w:val="24"/>
          <w:szCs w:val="24"/>
          <w:lang w:val="sk-SK"/>
        </w:rPr>
        <w:t>Záväzky Slovenskej republiky vo vzťahu k Európskej únii:</w:t>
      </w:r>
    </w:p>
    <w:p w:rsidR="00557A9A" w:rsidRPr="00557A9A" w:rsidRDefault="00557A9A" w:rsidP="00557A9A">
      <w:pPr>
        <w:pStyle w:val="Zarkazkladnhotextu3"/>
        <w:spacing w:after="0"/>
        <w:ind w:left="360"/>
        <w:jc w:val="both"/>
        <w:rPr>
          <w:sz w:val="24"/>
          <w:szCs w:val="24"/>
          <w:lang w:val="sk-SK"/>
        </w:rPr>
      </w:pPr>
      <w:r w:rsidRPr="00557A9A">
        <w:rPr>
          <w:sz w:val="24"/>
          <w:szCs w:val="24"/>
          <w:lang w:val="sk-SK"/>
        </w:rPr>
        <w:t>Nie sú predkladaným návrhom dotknuté.</w:t>
      </w:r>
    </w:p>
    <w:p w:rsidR="00557A9A" w:rsidRDefault="00557A9A" w:rsidP="00557A9A">
      <w:pPr>
        <w:pStyle w:val="Zarkazkladnhotextu3"/>
        <w:spacing w:after="0"/>
        <w:ind w:left="360"/>
        <w:jc w:val="both"/>
        <w:rPr>
          <w:sz w:val="24"/>
          <w:szCs w:val="24"/>
          <w:lang w:val="sk-SK"/>
        </w:rPr>
      </w:pPr>
    </w:p>
    <w:p w:rsidR="00557A9A" w:rsidRPr="00557A9A" w:rsidRDefault="00557A9A" w:rsidP="00557A9A">
      <w:pPr>
        <w:pStyle w:val="Zarkazkladnhotextu3"/>
        <w:numPr>
          <w:ilvl w:val="0"/>
          <w:numId w:val="2"/>
        </w:numPr>
        <w:spacing w:after="0"/>
        <w:jc w:val="both"/>
        <w:rPr>
          <w:b/>
          <w:sz w:val="24"/>
          <w:szCs w:val="24"/>
          <w:lang w:val="sk-SK"/>
        </w:rPr>
      </w:pPr>
      <w:r w:rsidRPr="00557A9A">
        <w:rPr>
          <w:b/>
          <w:sz w:val="24"/>
          <w:szCs w:val="24"/>
          <w:lang w:val="sk-SK"/>
        </w:rPr>
        <w:t>Stupeň zlučiteľnosti návrhu právneho predpisu s právom Európskej únie:</w:t>
      </w:r>
    </w:p>
    <w:p w:rsidR="00557A9A" w:rsidRDefault="00557A9A" w:rsidP="00557A9A">
      <w:pPr>
        <w:pStyle w:val="Zarkazkladnhotextu3"/>
        <w:spacing w:after="0"/>
        <w:ind w:left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Úplný</w:t>
      </w:r>
    </w:p>
    <w:p w:rsidR="00E766EC" w:rsidRDefault="00E766EC" w:rsidP="00E766EC"/>
    <w:p w:rsidR="00E766EC" w:rsidRDefault="00E766EC">
      <w:pPr>
        <w:spacing w:after="200" w:line="276" w:lineRule="auto"/>
        <w:rPr>
          <w:b/>
        </w:rPr>
      </w:pPr>
    </w:p>
    <w:p w:rsidR="00E766EC" w:rsidRDefault="00E766EC" w:rsidP="00962FCA">
      <w:pPr>
        <w:jc w:val="both"/>
        <w:rPr>
          <w:b/>
        </w:rPr>
      </w:pPr>
    </w:p>
    <w:p w:rsidR="00E766EC" w:rsidRDefault="00E766EC" w:rsidP="00962FCA">
      <w:pPr>
        <w:jc w:val="both"/>
        <w:rPr>
          <w:b/>
        </w:rPr>
      </w:pPr>
    </w:p>
    <w:p w:rsidR="00E766EC" w:rsidRDefault="00E766E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62FCA" w:rsidRPr="00962FCA" w:rsidRDefault="00962FCA" w:rsidP="00962FCA">
      <w:pPr>
        <w:jc w:val="both"/>
        <w:rPr>
          <w:b/>
        </w:rPr>
      </w:pPr>
      <w:r w:rsidRPr="00962FCA">
        <w:rPr>
          <w:b/>
        </w:rPr>
        <w:lastRenderedPageBreak/>
        <w:t xml:space="preserve">B. </w:t>
      </w:r>
      <w:r w:rsidR="00E766EC">
        <w:rPr>
          <w:b/>
        </w:rPr>
        <w:t>Osobitná časť</w:t>
      </w:r>
    </w:p>
    <w:p w:rsidR="00962FCA" w:rsidRPr="00962FCA" w:rsidRDefault="00962FCA" w:rsidP="00962FCA">
      <w:pPr>
        <w:jc w:val="both"/>
        <w:rPr>
          <w:b/>
        </w:rPr>
      </w:pPr>
    </w:p>
    <w:p w:rsidR="00962FCA" w:rsidRPr="00962FCA" w:rsidRDefault="00962FCA" w:rsidP="00962FCA">
      <w:pPr>
        <w:jc w:val="both"/>
        <w:rPr>
          <w:b/>
        </w:rPr>
      </w:pPr>
      <w:r w:rsidRPr="00962FCA">
        <w:rPr>
          <w:b/>
        </w:rPr>
        <w:t>K Čl. I</w:t>
      </w:r>
      <w:r w:rsidR="00B17EE5">
        <w:rPr>
          <w:b/>
        </w:rPr>
        <w:t> a II</w:t>
      </w:r>
    </w:p>
    <w:p w:rsidR="00962FCA" w:rsidRPr="004B4D0F" w:rsidRDefault="00962FCA" w:rsidP="00962FCA">
      <w:pPr>
        <w:jc w:val="both"/>
      </w:pPr>
    </w:p>
    <w:p w:rsidR="00B17EE5" w:rsidRPr="00B17EE5" w:rsidRDefault="00B17EE5" w:rsidP="00B17EE5">
      <w:pPr>
        <w:jc w:val="both"/>
      </w:pPr>
      <w:r>
        <w:t xml:space="preserve">Podľa prechodného ustanovenia </w:t>
      </w:r>
      <w:r w:rsidRPr="00B17EE5">
        <w:t xml:space="preserve">§ 102 ods. 4 zákona </w:t>
      </w:r>
      <w:r>
        <w:t xml:space="preserve">č. 400/2015 Z. z. </w:t>
      </w:r>
      <w:r w:rsidRPr="00B17EE5">
        <w:t xml:space="preserve">o športe </w:t>
      </w:r>
      <w:r>
        <w:t xml:space="preserve">a o zmene a doplnení niektorých zákonov </w:t>
      </w:r>
      <w:r w:rsidRPr="00B17EE5">
        <w:rPr>
          <w:i/>
        </w:rPr>
        <w:t>„Športové kluby, v ktorých športovci do 31. decembra 2015 vykonávajú šport spôsobom, ktorý spĺňa znaky závislej práce, upravia svoje zmluvné vzťahy so športovcami v súlade s týmto zákonom do 31. decembra 2018. Po uplynutí tejto lehoty sa zmluva medzi športovcom a športovým klubom vykonávajúcim šport spôsobom, ktorý spĺňa znaky závislej práce bude považovať za zmluvu o profesionálnom vykonávaní športu podľa tohto zákona.“</w:t>
      </w:r>
      <w:r>
        <w:t>.</w:t>
      </w:r>
    </w:p>
    <w:p w:rsidR="00B17EE5" w:rsidRDefault="00B17EE5" w:rsidP="00B17EE5">
      <w:pPr>
        <w:jc w:val="both"/>
      </w:pPr>
    </w:p>
    <w:p w:rsidR="00B17EE5" w:rsidRDefault="00B17EE5" w:rsidP="00B17EE5">
      <w:pPr>
        <w:jc w:val="both"/>
      </w:pPr>
      <w:r>
        <w:t>P</w:t>
      </w:r>
      <w:r w:rsidRPr="00B17EE5">
        <w:t xml:space="preserve">odľa </w:t>
      </w:r>
      <w:r>
        <w:t xml:space="preserve">prechodného ustanovenia </w:t>
      </w:r>
      <w:r w:rsidRPr="00B17EE5">
        <w:t xml:space="preserve">§ 293do zákona č. 461/2003 Z. z. o sociálnom poistení </w:t>
      </w:r>
      <w:r w:rsidRPr="00B17EE5">
        <w:rPr>
          <w:i/>
        </w:rPr>
        <w:t>„Zamestnanec podľa tohto zákona nie je v období od 1. januára 2016 do 31. decembra 2018 fyzická osoba v právnom vzťahu na základe zmluvy o profesionálnom vykonávaní športu podľa osobitného predpisu.</w:t>
      </w:r>
      <w:r w:rsidRPr="00B17EE5">
        <w:rPr>
          <w:i/>
          <w:vertAlign w:val="superscript"/>
        </w:rPr>
        <w:t>124</w:t>
      </w:r>
      <w:r w:rsidRPr="00B17EE5">
        <w:rPr>
          <w:i/>
        </w:rPr>
        <w:t>)“</w:t>
      </w:r>
      <w:r>
        <w:t>.</w:t>
      </w:r>
    </w:p>
    <w:p w:rsidR="00B17EE5" w:rsidRDefault="00B17EE5" w:rsidP="00B17EE5">
      <w:pPr>
        <w:jc w:val="both"/>
      </w:pPr>
    </w:p>
    <w:p w:rsidR="00B17EE5" w:rsidRDefault="00B17EE5" w:rsidP="00B17EE5">
      <w:pPr>
        <w:jc w:val="both"/>
      </w:pPr>
      <w:r>
        <w:t>Podľa prechodného ustanovenia §</w:t>
      </w:r>
      <w:r w:rsidRPr="00B17EE5">
        <w:t xml:space="preserve"> 38</w:t>
      </w:r>
      <w:r>
        <w:t>e</w:t>
      </w:r>
      <w:r w:rsidRPr="00B17EE5">
        <w:t>i zákona č. 580/2004 Z. z. o zdravotnom poistení</w:t>
      </w:r>
      <w:r>
        <w:t xml:space="preserve"> </w:t>
      </w:r>
      <w:r w:rsidRPr="00B17EE5">
        <w:rPr>
          <w:i/>
        </w:rPr>
        <w:t>„Zamestnanec na účely tohto zákona nie je v období od 1. januára 2017 do 31. decembra 2018 fyzická osoba, ktorá odplatne vykonáva šport za športovú organizáciu na základe zmluvy o profesionálnom vykonávaní športu podľa osobitného predpisu.64)“</w:t>
      </w:r>
      <w:r>
        <w:t>.</w:t>
      </w:r>
    </w:p>
    <w:p w:rsidR="00B17EE5" w:rsidRDefault="00B17EE5" w:rsidP="00B17EE5">
      <w:pPr>
        <w:jc w:val="both"/>
      </w:pPr>
    </w:p>
    <w:p w:rsidR="00B17EE5" w:rsidRPr="00B17EE5" w:rsidRDefault="00B17EE5" w:rsidP="00B17EE5">
      <w:pPr>
        <w:jc w:val="both"/>
      </w:pPr>
      <w:r>
        <w:t xml:space="preserve">Z citovaných ustanovení vyplýva, že </w:t>
      </w:r>
      <w:r w:rsidRPr="00B17EE5">
        <w:t>po 31.</w:t>
      </w:r>
      <w:r>
        <w:t xml:space="preserve"> </w:t>
      </w:r>
      <w:r w:rsidRPr="00B17EE5">
        <w:t xml:space="preserve">decembri 2018 budú športové kluby za športovcov, ktorí vykonávajú šport spôsobom spĺňajúcim znaky závislej práce, hradiť plné odvodové zaťaženie. </w:t>
      </w:r>
    </w:p>
    <w:p w:rsidR="00B17EE5" w:rsidRDefault="00B17EE5" w:rsidP="00B17EE5">
      <w:pPr>
        <w:jc w:val="both"/>
      </w:pPr>
    </w:p>
    <w:p w:rsidR="00B17EE5" w:rsidRPr="00B17EE5" w:rsidRDefault="00B17EE5" w:rsidP="00B17EE5">
      <w:pPr>
        <w:jc w:val="both"/>
      </w:pPr>
      <w:r w:rsidRPr="00B17EE5">
        <w:t>Viaceré ligové kluby už v súčasnosti avizujú, že nebudú schopné ekonomicky zvládnuť zvýšené náklady osobné náklady športovcov, a nebudú sa vedieť ďalej starať o rozvoj profesionálneho športu na Slovensku.</w:t>
      </w:r>
    </w:p>
    <w:p w:rsidR="00B17EE5" w:rsidRDefault="00B17EE5" w:rsidP="00B17EE5">
      <w:pPr>
        <w:jc w:val="both"/>
      </w:pPr>
    </w:p>
    <w:p w:rsidR="00B17EE5" w:rsidRPr="00B17EE5" w:rsidRDefault="00B17EE5" w:rsidP="00B17EE5">
      <w:pPr>
        <w:jc w:val="both"/>
      </w:pPr>
      <w:r w:rsidRPr="00B17EE5">
        <w:t>Slovenské profesionálne kluby sú prínosom pre celú slovenskú spoločnosť, pretože okrem participácie na najvyššej národnej súťaži sa starajú o veľké množstvo mladých športovcov, vytvárajú komplexné možnosti fyzickej aktivity pod odborným dohľadom, vychovávajú a pripravujú športovcov pre slovenskú reprezentáciu a vytvárajú športové možnosti na športový zážitok.</w:t>
      </w:r>
    </w:p>
    <w:p w:rsidR="00B17EE5" w:rsidRDefault="00B17EE5" w:rsidP="00B17EE5">
      <w:pPr>
        <w:jc w:val="both"/>
      </w:pPr>
    </w:p>
    <w:p w:rsidR="00B17EE5" w:rsidRPr="00B17EE5" w:rsidRDefault="00B17EE5" w:rsidP="00B17EE5">
      <w:pPr>
        <w:jc w:val="both"/>
      </w:pPr>
      <w:r w:rsidRPr="00B17EE5">
        <w:t>Napriek tomu, že v súlade s terminológiou Zákonníka práce sa športovec v kolektívnych športoch považuje za zamestnanca klubu (Uznesenie Európskeho parlamentu k európskemu rozmeru v športe (2011/2087(INI)); Čl. 165 Zmluvy o fungovaní Európskej únie), treba prihliadať na viaceré dôležité špecifiká tejto pracovnej činnosti. Profesionálny športovec je iným zamestnancom ako bežný zamestnanec a to s poukazom na osobitnú povahu športu, krátkodobosť a nepredvídateľnosť kariéry profesionálnych športovcov, ako aj vzhľadom na mnohé pozitívne prínosy, ktoré profesionálny šport prináša spoločnosti.</w:t>
      </w:r>
    </w:p>
    <w:p w:rsidR="00B17EE5" w:rsidRDefault="00B17EE5" w:rsidP="00B17EE5">
      <w:pPr>
        <w:jc w:val="both"/>
      </w:pPr>
    </w:p>
    <w:p w:rsidR="00B17EE5" w:rsidRPr="00B17EE5" w:rsidRDefault="00B17EE5" w:rsidP="00B17EE5">
      <w:pPr>
        <w:jc w:val="both"/>
      </w:pPr>
      <w:r w:rsidRPr="00B17EE5">
        <w:t>Na základe vyššie uvedeného sa navrhuje upraviť lehota, ktorou sa bude za zamestnanca považovať fyzická osoba v právnom vzťahu na základe zmluvy o profesionálnom vykonávaní športu z pohľadu zákona o sociálnom poistení a zákona o zdravotnom poistení.</w:t>
      </w:r>
    </w:p>
    <w:p w:rsidR="00B17EE5" w:rsidRDefault="00B17EE5" w:rsidP="00B17EE5">
      <w:pPr>
        <w:jc w:val="both"/>
      </w:pPr>
    </w:p>
    <w:p w:rsidR="00AF039A" w:rsidRPr="00B17EE5" w:rsidRDefault="00B17EE5" w:rsidP="00B17EE5">
      <w:pPr>
        <w:jc w:val="both"/>
      </w:pPr>
      <w:r w:rsidRPr="00B17EE5">
        <w:t xml:space="preserve">Poskytnutím dostatočnej lehoty športovým klubom na prispôsobenie sa na  zvýšenú finančnú náročnosť, im bude umožnené hľadať riešenie tejto situácie v prospech celého slovenského </w:t>
      </w:r>
      <w:r w:rsidRPr="00B17EE5">
        <w:lastRenderedPageBreak/>
        <w:t>športu a súčasne na strane štátu sa poskytne obdobie na vytvorenie takých podmienok, ktoré budú zohľadňovať osobitnú povahu športu.</w:t>
      </w:r>
    </w:p>
    <w:p w:rsidR="00AF039A" w:rsidRDefault="00AF039A" w:rsidP="00962FCA">
      <w:pPr>
        <w:jc w:val="both"/>
      </w:pPr>
    </w:p>
    <w:p w:rsidR="00AF039A" w:rsidRPr="001077F4" w:rsidRDefault="00AF039A" w:rsidP="00962FCA">
      <w:pPr>
        <w:jc w:val="both"/>
        <w:rPr>
          <w:b/>
        </w:rPr>
      </w:pPr>
      <w:r w:rsidRPr="001077F4">
        <w:rPr>
          <w:b/>
        </w:rPr>
        <w:t xml:space="preserve">K Čl. </w:t>
      </w:r>
      <w:r w:rsidR="0074311D" w:rsidRPr="001077F4">
        <w:rPr>
          <w:b/>
        </w:rPr>
        <w:t>I</w:t>
      </w:r>
      <w:r w:rsidR="00B17EE5">
        <w:rPr>
          <w:b/>
        </w:rPr>
        <w:t>II</w:t>
      </w:r>
    </w:p>
    <w:p w:rsidR="00A312C3" w:rsidRPr="00962FCA" w:rsidRDefault="00AF039A" w:rsidP="004B4D0F">
      <w:pPr>
        <w:jc w:val="both"/>
      </w:pPr>
      <w:r w:rsidRPr="001077F4">
        <w:t>Ustanovenie upravujúce účinnosť návrhu zákona</w:t>
      </w:r>
      <w:r w:rsidR="00B17EE5">
        <w:t xml:space="preserve"> na 30. decembra 2018, vzhľadom na to, že návrh sa týka lehoty v prechodnom ustanovení, ktorá je 31. decembra 2018. Je teda nevyhnutné, aby návrh zákona nadobudol účinnosť najmenej deň pred rozhodujúcim dátumom</w:t>
      </w:r>
      <w:r w:rsidR="00585427">
        <w:t>.</w:t>
      </w:r>
      <w:r w:rsidR="00F8002C" w:rsidRPr="001077F4">
        <w:t xml:space="preserve"> </w:t>
      </w:r>
    </w:p>
    <w:sectPr w:rsidR="00A312C3" w:rsidRPr="00962FCA" w:rsidSect="0084057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4A" w:rsidRDefault="003F6D4A" w:rsidP="00840575">
      <w:r>
        <w:separator/>
      </w:r>
    </w:p>
  </w:endnote>
  <w:endnote w:type="continuationSeparator" w:id="0">
    <w:p w:rsidR="003F6D4A" w:rsidRDefault="003F6D4A" w:rsidP="0084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4A" w:rsidRDefault="003F6D4A" w:rsidP="00840575">
      <w:r>
        <w:separator/>
      </w:r>
    </w:p>
  </w:footnote>
  <w:footnote w:type="continuationSeparator" w:id="0">
    <w:p w:rsidR="003F6D4A" w:rsidRDefault="003F6D4A" w:rsidP="0084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870"/>
    <w:multiLevelType w:val="hybridMultilevel"/>
    <w:tmpl w:val="07E8BBF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6B363E"/>
    <w:multiLevelType w:val="hybridMultilevel"/>
    <w:tmpl w:val="5E684B7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C5E3EAE"/>
    <w:multiLevelType w:val="hybridMultilevel"/>
    <w:tmpl w:val="C57CDDFC"/>
    <w:lvl w:ilvl="0" w:tplc="9BA8F0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6632A6"/>
    <w:multiLevelType w:val="hybridMultilevel"/>
    <w:tmpl w:val="3BE62EEA"/>
    <w:lvl w:ilvl="0" w:tplc="8FEE3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5" w15:restartNumberingAfterBreak="0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</w:abstractNum>
  <w:abstractNum w:abstractNumId="6" w15:restartNumberingAfterBreak="0">
    <w:nsid w:val="5B8E2D10"/>
    <w:multiLevelType w:val="hybridMultilevel"/>
    <w:tmpl w:val="9224DB9E"/>
    <w:lvl w:ilvl="0" w:tplc="9BFC801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CA"/>
    <w:rsid w:val="00006FC1"/>
    <w:rsid w:val="00023988"/>
    <w:rsid w:val="000320DA"/>
    <w:rsid w:val="00034C4C"/>
    <w:rsid w:val="00073040"/>
    <w:rsid w:val="000775F8"/>
    <w:rsid w:val="00087556"/>
    <w:rsid w:val="000B17A2"/>
    <w:rsid w:val="000C20ED"/>
    <w:rsid w:val="000C7CE4"/>
    <w:rsid w:val="000F34EA"/>
    <w:rsid w:val="001077F4"/>
    <w:rsid w:val="00130053"/>
    <w:rsid w:val="00145346"/>
    <w:rsid w:val="00154AA8"/>
    <w:rsid w:val="00164BA5"/>
    <w:rsid w:val="001A17A7"/>
    <w:rsid w:val="001C0FFE"/>
    <w:rsid w:val="001F0F19"/>
    <w:rsid w:val="00201ED4"/>
    <w:rsid w:val="00223A7F"/>
    <w:rsid w:val="00255254"/>
    <w:rsid w:val="00256D61"/>
    <w:rsid w:val="002822AE"/>
    <w:rsid w:val="002900A5"/>
    <w:rsid w:val="002B3B68"/>
    <w:rsid w:val="002C07B8"/>
    <w:rsid w:val="002C58B2"/>
    <w:rsid w:val="002E7CAD"/>
    <w:rsid w:val="00323CAD"/>
    <w:rsid w:val="0033666A"/>
    <w:rsid w:val="003416B2"/>
    <w:rsid w:val="003F6D4A"/>
    <w:rsid w:val="00426879"/>
    <w:rsid w:val="004767BC"/>
    <w:rsid w:val="004B4D0F"/>
    <w:rsid w:val="00500EC5"/>
    <w:rsid w:val="00517142"/>
    <w:rsid w:val="00524859"/>
    <w:rsid w:val="00557A9A"/>
    <w:rsid w:val="00565B19"/>
    <w:rsid w:val="00575A14"/>
    <w:rsid w:val="00585427"/>
    <w:rsid w:val="005859F9"/>
    <w:rsid w:val="005A0BA5"/>
    <w:rsid w:val="005B2D1D"/>
    <w:rsid w:val="005D1184"/>
    <w:rsid w:val="00626D74"/>
    <w:rsid w:val="006978C2"/>
    <w:rsid w:val="006C61CF"/>
    <w:rsid w:val="006D475C"/>
    <w:rsid w:val="006D75BA"/>
    <w:rsid w:val="006E1F35"/>
    <w:rsid w:val="006E6510"/>
    <w:rsid w:val="0072405F"/>
    <w:rsid w:val="0073461C"/>
    <w:rsid w:val="0074311D"/>
    <w:rsid w:val="00753891"/>
    <w:rsid w:val="0076185B"/>
    <w:rsid w:val="007711F0"/>
    <w:rsid w:val="007F2922"/>
    <w:rsid w:val="00840575"/>
    <w:rsid w:val="0085438E"/>
    <w:rsid w:val="008742C1"/>
    <w:rsid w:val="00882857"/>
    <w:rsid w:val="00897845"/>
    <w:rsid w:val="008C77E2"/>
    <w:rsid w:val="008E1CB1"/>
    <w:rsid w:val="00927D45"/>
    <w:rsid w:val="00932CEF"/>
    <w:rsid w:val="00962FCA"/>
    <w:rsid w:val="00986DE6"/>
    <w:rsid w:val="009B3D22"/>
    <w:rsid w:val="009E01DB"/>
    <w:rsid w:val="009E4667"/>
    <w:rsid w:val="009F2A7F"/>
    <w:rsid w:val="00A1089B"/>
    <w:rsid w:val="00A312C3"/>
    <w:rsid w:val="00A524C6"/>
    <w:rsid w:val="00A71BF1"/>
    <w:rsid w:val="00A848FA"/>
    <w:rsid w:val="00A92FED"/>
    <w:rsid w:val="00AD1F4D"/>
    <w:rsid w:val="00AF039A"/>
    <w:rsid w:val="00AF5B0D"/>
    <w:rsid w:val="00B00EC8"/>
    <w:rsid w:val="00B03D14"/>
    <w:rsid w:val="00B053CC"/>
    <w:rsid w:val="00B06366"/>
    <w:rsid w:val="00B07120"/>
    <w:rsid w:val="00B17EE5"/>
    <w:rsid w:val="00B21E95"/>
    <w:rsid w:val="00B25DD5"/>
    <w:rsid w:val="00B50677"/>
    <w:rsid w:val="00BE3123"/>
    <w:rsid w:val="00BF10CE"/>
    <w:rsid w:val="00C22715"/>
    <w:rsid w:val="00C25E13"/>
    <w:rsid w:val="00C82409"/>
    <w:rsid w:val="00C90FEC"/>
    <w:rsid w:val="00CC651D"/>
    <w:rsid w:val="00D02C93"/>
    <w:rsid w:val="00D7588B"/>
    <w:rsid w:val="00D81751"/>
    <w:rsid w:val="00D85CD7"/>
    <w:rsid w:val="00DB789C"/>
    <w:rsid w:val="00DC32ED"/>
    <w:rsid w:val="00DD50FC"/>
    <w:rsid w:val="00E36E7C"/>
    <w:rsid w:val="00E62B79"/>
    <w:rsid w:val="00E766EC"/>
    <w:rsid w:val="00E96361"/>
    <w:rsid w:val="00EA04DC"/>
    <w:rsid w:val="00EA1B75"/>
    <w:rsid w:val="00EA6D0B"/>
    <w:rsid w:val="00EB6D34"/>
    <w:rsid w:val="00EC3AD3"/>
    <w:rsid w:val="00EC7265"/>
    <w:rsid w:val="00ED275B"/>
    <w:rsid w:val="00F06134"/>
    <w:rsid w:val="00F16297"/>
    <w:rsid w:val="00F503CC"/>
    <w:rsid w:val="00F71684"/>
    <w:rsid w:val="00F718C7"/>
    <w:rsid w:val="00F72DD1"/>
    <w:rsid w:val="00F8002C"/>
    <w:rsid w:val="00F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6D895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2F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F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E766EC"/>
    <w:pPr>
      <w:spacing w:after="120"/>
      <w:ind w:left="283"/>
    </w:pPr>
    <w:rPr>
      <w:rFonts w:eastAsia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766EC"/>
    <w:rPr>
      <w:rFonts w:ascii="Times New Roman" w:hAnsi="Times New Roman"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0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00EC5"/>
    <w:rPr>
      <w:rFonts w:ascii="Segoe UI" w:eastAsiaTheme="minorEastAsia" w:hAnsi="Segoe UI" w:cs="Segoe UI"/>
      <w:sz w:val="18"/>
      <w:szCs w:val="18"/>
      <w:lang w:val="x-none" w:eastAsia="sk-SK"/>
    </w:rPr>
  </w:style>
  <w:style w:type="character" w:styleId="Odkaznakomentr">
    <w:name w:val="annotation reference"/>
    <w:basedOn w:val="Predvolenpsmoodseku"/>
    <w:uiPriority w:val="99"/>
    <w:rsid w:val="000320D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20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320DA"/>
    <w:rPr>
      <w:rFonts w:ascii="Times New Roman" w:eastAsiaTheme="minorEastAsia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320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320DA"/>
    <w:rPr>
      <w:rFonts w:ascii="Times New Roman" w:eastAsiaTheme="minorEastAsia" w:hAnsi="Times New Roman" w:cs="Times New Roman"/>
      <w:b/>
      <w:bCs/>
      <w:sz w:val="20"/>
      <w:szCs w:val="20"/>
      <w:lang w:val="x-none" w:eastAsia="sk-SK"/>
    </w:rPr>
  </w:style>
  <w:style w:type="paragraph" w:customStyle="1" w:styleId="odsek">
    <w:name w:val="odsek"/>
    <w:basedOn w:val="Normlny"/>
    <w:uiPriority w:val="99"/>
    <w:qFormat/>
    <w:rsid w:val="003416B2"/>
    <w:pPr>
      <w:keepNext/>
      <w:ind w:firstLine="709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6BAB-6E5D-4F7C-9970-94C622DA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2018-09-28T08:34:00Z</dcterms:created>
  <dcterms:modified xsi:type="dcterms:W3CDTF">2018-09-28T08:34:00Z</dcterms:modified>
</cp:coreProperties>
</file>