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709"/>
        <w:gridCol w:w="709"/>
        <w:gridCol w:w="5670"/>
        <w:gridCol w:w="425"/>
        <w:gridCol w:w="634"/>
      </w:tblGrid>
      <w:tr w:rsidR="008C54C3" w:rsidRPr="009F70B5">
        <w:tc>
          <w:tcPr>
            <w:tcW w:w="16200" w:type="dxa"/>
            <w:gridSpan w:val="9"/>
            <w:tcBorders>
              <w:top w:val="single" w:sz="12" w:space="0" w:color="auto"/>
              <w:left w:val="single" w:sz="12" w:space="0" w:color="auto"/>
              <w:bottom w:val="single" w:sz="4" w:space="0" w:color="auto"/>
              <w:right w:val="single" w:sz="12" w:space="0" w:color="auto"/>
            </w:tcBorders>
          </w:tcPr>
          <w:p w:rsidR="008C54C3" w:rsidRPr="009F70B5" w:rsidRDefault="008C54C3" w:rsidP="0078287E">
            <w:pPr>
              <w:pStyle w:val="Nadpis1"/>
            </w:pPr>
            <w:bookmarkStart w:id="0" w:name="_GoBack"/>
            <w:bookmarkEnd w:id="0"/>
            <w:r w:rsidRPr="009F70B5">
              <w:t>TABUĽKA  ZHODY</w:t>
            </w:r>
          </w:p>
          <w:p w:rsidR="007B2660" w:rsidRPr="00906222" w:rsidRDefault="004577EC" w:rsidP="003C1068">
            <w:pPr>
              <w:tabs>
                <w:tab w:val="left" w:pos="0"/>
              </w:tabs>
              <w:jc w:val="center"/>
              <w:rPr>
                <w:b/>
              </w:rPr>
            </w:pPr>
            <w:r w:rsidRPr="00906222">
              <w:rPr>
                <w:b/>
              </w:rPr>
              <w:t>k </w:t>
            </w:r>
            <w:r w:rsidR="0078287E" w:rsidRPr="00906222">
              <w:rPr>
                <w:b/>
              </w:rPr>
              <w:t>n</w:t>
            </w:r>
            <w:r w:rsidR="0091636B" w:rsidRPr="00906222">
              <w:rPr>
                <w:b/>
              </w:rPr>
              <w:t>ávrh</w:t>
            </w:r>
            <w:r w:rsidR="00AB7D27" w:rsidRPr="00906222">
              <w:rPr>
                <w:b/>
              </w:rPr>
              <w:t>u</w:t>
            </w:r>
            <w:r w:rsidR="0091636B" w:rsidRPr="00906222">
              <w:rPr>
                <w:b/>
              </w:rPr>
              <w:t xml:space="preserve"> zákona</w:t>
            </w:r>
            <w:r w:rsidR="00906222" w:rsidRPr="00906222">
              <w:rPr>
                <w:b/>
              </w:rPr>
              <w:t xml:space="preserve">, </w:t>
            </w:r>
            <w:r w:rsidR="00906222" w:rsidRPr="00906222">
              <w:rPr>
                <w:b/>
                <w:color w:val="000000"/>
              </w:rPr>
              <w:t xml:space="preserve">ktorým sa mení a dopĺňa zákon č. 222/2004 Z. z. o dani z pridanej hodnoty v znení neskorších predpisov </w:t>
            </w:r>
          </w:p>
          <w:p w:rsidR="008C54C3" w:rsidRPr="009F70B5" w:rsidRDefault="00127033" w:rsidP="003C1068">
            <w:pPr>
              <w:tabs>
                <w:tab w:val="left" w:pos="0"/>
              </w:tabs>
              <w:jc w:val="center"/>
              <w:rPr>
                <w:b/>
                <w:bCs/>
              </w:rPr>
            </w:pPr>
            <w:r w:rsidRPr="00906222">
              <w:rPr>
                <w:b/>
              </w:rPr>
              <w:t>s právom Európskej únie</w:t>
            </w:r>
          </w:p>
        </w:tc>
      </w:tr>
      <w:tr w:rsidR="008C54C3" w:rsidRPr="009F70B5">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9F70B5" w:rsidRDefault="008C54C3">
            <w:pPr>
              <w:pStyle w:val="Nadpis4"/>
              <w:jc w:val="both"/>
              <w:rPr>
                <w:sz w:val="24"/>
                <w:szCs w:val="24"/>
              </w:rPr>
            </w:pPr>
            <w:r w:rsidRPr="009F70B5">
              <w:rPr>
                <w:sz w:val="24"/>
                <w:szCs w:val="24"/>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9F70B5" w:rsidRDefault="00C10070" w:rsidP="00217BF4">
            <w:pPr>
              <w:pStyle w:val="Default"/>
              <w:rPr>
                <w:rFonts w:ascii="Times New Roman" w:hAnsi="Times New Roman" w:cs="Times New Roman"/>
                <w:b/>
                <w:bCs/>
                <w:color w:val="auto"/>
              </w:rPr>
            </w:pPr>
            <w:r w:rsidRPr="009F70B5">
              <w:rPr>
                <w:rFonts w:ascii="Times New Roman" w:hAnsi="Times New Roman" w:cs="Times New Roman"/>
                <w:b/>
                <w:bCs/>
                <w:color w:val="auto"/>
              </w:rPr>
              <w:t xml:space="preserve">Smernica Rady (EÚ) </w:t>
            </w:r>
            <w:r w:rsidRPr="009F70B5">
              <w:rPr>
                <w:rFonts w:ascii="Times New Roman" w:hAnsi="Times New Roman" w:cs="Times New Roman"/>
                <w:b/>
                <w:bCs/>
                <w:color w:val="auto"/>
                <w:u w:val="single"/>
              </w:rPr>
              <w:t>2017/2455</w:t>
            </w:r>
            <w:r w:rsidRPr="009F70B5">
              <w:rPr>
                <w:rFonts w:ascii="Times New Roman" w:hAnsi="Times New Roman" w:cs="Times New Roman"/>
                <w:b/>
                <w:bCs/>
                <w:color w:val="auto"/>
              </w:rPr>
              <w:t xml:space="preserve"> z 5. decembra 2017, ktorou sa mení smernica 2006/112/ES a smernica 2009/132/ES, pokiaľ ide o určité povinnosti týkajúce sa dane z pridanej hodnoty pri poskytovaní služieb a predaji tovaru na diaľku</w:t>
            </w:r>
          </w:p>
        </w:tc>
      </w:tr>
      <w:tr w:rsidR="008C54C3" w:rsidRPr="009F70B5"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EE7DD6" w:rsidRPr="009F70B5" w:rsidRDefault="00DE0F85" w:rsidP="0017797B">
            <w:pPr>
              <w:pStyle w:val="Nadpis4"/>
              <w:spacing w:before="120"/>
              <w:rPr>
                <w:sz w:val="24"/>
                <w:szCs w:val="24"/>
              </w:rPr>
            </w:pPr>
            <w:r w:rsidRPr="009F70B5">
              <w:rPr>
                <w:sz w:val="24"/>
                <w:szCs w:val="24"/>
              </w:rPr>
              <w:t>Smernica EÚ</w:t>
            </w:r>
          </w:p>
          <w:p w:rsidR="00C10070" w:rsidRPr="009F70B5" w:rsidRDefault="00C10070" w:rsidP="00C10070">
            <w:pPr>
              <w:rPr>
                <w:b/>
              </w:rPr>
            </w:pPr>
            <w:r w:rsidRPr="009F70B5">
              <w:rPr>
                <w:b/>
                <w:bCs/>
              </w:rPr>
              <w:t xml:space="preserve">Smernica Rady (EÚ) </w:t>
            </w:r>
            <w:r w:rsidRPr="009F70B5">
              <w:rPr>
                <w:b/>
                <w:bCs/>
                <w:u w:val="single"/>
              </w:rPr>
              <w:t>2017/2455</w:t>
            </w:r>
            <w:r w:rsidRPr="009F70B5">
              <w:rPr>
                <w:b/>
                <w:bCs/>
              </w:rPr>
              <w:t xml:space="preserve"> z 5. decembra 2017, ktorou sa mení smernica 2006/112/ES a smernica 2009/132/ES, pokiaľ ide o určité povinnosti týkajúce sa dane z pridanej hodnoty pri poskytovaní služieb a predaji tovaru na diaľku</w:t>
            </w:r>
          </w:p>
        </w:tc>
        <w:tc>
          <w:tcPr>
            <w:tcW w:w="8147" w:type="dxa"/>
            <w:gridSpan w:val="5"/>
            <w:tcBorders>
              <w:top w:val="single" w:sz="4" w:space="0" w:color="auto"/>
              <w:left w:val="nil"/>
              <w:bottom w:val="single" w:sz="4" w:space="0" w:color="auto"/>
              <w:right w:val="single" w:sz="12" w:space="0" w:color="auto"/>
            </w:tcBorders>
          </w:tcPr>
          <w:p w:rsidR="008C54C3" w:rsidRPr="009F70B5" w:rsidRDefault="008C54C3">
            <w:pPr>
              <w:pStyle w:val="Nadpis4"/>
              <w:spacing w:before="120"/>
              <w:rPr>
                <w:sz w:val="24"/>
                <w:szCs w:val="24"/>
              </w:rPr>
            </w:pPr>
            <w:r w:rsidRPr="009F70B5">
              <w:rPr>
                <w:sz w:val="24"/>
                <w:szCs w:val="24"/>
              </w:rPr>
              <w:t>Všeobecne záväzné právne predpisy Slovenskej republiky</w:t>
            </w:r>
          </w:p>
          <w:p w:rsidR="003C1068" w:rsidRPr="009F70B5" w:rsidRDefault="00E37F4F" w:rsidP="003C1068">
            <w:pPr>
              <w:pStyle w:val="Zkladntext"/>
              <w:jc w:val="both"/>
              <w:rPr>
                <w:b/>
              </w:rPr>
            </w:pPr>
            <w:r w:rsidRPr="000D7A9F">
              <w:rPr>
                <w:b/>
              </w:rPr>
              <w:t xml:space="preserve">Návrh </w:t>
            </w:r>
            <w:r w:rsidRPr="009842F4">
              <w:rPr>
                <w:b/>
              </w:rPr>
              <w:t xml:space="preserve">zákona, ktorým sa mení a dopĺňa zákon č. 222/2004 Z. z. o dani z pridanej hodnoty v znení neskorších predpisov </w:t>
            </w:r>
            <w:r w:rsidR="003C1068" w:rsidRPr="009F70B5">
              <w:rPr>
                <w:b/>
              </w:rPr>
              <w:t>(ďalej „návrh zákona“)</w:t>
            </w:r>
          </w:p>
          <w:p w:rsidR="007B2660" w:rsidRPr="009F70B5" w:rsidRDefault="007B2660" w:rsidP="007B2660">
            <w:pPr>
              <w:pStyle w:val="Zkladntext"/>
              <w:jc w:val="both"/>
            </w:pPr>
          </w:p>
          <w:p w:rsidR="002E1D16" w:rsidRDefault="007B2660" w:rsidP="00277054">
            <w:pPr>
              <w:pStyle w:val="Zkladntext"/>
              <w:jc w:val="both"/>
            </w:pPr>
            <w:r w:rsidRPr="009F70B5">
              <w:t>Zákon č. 222/2004 Z. z. o dani z pridanej hodnoty v znení neskorší</w:t>
            </w:r>
            <w:r w:rsidR="00277054" w:rsidRPr="009F70B5">
              <w:t>ch predpisov (ďalej „222/2004“)</w:t>
            </w:r>
          </w:p>
          <w:p w:rsidR="00A25BB1" w:rsidRDefault="00A25BB1" w:rsidP="00277054">
            <w:pPr>
              <w:pStyle w:val="Zkladntext"/>
              <w:jc w:val="both"/>
            </w:pPr>
          </w:p>
          <w:p w:rsidR="00A25BB1" w:rsidRPr="009154CB" w:rsidRDefault="00A25BB1" w:rsidP="00277054">
            <w:pPr>
              <w:pStyle w:val="Zkladntext"/>
              <w:jc w:val="both"/>
              <w:rPr>
                <w:color w:val="000000" w:themeColor="text1"/>
              </w:rPr>
            </w:pPr>
            <w:r w:rsidRPr="0029483D">
              <w:t xml:space="preserve">Zákon č. 575/2001 Z.z. </w:t>
            </w:r>
            <w:r w:rsidRPr="009154CB">
              <w:rPr>
                <w:color w:val="000000" w:themeColor="text1"/>
              </w:rPr>
              <w:t>o organizácii činnosti vlády a organizácii ústrednej štátnej správy v znení neskorších predpisov (ďalej „575/2001“)</w:t>
            </w:r>
          </w:p>
          <w:p w:rsidR="009154CB" w:rsidRDefault="009154CB" w:rsidP="00277054">
            <w:pPr>
              <w:pStyle w:val="Zkladntext"/>
              <w:jc w:val="both"/>
            </w:pPr>
          </w:p>
          <w:p w:rsidR="009154CB" w:rsidRPr="009F70B5" w:rsidRDefault="009154CB" w:rsidP="009154CB">
            <w:pPr>
              <w:pStyle w:val="Zkladntext"/>
              <w:jc w:val="both"/>
            </w:pPr>
            <w:r w:rsidRPr="009154CB">
              <w:t>Z</w:t>
            </w:r>
            <w:r>
              <w:t>ákon</w:t>
            </w:r>
            <w:r w:rsidRPr="009154CB">
              <w:t xml:space="preserve"> č. 563/2009 Z.z. o správe daní (daňový poriadok) a o zmene a doplnení niektorých zákonov v znení neskorších predpisov</w:t>
            </w:r>
            <w:r>
              <w:t xml:space="preserve"> (ďalej „563/2009“)</w:t>
            </w:r>
          </w:p>
        </w:tc>
      </w:tr>
      <w:tr w:rsidR="00A9063F" w:rsidRPr="009F70B5" w:rsidTr="001E37A7">
        <w:tc>
          <w:tcPr>
            <w:tcW w:w="540" w:type="dxa"/>
            <w:tcBorders>
              <w:top w:val="single" w:sz="4" w:space="0" w:color="auto"/>
              <w:left w:val="single" w:sz="12" w:space="0" w:color="auto"/>
              <w:bottom w:val="single" w:sz="4" w:space="0" w:color="auto"/>
              <w:right w:val="single" w:sz="4" w:space="0" w:color="auto"/>
            </w:tcBorders>
          </w:tcPr>
          <w:p w:rsidR="00A9063F" w:rsidRPr="009F70B5" w:rsidRDefault="00A9063F">
            <w:pPr>
              <w:jc w:val="center"/>
            </w:pPr>
            <w:r w:rsidRPr="009F70B5">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9F70B5" w:rsidRDefault="00A9063F">
            <w:pPr>
              <w:jc w:val="center"/>
            </w:pPr>
            <w:r w:rsidRPr="009F70B5">
              <w:t>2</w:t>
            </w:r>
          </w:p>
        </w:tc>
        <w:tc>
          <w:tcPr>
            <w:tcW w:w="567" w:type="dxa"/>
            <w:tcBorders>
              <w:top w:val="single" w:sz="4" w:space="0" w:color="auto"/>
              <w:left w:val="single" w:sz="4" w:space="0" w:color="auto"/>
              <w:bottom w:val="single" w:sz="4" w:space="0" w:color="auto"/>
              <w:right w:val="single" w:sz="12" w:space="0" w:color="auto"/>
            </w:tcBorders>
          </w:tcPr>
          <w:p w:rsidR="00A9063F" w:rsidRPr="009F70B5" w:rsidRDefault="00A9063F">
            <w:pPr>
              <w:jc w:val="center"/>
            </w:pPr>
            <w:r w:rsidRPr="009F70B5">
              <w:t>3</w:t>
            </w:r>
          </w:p>
        </w:tc>
        <w:tc>
          <w:tcPr>
            <w:tcW w:w="709" w:type="dxa"/>
            <w:tcBorders>
              <w:top w:val="single" w:sz="4" w:space="0" w:color="auto"/>
              <w:left w:val="nil"/>
              <w:bottom w:val="single" w:sz="4" w:space="0" w:color="auto"/>
              <w:right w:val="single" w:sz="4" w:space="0" w:color="auto"/>
            </w:tcBorders>
          </w:tcPr>
          <w:p w:rsidR="00A9063F" w:rsidRPr="009F70B5" w:rsidRDefault="00A9063F">
            <w:pPr>
              <w:jc w:val="center"/>
            </w:pPr>
            <w:r w:rsidRPr="009F70B5">
              <w:t>4</w:t>
            </w:r>
          </w:p>
        </w:tc>
        <w:tc>
          <w:tcPr>
            <w:tcW w:w="709" w:type="dxa"/>
            <w:tcBorders>
              <w:top w:val="single" w:sz="4" w:space="0" w:color="auto"/>
              <w:left w:val="single" w:sz="4" w:space="0" w:color="auto"/>
              <w:bottom w:val="single" w:sz="4" w:space="0" w:color="auto"/>
              <w:right w:val="single" w:sz="4" w:space="0" w:color="auto"/>
            </w:tcBorders>
          </w:tcPr>
          <w:p w:rsidR="00A9063F" w:rsidRPr="009F70B5" w:rsidRDefault="00A9063F">
            <w:pPr>
              <w:pStyle w:val="Zkladntext2"/>
              <w:spacing w:line="240" w:lineRule="exact"/>
              <w:rPr>
                <w:sz w:val="24"/>
                <w:szCs w:val="24"/>
              </w:rPr>
            </w:pPr>
            <w:r w:rsidRPr="009F70B5">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A9063F" w:rsidRPr="009F70B5" w:rsidRDefault="00A9063F">
            <w:pPr>
              <w:pStyle w:val="Zkladntext2"/>
              <w:spacing w:line="240" w:lineRule="exact"/>
              <w:rPr>
                <w:sz w:val="24"/>
                <w:szCs w:val="24"/>
              </w:rPr>
            </w:pPr>
            <w:r w:rsidRPr="009F70B5">
              <w:rPr>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A9063F" w:rsidRPr="009F70B5" w:rsidRDefault="00A9063F">
            <w:pPr>
              <w:jc w:val="center"/>
            </w:pPr>
            <w:r w:rsidRPr="009F70B5">
              <w:t>7</w:t>
            </w:r>
          </w:p>
        </w:tc>
        <w:tc>
          <w:tcPr>
            <w:tcW w:w="634" w:type="dxa"/>
            <w:tcBorders>
              <w:top w:val="single" w:sz="4" w:space="0" w:color="auto"/>
              <w:left w:val="single" w:sz="4" w:space="0" w:color="auto"/>
              <w:bottom w:val="single" w:sz="4" w:space="0" w:color="auto"/>
              <w:right w:val="single" w:sz="12" w:space="0" w:color="auto"/>
            </w:tcBorders>
          </w:tcPr>
          <w:p w:rsidR="00A9063F" w:rsidRPr="009F70B5" w:rsidRDefault="005170A9">
            <w:pPr>
              <w:jc w:val="center"/>
            </w:pPr>
            <w:r w:rsidRPr="009F70B5">
              <w:t>8</w:t>
            </w:r>
          </w:p>
        </w:tc>
      </w:tr>
      <w:tr w:rsidR="00A9063F" w:rsidRPr="009F70B5" w:rsidTr="001E37A7">
        <w:tc>
          <w:tcPr>
            <w:tcW w:w="540" w:type="dxa"/>
            <w:tcBorders>
              <w:top w:val="single" w:sz="4" w:space="0" w:color="auto"/>
              <w:left w:val="single" w:sz="12" w:space="0" w:color="auto"/>
              <w:bottom w:val="single" w:sz="4" w:space="0" w:color="auto"/>
              <w:right w:val="single" w:sz="4" w:space="0" w:color="auto"/>
            </w:tcBorders>
          </w:tcPr>
          <w:p w:rsidR="00A9063F" w:rsidRPr="009F70B5" w:rsidRDefault="00A9063F">
            <w:pPr>
              <w:pStyle w:val="Normlny0"/>
              <w:jc w:val="center"/>
              <w:rPr>
                <w:sz w:val="24"/>
                <w:szCs w:val="24"/>
              </w:rPr>
            </w:pPr>
            <w:r w:rsidRPr="009F70B5">
              <w:rPr>
                <w:sz w:val="24"/>
                <w:szCs w:val="24"/>
              </w:rPr>
              <w:t>Článok</w:t>
            </w:r>
          </w:p>
          <w:p w:rsidR="00A9063F" w:rsidRPr="009F70B5" w:rsidRDefault="00A9063F">
            <w:pPr>
              <w:pStyle w:val="Normlny0"/>
              <w:jc w:val="center"/>
              <w:rPr>
                <w:sz w:val="24"/>
                <w:szCs w:val="24"/>
              </w:rPr>
            </w:pPr>
            <w:r w:rsidRPr="009F70B5">
              <w:rPr>
                <w:sz w:val="24"/>
                <w:szCs w:val="24"/>
              </w:rPr>
              <w:t>(Č, O,</w:t>
            </w:r>
          </w:p>
          <w:p w:rsidR="00A9063F" w:rsidRPr="009F70B5" w:rsidRDefault="00A9063F">
            <w:pPr>
              <w:pStyle w:val="Normlny0"/>
              <w:jc w:val="center"/>
              <w:rPr>
                <w:sz w:val="24"/>
                <w:szCs w:val="24"/>
              </w:rPr>
            </w:pPr>
            <w:r w:rsidRPr="009F70B5">
              <w:rPr>
                <w:sz w:val="24"/>
                <w:szCs w:val="24"/>
              </w:rPr>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9F70B5" w:rsidRDefault="00A9063F">
            <w:pPr>
              <w:pStyle w:val="Normlny0"/>
              <w:jc w:val="center"/>
              <w:rPr>
                <w:sz w:val="24"/>
                <w:szCs w:val="24"/>
              </w:rPr>
            </w:pPr>
            <w:r w:rsidRPr="009F70B5">
              <w:rPr>
                <w:sz w:val="24"/>
                <w:szCs w:val="24"/>
              </w:rPr>
              <w:t>Text</w:t>
            </w:r>
          </w:p>
        </w:tc>
        <w:tc>
          <w:tcPr>
            <w:tcW w:w="567" w:type="dxa"/>
            <w:tcBorders>
              <w:top w:val="single" w:sz="4" w:space="0" w:color="auto"/>
              <w:left w:val="single" w:sz="4" w:space="0" w:color="auto"/>
              <w:bottom w:val="single" w:sz="4" w:space="0" w:color="auto"/>
              <w:right w:val="single" w:sz="12" w:space="0" w:color="auto"/>
            </w:tcBorders>
          </w:tcPr>
          <w:p w:rsidR="00A9063F" w:rsidRPr="009F70B5" w:rsidRDefault="00A9063F">
            <w:pPr>
              <w:pStyle w:val="Normlny0"/>
              <w:jc w:val="center"/>
              <w:rPr>
                <w:sz w:val="24"/>
                <w:szCs w:val="24"/>
              </w:rPr>
            </w:pPr>
            <w:r w:rsidRPr="009F70B5">
              <w:rPr>
                <w:sz w:val="24"/>
                <w:szCs w:val="24"/>
              </w:rPr>
              <w:t>Spôsob transp.</w:t>
            </w:r>
          </w:p>
          <w:p w:rsidR="00A9063F" w:rsidRPr="009F70B5" w:rsidRDefault="00A9063F">
            <w:pPr>
              <w:pStyle w:val="Normlny0"/>
              <w:jc w:val="center"/>
              <w:rPr>
                <w:sz w:val="24"/>
                <w:szCs w:val="24"/>
              </w:rPr>
            </w:pPr>
            <w:r w:rsidRPr="009F70B5">
              <w:rPr>
                <w:sz w:val="24"/>
                <w:szCs w:val="24"/>
              </w:rPr>
              <w:t>(N, O, D, n.a.)</w:t>
            </w:r>
          </w:p>
        </w:tc>
        <w:tc>
          <w:tcPr>
            <w:tcW w:w="709" w:type="dxa"/>
            <w:tcBorders>
              <w:top w:val="single" w:sz="4" w:space="0" w:color="auto"/>
              <w:left w:val="nil"/>
              <w:bottom w:val="single" w:sz="4" w:space="0" w:color="auto"/>
              <w:right w:val="single" w:sz="4" w:space="0" w:color="auto"/>
            </w:tcBorders>
          </w:tcPr>
          <w:p w:rsidR="00A9063F" w:rsidRPr="009F70B5" w:rsidRDefault="00A9063F">
            <w:pPr>
              <w:pStyle w:val="Normlny0"/>
              <w:jc w:val="center"/>
              <w:rPr>
                <w:sz w:val="24"/>
                <w:szCs w:val="24"/>
              </w:rPr>
            </w:pPr>
            <w:r w:rsidRPr="009F70B5">
              <w:rPr>
                <w:sz w:val="24"/>
                <w:szCs w:val="24"/>
              </w:rPr>
              <w:t>Číslo</w:t>
            </w:r>
          </w:p>
          <w:p w:rsidR="00A9063F" w:rsidRPr="009F70B5" w:rsidRDefault="00A9063F">
            <w:pPr>
              <w:pStyle w:val="Normlny0"/>
              <w:jc w:val="center"/>
              <w:rPr>
                <w:sz w:val="24"/>
                <w:szCs w:val="24"/>
              </w:rPr>
            </w:pPr>
            <w:r w:rsidRPr="009F70B5">
              <w:rPr>
                <w:sz w:val="24"/>
                <w:szCs w:val="24"/>
              </w:rPr>
              <w:t>predpisu</w:t>
            </w:r>
          </w:p>
        </w:tc>
        <w:tc>
          <w:tcPr>
            <w:tcW w:w="709" w:type="dxa"/>
            <w:tcBorders>
              <w:top w:val="single" w:sz="4" w:space="0" w:color="auto"/>
              <w:left w:val="single" w:sz="4" w:space="0" w:color="auto"/>
              <w:bottom w:val="single" w:sz="4" w:space="0" w:color="auto"/>
              <w:right w:val="single" w:sz="4" w:space="0" w:color="auto"/>
            </w:tcBorders>
          </w:tcPr>
          <w:p w:rsidR="00A9063F" w:rsidRPr="009F70B5" w:rsidRDefault="00A9063F">
            <w:pPr>
              <w:pStyle w:val="Normlny0"/>
              <w:jc w:val="center"/>
              <w:rPr>
                <w:sz w:val="24"/>
                <w:szCs w:val="24"/>
              </w:rPr>
            </w:pPr>
            <w:r w:rsidRPr="009F70B5">
              <w:rPr>
                <w:sz w:val="24"/>
                <w:szCs w:val="24"/>
              </w:rPr>
              <w:t>Článok (Č, §, O, V, P)</w:t>
            </w:r>
          </w:p>
        </w:tc>
        <w:tc>
          <w:tcPr>
            <w:tcW w:w="5670" w:type="dxa"/>
            <w:tcBorders>
              <w:top w:val="single" w:sz="4" w:space="0" w:color="auto"/>
              <w:left w:val="single" w:sz="4" w:space="0" w:color="auto"/>
              <w:bottom w:val="single" w:sz="4" w:space="0" w:color="auto"/>
              <w:right w:val="single" w:sz="4" w:space="0" w:color="auto"/>
            </w:tcBorders>
          </w:tcPr>
          <w:p w:rsidR="00A9063F" w:rsidRPr="009F70B5" w:rsidRDefault="00A9063F">
            <w:pPr>
              <w:pStyle w:val="Normlny0"/>
              <w:jc w:val="center"/>
              <w:rPr>
                <w:sz w:val="24"/>
                <w:szCs w:val="24"/>
              </w:rPr>
            </w:pPr>
            <w:r w:rsidRPr="009F70B5">
              <w:rPr>
                <w:sz w:val="24"/>
                <w:szCs w:val="24"/>
              </w:rPr>
              <w:t>Text</w:t>
            </w:r>
          </w:p>
        </w:tc>
        <w:tc>
          <w:tcPr>
            <w:tcW w:w="425" w:type="dxa"/>
            <w:tcBorders>
              <w:top w:val="single" w:sz="4" w:space="0" w:color="auto"/>
              <w:left w:val="single" w:sz="4" w:space="0" w:color="auto"/>
              <w:bottom w:val="single" w:sz="4" w:space="0" w:color="auto"/>
              <w:right w:val="single" w:sz="4" w:space="0" w:color="auto"/>
            </w:tcBorders>
          </w:tcPr>
          <w:p w:rsidR="00A9063F" w:rsidRPr="009F70B5" w:rsidRDefault="00A9063F">
            <w:pPr>
              <w:pStyle w:val="Normlny0"/>
              <w:jc w:val="center"/>
              <w:rPr>
                <w:sz w:val="24"/>
                <w:szCs w:val="24"/>
              </w:rPr>
            </w:pPr>
            <w:r w:rsidRPr="009F70B5">
              <w:rPr>
                <w:sz w:val="24"/>
                <w:szCs w:val="24"/>
              </w:rPr>
              <w:t>Zhoda</w:t>
            </w:r>
          </w:p>
        </w:tc>
        <w:tc>
          <w:tcPr>
            <w:tcW w:w="634" w:type="dxa"/>
            <w:tcBorders>
              <w:top w:val="single" w:sz="4" w:space="0" w:color="auto"/>
              <w:left w:val="single" w:sz="4" w:space="0" w:color="auto"/>
              <w:bottom w:val="single" w:sz="4" w:space="0" w:color="auto"/>
              <w:right w:val="single" w:sz="12" w:space="0" w:color="auto"/>
            </w:tcBorders>
          </w:tcPr>
          <w:p w:rsidR="00A9063F" w:rsidRPr="009F70B5" w:rsidRDefault="00A9063F">
            <w:pPr>
              <w:pStyle w:val="Normlny0"/>
              <w:jc w:val="center"/>
              <w:rPr>
                <w:sz w:val="24"/>
                <w:szCs w:val="24"/>
              </w:rPr>
            </w:pPr>
            <w:r w:rsidRPr="009F70B5">
              <w:rPr>
                <w:sz w:val="24"/>
                <w:szCs w:val="24"/>
              </w:rPr>
              <w:t>Poznámky</w:t>
            </w:r>
          </w:p>
        </w:tc>
      </w:tr>
      <w:tr w:rsidR="00A9063F" w:rsidRPr="009F70B5" w:rsidTr="001E37A7">
        <w:tc>
          <w:tcPr>
            <w:tcW w:w="540" w:type="dxa"/>
            <w:tcBorders>
              <w:top w:val="single" w:sz="4" w:space="0" w:color="auto"/>
              <w:left w:val="single" w:sz="12" w:space="0" w:color="auto"/>
              <w:bottom w:val="single" w:sz="4" w:space="0" w:color="auto"/>
              <w:right w:val="single" w:sz="4" w:space="0" w:color="auto"/>
            </w:tcBorders>
          </w:tcPr>
          <w:p w:rsidR="00A9063F" w:rsidRPr="009F70B5" w:rsidRDefault="0078287E" w:rsidP="00162F39">
            <w:pPr>
              <w:jc w:val="center"/>
            </w:pPr>
            <w:r w:rsidRPr="009F70B5">
              <w:t xml:space="preserve">Čl. </w:t>
            </w:r>
            <w:r w:rsidR="00C10070" w:rsidRPr="009F70B5">
              <w:t>1 bod 1</w:t>
            </w:r>
          </w:p>
        </w:tc>
        <w:tc>
          <w:tcPr>
            <w:tcW w:w="6946" w:type="dxa"/>
            <w:gridSpan w:val="2"/>
            <w:tcBorders>
              <w:top w:val="single" w:sz="4" w:space="0" w:color="auto"/>
              <w:left w:val="single" w:sz="4" w:space="0" w:color="auto"/>
              <w:bottom w:val="single" w:sz="4" w:space="0" w:color="auto"/>
              <w:right w:val="single" w:sz="4" w:space="0" w:color="auto"/>
            </w:tcBorders>
          </w:tcPr>
          <w:p w:rsidR="00631CBB" w:rsidRPr="009F70B5" w:rsidRDefault="00C10070" w:rsidP="00D83E5B">
            <w:pPr>
              <w:pStyle w:val="Default"/>
              <w:rPr>
                <w:rFonts w:ascii="Times New Roman" w:hAnsi="Times New Roman" w:cs="Times New Roman"/>
                <w:b/>
                <w:bCs/>
              </w:rPr>
            </w:pPr>
            <w:r w:rsidRPr="009F70B5">
              <w:rPr>
                <w:rFonts w:ascii="Times New Roman" w:hAnsi="Times New Roman" w:cs="Times New Roman"/>
                <w:b/>
                <w:bCs/>
              </w:rPr>
              <w:t xml:space="preserve">Zmeny smernice 2006/112/ES s účinnosťou od 1. januára 2019 </w:t>
            </w:r>
          </w:p>
          <w:p w:rsidR="00631CBB" w:rsidRPr="009F70B5" w:rsidRDefault="00C10070" w:rsidP="00D83E5B">
            <w:pPr>
              <w:pStyle w:val="Default"/>
              <w:rPr>
                <w:rFonts w:ascii="Times New Roman" w:hAnsi="Times New Roman" w:cs="Times New Roman"/>
              </w:rPr>
            </w:pPr>
            <w:r w:rsidRPr="009F70B5">
              <w:rPr>
                <w:rFonts w:ascii="Times New Roman" w:hAnsi="Times New Roman" w:cs="Times New Roman"/>
              </w:rPr>
              <w:t xml:space="preserve">S účinnosťou od 1. januára 2019 sa smernica 2006/112/ES mení takto: </w:t>
            </w:r>
          </w:p>
          <w:p w:rsidR="00631CBB" w:rsidRPr="009F70B5" w:rsidRDefault="00C10070" w:rsidP="00D83E5B">
            <w:pPr>
              <w:pStyle w:val="Default"/>
              <w:rPr>
                <w:rFonts w:ascii="Times New Roman" w:hAnsi="Times New Roman" w:cs="Times New Roman"/>
              </w:rPr>
            </w:pPr>
            <w:r w:rsidRPr="009F70B5">
              <w:rPr>
                <w:rFonts w:ascii="Times New Roman" w:hAnsi="Times New Roman" w:cs="Times New Roman"/>
              </w:rPr>
              <w:t xml:space="preserve">1. Článok 58 sa nahrádza takto: </w:t>
            </w:r>
          </w:p>
          <w:p w:rsidR="00631CBB" w:rsidRPr="009F70B5" w:rsidRDefault="00C10070" w:rsidP="00D83E5B">
            <w:pPr>
              <w:pStyle w:val="Default"/>
              <w:rPr>
                <w:rFonts w:ascii="Times New Roman" w:hAnsi="Times New Roman" w:cs="Times New Roman"/>
                <w:i/>
                <w:iCs/>
              </w:rPr>
            </w:pPr>
            <w:r w:rsidRPr="009F70B5">
              <w:rPr>
                <w:rFonts w:ascii="Times New Roman" w:hAnsi="Times New Roman" w:cs="Times New Roman"/>
              </w:rPr>
              <w:t>„</w:t>
            </w:r>
            <w:r w:rsidRPr="009F70B5">
              <w:rPr>
                <w:rFonts w:ascii="Times New Roman" w:hAnsi="Times New Roman" w:cs="Times New Roman"/>
                <w:i/>
                <w:iCs/>
              </w:rPr>
              <w:t>Článok 58</w:t>
            </w:r>
          </w:p>
          <w:p w:rsidR="00631CBB" w:rsidRPr="009F70B5" w:rsidRDefault="00C10070" w:rsidP="00D83E5B">
            <w:pPr>
              <w:pStyle w:val="Default"/>
              <w:rPr>
                <w:rFonts w:ascii="Times New Roman" w:hAnsi="Times New Roman" w:cs="Times New Roman"/>
              </w:rPr>
            </w:pPr>
            <w:r w:rsidRPr="009F70B5">
              <w:rPr>
                <w:rFonts w:ascii="Times New Roman" w:hAnsi="Times New Roman" w:cs="Times New Roman"/>
              </w:rPr>
              <w:t xml:space="preserve">1.Miestom poskytovania ďalej uvedených služieb nezdaniteľnej osobe je miesto, kde je daná osoba usadená, kde má trvalé bydlisko alebo kde sa obvykle zdržiava: </w:t>
            </w:r>
          </w:p>
          <w:p w:rsidR="00631CBB" w:rsidRPr="009F70B5" w:rsidRDefault="00C10070" w:rsidP="00D83E5B">
            <w:pPr>
              <w:pStyle w:val="Default"/>
              <w:rPr>
                <w:rFonts w:ascii="Times New Roman" w:hAnsi="Times New Roman" w:cs="Times New Roman"/>
              </w:rPr>
            </w:pPr>
            <w:r w:rsidRPr="009F70B5">
              <w:rPr>
                <w:rFonts w:ascii="Times New Roman" w:hAnsi="Times New Roman" w:cs="Times New Roman"/>
              </w:rPr>
              <w:t xml:space="preserve">a) telekomunikačné služby; </w:t>
            </w:r>
          </w:p>
          <w:p w:rsidR="00631CBB" w:rsidRPr="009F70B5" w:rsidRDefault="00C10070" w:rsidP="00D83E5B">
            <w:pPr>
              <w:pStyle w:val="Default"/>
              <w:rPr>
                <w:rFonts w:ascii="Times New Roman" w:hAnsi="Times New Roman" w:cs="Times New Roman"/>
              </w:rPr>
            </w:pPr>
            <w:r w:rsidRPr="009F70B5">
              <w:rPr>
                <w:rFonts w:ascii="Times New Roman" w:hAnsi="Times New Roman" w:cs="Times New Roman"/>
              </w:rPr>
              <w:t xml:space="preserve">b) služby rozhlasového a televízneho vysielania; </w:t>
            </w:r>
          </w:p>
          <w:p w:rsidR="00631CBB" w:rsidRPr="009F70B5" w:rsidRDefault="00C10070" w:rsidP="00D83E5B">
            <w:pPr>
              <w:pStyle w:val="Default"/>
              <w:rPr>
                <w:rFonts w:ascii="Times New Roman" w:hAnsi="Times New Roman" w:cs="Times New Roman"/>
              </w:rPr>
            </w:pPr>
            <w:r w:rsidRPr="009F70B5">
              <w:rPr>
                <w:rFonts w:ascii="Times New Roman" w:hAnsi="Times New Roman" w:cs="Times New Roman"/>
              </w:rPr>
              <w:lastRenderedPageBreak/>
              <w:t xml:space="preserve">c) elektronicky poskytované služby, najmä tie, ktoré sú uvedené v prílohe II. </w:t>
            </w:r>
          </w:p>
          <w:p w:rsidR="00D83E5B" w:rsidRPr="009F70B5" w:rsidRDefault="00C10070" w:rsidP="00D83E5B">
            <w:pPr>
              <w:pStyle w:val="Default"/>
              <w:rPr>
                <w:rFonts w:ascii="Times New Roman" w:hAnsi="Times New Roman" w:cs="Times New Roman"/>
              </w:rPr>
            </w:pPr>
            <w:r w:rsidRPr="009F70B5">
              <w:rPr>
                <w:rFonts w:ascii="Times New Roman" w:hAnsi="Times New Roman" w:cs="Times New Roman"/>
              </w:rPr>
              <w:t>Ak poskytovateľ služby a odberateľ komunikujú pomocou elektronickej pošty, samo osebe to neznamená, že poskytovaná služba je elektronicky poskytovaná služba.</w:t>
            </w:r>
          </w:p>
          <w:p w:rsidR="004A4BD5" w:rsidRPr="009F70B5" w:rsidRDefault="004A4BD5" w:rsidP="004A4BD5">
            <w:pPr>
              <w:pStyle w:val="Default"/>
              <w:rPr>
                <w:rFonts w:ascii="Times New Roman" w:hAnsi="Times New Roman" w:cs="Times New Roman"/>
              </w:rPr>
            </w:pPr>
            <w:r w:rsidRPr="009F70B5">
              <w:rPr>
                <w:rFonts w:ascii="Times New Roman" w:hAnsi="Times New Roman" w:cs="Times New Roman"/>
              </w:rPr>
              <w:t xml:space="preserve">2.Odsek 1 sa neuplatňuje, ak sú splnené tieto podmienky: </w:t>
            </w:r>
          </w:p>
          <w:p w:rsidR="004A4BD5" w:rsidRPr="009F70B5" w:rsidRDefault="004A4BD5" w:rsidP="004A4BD5">
            <w:pPr>
              <w:pStyle w:val="Default"/>
              <w:rPr>
                <w:rFonts w:ascii="Times New Roman" w:hAnsi="Times New Roman" w:cs="Times New Roman"/>
              </w:rPr>
            </w:pPr>
            <w:r w:rsidRPr="009F70B5">
              <w:rPr>
                <w:rFonts w:ascii="Times New Roman" w:hAnsi="Times New Roman" w:cs="Times New Roman"/>
              </w:rPr>
              <w:t xml:space="preserve">a) poskytovateľ je usadený, alebo ak sídlo neexistuje, má trvalé bydlisko alebo sa obvykle zdržiava len v jednom členskom štáte; a </w:t>
            </w:r>
          </w:p>
          <w:p w:rsidR="004A4BD5" w:rsidRPr="009F70B5" w:rsidRDefault="004A4BD5" w:rsidP="004A4BD5">
            <w:pPr>
              <w:pStyle w:val="Default"/>
              <w:rPr>
                <w:rFonts w:ascii="Times New Roman" w:hAnsi="Times New Roman" w:cs="Times New Roman"/>
              </w:rPr>
            </w:pPr>
            <w:r w:rsidRPr="009F70B5">
              <w:rPr>
                <w:rFonts w:ascii="Times New Roman" w:hAnsi="Times New Roman" w:cs="Times New Roman"/>
              </w:rPr>
              <w:t xml:space="preserve">b) služby sa poskytujú nezdaniteľným osobám, ktoré sú usadené, majú trvalé bydlisko alebo sa obvykle zdržiavajú v ktoromkoľvek inom členskom štáte, ako je členský štát uvedený v písmene a); a </w:t>
            </w:r>
          </w:p>
          <w:p w:rsidR="004A4BD5" w:rsidRPr="009F70B5" w:rsidRDefault="004A4BD5" w:rsidP="004A4BD5">
            <w:pPr>
              <w:pStyle w:val="Default"/>
              <w:rPr>
                <w:rFonts w:ascii="Times New Roman" w:hAnsi="Times New Roman" w:cs="Times New Roman"/>
              </w:rPr>
            </w:pPr>
            <w:r w:rsidRPr="009F70B5">
              <w:rPr>
                <w:rFonts w:ascii="Times New Roman" w:hAnsi="Times New Roman" w:cs="Times New Roman"/>
              </w:rPr>
              <w:t>c) celková hodnota poskytnutých služieb uvedených v písmene b) bez DPH nepresiahne v bežnom kalendárnom roku sumu 10 000 EUR alebo jej ekvivalent v národnej mene, pričom túto sumu nepresiahla ani v priebehu predchádzajúceho kalendárneho roka.</w:t>
            </w:r>
          </w:p>
        </w:tc>
        <w:tc>
          <w:tcPr>
            <w:tcW w:w="567" w:type="dxa"/>
            <w:tcBorders>
              <w:top w:val="single" w:sz="4" w:space="0" w:color="auto"/>
              <w:left w:val="single" w:sz="4" w:space="0" w:color="auto"/>
              <w:bottom w:val="single" w:sz="4" w:space="0" w:color="auto"/>
              <w:right w:val="single" w:sz="12" w:space="0" w:color="auto"/>
            </w:tcBorders>
          </w:tcPr>
          <w:p w:rsidR="00E030B3" w:rsidRPr="009F70B5" w:rsidRDefault="00E030B3">
            <w:pPr>
              <w:jc w:val="center"/>
            </w:pPr>
            <w:r w:rsidRPr="009F70B5">
              <w:lastRenderedPageBreak/>
              <w:t>N</w:t>
            </w:r>
          </w:p>
          <w:p w:rsidR="00E030B3" w:rsidRPr="009F70B5" w:rsidRDefault="00E030B3">
            <w:pPr>
              <w:jc w:val="center"/>
            </w:pPr>
          </w:p>
          <w:p w:rsidR="00A9063F" w:rsidRPr="009F70B5" w:rsidRDefault="00A9063F" w:rsidP="00A47BED"/>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p w:rsidR="00E030B3" w:rsidRPr="009F70B5" w:rsidRDefault="00E030B3">
            <w:pPr>
              <w:jc w:val="center"/>
            </w:pPr>
          </w:p>
        </w:tc>
        <w:tc>
          <w:tcPr>
            <w:tcW w:w="709" w:type="dxa"/>
            <w:tcBorders>
              <w:top w:val="single" w:sz="4" w:space="0" w:color="auto"/>
              <w:left w:val="nil"/>
              <w:bottom w:val="single" w:sz="4" w:space="0" w:color="auto"/>
              <w:right w:val="single" w:sz="4" w:space="0" w:color="auto"/>
            </w:tcBorders>
          </w:tcPr>
          <w:p w:rsidR="002153F7" w:rsidRPr="009F70B5" w:rsidRDefault="004A4BD5">
            <w:pPr>
              <w:jc w:val="center"/>
              <w:rPr>
                <w:b/>
              </w:rPr>
            </w:pPr>
            <w:r w:rsidRPr="009F70B5">
              <w:rPr>
                <w:b/>
              </w:rPr>
              <w:lastRenderedPageBreak/>
              <w:t>návrh zákona čl. I</w:t>
            </w:r>
          </w:p>
        </w:tc>
        <w:tc>
          <w:tcPr>
            <w:tcW w:w="709" w:type="dxa"/>
            <w:tcBorders>
              <w:top w:val="single" w:sz="4" w:space="0" w:color="auto"/>
              <w:left w:val="single" w:sz="4" w:space="0" w:color="auto"/>
              <w:bottom w:val="single" w:sz="4" w:space="0" w:color="auto"/>
              <w:right w:val="single" w:sz="4" w:space="0" w:color="auto"/>
            </w:tcBorders>
          </w:tcPr>
          <w:p w:rsidR="00162F39" w:rsidRPr="009F70B5" w:rsidRDefault="004A4BD5" w:rsidP="00162F39">
            <w:pPr>
              <w:pStyle w:val="Normlny0"/>
              <w:rPr>
                <w:sz w:val="24"/>
                <w:szCs w:val="24"/>
              </w:rPr>
            </w:pPr>
            <w:r w:rsidRPr="009F70B5">
              <w:rPr>
                <w:sz w:val="24"/>
                <w:szCs w:val="24"/>
              </w:rPr>
              <w:t>§ 16 ods. 14</w:t>
            </w: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4A4BD5" w:rsidRPr="009F70B5" w:rsidRDefault="004A4BD5" w:rsidP="00162F39">
            <w:pPr>
              <w:pStyle w:val="Normlny0"/>
              <w:rPr>
                <w:sz w:val="24"/>
                <w:szCs w:val="24"/>
              </w:rPr>
            </w:pPr>
          </w:p>
          <w:p w:rsidR="00B72977" w:rsidRDefault="00B72977" w:rsidP="00162F39">
            <w:pPr>
              <w:pStyle w:val="Normlny0"/>
              <w:rPr>
                <w:sz w:val="24"/>
                <w:szCs w:val="24"/>
              </w:rPr>
            </w:pPr>
          </w:p>
          <w:p w:rsidR="00AF4C71" w:rsidRPr="009F70B5" w:rsidRDefault="00AF4C71" w:rsidP="00162F39">
            <w:pPr>
              <w:pStyle w:val="Normlny0"/>
              <w:rPr>
                <w:sz w:val="24"/>
                <w:szCs w:val="24"/>
              </w:rPr>
            </w:pPr>
          </w:p>
          <w:p w:rsidR="004A4BD5" w:rsidRPr="009F70B5" w:rsidRDefault="004A4BD5" w:rsidP="00162F39">
            <w:pPr>
              <w:pStyle w:val="Normlny0"/>
              <w:rPr>
                <w:sz w:val="24"/>
                <w:szCs w:val="24"/>
              </w:rPr>
            </w:pPr>
            <w:r w:rsidRPr="009F70B5">
              <w:rPr>
                <w:sz w:val="24"/>
                <w:szCs w:val="24"/>
              </w:rPr>
              <w:t>ods. 20</w:t>
            </w:r>
          </w:p>
          <w:p w:rsidR="00E030B3" w:rsidRPr="009F70B5" w:rsidRDefault="00E030B3" w:rsidP="00A47BED">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A4BD5" w:rsidRPr="009F70B5" w:rsidRDefault="004A4BD5" w:rsidP="004A4BD5">
            <w:pPr>
              <w:pStyle w:val="Zkladntext"/>
              <w:jc w:val="both"/>
              <w:rPr>
                <w:b/>
              </w:rPr>
            </w:pPr>
            <w:r w:rsidRPr="009F70B5">
              <w:rPr>
                <w:b/>
              </w:rPr>
              <w:lastRenderedPageBreak/>
              <w:t xml:space="preserve">Miestom dodania telekomunikačných služieb, služieb rozhlasového vysielania a televízneho vysielania a elektronických služieb, dodaných osobe inej ako zdaniteľnej </w:t>
            </w:r>
            <w:r w:rsidRPr="00C31F34">
              <w:rPr>
                <w:b/>
              </w:rPr>
              <w:t>osobe</w:t>
            </w:r>
            <w:r w:rsidRPr="009F70B5">
              <w:rPr>
                <w:b/>
              </w:rPr>
              <w:t>, je miesto, kde má</w:t>
            </w:r>
          </w:p>
          <w:p w:rsidR="004A4BD5" w:rsidRPr="009F70B5" w:rsidRDefault="004A4BD5" w:rsidP="004A4BD5">
            <w:pPr>
              <w:pStyle w:val="Zkladntext"/>
              <w:jc w:val="both"/>
              <w:rPr>
                <w:b/>
              </w:rPr>
            </w:pPr>
            <w:r w:rsidRPr="009F70B5">
              <w:rPr>
                <w:b/>
              </w:rPr>
              <w:t>a) osoba iná ako zdaniteľná osoba, ktorej sú tieto služby dodané, sídlo, bydlisko alebo miesto, kde sa obvykle zdržiava,</w:t>
            </w:r>
          </w:p>
          <w:p w:rsidR="004A4BD5" w:rsidRPr="009F70B5" w:rsidRDefault="004A4BD5" w:rsidP="004A4BD5">
            <w:pPr>
              <w:pStyle w:val="Zkladntext"/>
              <w:jc w:val="both"/>
              <w:rPr>
                <w:b/>
              </w:rPr>
            </w:pPr>
            <w:r w:rsidRPr="009F70B5">
              <w:rPr>
                <w:b/>
              </w:rPr>
              <w:t xml:space="preserve">b) dodávateľ služby sídlo, miesto podnikania alebo prevádzkareň, a ak nemá sídlo, miesto podnikania </w:t>
            </w:r>
            <w:r w:rsidRPr="009F70B5">
              <w:rPr>
                <w:b/>
              </w:rPr>
              <w:lastRenderedPageBreak/>
              <w:t>alebo prevádzkareň, miesto</w:t>
            </w:r>
            <w:r w:rsidR="007C4D80">
              <w:rPr>
                <w:b/>
              </w:rPr>
              <w:t>m</w:t>
            </w:r>
            <w:r w:rsidRPr="009F70B5">
              <w:rPr>
                <w:b/>
              </w:rPr>
              <w:t xml:space="preserve"> dodania služby je jeho bydlisko alebo miesto, kde sa obvykle zdržiava, ak</w:t>
            </w:r>
          </w:p>
          <w:p w:rsidR="004A4BD5" w:rsidRPr="009F70B5" w:rsidRDefault="004A4BD5" w:rsidP="004A4BD5">
            <w:pPr>
              <w:pStyle w:val="Zkladntext"/>
              <w:jc w:val="both"/>
              <w:rPr>
                <w:b/>
              </w:rPr>
            </w:pPr>
            <w:r w:rsidRPr="009F70B5">
              <w:rPr>
                <w:b/>
              </w:rPr>
              <w:t>1. dodávateľ služby má len v je</w:t>
            </w:r>
            <w:r w:rsidR="007C4D80">
              <w:rPr>
                <w:b/>
              </w:rPr>
              <w:t xml:space="preserve">dnom členskom štáte sídlo, </w:t>
            </w:r>
            <w:r w:rsidRPr="009F70B5">
              <w:rPr>
                <w:b/>
              </w:rPr>
              <w:t>miesto podnikania alebo prevádzkareň alebo bydlisko alebo miesto, kde</w:t>
            </w:r>
            <w:r w:rsidR="00792DA7">
              <w:rPr>
                <w:b/>
              </w:rPr>
              <w:t xml:space="preserve"> sa obvykle zdržiava, </w:t>
            </w:r>
          </w:p>
          <w:p w:rsidR="004A4BD5" w:rsidRPr="009F70B5" w:rsidRDefault="004A4BD5" w:rsidP="004A4BD5">
            <w:pPr>
              <w:pStyle w:val="Zkladntext"/>
              <w:jc w:val="both"/>
              <w:rPr>
                <w:b/>
              </w:rPr>
            </w:pPr>
            <w:r w:rsidRPr="009F70B5">
              <w:rPr>
                <w:b/>
              </w:rPr>
              <w:t>2. osob</w:t>
            </w:r>
            <w:r w:rsidR="00DD7266">
              <w:rPr>
                <w:b/>
              </w:rPr>
              <w:t>a</w:t>
            </w:r>
            <w:r w:rsidRPr="009F70B5">
              <w:rPr>
                <w:b/>
              </w:rPr>
              <w:t>, ktor</w:t>
            </w:r>
            <w:r w:rsidR="00DD7266">
              <w:rPr>
                <w:b/>
              </w:rPr>
              <w:t>ej</w:t>
            </w:r>
            <w:r w:rsidRPr="009F70B5">
              <w:rPr>
                <w:b/>
              </w:rPr>
              <w:t xml:space="preserve"> sa tieto služby dodávajú, m</w:t>
            </w:r>
            <w:r w:rsidR="00DD7266">
              <w:rPr>
                <w:b/>
              </w:rPr>
              <w:t>á</w:t>
            </w:r>
            <w:r w:rsidRPr="009F70B5">
              <w:rPr>
                <w:b/>
              </w:rPr>
              <w:t xml:space="preserve"> sídlo, bydlisko alebo miesto, kde sa obvykle zdržiava, v inom členskom štáte ako je členský štát podľa prvého bodu a</w:t>
            </w:r>
          </w:p>
          <w:p w:rsidR="00D205AC" w:rsidRPr="009F70B5" w:rsidRDefault="004A4BD5" w:rsidP="004A4BD5">
            <w:pPr>
              <w:pStyle w:val="Normlny0"/>
              <w:jc w:val="both"/>
              <w:rPr>
                <w:b/>
                <w:sz w:val="24"/>
                <w:szCs w:val="24"/>
              </w:rPr>
            </w:pPr>
            <w:r w:rsidRPr="009F70B5">
              <w:rPr>
                <w:b/>
                <w:sz w:val="24"/>
                <w:szCs w:val="24"/>
              </w:rPr>
              <w:t>3. celková hodnota dodaných služieb bez dane podľa druhého bodu nepresiahne v </w:t>
            </w:r>
            <w:r w:rsidR="00B81E7C">
              <w:rPr>
                <w:b/>
                <w:sz w:val="24"/>
                <w:szCs w:val="24"/>
              </w:rPr>
              <w:t>k</w:t>
            </w:r>
            <w:r w:rsidRPr="009F70B5">
              <w:rPr>
                <w:b/>
                <w:sz w:val="24"/>
                <w:szCs w:val="24"/>
              </w:rPr>
              <w:t>alendárnom roku 10 000 eur a súčasne v predchádzajúcom kalendárnom roku celková hodnota dodaných služieb bez dane podľa druhého bodu nepresiahla 10 000 eur.</w:t>
            </w:r>
          </w:p>
          <w:p w:rsidR="00A9063F" w:rsidRPr="009F70B5" w:rsidRDefault="004A4BD5" w:rsidP="00162F39">
            <w:pPr>
              <w:pStyle w:val="Normlny0"/>
              <w:jc w:val="both"/>
              <w:rPr>
                <w:b/>
                <w:sz w:val="24"/>
                <w:szCs w:val="24"/>
              </w:rPr>
            </w:pPr>
            <w:r w:rsidRPr="009F70B5">
              <w:rPr>
                <w:b/>
                <w:sz w:val="24"/>
                <w:szCs w:val="24"/>
              </w:rPr>
              <w:t>Za elektronickú službu podľa odseku 14 sa nepovažuje komunikácia prostredníctvom elektronickej pošty medzi dodávateľom služby a jeho zákazníkom.</w:t>
            </w:r>
          </w:p>
        </w:tc>
        <w:tc>
          <w:tcPr>
            <w:tcW w:w="425" w:type="dxa"/>
            <w:tcBorders>
              <w:top w:val="single" w:sz="4" w:space="0" w:color="auto"/>
              <w:left w:val="single" w:sz="4" w:space="0" w:color="auto"/>
              <w:bottom w:val="single" w:sz="4" w:space="0" w:color="auto"/>
              <w:right w:val="single" w:sz="4" w:space="0" w:color="auto"/>
            </w:tcBorders>
          </w:tcPr>
          <w:p w:rsidR="00A9063F" w:rsidRPr="009F70B5" w:rsidRDefault="0078287E">
            <w:pPr>
              <w:jc w:val="center"/>
            </w:pPr>
            <w:r w:rsidRPr="009F70B5">
              <w:lastRenderedPageBreak/>
              <w:t>Ú</w:t>
            </w:r>
          </w:p>
        </w:tc>
        <w:tc>
          <w:tcPr>
            <w:tcW w:w="634" w:type="dxa"/>
            <w:tcBorders>
              <w:top w:val="single" w:sz="4" w:space="0" w:color="auto"/>
              <w:left w:val="single" w:sz="4" w:space="0" w:color="auto"/>
              <w:bottom w:val="single" w:sz="4" w:space="0" w:color="auto"/>
              <w:right w:val="single" w:sz="12" w:space="0" w:color="auto"/>
            </w:tcBorders>
          </w:tcPr>
          <w:p w:rsidR="00A9063F" w:rsidRPr="009F70B5" w:rsidRDefault="00A9063F">
            <w:pPr>
              <w:pStyle w:val="Nadpis1"/>
              <w:rPr>
                <w:b w:val="0"/>
                <w:bCs w:val="0"/>
              </w:rPr>
            </w:pPr>
          </w:p>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pPr>
            <w:r w:rsidRPr="009F70B5">
              <w:t>Čl. 1 bod 1</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3.Ak sa počas kalendárneho roka presiahne limit uvedený v odseku 2 písm. c), od daného okamihu sa uplatňuje odsek 1. </w:t>
            </w:r>
          </w:p>
          <w:p w:rsidR="009154CB"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4.Členský štát, na ktorého území sú poskytovatelia podľa odseku 2 usadení, alebo ak sídlo neexistuje, na ktorého území majú trvalé bydlisko alebo sa obvykle zdržiavajú, prizná uvedeným poskytovateľom právo rozhodnúť sa, že sa miesto poskytovania určí v súlade s odsekom 1, čo sa v každom prípade vzťahuje na dva kalendárne roky.</w:t>
            </w: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 </w:t>
            </w: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lastRenderedPageBreak/>
              <w:t xml:space="preserve">5.Členské štáty prijmú primerané opatrenia na monitorovanie plnenia podmienok uvedených v odsekoch 2, 3 a 4 zdaniteľnou osobou. </w:t>
            </w: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C72D73" w:rsidRDefault="00C72D73"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6.Zodpovedajúca hodnota sumy, ktorá je uvedená v odseku 2 písm. c), v národnej mene sa vypočíta použitím výmenného kurzu uverejneného Európskou centrálnou bankou v deň prijatia smernice Rady (EÚ) 2017/2455 (*).</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r w:rsidRPr="009F70B5">
              <w:lastRenderedPageBreak/>
              <w:t>N</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pStyle w:val="Nadpis1"/>
              <w:rPr>
                <w:b w:val="0"/>
                <w:bCs w:val="0"/>
              </w:rPr>
            </w:pPr>
          </w:p>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Pr="009F70B5" w:rsidRDefault="009154CB" w:rsidP="009154CB"/>
          <w:p w:rsidR="009154CB" w:rsidRDefault="009154CB" w:rsidP="009154CB">
            <w:pPr>
              <w:rPr>
                <w:highlight w:val="yellow"/>
              </w:rPr>
            </w:pPr>
          </w:p>
          <w:p w:rsidR="009154CB" w:rsidRDefault="009154CB" w:rsidP="009154CB">
            <w:pPr>
              <w:rPr>
                <w:highlight w:val="yellow"/>
              </w:rPr>
            </w:pPr>
          </w:p>
          <w:p w:rsidR="009154CB" w:rsidRDefault="009154CB" w:rsidP="009154CB">
            <w:pPr>
              <w:rPr>
                <w:highlight w:val="yellow"/>
              </w:rPr>
            </w:pPr>
          </w:p>
          <w:p w:rsidR="009154CB" w:rsidRDefault="009154CB" w:rsidP="009154CB">
            <w:pPr>
              <w:rPr>
                <w:highlight w:val="yellow"/>
              </w:rPr>
            </w:pPr>
          </w:p>
          <w:p w:rsidR="009154CB" w:rsidRDefault="009154CB" w:rsidP="009154CB">
            <w:pPr>
              <w:rPr>
                <w:highlight w:val="yellow"/>
              </w:rPr>
            </w:pPr>
          </w:p>
          <w:p w:rsidR="009154CB" w:rsidRDefault="009154CB" w:rsidP="009154CB">
            <w:pPr>
              <w:rPr>
                <w:highlight w:val="yellow"/>
              </w:rPr>
            </w:pPr>
          </w:p>
          <w:p w:rsidR="009154CB" w:rsidRDefault="009154CB" w:rsidP="009154CB">
            <w:pPr>
              <w:rPr>
                <w:highlight w:val="yellow"/>
              </w:rPr>
            </w:pPr>
          </w:p>
          <w:p w:rsidR="009154CB" w:rsidRDefault="009154CB" w:rsidP="009154CB">
            <w:r w:rsidRPr="009154CB">
              <w:lastRenderedPageBreak/>
              <w:t>563/</w:t>
            </w:r>
          </w:p>
          <w:p w:rsidR="009154CB" w:rsidRPr="009F70B5" w:rsidRDefault="009154CB" w:rsidP="009154CB">
            <w:r w:rsidRPr="009154CB">
              <w:t xml:space="preserve">2009 </w:t>
            </w: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rPr>
                <w:sz w:val="24"/>
                <w:szCs w:val="24"/>
              </w:rPr>
            </w:pPr>
            <w:r w:rsidRPr="009F70B5">
              <w:rPr>
                <w:sz w:val="24"/>
                <w:szCs w:val="24"/>
              </w:rPr>
              <w:lastRenderedPageBreak/>
              <w:t>§ 16 ods. 15</w:t>
            </w:r>
          </w:p>
          <w:p w:rsidR="009154CB" w:rsidRPr="009F70B5" w:rsidRDefault="009154CB" w:rsidP="009154CB">
            <w:pPr>
              <w:pStyle w:val="Normlny0"/>
              <w:rPr>
                <w:sz w:val="24"/>
                <w:szCs w:val="24"/>
              </w:rPr>
            </w:pPr>
          </w:p>
          <w:p w:rsidR="009154CB" w:rsidRPr="009F70B5" w:rsidRDefault="009154CB" w:rsidP="009154CB">
            <w:pPr>
              <w:pStyle w:val="Normlny0"/>
              <w:rPr>
                <w:sz w:val="24"/>
                <w:szCs w:val="24"/>
              </w:rPr>
            </w:pPr>
          </w:p>
          <w:p w:rsidR="009154CB" w:rsidRPr="009F70B5" w:rsidRDefault="009154CB" w:rsidP="009154CB">
            <w:pPr>
              <w:pStyle w:val="Normlny0"/>
              <w:rPr>
                <w:sz w:val="24"/>
                <w:szCs w:val="24"/>
              </w:rPr>
            </w:pPr>
          </w:p>
          <w:p w:rsidR="009154CB" w:rsidRDefault="009154CB" w:rsidP="009154CB">
            <w:pPr>
              <w:pStyle w:val="Normlny0"/>
              <w:rPr>
                <w:sz w:val="24"/>
                <w:szCs w:val="24"/>
              </w:rPr>
            </w:pPr>
            <w:r w:rsidRPr="009F70B5">
              <w:rPr>
                <w:sz w:val="24"/>
                <w:szCs w:val="24"/>
              </w:rPr>
              <w:t>ods. 16</w:t>
            </w: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r>
              <w:rPr>
                <w:sz w:val="24"/>
                <w:szCs w:val="24"/>
              </w:rPr>
              <w:lastRenderedPageBreak/>
              <w:t>§ 36</w:t>
            </w: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r>
              <w:rPr>
                <w:sz w:val="24"/>
                <w:szCs w:val="24"/>
              </w:rPr>
              <w:t>§ 37</w:t>
            </w: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Default="00C72D73" w:rsidP="009154CB">
            <w:pPr>
              <w:pStyle w:val="Normlny0"/>
              <w:rPr>
                <w:sz w:val="24"/>
                <w:szCs w:val="24"/>
              </w:rPr>
            </w:pPr>
          </w:p>
          <w:p w:rsidR="00C72D73" w:rsidRPr="009F70B5" w:rsidRDefault="00C72D73" w:rsidP="009154CB">
            <w:pPr>
              <w:pStyle w:val="Normlny0"/>
              <w:rPr>
                <w:sz w:val="24"/>
                <w:szCs w:val="24"/>
              </w:rPr>
            </w:pPr>
            <w:r>
              <w:rPr>
                <w:sz w:val="24"/>
                <w:szCs w:val="24"/>
              </w:rPr>
              <w:t>§ 44</w:t>
            </w: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b/>
                <w:sz w:val="24"/>
                <w:szCs w:val="24"/>
              </w:rPr>
            </w:pPr>
            <w:r w:rsidRPr="009F70B5">
              <w:rPr>
                <w:b/>
                <w:sz w:val="24"/>
                <w:szCs w:val="24"/>
              </w:rPr>
              <w:lastRenderedPageBreak/>
              <w:t>Ak sa počas kalendárneho roka presiahne limit podľa odseku 14 písm. b) tretieho bodu, dodaním služby, ktorým sa prekročí tento limit, sa miesto dodania služby mení na miesto dodania služby podľa odseku 14 písm. a).</w:t>
            </w:r>
          </w:p>
          <w:p w:rsidR="009154CB" w:rsidRPr="009F70B5" w:rsidRDefault="009154CB" w:rsidP="009154CB">
            <w:pPr>
              <w:pStyle w:val="Normlny0"/>
              <w:jc w:val="both"/>
              <w:rPr>
                <w:b/>
                <w:sz w:val="24"/>
                <w:szCs w:val="24"/>
              </w:rPr>
            </w:pPr>
          </w:p>
          <w:p w:rsidR="009154CB" w:rsidRDefault="009154CB" w:rsidP="009154CB">
            <w:pPr>
              <w:pStyle w:val="Normlny0"/>
              <w:jc w:val="both"/>
              <w:rPr>
                <w:b/>
                <w:sz w:val="24"/>
                <w:szCs w:val="24"/>
              </w:rPr>
            </w:pPr>
            <w:r w:rsidRPr="009F70B5">
              <w:rPr>
                <w:b/>
                <w:sz w:val="24"/>
                <w:szCs w:val="24"/>
              </w:rPr>
              <w:t>Dodávateľ služieb uvedených v odseku 14, ktorý má v tuzemsku sídlo, miesto podnikania alebo prevádzkareň, a ak nemá v tuzemsku takéto miesto, má v tuzemsku bydlisko alebo sa v tuzemsku obvykle zdržiava, a ktorý spĺňa podmienky podľa odseku 14 písm. b), sa môže rozhodnúť určiť miesto dodania služieb podľa odseku 14 písm. a)</w:t>
            </w:r>
            <w:r w:rsidR="00AC38D9">
              <w:rPr>
                <w:b/>
                <w:sz w:val="24"/>
                <w:szCs w:val="24"/>
              </w:rPr>
              <w:t xml:space="preserve"> a je povinný ho uplatňovať n</w:t>
            </w:r>
            <w:r w:rsidRPr="009F70B5">
              <w:rPr>
                <w:b/>
                <w:sz w:val="24"/>
                <w:szCs w:val="24"/>
              </w:rPr>
              <w:t>ajmenej po dobu dvoch kalendárnych rokov.</w:t>
            </w:r>
          </w:p>
          <w:p w:rsidR="00C72D73" w:rsidRDefault="00C72D73" w:rsidP="009154CB">
            <w:pPr>
              <w:pStyle w:val="Normlny0"/>
              <w:jc w:val="both"/>
              <w:rPr>
                <w:b/>
                <w:sz w:val="24"/>
                <w:szCs w:val="24"/>
              </w:rPr>
            </w:pPr>
          </w:p>
          <w:p w:rsidR="00C72D73" w:rsidRDefault="00C72D73" w:rsidP="009154CB">
            <w:pPr>
              <w:pStyle w:val="Normlny0"/>
              <w:jc w:val="both"/>
              <w:rPr>
                <w:b/>
                <w:sz w:val="24"/>
                <w:szCs w:val="24"/>
              </w:rPr>
            </w:pPr>
          </w:p>
          <w:p w:rsidR="00C72D73" w:rsidRDefault="00C72D73" w:rsidP="009154CB">
            <w:pPr>
              <w:pStyle w:val="Normlny0"/>
              <w:jc w:val="both"/>
              <w:rPr>
                <w:b/>
                <w:sz w:val="24"/>
                <w:szCs w:val="24"/>
              </w:rPr>
            </w:pPr>
          </w:p>
          <w:p w:rsidR="00C72D73" w:rsidRPr="00B60F69" w:rsidRDefault="00C72D73" w:rsidP="00C72D73">
            <w:r w:rsidRPr="00B60F69">
              <w:lastRenderedPageBreak/>
              <w:t>(1) Správca dane je oprávnený pri vyhľadávacej činnosti zhromažďovať informácie o daňových subjektoch, vyhľadávať neprihlásené alebo neregistrované daňové subjekty, overovať úplnosť a správnosť evidencie alebo registrácie daňových subjektov a zisťovať ďalšie skutočnosti rozhodujúce pre správne vyrubenie dane, zabezpečenie jej úhrady a vymáhanie daňového nedoplatku, pričom správca dane môže vyhľadávaciu činnosť vykonávať aj bez priamej súčinnosti daňového subjektu.</w:t>
            </w:r>
          </w:p>
          <w:p w:rsidR="00C72D73" w:rsidRPr="00B60F69" w:rsidRDefault="00C72D73" w:rsidP="00C72D73">
            <w:r w:rsidRPr="00B60F69">
              <w:t>(2) Ak správca dane zistí, že daňový subjekt prestal vykonávať činnosť alebo poberať príjmy podliehajúce dani, urobí opatrenia potrebné na urýchlené vyrubenie dane alebo na vymáhanie daňových nedoplatkov na všetkých daniach.</w:t>
            </w:r>
          </w:p>
          <w:p w:rsidR="00C72D73" w:rsidRDefault="00C72D73" w:rsidP="009154CB">
            <w:pPr>
              <w:pStyle w:val="Normlny0"/>
              <w:jc w:val="both"/>
              <w:rPr>
                <w:b/>
                <w:sz w:val="24"/>
                <w:szCs w:val="24"/>
              </w:rPr>
            </w:pPr>
          </w:p>
          <w:p w:rsidR="00C72D73" w:rsidRPr="00B60F69" w:rsidRDefault="00C72D73" w:rsidP="00C72D73">
            <w:r w:rsidRPr="00B60F69">
              <w:t>(1) Správca dane je oprávnený na účely správy daní a pri poskytnutí súčinnosti orgánom podľa osobitného predpisu 31)vykonávať miestne zisťovanie aj mimo obvodu svojej územnej pôsobnosti.</w:t>
            </w:r>
          </w:p>
          <w:p w:rsidR="00C72D73" w:rsidRPr="00B60F69" w:rsidRDefault="00C72D73" w:rsidP="00C72D73">
            <w:r w:rsidRPr="00B60F69">
              <w:t>(2) Miestne zisťovanie je činnosť správcu dane, v rámci ktorej vyhľadáva dôkazy, preveruje a zisťuje skutočnosti, ktoré sú potrebné na účely správy daní.</w:t>
            </w:r>
          </w:p>
          <w:p w:rsidR="00C72D73" w:rsidRPr="00B60F69" w:rsidRDefault="00C72D73" w:rsidP="00C72D73">
            <w:r>
              <w:t xml:space="preserve"> </w:t>
            </w:r>
            <w:r w:rsidRPr="00B60F69">
              <w:t>(3) Pri výkone miestneho zisťovania je zamestnanec správcu dane povinný preukázať sa služobným preukazom; túto povinnosť nemá zamestnanec správcu dane, ktorým je obec a colník vykonávajúci miestne zisťovanie v služobnej rovnošate. Zamestnanec správcu dane, ktorým je obec, je povinný preukázať sa oprávnením na vykonanie miestneho zisťovania.</w:t>
            </w:r>
          </w:p>
          <w:p w:rsidR="00C72D73" w:rsidRPr="00B60F69" w:rsidRDefault="00C72D73" w:rsidP="00C72D73">
            <w:r w:rsidRPr="00B60F69">
              <w:t xml:space="preserve">(4) O miestnom zisťovaní spíše zamestnanec správcu dane zápisnicu. Rovnopis zápisnice alebo kópiu zápisnice zamestnanec správcu dane odovzdá daňovému subjektu alebo inej osobe, alebo zamestnancovi daňového subjektu, alebo zamestnancovi inej osoby, za účasti ktorého sa vykonávalo miestne zisťovanie. Ak sa </w:t>
            </w:r>
            <w:r w:rsidRPr="00B60F69">
              <w:lastRenderedPageBreak/>
              <w:t>miestneho zisťovania nezúčastní daňový subjekt alebo jeho zamestnanec, alebo iná osoba alebo zamestnanec inej osoby, spíše zamestnanec správcu dane úradný záznam. Ak správca dane pri miestnom zisťovaní zabezpečí vec podľa § 41 a 42, odovzdá rovnopis zápisnice alebo kópiu zápisnice osobe, od ktorej prevzal vec, ktorú zabezpečil.</w:t>
            </w:r>
          </w:p>
          <w:p w:rsidR="00C72D73" w:rsidRPr="00B60F69" w:rsidRDefault="00C72D73" w:rsidP="00C72D73">
            <w:r w:rsidRPr="00B60F69">
              <w:t>(5) Ustanovenia o miestnom zisťovaní, zabezpečení veci a prepadnutí veci sa vzťahujú primerane aj na finančné riaditeľstvo.</w:t>
            </w:r>
          </w:p>
          <w:p w:rsidR="00C72D73" w:rsidRDefault="00C72D73" w:rsidP="009154CB">
            <w:pPr>
              <w:pStyle w:val="Normlny0"/>
              <w:jc w:val="both"/>
              <w:rPr>
                <w:b/>
                <w:sz w:val="24"/>
                <w:szCs w:val="24"/>
              </w:rPr>
            </w:pPr>
          </w:p>
          <w:p w:rsidR="00C72D73" w:rsidRPr="00B60F69" w:rsidRDefault="00C72D73" w:rsidP="00C72D73">
            <w:r w:rsidRPr="00B60F69">
              <w:t>(1) Daňovou kontrolou správca dane zisťuje alebo preveruje skutočnosti rozhodujúce pre správne určenie dane alebo dodržiavanie u</w:t>
            </w:r>
            <w:r>
              <w:t>stanovení osobitných predpisov.</w:t>
            </w:r>
            <w:r w:rsidRPr="00B60F69">
              <w:t>1)Daňová kontrola sa vykonáva v rozsahu, ktorý je nevyhnutne potrebný na dosiahnutie jej účelu.</w:t>
            </w:r>
          </w:p>
          <w:p w:rsidR="00C72D73" w:rsidRPr="00B60F69" w:rsidRDefault="00C72D73" w:rsidP="00C72D73">
            <w:r>
              <w:t xml:space="preserve"> </w:t>
            </w:r>
            <w:r w:rsidRPr="00B60F69">
              <w:t>(2) Daňová kontrola sa vykonáva u daňového subjektu alebo na mieste, kde to účel kontroly vyžaduje.</w:t>
            </w:r>
          </w:p>
          <w:p w:rsidR="00C72D73" w:rsidRPr="00B60F69" w:rsidRDefault="00C72D73" w:rsidP="00C72D73">
            <w:r>
              <w:t xml:space="preserve"> </w:t>
            </w:r>
            <w:r w:rsidRPr="00B60F69">
              <w:t>(3) Správca dane môže vykonať daňovú kontrolu aj u daňového subjektu, ktorému je príslušný iný správca dane; to neplatí, ak je správcom dane obec.</w:t>
            </w:r>
          </w:p>
          <w:p w:rsidR="00C72D73" w:rsidRPr="00B60F69" w:rsidRDefault="00C72D73" w:rsidP="00C72D73">
            <w:r>
              <w:t xml:space="preserve"> </w:t>
            </w:r>
            <w:r w:rsidRPr="00B60F69">
              <w:t>(4) Daňovú kontrolu tej istej dane za zdaňovacie obdobie, za ktoré už bola vykonaná, je možné vykonať u toho istého daňového subjektu aj opätovne,</w:t>
            </w:r>
          </w:p>
          <w:p w:rsidR="00C72D73" w:rsidRDefault="00C72D73" w:rsidP="00C72D73">
            <w:r w:rsidRPr="00B60F69">
              <w:t>a) ak daňový subjekt žiada o vrátenie dane dodatočným daňovým priznaním,</w:t>
            </w:r>
          </w:p>
          <w:p w:rsidR="00C72D73" w:rsidRPr="00B60F69" w:rsidRDefault="00C72D73" w:rsidP="00C72D73">
            <w:r w:rsidRPr="00B60F69">
              <w:t>b) ak daňový subjekt žiada o vrátenie sumy podľa osobitných predpisov, 35)</w:t>
            </w:r>
          </w:p>
          <w:p w:rsidR="00C72D73" w:rsidRPr="00B60F69" w:rsidRDefault="00C72D73" w:rsidP="00C72D73">
            <w:r>
              <w:t xml:space="preserve"> </w:t>
            </w:r>
            <w:r w:rsidRPr="00B60F69">
              <w:t>c) na podnet ministerstva, finančného riaditeľstva,</w:t>
            </w:r>
          </w:p>
          <w:p w:rsidR="00C72D73" w:rsidRPr="00B60F69" w:rsidRDefault="00C72D73" w:rsidP="00C72D73">
            <w:r>
              <w:t xml:space="preserve"> </w:t>
            </w:r>
            <w:r w:rsidRPr="00B60F69">
              <w:t>d) na požiadanie orgánov činných v trestnom konaní.</w:t>
            </w:r>
          </w:p>
          <w:p w:rsidR="00C72D73" w:rsidRPr="009F70B5" w:rsidRDefault="00C72D73" w:rsidP="009154CB">
            <w:pPr>
              <w:pStyle w:val="Normlny0"/>
              <w:jc w:val="both"/>
              <w:rPr>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r w:rsidRPr="009F70B5">
              <w:lastRenderedPageBreak/>
              <w:t>Ú</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pPr>
            <w:r w:rsidRPr="009F70B5">
              <w:lastRenderedPageBreak/>
              <w:t>Čl. 1 bod 2</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2. Článok 219a sa nahrádza takto: </w:t>
            </w:r>
          </w:p>
          <w:p w:rsidR="009154CB" w:rsidRPr="009F70B5" w:rsidRDefault="009154CB" w:rsidP="009154CB">
            <w:pPr>
              <w:pStyle w:val="Default"/>
              <w:rPr>
                <w:rFonts w:ascii="Times New Roman" w:hAnsi="Times New Roman" w:cs="Times New Roman"/>
                <w:i/>
                <w:iCs/>
              </w:rPr>
            </w:pPr>
            <w:r w:rsidRPr="009F70B5">
              <w:rPr>
                <w:rFonts w:ascii="Times New Roman" w:hAnsi="Times New Roman" w:cs="Times New Roman"/>
              </w:rPr>
              <w:t>„</w:t>
            </w:r>
            <w:r w:rsidRPr="009F70B5">
              <w:rPr>
                <w:rFonts w:ascii="Times New Roman" w:hAnsi="Times New Roman" w:cs="Times New Roman"/>
                <w:i/>
                <w:iCs/>
              </w:rPr>
              <w:t xml:space="preserve">Článok 219a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1.Fakturácia podlieha pravidlám uplatňovaným v členskom štáte považovanom za štát, v ktorom sa dodanie tovaru alebo poskytnutie služieb uskutočnilo, v súlade s ustanoveniami hlavy V.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2.Odchylne od odseku 1 podlieha fakturácia týmto pravidlám: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a) pravidlám uplatňovaným v členskom štáte, v ktorom má dodávateľ alebo poskytovateľ zriadené sídlo svojej ekonomickej činnosti alebo v ktorom má stálu prevádzkareň, z ktorých sa dodanie tovaru alebo poskytnutie služieb uskutočňuje, alebo ak takéto sídlo ekonomickej činnosti alebo stála prevádzkareň neexistujú, v členskom štáte, v ktorom má dodávateľ alebo poskytovateľ trvalé bydlisko alebo v ktorom sa obvykle zdržiava, ak: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i) dodávateľ alebo poskytovateľ nie je usadený v členskom štáte, ktorý sa považuje za štát, v ktorom sa dodanie tovaru alebo poskytnutie služieb uskutočnilo, v súlade s ustanoveniami hlavy V, alebo jeho prevádzkareň v danom členskom štáte nezasahuje do dodania tovaru alebo poskytnutia služieb v zmysle článku 192a písm. b), a ak je osobou povinnou platiť DPH osoba, ktorej sa tovar dodáva alebo služby poskytujú, s výnimkou situácie, keď faktúru vyhotovuje nadobúdateľ (vyhotovenie faktúry nadobúdateľom);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ii) sa dodanie tovaru alebo poskytnutie služieb v súlade s ustanoveniami hlavy V nepovažuje za uskutočnené v rámci Spoločenstva;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b) pravidlám, ktoré sa uplatňujú v členskom štáte, v ktorom je identifikovaný dodávateľ alebo poskytovateľ využívajúci jednu z osobitných úprav uvedených v hlave XII kapitole 6.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3.Odseky 1 a 2 tohto článku sa uplatňujú bez toho, aby boli dotknuté články 244 až 248.“</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p>
          <w:p w:rsidR="009154CB" w:rsidRPr="009F70B5" w:rsidRDefault="009154CB" w:rsidP="009154CB">
            <w:pPr>
              <w:jc w:val="center"/>
            </w:pPr>
          </w:p>
          <w:p w:rsidR="009154CB" w:rsidRPr="009F70B5" w:rsidRDefault="009154CB" w:rsidP="009154CB">
            <w:pPr>
              <w:jc w:val="center"/>
            </w:pPr>
            <w:r w:rsidRPr="009F70B5">
              <w:t>N</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pStyle w:val="Nadpis1"/>
              <w:rPr>
                <w:b w:val="0"/>
                <w:bCs w:val="0"/>
              </w:rPr>
            </w:pP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rPr>
                <w:sz w:val="24"/>
                <w:szCs w:val="24"/>
              </w:rPr>
            </w:pPr>
          </w:p>
          <w:p w:rsidR="009154CB" w:rsidRPr="009F70B5" w:rsidRDefault="009154CB" w:rsidP="009154CB">
            <w:pPr>
              <w:pStyle w:val="Normlny0"/>
              <w:rPr>
                <w:sz w:val="24"/>
                <w:szCs w:val="24"/>
              </w:rPr>
            </w:pPr>
          </w:p>
          <w:p w:rsidR="009154CB" w:rsidRDefault="009154CB" w:rsidP="009154CB">
            <w:pPr>
              <w:pStyle w:val="Normlny0"/>
              <w:rPr>
                <w:sz w:val="24"/>
                <w:szCs w:val="24"/>
              </w:rPr>
            </w:pPr>
            <w:r w:rsidRPr="009F70B5">
              <w:rPr>
                <w:sz w:val="24"/>
                <w:szCs w:val="24"/>
              </w:rPr>
              <w:t>§ 72 ods.1</w:t>
            </w: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Default="00EB2BD1" w:rsidP="009154CB">
            <w:pPr>
              <w:pStyle w:val="Normlny0"/>
              <w:rPr>
                <w:sz w:val="24"/>
                <w:szCs w:val="24"/>
              </w:rPr>
            </w:pPr>
          </w:p>
          <w:p w:rsidR="00EB2BD1" w:rsidRPr="009F70B5" w:rsidRDefault="00EB2BD1" w:rsidP="009154CB">
            <w:pPr>
              <w:pStyle w:val="Normlny0"/>
              <w:rPr>
                <w:sz w:val="24"/>
                <w:szCs w:val="24"/>
              </w:rPr>
            </w:pPr>
            <w:r>
              <w:rPr>
                <w:sz w:val="24"/>
                <w:szCs w:val="24"/>
              </w:rPr>
              <w:t>ods. 3</w:t>
            </w: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r w:rsidRPr="009F70B5">
              <w:rPr>
                <w:sz w:val="24"/>
                <w:szCs w:val="24"/>
              </w:rPr>
              <w:t>Platiteľ je povinný vyhotoviť faktúru podľa tohto zákona pri</w:t>
            </w:r>
          </w:p>
          <w:p w:rsidR="009154CB" w:rsidRPr="009F70B5" w:rsidRDefault="009154CB" w:rsidP="009154CB">
            <w:pPr>
              <w:pStyle w:val="Normlny0"/>
              <w:jc w:val="both"/>
              <w:rPr>
                <w:sz w:val="24"/>
                <w:szCs w:val="24"/>
              </w:rPr>
            </w:pPr>
            <w:r w:rsidRPr="009F70B5">
              <w:rPr>
                <w:sz w:val="24"/>
                <w:szCs w:val="24"/>
              </w:rPr>
              <w:t>a) dodaní tovaru alebo služby s miestom dodania v tuzemsku inej zdaniteľnej osobe alebo právnickej osobe, ktorá nie je zdaniteľnou osobou,</w:t>
            </w:r>
          </w:p>
          <w:p w:rsidR="009154CB" w:rsidRPr="009F70B5" w:rsidRDefault="009154CB" w:rsidP="009154CB">
            <w:pPr>
              <w:pStyle w:val="Normlny0"/>
              <w:jc w:val="both"/>
              <w:rPr>
                <w:sz w:val="24"/>
                <w:szCs w:val="24"/>
              </w:rPr>
            </w:pPr>
            <w:r w:rsidRPr="009F70B5">
              <w:rPr>
                <w:sz w:val="24"/>
                <w:szCs w:val="24"/>
              </w:rPr>
              <w:t>b) dodaní tovaru alebo služby s miestom dodania v inom členskom štáte, keď je osobou povinnou platiť daň príjemca tovaru alebo služby, a to aj, ak je dodanie tovaru alebo služby oslobodené od dane,</w:t>
            </w:r>
          </w:p>
          <w:p w:rsidR="009154CB" w:rsidRPr="009F70B5" w:rsidRDefault="009154CB" w:rsidP="009154CB">
            <w:pPr>
              <w:pStyle w:val="Normlny0"/>
              <w:jc w:val="both"/>
              <w:rPr>
                <w:sz w:val="24"/>
                <w:szCs w:val="24"/>
              </w:rPr>
            </w:pPr>
            <w:r w:rsidRPr="009F70B5">
              <w:rPr>
                <w:sz w:val="24"/>
                <w:szCs w:val="24"/>
              </w:rPr>
              <w:t>c) dodaní tovaru alebo služby s miestom dodania v treťom štáte pre zdaniteľnú osobu,</w:t>
            </w:r>
          </w:p>
          <w:p w:rsidR="009154CB" w:rsidRPr="009F70B5" w:rsidRDefault="009154CB" w:rsidP="009154CB">
            <w:pPr>
              <w:pStyle w:val="Normlny0"/>
              <w:jc w:val="both"/>
              <w:rPr>
                <w:sz w:val="24"/>
                <w:szCs w:val="24"/>
              </w:rPr>
            </w:pPr>
            <w:r w:rsidRPr="009F70B5">
              <w:rPr>
                <w:sz w:val="24"/>
                <w:szCs w:val="24"/>
              </w:rPr>
              <w:t>d) dodaní tovaru formou zásielkového predaja s miestom dodania v tuzemsku,</w:t>
            </w:r>
          </w:p>
          <w:p w:rsidR="009154CB" w:rsidRPr="009F70B5" w:rsidRDefault="009154CB" w:rsidP="009154CB">
            <w:pPr>
              <w:pStyle w:val="Normlny0"/>
              <w:jc w:val="both"/>
              <w:rPr>
                <w:sz w:val="24"/>
                <w:szCs w:val="24"/>
              </w:rPr>
            </w:pPr>
            <w:r w:rsidRPr="009F70B5">
              <w:rPr>
                <w:sz w:val="24"/>
                <w:szCs w:val="24"/>
              </w:rPr>
              <w:t>e) dodaní tovaru oslobodeného od dane podľa § 43,</w:t>
            </w:r>
          </w:p>
          <w:p w:rsidR="009154CB" w:rsidRPr="009F70B5" w:rsidRDefault="009154CB" w:rsidP="009154CB">
            <w:pPr>
              <w:pStyle w:val="Normlny0"/>
              <w:jc w:val="both"/>
              <w:rPr>
                <w:sz w:val="24"/>
                <w:szCs w:val="24"/>
              </w:rPr>
            </w:pPr>
            <w:r w:rsidRPr="009F70B5">
              <w:rPr>
                <w:sz w:val="24"/>
                <w:szCs w:val="24"/>
              </w:rPr>
              <w:t>f) prijatí platby pred dodaním tovaru podľa písmen a) až d),</w:t>
            </w:r>
          </w:p>
          <w:p w:rsidR="009154CB" w:rsidRPr="009F70B5" w:rsidRDefault="009154CB" w:rsidP="009154CB">
            <w:pPr>
              <w:pStyle w:val="Normlny0"/>
              <w:jc w:val="both"/>
              <w:rPr>
                <w:sz w:val="24"/>
                <w:szCs w:val="24"/>
              </w:rPr>
            </w:pPr>
            <w:r w:rsidRPr="009F70B5">
              <w:rPr>
                <w:sz w:val="24"/>
                <w:szCs w:val="24"/>
              </w:rPr>
              <w:t>g) prijatí platby pred dodaním služby podľa písmen a) až c).</w:t>
            </w:r>
          </w:p>
          <w:p w:rsidR="009154CB" w:rsidRPr="009F70B5" w:rsidRDefault="009154CB" w:rsidP="009154CB">
            <w:pPr>
              <w:pStyle w:val="Normlny0"/>
              <w:jc w:val="both"/>
              <w:rPr>
                <w:b/>
                <w:sz w:val="24"/>
                <w:szCs w:val="24"/>
              </w:rPr>
            </w:pPr>
          </w:p>
          <w:p w:rsidR="009154CB" w:rsidRDefault="009154CB" w:rsidP="009154CB">
            <w:pPr>
              <w:pStyle w:val="Normlny0"/>
              <w:jc w:val="both"/>
              <w:rPr>
                <w:b/>
                <w:sz w:val="24"/>
                <w:szCs w:val="24"/>
              </w:rPr>
            </w:pPr>
            <w:r w:rsidRPr="009F70B5">
              <w:rPr>
                <w:b/>
                <w:sz w:val="24"/>
                <w:szCs w:val="24"/>
              </w:rPr>
              <w:t>h) dodaní služby uvedenej v § 16 ods. 14 s miestom dodania v inom členskom štáte právnickej osobe, ktorá nie je zdaniteľnou osobou a nie je identifikovaná pre daň v inom členskom štáte, ak uplatňuje osobitnú úpravu podľa § 68a alebo § 68b.</w:t>
            </w:r>
          </w:p>
          <w:p w:rsidR="00EB2BD1" w:rsidRDefault="00EB2BD1" w:rsidP="009154CB">
            <w:pPr>
              <w:pStyle w:val="Normlny0"/>
              <w:jc w:val="both"/>
              <w:rPr>
                <w:b/>
                <w:sz w:val="24"/>
                <w:szCs w:val="24"/>
              </w:rPr>
            </w:pPr>
          </w:p>
          <w:p w:rsidR="00EB2BD1" w:rsidRPr="00EB2BD1" w:rsidRDefault="00EB2BD1" w:rsidP="00EB2BD1">
            <w:pPr>
              <w:pStyle w:val="Zkladntext"/>
              <w:jc w:val="both"/>
              <w:rPr>
                <w:b/>
              </w:rPr>
            </w:pPr>
            <w:r w:rsidRPr="00EB2BD1">
              <w:rPr>
                <w:b/>
              </w:rPr>
              <w:t xml:space="preserve">Zahraničná osoba z tretieho štátu je povinná vyhotoviť faktúru podľa tohto zákona pri dodaní tovaru alebo dodaní služby s miestom dodania v tuzemsku; to neplatí, ak má táto osoba na území Európskej únie prevádzkareň, ktorá </w:t>
            </w:r>
            <w:r>
              <w:rPr>
                <w:b/>
              </w:rPr>
              <w:t>sa zúčastňuje na tomto dodaní.</w:t>
            </w:r>
          </w:p>
          <w:p w:rsidR="00EB2BD1" w:rsidRPr="009F70B5" w:rsidRDefault="00EB2BD1" w:rsidP="009154CB">
            <w:pPr>
              <w:pStyle w:val="Normlny0"/>
              <w:jc w:val="both"/>
              <w:rPr>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p>
          <w:p w:rsidR="009154CB" w:rsidRPr="009F70B5" w:rsidRDefault="009154CB" w:rsidP="009154CB">
            <w:pPr>
              <w:jc w:val="center"/>
            </w:pPr>
          </w:p>
          <w:p w:rsidR="009154CB" w:rsidRPr="009F70B5" w:rsidRDefault="009154CB" w:rsidP="009154CB">
            <w:pPr>
              <w:jc w:val="center"/>
            </w:pPr>
            <w:r w:rsidRPr="009F70B5">
              <w:t>Ú</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pStyle w:val="Nadpis1"/>
              <w:rPr>
                <w:b w:val="0"/>
                <w:bCs w:val="0"/>
              </w:rPr>
            </w:pPr>
          </w:p>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pPr>
            <w:r w:rsidRPr="009F70B5">
              <w:t xml:space="preserve">Čl. 1 </w:t>
            </w:r>
            <w:r w:rsidRPr="009F70B5">
              <w:lastRenderedPageBreak/>
              <w:t>bod 3</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lastRenderedPageBreak/>
              <w:t>3. V článku 358a sa bod 1 nahrádza takto:</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lastRenderedPageBreak/>
              <w:t>„1. „zdaniteľná osoba neusadená v rámci Spoločenstva“ je zdaniteľná osoba, ktorá nemá zriadené sídlo svojej ekonomickej činnosti ani stálu prevádzkareň na území Spoločenstva;“</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r w:rsidRPr="009F70B5">
              <w:lastRenderedPageBreak/>
              <w:t>N</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jc w:val="center"/>
              <w:rPr>
                <w:b/>
              </w:rPr>
            </w:pPr>
            <w:r w:rsidRPr="009F70B5">
              <w:t>222/ 2004 a</w:t>
            </w:r>
            <w:r w:rsidRPr="009F70B5">
              <w:rPr>
                <w:b/>
              </w:rPr>
              <w:t xml:space="preserve"> </w:t>
            </w:r>
            <w:r w:rsidRPr="009F70B5">
              <w:rPr>
                <w:b/>
              </w:rPr>
              <w:lastRenderedPageBreak/>
              <w:t>návrh zákona čl.I</w:t>
            </w: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rPr>
                <w:sz w:val="24"/>
                <w:szCs w:val="24"/>
              </w:rPr>
            </w:pPr>
            <w:r w:rsidRPr="009F70B5">
              <w:rPr>
                <w:sz w:val="24"/>
                <w:szCs w:val="24"/>
              </w:rPr>
              <w:lastRenderedPageBreak/>
              <w:t>§ 68a ods.1 pís.a)</w:t>
            </w: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r w:rsidRPr="009F70B5">
              <w:rPr>
                <w:sz w:val="24"/>
                <w:szCs w:val="24"/>
              </w:rPr>
              <w:t>Na účely tohto ustanovenia sa rozumie</w:t>
            </w:r>
          </w:p>
          <w:p w:rsidR="009154CB" w:rsidRPr="009F70B5" w:rsidRDefault="009154CB" w:rsidP="009154CB">
            <w:pPr>
              <w:pStyle w:val="Normlny0"/>
              <w:jc w:val="both"/>
              <w:rPr>
                <w:sz w:val="24"/>
                <w:szCs w:val="24"/>
              </w:rPr>
            </w:pPr>
            <w:r w:rsidRPr="009F70B5">
              <w:rPr>
                <w:sz w:val="24"/>
                <w:szCs w:val="24"/>
              </w:rPr>
              <w:t xml:space="preserve">a) zdaniteľnou osobou neusadenou na území Európskej únie zdaniteľná osoba, ktorá nemá sídlo ani prevádzkareň </w:t>
            </w:r>
            <w:r w:rsidRPr="009F70B5">
              <w:rPr>
                <w:sz w:val="24"/>
                <w:szCs w:val="24"/>
              </w:rPr>
              <w:lastRenderedPageBreak/>
              <w:t xml:space="preserve">na území Európskej únie </w:t>
            </w:r>
            <w:r w:rsidRPr="009F70B5">
              <w:rPr>
                <w:strike/>
                <w:sz w:val="24"/>
                <w:szCs w:val="24"/>
              </w:rPr>
              <w:t>a nie je identifikovaná pre daň v tuzemsku ani v inom členskom štáte,</w:t>
            </w: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r w:rsidRPr="009F70B5">
              <w:lastRenderedPageBreak/>
              <w:t>Ú</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pStyle w:val="Nadpis1"/>
              <w:rPr>
                <w:b w:val="0"/>
                <w:bCs w:val="0"/>
              </w:rPr>
            </w:pPr>
          </w:p>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pPr>
            <w:r w:rsidRPr="009F70B5">
              <w:t>Čl. 1 bod 4</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4. V článku 361 ods. 1 sa písmeno e) nahrádza takto: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„e) vyhlásenie, že nemá zriadené sídlo svojej ekonomickej činnosti ani stálu prevádzkareň na území Spoločenstva.“.</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r w:rsidRPr="009F70B5">
              <w:t>N</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jc w:val="center"/>
              <w:rPr>
                <w:b/>
              </w:rPr>
            </w:pPr>
            <w:r w:rsidRPr="009F70B5">
              <w:t>222/ 2004 a</w:t>
            </w:r>
            <w:r w:rsidRPr="009F70B5">
              <w:rPr>
                <w:b/>
              </w:rPr>
              <w:t xml:space="preserve"> návrh zákona čl.I</w:t>
            </w: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rPr>
                <w:sz w:val="24"/>
                <w:szCs w:val="24"/>
              </w:rPr>
            </w:pPr>
            <w:r w:rsidRPr="009F70B5">
              <w:rPr>
                <w:sz w:val="24"/>
                <w:szCs w:val="24"/>
              </w:rPr>
              <w:t>§ 68a ods.2 2.veta</w:t>
            </w: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r w:rsidRPr="009F70B5">
              <w:rPr>
                <w:sz w:val="24"/>
                <w:szCs w:val="24"/>
              </w:rPr>
              <w:t xml:space="preserve">Oznámenie o začatí činnosti musí obsahovať obchodné meno, adresu, elektronickú adresu vrátane webových sídiel, národné daňové číslo, ak jej bolo pridelené, a vyhlásenie, že </w:t>
            </w:r>
            <w:r w:rsidRPr="009F70B5">
              <w:rPr>
                <w:b/>
                <w:sz w:val="24"/>
                <w:szCs w:val="24"/>
              </w:rPr>
              <w:t>nemá sídlo ani prevádzkareň na území</w:t>
            </w:r>
            <w:r w:rsidRPr="009F70B5">
              <w:rPr>
                <w:sz w:val="24"/>
                <w:szCs w:val="24"/>
              </w:rPr>
              <w:t xml:space="preserve"> Európskej únie.</w:t>
            </w: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r w:rsidRPr="009F70B5">
              <w:t>Ú</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pStyle w:val="Nadpis1"/>
              <w:rPr>
                <w:b w:val="0"/>
                <w:bCs w:val="0"/>
              </w:rPr>
            </w:pPr>
          </w:p>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rPr>
                <w:iCs/>
              </w:rPr>
            </w:pPr>
            <w:r w:rsidRPr="009F70B5">
              <w:rPr>
                <w:iCs/>
              </w:rPr>
              <w:t xml:space="preserve">Čl. 2 a </w:t>
            </w:r>
          </w:p>
          <w:p w:rsidR="009154CB" w:rsidRPr="009F70B5" w:rsidRDefault="009154CB" w:rsidP="009154CB">
            <w:pPr>
              <w:jc w:val="center"/>
            </w:pPr>
            <w:r w:rsidRPr="009F70B5">
              <w:rPr>
                <w:iCs/>
              </w:rPr>
              <w:t>čl.3</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b/>
                <w:bCs/>
              </w:rPr>
            </w:pPr>
            <w:r w:rsidRPr="009F70B5">
              <w:rPr>
                <w:rFonts w:ascii="Times New Roman" w:hAnsi="Times New Roman" w:cs="Times New Roman"/>
                <w:b/>
                <w:bCs/>
              </w:rPr>
              <w:t>Zmeny smernice 2006/112/ES s účinnosťou od 1. januára 2021</w:t>
            </w:r>
          </w:p>
          <w:p w:rsidR="009154CB" w:rsidRPr="009F70B5" w:rsidRDefault="009154CB" w:rsidP="009154CB">
            <w:pPr>
              <w:pStyle w:val="Default"/>
              <w:rPr>
                <w:rFonts w:ascii="Times New Roman" w:hAnsi="Times New Roman" w:cs="Times New Roman"/>
                <w:b/>
                <w:bCs/>
              </w:rPr>
            </w:pPr>
          </w:p>
          <w:p w:rsidR="009154CB" w:rsidRPr="009F70B5" w:rsidRDefault="009154CB" w:rsidP="009154CB">
            <w:pPr>
              <w:pStyle w:val="Default"/>
              <w:rPr>
                <w:rFonts w:ascii="Times New Roman" w:hAnsi="Times New Roman" w:cs="Times New Roman"/>
                <w:b/>
                <w:bCs/>
              </w:rPr>
            </w:pPr>
            <w:r w:rsidRPr="009F70B5">
              <w:rPr>
                <w:rFonts w:ascii="Times New Roman" w:hAnsi="Times New Roman" w:cs="Times New Roman"/>
                <w:b/>
                <w:bCs/>
              </w:rPr>
              <w:t xml:space="preserve">Zmena smernice 2009/132/ES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S účinnosťou od 1. januára 2021 sa hlava IV smernice 2009/132/ES vypúšťa.</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r w:rsidRPr="009F70B5">
              <w:t>n.a.</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r w:rsidRPr="009F70B5">
              <w:t>n.a.</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pStyle w:val="Nadpis1"/>
              <w:rPr>
                <w:b w:val="0"/>
                <w:bCs w:val="0"/>
              </w:rPr>
            </w:pPr>
            <w:r w:rsidRPr="009F70B5">
              <w:rPr>
                <w:b w:val="0"/>
                <w:bCs w:val="0"/>
              </w:rPr>
              <w:t xml:space="preserve">Účinnosť až od </w:t>
            </w:r>
          </w:p>
          <w:p w:rsidR="009154CB" w:rsidRPr="009F70B5" w:rsidRDefault="009154CB" w:rsidP="009154CB">
            <w:pPr>
              <w:pStyle w:val="Nadpis1"/>
              <w:rPr>
                <w:b w:val="0"/>
                <w:bCs w:val="0"/>
              </w:rPr>
            </w:pPr>
            <w:r w:rsidRPr="009F70B5">
              <w:rPr>
                <w:b w:val="0"/>
                <w:bCs w:val="0"/>
              </w:rPr>
              <w:t>1. 1. 2021</w:t>
            </w:r>
          </w:p>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pPr>
            <w:r w:rsidRPr="009F70B5">
              <w:t>Čl. 4</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b/>
                <w:bCs/>
              </w:rPr>
            </w:pPr>
            <w:r w:rsidRPr="009F70B5">
              <w:rPr>
                <w:rFonts w:ascii="Times New Roman" w:hAnsi="Times New Roman" w:cs="Times New Roman"/>
                <w:b/>
                <w:bCs/>
              </w:rPr>
              <w:t xml:space="preserve">Transpozícia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1.Členské štáty prijmú a uverejnia do 31. decembra 2018 zákony, iné právne predpisy a správne opatrenia potrebné na dosiahnutie súladu s článkom 1 tejto smernice. </w:t>
            </w:r>
          </w:p>
          <w:p w:rsidR="009154CB" w:rsidRDefault="009154CB" w:rsidP="009154CB">
            <w:pPr>
              <w:pStyle w:val="Default"/>
              <w:rPr>
                <w:rFonts w:ascii="Times New Roman" w:hAnsi="Times New Roman" w:cs="Times New Roman"/>
              </w:rPr>
            </w:pPr>
            <w:r w:rsidRPr="009F70B5">
              <w:rPr>
                <w:rFonts w:ascii="Times New Roman" w:hAnsi="Times New Roman" w:cs="Times New Roman"/>
              </w:rPr>
              <w:t xml:space="preserve">Komisii bezodkladne oznámia znenie týchto ustanovení. </w:t>
            </w: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Členské štáty prijmú a uverejnia do 31. decembra 2020 zákony, iné právne predpisy a správne opatrenia potrebné na dosiahnutie súladu s článkami 2 a 3 tejto smernice.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Komisii bezodkladne oznámia znenie týchto ustanovení.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Opatrenia potrebné na dosiahnutie súladu s článkom 1 tejto smernice uplatňujú od 1. januára 2019. </w:t>
            </w: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Opatrenia potrebné na dosiahnutie súladu s článkami 2 a 3 tejto smernice uplatňujú od 1. januára 2021. </w:t>
            </w:r>
          </w:p>
          <w:p w:rsidR="009154CB" w:rsidRDefault="009154CB" w:rsidP="009154CB">
            <w:pPr>
              <w:pStyle w:val="Default"/>
              <w:rPr>
                <w:rFonts w:ascii="Times New Roman" w:hAnsi="Times New Roman" w:cs="Times New Roman"/>
              </w:rPr>
            </w:pPr>
            <w:r w:rsidRPr="009F70B5">
              <w:rPr>
                <w:rFonts w:ascii="Times New Roman" w:hAnsi="Times New Roman" w:cs="Times New Roman"/>
              </w:rPr>
              <w:lastRenderedPageBreak/>
              <w:t xml:space="preserve">Členské štáty uvedú priamo v prijatých ustanoveniach alebo pri ich úradnom uverejnení odkaz na túto smernicu. Podrobnosti o tomto odkaze upravia členské štáty. </w:t>
            </w: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2.Členské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r w:rsidRPr="009F70B5">
              <w:lastRenderedPageBreak/>
              <w:t>N</w:t>
            </w:r>
          </w:p>
          <w:p w:rsidR="009154CB" w:rsidRPr="009F70B5" w:rsidRDefault="009154CB" w:rsidP="009154CB">
            <w:pPr>
              <w:jc w:val="center"/>
            </w:pPr>
          </w:p>
          <w:p w:rsidR="009154CB" w:rsidRPr="009F70B5" w:rsidRDefault="009154CB" w:rsidP="009154CB">
            <w:pPr>
              <w:jc w:val="center"/>
            </w:pPr>
          </w:p>
          <w:p w:rsidR="009154CB" w:rsidRDefault="009154CB" w:rsidP="009154CB">
            <w:pPr>
              <w:jc w:val="center"/>
            </w:pPr>
          </w:p>
          <w:p w:rsidR="009154CB" w:rsidRPr="009F70B5" w:rsidRDefault="009154CB" w:rsidP="009154CB">
            <w:pPr>
              <w:jc w:val="center"/>
            </w:pPr>
          </w:p>
          <w:p w:rsidR="009154CB" w:rsidRDefault="009154CB" w:rsidP="009154CB">
            <w:pPr>
              <w:jc w:val="center"/>
            </w:pPr>
          </w:p>
          <w:p w:rsidR="009154CB" w:rsidRDefault="009154CB" w:rsidP="009154CB">
            <w:pPr>
              <w:jc w:val="center"/>
            </w:pPr>
          </w:p>
          <w:p w:rsidR="009154CB" w:rsidRDefault="009154CB" w:rsidP="009154CB">
            <w:pPr>
              <w:jc w:val="center"/>
            </w:pPr>
          </w:p>
          <w:p w:rsidR="009154CB" w:rsidRDefault="009154CB" w:rsidP="009154CB">
            <w:pPr>
              <w:jc w:val="center"/>
            </w:pPr>
          </w:p>
          <w:p w:rsidR="009154CB" w:rsidRPr="009F70B5" w:rsidRDefault="009154CB" w:rsidP="009154CB">
            <w:pPr>
              <w:jc w:val="center"/>
            </w:pPr>
            <w:r w:rsidRPr="009F70B5">
              <w:t>n.a.</w:t>
            </w:r>
          </w:p>
          <w:p w:rsidR="009154CB" w:rsidRPr="009F70B5" w:rsidRDefault="009154CB" w:rsidP="009154CB">
            <w:pPr>
              <w:jc w:val="center"/>
            </w:pPr>
          </w:p>
          <w:p w:rsidR="009154CB" w:rsidRDefault="009154CB" w:rsidP="009154CB">
            <w:pPr>
              <w:jc w:val="center"/>
            </w:pPr>
          </w:p>
          <w:p w:rsidR="009154CB" w:rsidRPr="009F70B5" w:rsidRDefault="009154CB" w:rsidP="009154CB">
            <w:pPr>
              <w:jc w:val="center"/>
            </w:pPr>
          </w:p>
          <w:p w:rsidR="009154CB" w:rsidRPr="009F70B5" w:rsidRDefault="009154CB" w:rsidP="009154CB">
            <w:pPr>
              <w:jc w:val="center"/>
            </w:pPr>
            <w:r w:rsidRPr="009F70B5">
              <w:t>N</w:t>
            </w:r>
          </w:p>
          <w:p w:rsidR="009154CB" w:rsidRPr="009F70B5" w:rsidRDefault="009154CB" w:rsidP="009154CB">
            <w:pPr>
              <w:jc w:val="center"/>
            </w:pPr>
          </w:p>
          <w:p w:rsidR="009154CB" w:rsidRPr="009F70B5" w:rsidRDefault="009154CB" w:rsidP="009154CB">
            <w:pPr>
              <w:jc w:val="center"/>
            </w:pPr>
          </w:p>
          <w:p w:rsidR="009154CB" w:rsidRDefault="009154CB" w:rsidP="009154CB">
            <w:pPr>
              <w:jc w:val="center"/>
            </w:pPr>
          </w:p>
          <w:p w:rsidR="009154CB" w:rsidRPr="009F70B5" w:rsidRDefault="009154CB" w:rsidP="009154CB">
            <w:pPr>
              <w:jc w:val="center"/>
            </w:pPr>
          </w:p>
          <w:p w:rsidR="009154CB" w:rsidRPr="009F70B5" w:rsidRDefault="009154CB" w:rsidP="009154CB">
            <w:pPr>
              <w:jc w:val="center"/>
            </w:pPr>
            <w:r w:rsidRPr="009F70B5">
              <w:t>n.a.</w:t>
            </w:r>
          </w:p>
          <w:p w:rsidR="009154CB" w:rsidRPr="009F70B5" w:rsidRDefault="009154CB" w:rsidP="009154CB">
            <w:pPr>
              <w:jc w:val="center"/>
            </w:pPr>
          </w:p>
          <w:p w:rsidR="009154CB" w:rsidRPr="009F70B5" w:rsidRDefault="009154CB" w:rsidP="009154CB">
            <w:pPr>
              <w:jc w:val="center"/>
            </w:pPr>
            <w:r w:rsidRPr="009F70B5">
              <w:t>N</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jc w:val="center"/>
              <w:rPr>
                <w:b/>
              </w:rPr>
            </w:pPr>
          </w:p>
          <w:p w:rsidR="009154CB" w:rsidRPr="009F70B5" w:rsidRDefault="009154CB" w:rsidP="009154CB">
            <w:pPr>
              <w:jc w:val="center"/>
              <w:rPr>
                <w:b/>
              </w:rPr>
            </w:pPr>
          </w:p>
          <w:p w:rsidR="009154CB" w:rsidRPr="009F70B5" w:rsidRDefault="009154CB" w:rsidP="009154CB">
            <w:pPr>
              <w:jc w:val="center"/>
              <w:rPr>
                <w:b/>
              </w:rPr>
            </w:pPr>
          </w:p>
          <w:p w:rsidR="009154CB" w:rsidRPr="009F70B5" w:rsidRDefault="009154CB" w:rsidP="009154CB">
            <w:pPr>
              <w:jc w:val="center"/>
              <w:rPr>
                <w:b/>
              </w:rPr>
            </w:pPr>
          </w:p>
          <w:p w:rsidR="009154CB" w:rsidRPr="00A25BB1" w:rsidRDefault="009154CB" w:rsidP="009154CB">
            <w:pPr>
              <w:jc w:val="center"/>
            </w:pPr>
            <w:r w:rsidRPr="00A25BB1">
              <w:t>575/ 2001</w:t>
            </w:r>
          </w:p>
          <w:p w:rsidR="009154CB" w:rsidRPr="009F70B5" w:rsidRDefault="009154CB" w:rsidP="009154CB">
            <w:pPr>
              <w:jc w:val="center"/>
              <w:rPr>
                <w:b/>
              </w:rPr>
            </w:pPr>
          </w:p>
          <w:p w:rsidR="009154CB" w:rsidRDefault="009154CB" w:rsidP="009154CB">
            <w:pPr>
              <w:jc w:val="center"/>
              <w:rPr>
                <w:b/>
              </w:rPr>
            </w:pPr>
          </w:p>
          <w:p w:rsidR="009154CB" w:rsidRPr="009F70B5" w:rsidRDefault="009154CB" w:rsidP="009154CB">
            <w:pPr>
              <w:jc w:val="center"/>
              <w:rPr>
                <w:b/>
              </w:rPr>
            </w:pPr>
          </w:p>
          <w:p w:rsidR="009154CB" w:rsidRDefault="009154CB" w:rsidP="009154CB">
            <w:pPr>
              <w:jc w:val="center"/>
              <w:rPr>
                <w:b/>
              </w:rPr>
            </w:pPr>
          </w:p>
          <w:p w:rsidR="009154CB" w:rsidRDefault="009154CB" w:rsidP="009154CB">
            <w:pPr>
              <w:jc w:val="center"/>
              <w:rPr>
                <w:b/>
              </w:rPr>
            </w:pPr>
          </w:p>
          <w:p w:rsidR="009154CB" w:rsidRDefault="009154CB" w:rsidP="009154CB">
            <w:pPr>
              <w:jc w:val="center"/>
              <w:rPr>
                <w:b/>
              </w:rPr>
            </w:pPr>
          </w:p>
          <w:p w:rsidR="009154CB" w:rsidRPr="009F70B5" w:rsidRDefault="009154CB" w:rsidP="009154CB">
            <w:pPr>
              <w:jc w:val="center"/>
              <w:rPr>
                <w:b/>
              </w:rPr>
            </w:pPr>
          </w:p>
          <w:p w:rsidR="009154CB" w:rsidRPr="009F70B5" w:rsidRDefault="009154CB" w:rsidP="009154CB">
            <w:pPr>
              <w:jc w:val="center"/>
              <w:rPr>
                <w:b/>
              </w:rPr>
            </w:pPr>
            <w:r w:rsidRPr="009F70B5">
              <w:rPr>
                <w:b/>
              </w:rPr>
              <w:t>Návrh zákona čl.I</w:t>
            </w:r>
            <w:r>
              <w:rPr>
                <w:b/>
              </w:rPr>
              <w:t>I</w:t>
            </w:r>
          </w:p>
          <w:p w:rsidR="009154CB" w:rsidRPr="009F70B5" w:rsidRDefault="009154CB" w:rsidP="009154CB">
            <w:pPr>
              <w:jc w:val="center"/>
              <w:rPr>
                <w:b/>
              </w:rPr>
            </w:pPr>
          </w:p>
          <w:p w:rsidR="009154CB" w:rsidRDefault="009154CB" w:rsidP="009154CB">
            <w:pPr>
              <w:jc w:val="center"/>
              <w:rPr>
                <w:b/>
              </w:rPr>
            </w:pPr>
          </w:p>
          <w:p w:rsidR="009154CB" w:rsidRPr="009F70B5" w:rsidRDefault="009154CB" w:rsidP="009154CB">
            <w:pPr>
              <w:jc w:val="center"/>
            </w:pPr>
            <w:r w:rsidRPr="009F70B5">
              <w:t>222/</w:t>
            </w:r>
          </w:p>
          <w:p w:rsidR="009154CB" w:rsidRPr="009F70B5" w:rsidRDefault="009154CB" w:rsidP="009154CB">
            <w:pPr>
              <w:jc w:val="center"/>
            </w:pPr>
            <w:r w:rsidRPr="009F70B5">
              <w:t>2004</w:t>
            </w:r>
          </w:p>
          <w:p w:rsidR="009154CB" w:rsidRPr="009F70B5" w:rsidRDefault="009154CB" w:rsidP="009154CB">
            <w:pPr>
              <w:jc w:val="both"/>
            </w:pPr>
          </w:p>
          <w:p w:rsidR="009154CB" w:rsidRDefault="009154CB" w:rsidP="009154CB">
            <w:pPr>
              <w:jc w:val="center"/>
              <w:rPr>
                <w:b/>
              </w:rPr>
            </w:pPr>
            <w:r w:rsidRPr="009F70B5">
              <w:lastRenderedPageBreak/>
              <w:t>222/ 2004 a</w:t>
            </w:r>
            <w:r w:rsidRPr="009F70B5">
              <w:rPr>
                <w:b/>
              </w:rPr>
              <w:t xml:space="preserve"> návrh zákona čl.I</w:t>
            </w:r>
          </w:p>
          <w:p w:rsidR="009154CB" w:rsidRDefault="009154CB" w:rsidP="009154CB">
            <w:pPr>
              <w:jc w:val="center"/>
              <w:rPr>
                <w:b/>
              </w:rPr>
            </w:pPr>
          </w:p>
          <w:p w:rsidR="009154CB" w:rsidRDefault="009154CB" w:rsidP="009154CB">
            <w:pPr>
              <w:jc w:val="center"/>
              <w:rPr>
                <w:b/>
              </w:rPr>
            </w:pPr>
          </w:p>
          <w:p w:rsidR="009154CB" w:rsidRDefault="009154CB" w:rsidP="009154CB">
            <w:pPr>
              <w:jc w:val="center"/>
              <w:rPr>
                <w:b/>
              </w:rPr>
            </w:pPr>
          </w:p>
          <w:p w:rsidR="009154CB" w:rsidRDefault="009154CB" w:rsidP="009154CB">
            <w:pPr>
              <w:jc w:val="center"/>
              <w:rPr>
                <w:b/>
              </w:rPr>
            </w:pPr>
          </w:p>
          <w:p w:rsidR="009154CB" w:rsidRPr="00A25BB1" w:rsidRDefault="009154CB" w:rsidP="009154CB">
            <w:pPr>
              <w:jc w:val="center"/>
            </w:pPr>
            <w:r w:rsidRPr="00A25BB1">
              <w:t>575/ 2001</w:t>
            </w:r>
          </w:p>
          <w:p w:rsidR="009154CB" w:rsidRPr="009F70B5" w:rsidRDefault="009154CB" w:rsidP="009154C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7B28DF" w:rsidRDefault="009154CB" w:rsidP="009154CB">
            <w:pPr>
              <w:pStyle w:val="Normlny0"/>
              <w:jc w:val="center"/>
              <w:rPr>
                <w:sz w:val="24"/>
                <w:szCs w:val="24"/>
              </w:rPr>
            </w:pPr>
            <w:r w:rsidRPr="007B28DF">
              <w:rPr>
                <w:sz w:val="24"/>
                <w:szCs w:val="24"/>
              </w:rPr>
              <w:t>§ 35 ods.7</w:t>
            </w: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Default="009154CB" w:rsidP="009154CB">
            <w:pPr>
              <w:pStyle w:val="Normlny0"/>
              <w:jc w:val="both"/>
              <w:rPr>
                <w:sz w:val="24"/>
                <w:szCs w:val="24"/>
              </w:rPr>
            </w:pPr>
          </w:p>
          <w:p w:rsidR="009154CB" w:rsidRDefault="009154CB" w:rsidP="009154CB">
            <w:pPr>
              <w:pStyle w:val="Normlny0"/>
              <w:jc w:val="both"/>
              <w:rPr>
                <w:sz w:val="24"/>
                <w:szCs w:val="24"/>
              </w:rPr>
            </w:pPr>
          </w:p>
          <w:p w:rsidR="009154CB" w:rsidRDefault="009154CB" w:rsidP="009154CB">
            <w:pPr>
              <w:pStyle w:val="Normlny0"/>
              <w:jc w:val="both"/>
              <w:rPr>
                <w:sz w:val="24"/>
                <w:szCs w:val="24"/>
              </w:rPr>
            </w:pPr>
          </w:p>
          <w:p w:rsidR="009154CB" w:rsidRDefault="009154CB" w:rsidP="009154CB">
            <w:pPr>
              <w:pStyle w:val="Normlny0"/>
              <w:jc w:val="both"/>
              <w:rPr>
                <w:sz w:val="24"/>
                <w:szCs w:val="24"/>
              </w:rPr>
            </w:pPr>
          </w:p>
          <w:p w:rsidR="009154CB"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r w:rsidRPr="009F70B5">
              <w:rPr>
                <w:sz w:val="24"/>
                <w:szCs w:val="24"/>
              </w:rPr>
              <w:t>§ 86</w:t>
            </w:r>
          </w:p>
          <w:p w:rsidR="009154CB" w:rsidRPr="009F70B5" w:rsidRDefault="009154CB" w:rsidP="009154CB">
            <w:pPr>
              <w:pStyle w:val="Normlny0"/>
              <w:jc w:val="both"/>
              <w:rPr>
                <w:b/>
                <w:sz w:val="24"/>
                <w:szCs w:val="24"/>
              </w:rPr>
            </w:pPr>
          </w:p>
          <w:p w:rsidR="009154CB" w:rsidRPr="009F70B5" w:rsidRDefault="009154CB" w:rsidP="009154CB">
            <w:pPr>
              <w:pStyle w:val="Normlny0"/>
              <w:jc w:val="both"/>
              <w:rPr>
                <w:b/>
                <w:sz w:val="24"/>
                <w:szCs w:val="24"/>
              </w:rPr>
            </w:pPr>
          </w:p>
          <w:p w:rsidR="009154CB" w:rsidRPr="009F70B5" w:rsidRDefault="009154CB" w:rsidP="009154CB">
            <w:pPr>
              <w:pStyle w:val="Normlny0"/>
              <w:jc w:val="both"/>
              <w:rPr>
                <w:sz w:val="24"/>
                <w:szCs w:val="24"/>
              </w:rPr>
            </w:pPr>
            <w:r w:rsidRPr="009F70B5">
              <w:rPr>
                <w:sz w:val="24"/>
                <w:szCs w:val="24"/>
              </w:rPr>
              <w:t>Príloha č. 6</w:t>
            </w:r>
          </w:p>
          <w:p w:rsidR="009154CB" w:rsidRPr="009F70B5" w:rsidRDefault="009154CB" w:rsidP="009154CB">
            <w:pPr>
              <w:pStyle w:val="Normlny0"/>
              <w:jc w:val="both"/>
              <w:rPr>
                <w:sz w:val="24"/>
                <w:szCs w:val="24"/>
              </w:rPr>
            </w:pPr>
          </w:p>
          <w:p w:rsidR="009154CB" w:rsidRDefault="009154CB" w:rsidP="009154CB">
            <w:pPr>
              <w:pStyle w:val="Normlny0"/>
              <w:rPr>
                <w:sz w:val="24"/>
                <w:szCs w:val="24"/>
              </w:rPr>
            </w:pPr>
            <w:r w:rsidRPr="009F70B5">
              <w:rPr>
                <w:sz w:val="24"/>
                <w:szCs w:val="24"/>
              </w:rPr>
              <w:t>Bod 17</w:t>
            </w:r>
          </w:p>
          <w:p w:rsidR="009154CB" w:rsidRDefault="009154CB" w:rsidP="009154CB">
            <w:pPr>
              <w:pStyle w:val="Normlny0"/>
              <w:rPr>
                <w:sz w:val="24"/>
                <w:szCs w:val="24"/>
              </w:rPr>
            </w:pPr>
          </w:p>
          <w:p w:rsidR="009154CB" w:rsidRDefault="009154CB" w:rsidP="009154CB">
            <w:pPr>
              <w:pStyle w:val="Normlny0"/>
              <w:rPr>
                <w:sz w:val="24"/>
                <w:szCs w:val="24"/>
              </w:rPr>
            </w:pPr>
          </w:p>
          <w:p w:rsidR="009154CB" w:rsidRDefault="009154CB" w:rsidP="009154CB">
            <w:pPr>
              <w:pStyle w:val="Normlny0"/>
              <w:rPr>
                <w:sz w:val="24"/>
                <w:szCs w:val="24"/>
              </w:rPr>
            </w:pPr>
          </w:p>
          <w:p w:rsidR="009154CB" w:rsidRDefault="009154CB" w:rsidP="009154CB">
            <w:pPr>
              <w:pStyle w:val="Normlny0"/>
              <w:rPr>
                <w:sz w:val="24"/>
                <w:szCs w:val="24"/>
              </w:rPr>
            </w:pPr>
          </w:p>
          <w:p w:rsidR="009154CB" w:rsidRDefault="009154CB" w:rsidP="009154CB">
            <w:pPr>
              <w:pStyle w:val="Normlny0"/>
              <w:rPr>
                <w:sz w:val="24"/>
                <w:szCs w:val="24"/>
              </w:rPr>
            </w:pPr>
          </w:p>
          <w:p w:rsidR="009154CB" w:rsidRPr="007B28DF" w:rsidRDefault="009154CB" w:rsidP="009154CB">
            <w:pPr>
              <w:pStyle w:val="Normlny0"/>
              <w:jc w:val="center"/>
              <w:rPr>
                <w:sz w:val="24"/>
                <w:szCs w:val="24"/>
              </w:rPr>
            </w:pPr>
            <w:r w:rsidRPr="007B28DF">
              <w:rPr>
                <w:sz w:val="24"/>
                <w:szCs w:val="24"/>
              </w:rPr>
              <w:t>§ 35 ods.7</w:t>
            </w:r>
          </w:p>
          <w:p w:rsidR="009154CB" w:rsidRPr="009F70B5" w:rsidRDefault="009154CB" w:rsidP="009154CB">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p>
          <w:p w:rsidR="009154CB" w:rsidRDefault="009154CB" w:rsidP="009154CB">
            <w:pPr>
              <w:pStyle w:val="Normlny0"/>
              <w:jc w:val="both"/>
              <w:rPr>
                <w:sz w:val="24"/>
                <w:szCs w:val="24"/>
              </w:rPr>
            </w:pPr>
          </w:p>
          <w:p w:rsidR="009154CB"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A25BB1" w:rsidRDefault="009154CB" w:rsidP="009154CB">
            <w:pPr>
              <w:pStyle w:val="Normlny0"/>
              <w:jc w:val="both"/>
              <w:rPr>
                <w:sz w:val="24"/>
                <w:szCs w:val="24"/>
              </w:rPr>
            </w:pPr>
            <w:r w:rsidRPr="00A25BB1">
              <w:rPr>
                <w:sz w:val="24"/>
                <w:szCs w:val="24"/>
              </w:rPr>
              <w:t>Ministerstvá a ostatné ústredné orgány štátnej správy v rozsahu vymedzenej pôsobnosti plnia voči orgánom Európskej únie informačnú a oznamovaciu povinnosť, ktorá im vyplýva z právne záväzných aktov týchto orgánov.</w:t>
            </w:r>
          </w:p>
          <w:p w:rsidR="009154CB" w:rsidRPr="009F70B5" w:rsidRDefault="009154CB" w:rsidP="009154CB">
            <w:pPr>
              <w:pStyle w:val="Zkladntext"/>
              <w:jc w:val="both"/>
              <w:rPr>
                <w:b/>
              </w:rPr>
            </w:pPr>
          </w:p>
          <w:p w:rsidR="009154CB" w:rsidRPr="009F70B5" w:rsidRDefault="009154CB" w:rsidP="009154CB">
            <w:pPr>
              <w:pStyle w:val="Zkladntext"/>
              <w:jc w:val="both"/>
              <w:rPr>
                <w:b/>
              </w:rPr>
            </w:pPr>
          </w:p>
          <w:p w:rsidR="009154CB" w:rsidRPr="009F70B5" w:rsidRDefault="009154CB" w:rsidP="009154CB">
            <w:pPr>
              <w:pStyle w:val="Zkladntext"/>
              <w:jc w:val="both"/>
              <w:rPr>
                <w:b/>
              </w:rPr>
            </w:pPr>
          </w:p>
          <w:p w:rsidR="009154CB" w:rsidRPr="009F70B5" w:rsidRDefault="009154CB" w:rsidP="009154CB">
            <w:pPr>
              <w:pStyle w:val="Zkladntext"/>
              <w:jc w:val="both"/>
              <w:rPr>
                <w:b/>
              </w:rPr>
            </w:pPr>
          </w:p>
          <w:p w:rsidR="009154CB" w:rsidRPr="009F70B5" w:rsidRDefault="009154CB" w:rsidP="009154CB">
            <w:pPr>
              <w:pStyle w:val="Zkladntext"/>
              <w:jc w:val="both"/>
              <w:rPr>
                <w:b/>
              </w:rPr>
            </w:pPr>
            <w:r w:rsidRPr="009F70B5">
              <w:rPr>
                <w:b/>
              </w:rPr>
              <w:t>Tento zákon nadobúda účinnosť 1. januára 2019.</w:t>
            </w: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Default="009154CB" w:rsidP="009154CB">
            <w:pPr>
              <w:pStyle w:val="Normlny0"/>
              <w:jc w:val="both"/>
              <w:rPr>
                <w:sz w:val="24"/>
                <w:szCs w:val="24"/>
              </w:rPr>
            </w:pPr>
          </w:p>
          <w:p w:rsidR="009154CB" w:rsidRDefault="009154CB" w:rsidP="009154CB">
            <w:pPr>
              <w:pStyle w:val="Normlny0"/>
              <w:jc w:val="both"/>
              <w:rPr>
                <w:sz w:val="24"/>
                <w:szCs w:val="24"/>
              </w:rPr>
            </w:pP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r w:rsidRPr="009F70B5">
              <w:rPr>
                <w:sz w:val="24"/>
                <w:szCs w:val="24"/>
              </w:rPr>
              <w:t>Týmto zákonom sa preberajú právne záväzné akty Európskej únie uvedené v prílohe č. 6.</w:t>
            </w:r>
          </w:p>
          <w:p w:rsidR="009154CB" w:rsidRPr="009F70B5" w:rsidRDefault="009154CB" w:rsidP="009154CB">
            <w:pPr>
              <w:pStyle w:val="Normlny0"/>
              <w:jc w:val="both"/>
              <w:rPr>
                <w:sz w:val="24"/>
                <w:szCs w:val="24"/>
              </w:rPr>
            </w:pPr>
          </w:p>
          <w:p w:rsidR="009154CB" w:rsidRPr="009F70B5" w:rsidRDefault="009154CB" w:rsidP="009154CB">
            <w:pPr>
              <w:pStyle w:val="Normlny0"/>
              <w:jc w:val="both"/>
              <w:rPr>
                <w:sz w:val="24"/>
                <w:szCs w:val="24"/>
              </w:rPr>
            </w:pPr>
            <w:r w:rsidRPr="009F70B5">
              <w:rPr>
                <w:sz w:val="24"/>
                <w:szCs w:val="24"/>
              </w:rPr>
              <w:t>ZOZNAM PREBERANÝCH PRÁVNE ZÁVÄZNÝCH AKTOV EURÓPSKEJ ÚNIE</w:t>
            </w:r>
          </w:p>
          <w:p w:rsidR="009154CB" w:rsidRPr="009F70B5" w:rsidRDefault="009154CB" w:rsidP="009154CB">
            <w:pPr>
              <w:pStyle w:val="Normlny0"/>
              <w:jc w:val="both"/>
              <w:rPr>
                <w:sz w:val="24"/>
                <w:szCs w:val="24"/>
              </w:rPr>
            </w:pPr>
          </w:p>
          <w:p w:rsidR="009154CB" w:rsidRDefault="009154CB" w:rsidP="009154CB">
            <w:pPr>
              <w:pStyle w:val="Normlny0"/>
              <w:jc w:val="both"/>
              <w:rPr>
                <w:b/>
                <w:sz w:val="24"/>
                <w:szCs w:val="24"/>
              </w:rPr>
            </w:pPr>
            <w:r w:rsidRPr="009F70B5">
              <w:rPr>
                <w:b/>
                <w:sz w:val="24"/>
                <w:szCs w:val="24"/>
              </w:rPr>
              <w:t>17. Smernica Rady (EÚ) 2017/2455 z 5. decembra 2017, ktorou sa mení smernica 2006/112/ES a smernica 2009/132/ES, pokiaľ ide o určité povinnosti týkajúce sa dane z pridanej hodnoty pri poskytovaní služieb a predaji tovaru na diaľku (Ú. v. EÚ L 348, 29.12.2017).</w:t>
            </w:r>
          </w:p>
          <w:p w:rsidR="009154CB" w:rsidRDefault="009154CB" w:rsidP="009154CB">
            <w:pPr>
              <w:pStyle w:val="Normlny0"/>
              <w:jc w:val="both"/>
              <w:rPr>
                <w:b/>
                <w:sz w:val="24"/>
                <w:szCs w:val="24"/>
              </w:rPr>
            </w:pPr>
          </w:p>
          <w:p w:rsidR="009154CB" w:rsidRPr="00A25BB1" w:rsidRDefault="009154CB" w:rsidP="009154CB">
            <w:pPr>
              <w:pStyle w:val="Normlny0"/>
              <w:jc w:val="both"/>
              <w:rPr>
                <w:sz w:val="24"/>
                <w:szCs w:val="24"/>
              </w:rPr>
            </w:pPr>
            <w:r w:rsidRPr="00A25BB1">
              <w:rPr>
                <w:sz w:val="24"/>
                <w:szCs w:val="24"/>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r w:rsidRPr="009F70B5">
              <w:lastRenderedPageBreak/>
              <w:t>Ú</w:t>
            </w:r>
          </w:p>
          <w:p w:rsidR="009154CB" w:rsidRPr="009F70B5" w:rsidRDefault="009154CB" w:rsidP="009154CB">
            <w:pPr>
              <w:jc w:val="center"/>
            </w:pPr>
          </w:p>
          <w:p w:rsidR="009154CB" w:rsidRDefault="009154CB" w:rsidP="009154CB">
            <w:pPr>
              <w:jc w:val="center"/>
            </w:pPr>
          </w:p>
          <w:p w:rsidR="009154CB" w:rsidRPr="009F70B5" w:rsidRDefault="009154CB" w:rsidP="009154CB">
            <w:pPr>
              <w:jc w:val="center"/>
            </w:pPr>
          </w:p>
          <w:p w:rsidR="009154CB" w:rsidRPr="009F70B5" w:rsidRDefault="009154CB" w:rsidP="009154CB">
            <w:pPr>
              <w:jc w:val="center"/>
            </w:pPr>
          </w:p>
          <w:p w:rsidR="009154CB" w:rsidRDefault="009154CB" w:rsidP="009154CB">
            <w:pPr>
              <w:jc w:val="center"/>
            </w:pPr>
          </w:p>
          <w:p w:rsidR="009154CB" w:rsidRDefault="009154CB" w:rsidP="009154CB">
            <w:pPr>
              <w:jc w:val="center"/>
            </w:pPr>
          </w:p>
          <w:p w:rsidR="009154CB" w:rsidRDefault="009154CB" w:rsidP="009154CB">
            <w:pPr>
              <w:jc w:val="center"/>
            </w:pPr>
          </w:p>
          <w:p w:rsidR="009154CB" w:rsidRDefault="009154CB" w:rsidP="009154CB">
            <w:pPr>
              <w:jc w:val="center"/>
            </w:pPr>
          </w:p>
          <w:p w:rsidR="009154CB" w:rsidRPr="009F70B5" w:rsidRDefault="009154CB" w:rsidP="009154CB">
            <w:pPr>
              <w:jc w:val="center"/>
            </w:pPr>
            <w:r w:rsidRPr="009F70B5">
              <w:t>n.a.</w:t>
            </w:r>
          </w:p>
          <w:p w:rsidR="009154CB" w:rsidRPr="009F70B5" w:rsidRDefault="009154CB" w:rsidP="009154CB">
            <w:pPr>
              <w:jc w:val="center"/>
            </w:pPr>
          </w:p>
          <w:p w:rsidR="009154CB" w:rsidRPr="009F70B5" w:rsidRDefault="009154CB" w:rsidP="009154CB">
            <w:pPr>
              <w:jc w:val="center"/>
            </w:pPr>
          </w:p>
          <w:p w:rsidR="009154CB" w:rsidRPr="009F70B5" w:rsidRDefault="009154CB" w:rsidP="009154CB">
            <w:pPr>
              <w:jc w:val="center"/>
            </w:pPr>
            <w:r w:rsidRPr="009F70B5">
              <w:t>Ú</w:t>
            </w:r>
          </w:p>
          <w:p w:rsidR="009154CB" w:rsidRPr="009F70B5" w:rsidRDefault="009154CB" w:rsidP="009154CB">
            <w:pPr>
              <w:jc w:val="center"/>
            </w:pPr>
          </w:p>
          <w:p w:rsidR="009154CB" w:rsidRPr="009F70B5" w:rsidRDefault="009154CB" w:rsidP="009154CB">
            <w:pPr>
              <w:jc w:val="center"/>
            </w:pPr>
          </w:p>
          <w:p w:rsidR="009154CB" w:rsidRDefault="009154CB" w:rsidP="009154CB">
            <w:pPr>
              <w:jc w:val="center"/>
            </w:pPr>
          </w:p>
          <w:p w:rsidR="009154CB" w:rsidRPr="009F70B5" w:rsidRDefault="009154CB" w:rsidP="009154CB">
            <w:pPr>
              <w:jc w:val="center"/>
            </w:pPr>
          </w:p>
          <w:p w:rsidR="009154CB" w:rsidRPr="009F70B5" w:rsidRDefault="009154CB" w:rsidP="009154CB">
            <w:pPr>
              <w:jc w:val="center"/>
            </w:pPr>
            <w:r w:rsidRPr="009F70B5">
              <w:t>n.a.</w:t>
            </w:r>
          </w:p>
          <w:p w:rsidR="009154CB" w:rsidRPr="009F70B5" w:rsidRDefault="009154CB" w:rsidP="009154CB">
            <w:pPr>
              <w:jc w:val="center"/>
            </w:pPr>
            <w:r w:rsidRPr="009F70B5">
              <w:t>Ú</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pStyle w:val="Nadpis1"/>
              <w:rPr>
                <w:b w:val="0"/>
                <w:bCs w:val="0"/>
              </w:rPr>
            </w:pPr>
          </w:p>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pPr>
            <w:r w:rsidRPr="009F70B5">
              <w:t>Čl.5</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b/>
                <w:bCs/>
              </w:rPr>
            </w:pPr>
            <w:r w:rsidRPr="009F70B5">
              <w:rPr>
                <w:rFonts w:ascii="Times New Roman" w:hAnsi="Times New Roman" w:cs="Times New Roman"/>
                <w:b/>
                <w:bCs/>
              </w:rPr>
              <w:t xml:space="preserve">Nadobudnutie účinnosti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Táto smernica nadobúda účinnosť dvadsiatym dňom po jej uverejnení v </w:t>
            </w:r>
            <w:r w:rsidRPr="009F70B5">
              <w:rPr>
                <w:rFonts w:ascii="Times New Roman" w:hAnsi="Times New Roman" w:cs="Times New Roman"/>
                <w:i/>
                <w:iCs/>
              </w:rPr>
              <w:t>Úradnom vestníku Európskej únie</w:t>
            </w:r>
            <w:r w:rsidRPr="009F70B5">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r w:rsidRPr="009F70B5">
              <w:t>n.a.</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r w:rsidRPr="009F70B5">
              <w:t>n.a.</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pStyle w:val="Nadpis1"/>
              <w:rPr>
                <w:b w:val="0"/>
                <w:bCs w:val="0"/>
              </w:rPr>
            </w:pPr>
          </w:p>
        </w:tc>
      </w:tr>
      <w:tr w:rsidR="009154CB" w:rsidRPr="009F70B5" w:rsidTr="001E37A7">
        <w:tc>
          <w:tcPr>
            <w:tcW w:w="540" w:type="dxa"/>
            <w:tcBorders>
              <w:top w:val="single" w:sz="4" w:space="0" w:color="auto"/>
              <w:left w:val="single" w:sz="12" w:space="0" w:color="auto"/>
              <w:bottom w:val="single" w:sz="4" w:space="0" w:color="auto"/>
              <w:right w:val="single" w:sz="4" w:space="0" w:color="auto"/>
            </w:tcBorders>
          </w:tcPr>
          <w:p w:rsidR="009154CB" w:rsidRPr="009F70B5" w:rsidRDefault="009154CB" w:rsidP="009154CB">
            <w:pPr>
              <w:jc w:val="center"/>
            </w:pPr>
            <w:r w:rsidRPr="009F70B5">
              <w:t>Čl.6</w:t>
            </w:r>
          </w:p>
        </w:tc>
        <w:tc>
          <w:tcPr>
            <w:tcW w:w="6946" w:type="dxa"/>
            <w:gridSpan w:val="2"/>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Default"/>
              <w:rPr>
                <w:rFonts w:ascii="Times New Roman" w:hAnsi="Times New Roman" w:cs="Times New Roman"/>
                <w:b/>
                <w:bCs/>
              </w:rPr>
            </w:pPr>
            <w:r w:rsidRPr="009F70B5">
              <w:rPr>
                <w:rFonts w:ascii="Times New Roman" w:hAnsi="Times New Roman" w:cs="Times New Roman"/>
                <w:b/>
                <w:bCs/>
              </w:rPr>
              <w:t xml:space="preserve">Adresáti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Táto smernica je určená členským štátom.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rPr>
              <w:t xml:space="preserve">V Bruseli 5. decembra 2017 </w:t>
            </w:r>
          </w:p>
          <w:p w:rsidR="009154CB" w:rsidRPr="009F70B5" w:rsidRDefault="009154CB" w:rsidP="009154CB">
            <w:pPr>
              <w:pStyle w:val="Default"/>
              <w:rPr>
                <w:rFonts w:ascii="Times New Roman" w:hAnsi="Times New Roman" w:cs="Times New Roman"/>
              </w:rPr>
            </w:pPr>
            <w:r w:rsidRPr="009F70B5">
              <w:rPr>
                <w:rFonts w:ascii="Times New Roman" w:hAnsi="Times New Roman" w:cs="Times New Roman"/>
                <w:i/>
                <w:iCs/>
              </w:rPr>
              <w:t xml:space="preserve">Za Radu predseda </w:t>
            </w:r>
            <w:r w:rsidRPr="009F70B5">
              <w:rPr>
                <w:rFonts w:ascii="Times New Roman" w:hAnsi="Times New Roman" w:cs="Times New Roman"/>
              </w:rPr>
              <w:t>T. TÕNISTE</w:t>
            </w:r>
          </w:p>
        </w:tc>
        <w:tc>
          <w:tcPr>
            <w:tcW w:w="567"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jc w:val="center"/>
            </w:pPr>
            <w:r w:rsidRPr="009F70B5">
              <w:t>n.a.</w:t>
            </w:r>
          </w:p>
        </w:tc>
        <w:tc>
          <w:tcPr>
            <w:tcW w:w="709" w:type="dxa"/>
            <w:tcBorders>
              <w:top w:val="single" w:sz="4" w:space="0" w:color="auto"/>
              <w:left w:val="nil"/>
              <w:bottom w:val="single" w:sz="4" w:space="0" w:color="auto"/>
              <w:right w:val="single" w:sz="4" w:space="0" w:color="auto"/>
            </w:tcBorders>
          </w:tcPr>
          <w:p w:rsidR="009154CB" w:rsidRPr="009F70B5" w:rsidRDefault="009154CB" w:rsidP="009154C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pStyle w:val="Normlny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154CB" w:rsidRPr="009F70B5" w:rsidRDefault="009154CB" w:rsidP="009154CB">
            <w:pPr>
              <w:jc w:val="center"/>
            </w:pPr>
            <w:r w:rsidRPr="009F70B5">
              <w:t>n.a.</w:t>
            </w:r>
          </w:p>
        </w:tc>
        <w:tc>
          <w:tcPr>
            <w:tcW w:w="634" w:type="dxa"/>
            <w:tcBorders>
              <w:top w:val="single" w:sz="4" w:space="0" w:color="auto"/>
              <w:left w:val="single" w:sz="4" w:space="0" w:color="auto"/>
              <w:bottom w:val="single" w:sz="4" w:space="0" w:color="auto"/>
              <w:right w:val="single" w:sz="12" w:space="0" w:color="auto"/>
            </w:tcBorders>
          </w:tcPr>
          <w:p w:rsidR="009154CB" w:rsidRPr="009F70B5" w:rsidRDefault="009154CB" w:rsidP="009154CB">
            <w:pPr>
              <w:pStyle w:val="Nadpis1"/>
              <w:rPr>
                <w:b w:val="0"/>
                <w:bCs w:val="0"/>
              </w:rPr>
            </w:pPr>
          </w:p>
        </w:tc>
      </w:tr>
    </w:tbl>
    <w:p w:rsidR="0042109C" w:rsidRDefault="0042109C" w:rsidP="00162F39">
      <w:pPr>
        <w:autoSpaceDE/>
        <w:autoSpaceDN/>
      </w:pPr>
    </w:p>
    <w:p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rsidTr="00344B44">
        <w:tc>
          <w:tcPr>
            <w:tcW w:w="241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rsidR="00162F39" w:rsidRPr="009F70B5" w:rsidRDefault="00162F39" w:rsidP="00344B44">
            <w:pPr>
              <w:autoSpaceDE/>
              <w:autoSpaceDN/>
            </w:pPr>
            <w:r w:rsidRPr="009F70B5">
              <w:t>Č – článok</w:t>
            </w:r>
          </w:p>
          <w:p w:rsidR="00162F39" w:rsidRPr="009F70B5" w:rsidRDefault="00162F39" w:rsidP="00344B44">
            <w:pPr>
              <w:autoSpaceDE/>
              <w:autoSpaceDN/>
            </w:pPr>
            <w:r w:rsidRPr="009F70B5">
              <w:t>O – odsek</w:t>
            </w:r>
          </w:p>
          <w:p w:rsidR="00162F39" w:rsidRPr="009F70B5" w:rsidRDefault="00162F39" w:rsidP="00344B44">
            <w:pPr>
              <w:autoSpaceDE/>
              <w:autoSpaceDN/>
            </w:pPr>
            <w:r w:rsidRPr="009F70B5">
              <w:t>V – veta</w:t>
            </w:r>
          </w:p>
          <w:p w:rsidR="00162F39" w:rsidRPr="009F70B5" w:rsidRDefault="00162F39" w:rsidP="00344B44">
            <w:pPr>
              <w:autoSpaceDE/>
              <w:autoSpaceDN/>
            </w:pPr>
            <w:r w:rsidRPr="009F70B5">
              <w:t>P – číslo (písmeno)</w:t>
            </w:r>
          </w:p>
          <w:p w:rsidR="00162F39" w:rsidRPr="009F70B5" w:rsidRDefault="00162F39" w:rsidP="00344B44">
            <w:pPr>
              <w:autoSpaceDE/>
              <w:autoSpaceDN/>
            </w:pPr>
          </w:p>
        </w:tc>
        <w:tc>
          <w:tcPr>
            <w:tcW w:w="378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rsidR="00162F39" w:rsidRPr="009F70B5" w:rsidRDefault="00162F39" w:rsidP="00344B44">
            <w:pPr>
              <w:autoSpaceDE/>
              <w:autoSpaceDN/>
            </w:pPr>
            <w:r w:rsidRPr="009F70B5">
              <w:t>N – bežná transpozícia</w:t>
            </w:r>
          </w:p>
          <w:p w:rsidR="00162F39" w:rsidRPr="009F70B5" w:rsidRDefault="00162F39" w:rsidP="00344B44">
            <w:pPr>
              <w:autoSpaceDE/>
              <w:autoSpaceDN/>
            </w:pPr>
            <w:r w:rsidRPr="009F70B5">
              <w:t>O – transpozícia s možnosťou voľby</w:t>
            </w:r>
          </w:p>
          <w:p w:rsidR="00162F39" w:rsidRPr="009F70B5" w:rsidRDefault="00162F39" w:rsidP="00344B44">
            <w:pPr>
              <w:autoSpaceDE/>
              <w:autoSpaceDN/>
            </w:pPr>
            <w:r w:rsidRPr="009F70B5">
              <w:t>D – transpozícia podľa úvahy (dobrovoľná)</w:t>
            </w:r>
          </w:p>
          <w:p w:rsidR="00162F39" w:rsidRPr="009F70B5" w:rsidRDefault="00162F39" w:rsidP="00344B44">
            <w:pPr>
              <w:autoSpaceDE/>
              <w:autoSpaceDN/>
            </w:pPr>
            <w:r w:rsidRPr="009F70B5">
              <w:t>n.a. – transpozícia sa neuskutočňuje</w:t>
            </w:r>
          </w:p>
        </w:tc>
        <w:tc>
          <w:tcPr>
            <w:tcW w:w="234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rsidR="00162F39" w:rsidRPr="009F70B5" w:rsidRDefault="00162F39" w:rsidP="00344B44">
            <w:pPr>
              <w:autoSpaceDE/>
              <w:autoSpaceDN/>
            </w:pPr>
            <w:r w:rsidRPr="009F70B5">
              <w:t>Č – článok</w:t>
            </w:r>
          </w:p>
          <w:p w:rsidR="00162F39" w:rsidRPr="009F70B5" w:rsidRDefault="00162F39" w:rsidP="00344B44">
            <w:pPr>
              <w:autoSpaceDE/>
              <w:autoSpaceDN/>
            </w:pPr>
            <w:r w:rsidRPr="009F70B5">
              <w:t>§ – paragraf</w:t>
            </w:r>
          </w:p>
          <w:p w:rsidR="00162F39" w:rsidRPr="009F70B5" w:rsidRDefault="00162F39" w:rsidP="00344B44">
            <w:pPr>
              <w:autoSpaceDE/>
              <w:autoSpaceDN/>
            </w:pPr>
            <w:r w:rsidRPr="009F70B5">
              <w:t>O – odsek</w:t>
            </w:r>
          </w:p>
          <w:p w:rsidR="00162F39" w:rsidRPr="009F70B5" w:rsidRDefault="00162F39" w:rsidP="00344B44">
            <w:pPr>
              <w:autoSpaceDE/>
              <w:autoSpaceDN/>
            </w:pPr>
            <w:r w:rsidRPr="009F70B5">
              <w:t>V – veta</w:t>
            </w:r>
          </w:p>
          <w:p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rsidR="00162F39" w:rsidRPr="009F70B5" w:rsidRDefault="00162F39" w:rsidP="00344B44">
            <w:pPr>
              <w:autoSpaceDE/>
              <w:autoSpaceDN/>
            </w:pPr>
            <w:r w:rsidRPr="009F70B5">
              <w:t>Č – čiastočná zhoda (ak minimálne jedna z podmienok úplnej zhody nie je splnená)</w:t>
            </w:r>
          </w:p>
          <w:p w:rsidR="00162F39" w:rsidRPr="009F70B5" w:rsidRDefault="00162F39" w:rsidP="00344B44">
            <w:pPr>
              <w:pStyle w:val="Zarkazkladnhotextu2"/>
              <w:rPr>
                <w:sz w:val="24"/>
                <w:szCs w:val="24"/>
              </w:rPr>
            </w:pPr>
            <w:r w:rsidRPr="009F70B5">
              <w:rPr>
                <w:sz w:val="24"/>
                <w:szCs w:val="24"/>
              </w:rPr>
              <w:t>Ž – žiadna zhoda (ak nebola dosiahnutá ani úplná ani čiast. zhoda alebo k prebratiu dôjde v budúcnosti)</w:t>
            </w:r>
          </w:p>
          <w:p w:rsidR="00162F39" w:rsidRPr="00A54A82" w:rsidRDefault="00162F39" w:rsidP="00344B44">
            <w:pPr>
              <w:autoSpaceDE/>
              <w:autoSpaceDN/>
              <w:ind w:left="290" w:hanging="290"/>
            </w:pPr>
            <w:r w:rsidRPr="009F70B5">
              <w:t>n.a. – neaplikovateľnosť (ak sa ustanovenie smernice netýka SR alebo nie je potrebné ho prebrať)</w:t>
            </w:r>
          </w:p>
        </w:tc>
      </w:tr>
    </w:tbl>
    <w:p w:rsidR="00162F39" w:rsidRPr="00A54A82" w:rsidRDefault="00162F39">
      <w:pPr>
        <w:pStyle w:val="Hlavika"/>
        <w:tabs>
          <w:tab w:val="clear" w:pos="4536"/>
          <w:tab w:val="clear" w:pos="9072"/>
        </w:tabs>
        <w:autoSpaceDE/>
        <w:autoSpaceDN/>
      </w:pPr>
    </w:p>
    <w:sectPr w:rsidR="00162F39" w:rsidRPr="00A54A82">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C0B" w:rsidRDefault="00C70C0B">
      <w:r>
        <w:separator/>
      </w:r>
    </w:p>
  </w:endnote>
  <w:endnote w:type="continuationSeparator" w:id="0">
    <w:p w:rsidR="00C70C0B" w:rsidRDefault="00C7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Arial"/>
    <w:panose1 w:val="00000000000000000000"/>
    <w:charset w:val="EE"/>
    <w:family w:val="swiss"/>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D" w:rsidRDefault="00CB2E5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80B57">
      <w:rPr>
        <w:rStyle w:val="slostrany"/>
        <w:noProof/>
      </w:rPr>
      <w:t>3</w:t>
    </w:r>
    <w:r>
      <w:rPr>
        <w:rStyle w:val="slostrany"/>
      </w:rPr>
      <w:fldChar w:fldCharType="end"/>
    </w:r>
  </w:p>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C0B" w:rsidRDefault="00C70C0B">
      <w:r>
        <w:separator/>
      </w:r>
    </w:p>
  </w:footnote>
  <w:footnote w:type="continuationSeparator" w:id="0">
    <w:p w:rsidR="00C70C0B" w:rsidRDefault="00C7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77E8"/>
    <w:rsid w:val="00024B91"/>
    <w:rsid w:val="000334C9"/>
    <w:rsid w:val="00093769"/>
    <w:rsid w:val="000C2E53"/>
    <w:rsid w:val="000D7A9F"/>
    <w:rsid w:val="00127033"/>
    <w:rsid w:val="00134AFA"/>
    <w:rsid w:val="00152570"/>
    <w:rsid w:val="00153B33"/>
    <w:rsid w:val="00162F39"/>
    <w:rsid w:val="0017797B"/>
    <w:rsid w:val="001A1209"/>
    <w:rsid w:val="001A7466"/>
    <w:rsid w:val="001B0DED"/>
    <w:rsid w:val="001E37A7"/>
    <w:rsid w:val="002153F7"/>
    <w:rsid w:val="00217BF4"/>
    <w:rsid w:val="00270E65"/>
    <w:rsid w:val="00277054"/>
    <w:rsid w:val="0029483D"/>
    <w:rsid w:val="002D7C21"/>
    <w:rsid w:val="002E1D16"/>
    <w:rsid w:val="00344B44"/>
    <w:rsid w:val="00346101"/>
    <w:rsid w:val="00391DC5"/>
    <w:rsid w:val="003C0E7F"/>
    <w:rsid w:val="003C1068"/>
    <w:rsid w:val="003D2957"/>
    <w:rsid w:val="003E7B78"/>
    <w:rsid w:val="0041098C"/>
    <w:rsid w:val="0042109C"/>
    <w:rsid w:val="004219E0"/>
    <w:rsid w:val="00424270"/>
    <w:rsid w:val="00440A2A"/>
    <w:rsid w:val="004577EC"/>
    <w:rsid w:val="00494CFC"/>
    <w:rsid w:val="004A465D"/>
    <w:rsid w:val="004A4BD5"/>
    <w:rsid w:val="004A6EDF"/>
    <w:rsid w:val="00510804"/>
    <w:rsid w:val="005170A9"/>
    <w:rsid w:val="00565B0C"/>
    <w:rsid w:val="00567E0F"/>
    <w:rsid w:val="005947B8"/>
    <w:rsid w:val="005A7A51"/>
    <w:rsid w:val="005D51AE"/>
    <w:rsid w:val="005E0477"/>
    <w:rsid w:val="005E147F"/>
    <w:rsid w:val="005F24D3"/>
    <w:rsid w:val="005F45F5"/>
    <w:rsid w:val="00601F13"/>
    <w:rsid w:val="00631CBB"/>
    <w:rsid w:val="0064397E"/>
    <w:rsid w:val="00656B18"/>
    <w:rsid w:val="00683A6B"/>
    <w:rsid w:val="00691173"/>
    <w:rsid w:val="006C0EF0"/>
    <w:rsid w:val="006E689D"/>
    <w:rsid w:val="007572C5"/>
    <w:rsid w:val="0078287E"/>
    <w:rsid w:val="00792DA7"/>
    <w:rsid w:val="007A3E67"/>
    <w:rsid w:val="007B2660"/>
    <w:rsid w:val="007B28DF"/>
    <w:rsid w:val="007B2A07"/>
    <w:rsid w:val="007C4D80"/>
    <w:rsid w:val="007D28E7"/>
    <w:rsid w:val="007E1A3C"/>
    <w:rsid w:val="008120A4"/>
    <w:rsid w:val="00834B3E"/>
    <w:rsid w:val="00837383"/>
    <w:rsid w:val="008501EA"/>
    <w:rsid w:val="00851837"/>
    <w:rsid w:val="00861E2E"/>
    <w:rsid w:val="008A0B4B"/>
    <w:rsid w:val="008A5161"/>
    <w:rsid w:val="008C54C3"/>
    <w:rsid w:val="00906222"/>
    <w:rsid w:val="009154CB"/>
    <w:rsid w:val="0091636B"/>
    <w:rsid w:val="00940173"/>
    <w:rsid w:val="009612CE"/>
    <w:rsid w:val="009719C2"/>
    <w:rsid w:val="009826E3"/>
    <w:rsid w:val="009842F4"/>
    <w:rsid w:val="009B112F"/>
    <w:rsid w:val="009C5E2D"/>
    <w:rsid w:val="009C7D31"/>
    <w:rsid w:val="009F70B5"/>
    <w:rsid w:val="00A02F9A"/>
    <w:rsid w:val="00A25BB1"/>
    <w:rsid w:val="00A47BED"/>
    <w:rsid w:val="00A54A82"/>
    <w:rsid w:val="00A642C7"/>
    <w:rsid w:val="00A80B57"/>
    <w:rsid w:val="00A9063F"/>
    <w:rsid w:val="00A91B17"/>
    <w:rsid w:val="00AA55DA"/>
    <w:rsid w:val="00AB7D27"/>
    <w:rsid w:val="00AC38D9"/>
    <w:rsid w:val="00AF4C71"/>
    <w:rsid w:val="00B565D4"/>
    <w:rsid w:val="00B5670C"/>
    <w:rsid w:val="00B60F69"/>
    <w:rsid w:val="00B64B09"/>
    <w:rsid w:val="00B6661C"/>
    <w:rsid w:val="00B702BC"/>
    <w:rsid w:val="00B72977"/>
    <w:rsid w:val="00B76110"/>
    <w:rsid w:val="00B81E7C"/>
    <w:rsid w:val="00B87F4D"/>
    <w:rsid w:val="00BD4EF1"/>
    <w:rsid w:val="00BF6D89"/>
    <w:rsid w:val="00C10070"/>
    <w:rsid w:val="00C139A5"/>
    <w:rsid w:val="00C21CEF"/>
    <w:rsid w:val="00C31F34"/>
    <w:rsid w:val="00C34EF5"/>
    <w:rsid w:val="00C46781"/>
    <w:rsid w:val="00C469D0"/>
    <w:rsid w:val="00C70C0B"/>
    <w:rsid w:val="00C72D73"/>
    <w:rsid w:val="00CB2E5D"/>
    <w:rsid w:val="00D205AC"/>
    <w:rsid w:val="00D22A7B"/>
    <w:rsid w:val="00D33B5F"/>
    <w:rsid w:val="00D3404B"/>
    <w:rsid w:val="00D83E5B"/>
    <w:rsid w:val="00DA0F6C"/>
    <w:rsid w:val="00DA54B0"/>
    <w:rsid w:val="00DC0F95"/>
    <w:rsid w:val="00DD7266"/>
    <w:rsid w:val="00DD7F71"/>
    <w:rsid w:val="00DE0F85"/>
    <w:rsid w:val="00DE4509"/>
    <w:rsid w:val="00E030B3"/>
    <w:rsid w:val="00E24E4C"/>
    <w:rsid w:val="00E37F4F"/>
    <w:rsid w:val="00E47DCE"/>
    <w:rsid w:val="00E82EAF"/>
    <w:rsid w:val="00EA0660"/>
    <w:rsid w:val="00EA24EB"/>
    <w:rsid w:val="00EB2BD1"/>
    <w:rsid w:val="00ED5087"/>
    <w:rsid w:val="00EE7DD6"/>
    <w:rsid w:val="00F047A8"/>
    <w:rsid w:val="00F4080C"/>
    <w:rsid w:val="00F715C3"/>
    <w:rsid w:val="00FA7BE7"/>
    <w:rsid w:val="00FB36F4"/>
    <w:rsid w:val="00FF41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79245D-7E2A-4065-A9C8-63B9F6FB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Words>
  <Characters>13543</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Jablonkova Zdenka</cp:lastModifiedBy>
  <cp:revision>3</cp:revision>
  <cp:lastPrinted>2018-05-30T10:33:00Z</cp:lastPrinted>
  <dcterms:created xsi:type="dcterms:W3CDTF">2018-09-12T06:59:00Z</dcterms:created>
  <dcterms:modified xsi:type="dcterms:W3CDTF">2018-09-12T06:59:00Z</dcterms:modified>
</cp:coreProperties>
</file>