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709"/>
        <w:gridCol w:w="709"/>
        <w:gridCol w:w="5670"/>
        <w:gridCol w:w="425"/>
        <w:gridCol w:w="634"/>
      </w:tblGrid>
      <w:tr w:rsidR="008C54C3" w:rsidRPr="000D7A9F">
        <w:tc>
          <w:tcPr>
            <w:tcW w:w="16200" w:type="dxa"/>
            <w:gridSpan w:val="9"/>
            <w:tcBorders>
              <w:top w:val="single" w:sz="12" w:space="0" w:color="auto"/>
              <w:left w:val="single" w:sz="12" w:space="0" w:color="auto"/>
              <w:bottom w:val="single" w:sz="4" w:space="0" w:color="auto"/>
              <w:right w:val="single" w:sz="12" w:space="0" w:color="auto"/>
            </w:tcBorders>
          </w:tcPr>
          <w:p w:rsidR="008C54C3" w:rsidRPr="000D7A9F" w:rsidRDefault="008C54C3" w:rsidP="00DD7F71">
            <w:pPr>
              <w:pStyle w:val="Nadpis1"/>
            </w:pPr>
            <w:r w:rsidRPr="000D7A9F">
              <w:t>TABUĽKA  ZHODY</w:t>
            </w:r>
          </w:p>
          <w:p w:rsidR="002F036F" w:rsidRDefault="004577EC" w:rsidP="00AE1172">
            <w:pPr>
              <w:tabs>
                <w:tab w:val="left" w:pos="0"/>
              </w:tabs>
              <w:jc w:val="center"/>
              <w:rPr>
                <w:b/>
                <w:color w:val="000000"/>
              </w:rPr>
            </w:pPr>
            <w:r w:rsidRPr="009842F4">
              <w:rPr>
                <w:b/>
              </w:rPr>
              <w:t>k </w:t>
            </w:r>
            <w:r w:rsidR="0078287E" w:rsidRPr="009842F4">
              <w:rPr>
                <w:b/>
              </w:rPr>
              <w:t>n</w:t>
            </w:r>
            <w:r w:rsidR="0091636B" w:rsidRPr="009842F4">
              <w:rPr>
                <w:b/>
              </w:rPr>
              <w:t>ávrh</w:t>
            </w:r>
            <w:r w:rsidR="00AB7D27" w:rsidRPr="009842F4">
              <w:rPr>
                <w:b/>
              </w:rPr>
              <w:t>u</w:t>
            </w:r>
            <w:r w:rsidR="0091636B" w:rsidRPr="009842F4">
              <w:rPr>
                <w:b/>
              </w:rPr>
              <w:t xml:space="preserve"> zákona</w:t>
            </w:r>
            <w:r w:rsidR="009842F4" w:rsidRPr="009842F4">
              <w:rPr>
                <w:b/>
              </w:rPr>
              <w:t xml:space="preserve">, </w:t>
            </w:r>
            <w:r w:rsidR="009842F4" w:rsidRPr="009842F4">
              <w:rPr>
                <w:b/>
                <w:color w:val="000000"/>
              </w:rPr>
              <w:t xml:space="preserve">ktorým sa mení a dopĺňa zákon č. 222/2004 Z. z. o dani z pridanej hodnoty v znení neskorších predpisov </w:t>
            </w:r>
          </w:p>
          <w:p w:rsidR="008C54C3" w:rsidRPr="009842F4" w:rsidRDefault="00127033" w:rsidP="00AE1172">
            <w:pPr>
              <w:tabs>
                <w:tab w:val="left" w:pos="0"/>
              </w:tabs>
              <w:jc w:val="center"/>
              <w:rPr>
                <w:b/>
              </w:rPr>
            </w:pPr>
            <w:r w:rsidRPr="009842F4">
              <w:rPr>
                <w:b/>
              </w:rPr>
              <w:t>s právom Európskej únie</w:t>
            </w:r>
          </w:p>
        </w:tc>
      </w:tr>
      <w:tr w:rsidR="008C54C3" w:rsidRPr="000D7A9F">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0D7A9F" w:rsidRDefault="008C54C3" w:rsidP="00834B3E">
            <w:pPr>
              <w:pStyle w:val="Nadpis4"/>
              <w:jc w:val="both"/>
              <w:rPr>
                <w:sz w:val="24"/>
                <w:szCs w:val="24"/>
              </w:rPr>
            </w:pPr>
            <w:r w:rsidRPr="000D7A9F">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0D7A9F" w:rsidRDefault="00834B3E" w:rsidP="00834B3E">
            <w:pPr>
              <w:pStyle w:val="Default"/>
              <w:jc w:val="both"/>
              <w:rPr>
                <w:rFonts w:ascii="Times New Roman" w:hAnsi="Times New Roman" w:cs="Times New Roman"/>
                <w:b/>
                <w:bCs/>
              </w:rPr>
            </w:pPr>
            <w:r w:rsidRPr="000D7A9F">
              <w:rPr>
                <w:rFonts w:ascii="Times New Roman" w:hAnsi="Times New Roman" w:cs="Times New Roman"/>
              </w:rPr>
              <w:t xml:space="preserve"> </w:t>
            </w:r>
            <w:r w:rsidRPr="000D7A9F">
              <w:rPr>
                <w:rFonts w:ascii="Times New Roman" w:hAnsi="Times New Roman" w:cs="Times New Roman"/>
                <w:b/>
                <w:bCs/>
              </w:rPr>
              <w:t xml:space="preserve">SMERNICA RADY (EÚ) </w:t>
            </w:r>
            <w:r w:rsidRPr="000D7A9F">
              <w:rPr>
                <w:rFonts w:ascii="Times New Roman" w:hAnsi="Times New Roman" w:cs="Times New Roman"/>
                <w:b/>
                <w:bCs/>
                <w:u w:val="single"/>
              </w:rPr>
              <w:t>2016/1065</w:t>
            </w:r>
            <w:r w:rsidRPr="000D7A9F">
              <w:rPr>
                <w:rFonts w:ascii="Times New Roman" w:hAnsi="Times New Roman" w:cs="Times New Roman"/>
                <w:b/>
                <w:bCs/>
              </w:rPr>
              <w:t xml:space="preserve"> z 27. júna 2016, ktorou sa mení smernica 2006/112/ES, pokiaľ ide o zaobchádzanie s poukazmi</w:t>
            </w:r>
          </w:p>
        </w:tc>
      </w:tr>
      <w:tr w:rsidR="008C54C3" w:rsidRPr="000D7A9F"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EE7DD6" w:rsidRPr="000D7A9F" w:rsidRDefault="00DE0F85" w:rsidP="00834B3E">
            <w:pPr>
              <w:pStyle w:val="Nadpis4"/>
              <w:spacing w:before="120"/>
              <w:jc w:val="both"/>
              <w:rPr>
                <w:sz w:val="24"/>
                <w:szCs w:val="24"/>
              </w:rPr>
            </w:pPr>
            <w:r w:rsidRPr="000D7A9F">
              <w:rPr>
                <w:sz w:val="24"/>
                <w:szCs w:val="24"/>
              </w:rPr>
              <w:t>Smernica EÚ</w:t>
            </w:r>
          </w:p>
          <w:p w:rsidR="00834B3E" w:rsidRPr="000D7A9F" w:rsidRDefault="00834B3E" w:rsidP="00834B3E">
            <w:pPr>
              <w:jc w:val="both"/>
            </w:pPr>
            <w:r w:rsidRPr="000D7A9F">
              <w:rPr>
                <w:b/>
                <w:bCs/>
              </w:rPr>
              <w:t xml:space="preserve">SMERNICA RADY (EÚ) </w:t>
            </w:r>
            <w:r w:rsidRPr="000D7A9F">
              <w:rPr>
                <w:b/>
                <w:bCs/>
                <w:u w:val="single"/>
              </w:rPr>
              <w:t>2016/1065</w:t>
            </w:r>
            <w:r w:rsidRPr="000D7A9F">
              <w:rPr>
                <w:b/>
                <w:bCs/>
              </w:rPr>
              <w:t xml:space="preserve"> z 27. júna 2016, ktorou sa mení smernica 2006/112/ES, pokiaľ ide o zaobchádzanie s poukazmi</w:t>
            </w:r>
          </w:p>
        </w:tc>
        <w:tc>
          <w:tcPr>
            <w:tcW w:w="8147" w:type="dxa"/>
            <w:gridSpan w:val="5"/>
            <w:tcBorders>
              <w:top w:val="single" w:sz="4" w:space="0" w:color="auto"/>
              <w:left w:val="nil"/>
              <w:bottom w:val="single" w:sz="4" w:space="0" w:color="auto"/>
              <w:right w:val="single" w:sz="12" w:space="0" w:color="auto"/>
            </w:tcBorders>
          </w:tcPr>
          <w:p w:rsidR="008C54C3" w:rsidRPr="000D7A9F" w:rsidRDefault="008C54C3" w:rsidP="00834B3E">
            <w:pPr>
              <w:pStyle w:val="Nadpis4"/>
              <w:spacing w:before="120"/>
              <w:jc w:val="both"/>
              <w:rPr>
                <w:sz w:val="24"/>
                <w:szCs w:val="24"/>
              </w:rPr>
            </w:pPr>
            <w:r w:rsidRPr="000D7A9F">
              <w:rPr>
                <w:sz w:val="24"/>
                <w:szCs w:val="24"/>
              </w:rPr>
              <w:t>Všeobecne záväzné právne predpisy Slovenskej republiky</w:t>
            </w:r>
          </w:p>
          <w:p w:rsidR="00834B3E" w:rsidRPr="000D7A9F" w:rsidRDefault="002F6FA1" w:rsidP="00834B3E">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DD7F71" w:rsidRPr="000D7A9F">
              <w:rPr>
                <w:b/>
              </w:rPr>
              <w:t>(ďalej „návrh zákona“)</w:t>
            </w:r>
          </w:p>
          <w:p w:rsidR="00DD7F71" w:rsidRPr="000D7A9F" w:rsidRDefault="00DD7F71" w:rsidP="00834B3E">
            <w:pPr>
              <w:pStyle w:val="Zkladntext"/>
              <w:jc w:val="both"/>
              <w:rPr>
                <w:b/>
              </w:rPr>
            </w:pPr>
          </w:p>
          <w:p w:rsidR="00DD7F71" w:rsidRDefault="00DD7F71" w:rsidP="00834B3E">
            <w:pPr>
              <w:pStyle w:val="Zkladntext"/>
              <w:jc w:val="both"/>
            </w:pPr>
            <w:r w:rsidRPr="000D7A9F">
              <w:t>Zákon č. 222/2004 Z.z. o dani z pridanej hodnoty v znení neskorších predpisov (ďalej „222/2004“)</w:t>
            </w:r>
          </w:p>
          <w:p w:rsidR="0029483D" w:rsidRDefault="0029483D" w:rsidP="00834B3E">
            <w:pPr>
              <w:pStyle w:val="Zkladntext"/>
              <w:jc w:val="both"/>
            </w:pPr>
          </w:p>
          <w:p w:rsidR="0029483D" w:rsidRPr="009F5C22" w:rsidRDefault="0029483D" w:rsidP="0029483D">
            <w:pPr>
              <w:pStyle w:val="Zkladntext"/>
              <w:jc w:val="both"/>
              <w:rPr>
                <w:color w:val="auto"/>
              </w:rPr>
            </w:pPr>
            <w:r w:rsidRPr="009F5C22">
              <w:rPr>
                <w:color w:val="auto"/>
              </w:rPr>
              <w:t>Zákon č. 575/2001 Z.z. o organizácii činnosti vlády a organizácii ústrednej štátnej správy v znení neskorších predpisov (ďalej „575/2001“)</w:t>
            </w:r>
          </w:p>
          <w:p w:rsidR="002E1D16" w:rsidRPr="000D7A9F" w:rsidRDefault="002E1D16" w:rsidP="00834B3E">
            <w:pPr>
              <w:tabs>
                <w:tab w:val="left" w:pos="0"/>
              </w:tabs>
              <w:jc w:val="both"/>
            </w:pPr>
          </w:p>
        </w:tc>
      </w:tr>
      <w:tr w:rsidR="00A9063F" w:rsidRPr="000D7A9F" w:rsidTr="0032751F">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jc w:val="both"/>
            </w:pPr>
            <w:r w:rsidRPr="000D7A9F">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2</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jc w:val="both"/>
            </w:pPr>
            <w:r w:rsidRPr="000D7A9F">
              <w:t>3</w:t>
            </w:r>
          </w:p>
        </w:tc>
        <w:tc>
          <w:tcPr>
            <w:tcW w:w="709" w:type="dxa"/>
            <w:tcBorders>
              <w:top w:val="single" w:sz="4" w:space="0" w:color="auto"/>
              <w:left w:val="nil"/>
              <w:bottom w:val="single" w:sz="4" w:space="0" w:color="auto"/>
              <w:right w:val="single" w:sz="4" w:space="0" w:color="auto"/>
            </w:tcBorders>
          </w:tcPr>
          <w:p w:rsidR="00A9063F" w:rsidRPr="000D7A9F" w:rsidRDefault="00A9063F" w:rsidP="00834B3E">
            <w:pPr>
              <w:jc w:val="both"/>
            </w:pPr>
            <w:r w:rsidRPr="000D7A9F">
              <w:t>4</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Zkladntext2"/>
              <w:spacing w:line="240" w:lineRule="exact"/>
              <w:jc w:val="both"/>
              <w:rPr>
                <w:sz w:val="24"/>
                <w:szCs w:val="24"/>
              </w:rPr>
            </w:pPr>
            <w:r w:rsidRPr="000D7A9F">
              <w:rPr>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jc w:val="both"/>
            </w:pPr>
            <w:r w:rsidRPr="000D7A9F">
              <w:t>7</w:t>
            </w:r>
          </w:p>
        </w:tc>
        <w:tc>
          <w:tcPr>
            <w:tcW w:w="634" w:type="dxa"/>
            <w:tcBorders>
              <w:top w:val="single" w:sz="4" w:space="0" w:color="auto"/>
              <w:left w:val="single" w:sz="4" w:space="0" w:color="auto"/>
              <w:bottom w:val="single" w:sz="4" w:space="0" w:color="auto"/>
              <w:right w:val="single" w:sz="12" w:space="0" w:color="auto"/>
            </w:tcBorders>
          </w:tcPr>
          <w:p w:rsidR="00A9063F" w:rsidRPr="000D7A9F" w:rsidRDefault="005170A9" w:rsidP="00834B3E">
            <w:pPr>
              <w:jc w:val="both"/>
            </w:pPr>
            <w:r w:rsidRPr="000D7A9F">
              <w:t>8</w:t>
            </w:r>
          </w:p>
        </w:tc>
      </w:tr>
      <w:tr w:rsidR="00A9063F" w:rsidRPr="000D7A9F" w:rsidTr="0032751F">
        <w:tc>
          <w:tcPr>
            <w:tcW w:w="540" w:type="dxa"/>
            <w:tcBorders>
              <w:top w:val="single" w:sz="4" w:space="0" w:color="auto"/>
              <w:left w:val="single" w:sz="12"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w:t>
            </w:r>
          </w:p>
          <w:p w:rsidR="00A9063F" w:rsidRPr="000D7A9F" w:rsidRDefault="00A9063F" w:rsidP="00834B3E">
            <w:pPr>
              <w:pStyle w:val="Normlny0"/>
              <w:jc w:val="both"/>
              <w:rPr>
                <w:sz w:val="24"/>
                <w:szCs w:val="24"/>
              </w:rPr>
            </w:pPr>
            <w:r w:rsidRPr="000D7A9F">
              <w:rPr>
                <w:sz w:val="24"/>
                <w:szCs w:val="24"/>
              </w:rPr>
              <w:t>(Č, O,</w:t>
            </w:r>
          </w:p>
          <w:p w:rsidR="00A9063F" w:rsidRPr="000D7A9F" w:rsidRDefault="00A9063F" w:rsidP="00834B3E">
            <w:pPr>
              <w:pStyle w:val="Normlny0"/>
              <w:jc w:val="both"/>
              <w:rPr>
                <w:sz w:val="24"/>
                <w:szCs w:val="24"/>
              </w:rPr>
            </w:pPr>
            <w:r w:rsidRPr="000D7A9F">
              <w:rPr>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Spôsob transp.</w:t>
            </w:r>
          </w:p>
          <w:p w:rsidR="00A9063F" w:rsidRPr="000D7A9F" w:rsidRDefault="00A9063F" w:rsidP="00834B3E">
            <w:pPr>
              <w:pStyle w:val="Normlny0"/>
              <w:jc w:val="both"/>
              <w:rPr>
                <w:sz w:val="24"/>
                <w:szCs w:val="24"/>
              </w:rPr>
            </w:pPr>
            <w:r w:rsidRPr="000D7A9F">
              <w:rPr>
                <w:sz w:val="24"/>
                <w:szCs w:val="24"/>
              </w:rPr>
              <w:t>(N, O, D, n.a.)</w:t>
            </w:r>
          </w:p>
        </w:tc>
        <w:tc>
          <w:tcPr>
            <w:tcW w:w="709" w:type="dxa"/>
            <w:tcBorders>
              <w:top w:val="single" w:sz="4" w:space="0" w:color="auto"/>
              <w:left w:val="nil"/>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Číslo</w:t>
            </w:r>
          </w:p>
          <w:p w:rsidR="00A9063F" w:rsidRPr="000D7A9F" w:rsidRDefault="00A9063F" w:rsidP="00834B3E">
            <w:pPr>
              <w:pStyle w:val="Normlny0"/>
              <w:jc w:val="both"/>
              <w:rPr>
                <w:sz w:val="24"/>
                <w:szCs w:val="24"/>
              </w:rPr>
            </w:pPr>
            <w:r w:rsidRPr="000D7A9F">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Článok (Č, §, O, V, P)</w:t>
            </w:r>
          </w:p>
        </w:tc>
        <w:tc>
          <w:tcPr>
            <w:tcW w:w="5670"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Text</w:t>
            </w:r>
          </w:p>
        </w:tc>
        <w:tc>
          <w:tcPr>
            <w:tcW w:w="425" w:type="dxa"/>
            <w:tcBorders>
              <w:top w:val="single" w:sz="4" w:space="0" w:color="auto"/>
              <w:left w:val="single" w:sz="4" w:space="0" w:color="auto"/>
              <w:bottom w:val="single" w:sz="4" w:space="0" w:color="auto"/>
              <w:right w:val="single" w:sz="4" w:space="0" w:color="auto"/>
            </w:tcBorders>
          </w:tcPr>
          <w:p w:rsidR="00A9063F" w:rsidRPr="000D7A9F" w:rsidRDefault="00A9063F" w:rsidP="00834B3E">
            <w:pPr>
              <w:pStyle w:val="Normlny0"/>
              <w:jc w:val="both"/>
              <w:rPr>
                <w:sz w:val="24"/>
                <w:szCs w:val="24"/>
              </w:rPr>
            </w:pPr>
            <w:r w:rsidRPr="000D7A9F">
              <w:rPr>
                <w:sz w:val="24"/>
                <w:szCs w:val="24"/>
              </w:rPr>
              <w:t>Zhoda</w:t>
            </w:r>
          </w:p>
        </w:tc>
        <w:tc>
          <w:tcPr>
            <w:tcW w:w="634"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ormlny0"/>
              <w:jc w:val="both"/>
              <w:rPr>
                <w:sz w:val="24"/>
                <w:szCs w:val="24"/>
              </w:rPr>
            </w:pPr>
            <w:r w:rsidRPr="000D7A9F">
              <w:rPr>
                <w:sz w:val="24"/>
                <w:szCs w:val="24"/>
              </w:rPr>
              <w:t>Poznámky</w:t>
            </w:r>
          </w:p>
        </w:tc>
      </w:tr>
      <w:tr w:rsidR="00A9063F" w:rsidRPr="000D7A9F" w:rsidTr="0032751F">
        <w:tc>
          <w:tcPr>
            <w:tcW w:w="540" w:type="dxa"/>
            <w:tcBorders>
              <w:top w:val="single" w:sz="4" w:space="0" w:color="auto"/>
              <w:left w:val="single" w:sz="12" w:space="0" w:color="auto"/>
              <w:bottom w:val="single" w:sz="4" w:space="0" w:color="auto"/>
              <w:right w:val="single" w:sz="4" w:space="0" w:color="auto"/>
            </w:tcBorders>
          </w:tcPr>
          <w:p w:rsidR="00A9063F" w:rsidRPr="000D7A9F" w:rsidRDefault="0078287E" w:rsidP="00834B3E">
            <w:pPr>
              <w:jc w:val="both"/>
            </w:pPr>
            <w:r w:rsidRPr="000D7A9F">
              <w:t xml:space="preserve">Čl. </w:t>
            </w:r>
            <w:r w:rsidR="0068153F" w:rsidRPr="000D7A9F">
              <w:t>1 bod 1</w:t>
            </w:r>
          </w:p>
        </w:tc>
        <w:tc>
          <w:tcPr>
            <w:tcW w:w="6946" w:type="dxa"/>
            <w:gridSpan w:val="2"/>
            <w:tcBorders>
              <w:top w:val="single" w:sz="4" w:space="0" w:color="auto"/>
              <w:left w:val="single" w:sz="4" w:space="0" w:color="auto"/>
              <w:bottom w:val="single" w:sz="4" w:space="0" w:color="auto"/>
              <w:right w:val="single" w:sz="4" w:space="0" w:color="auto"/>
            </w:tcBorders>
          </w:tcPr>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Smernica 2006/112/ES sa mení takto: </w:t>
            </w: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1. V hlave IV sa vkladá táto kapitola: </w:t>
            </w:r>
          </w:p>
          <w:p w:rsidR="0032751F" w:rsidRPr="000D7A9F" w:rsidRDefault="0068153F" w:rsidP="00834B3E">
            <w:pPr>
              <w:pStyle w:val="Default"/>
              <w:jc w:val="both"/>
              <w:rPr>
                <w:rFonts w:ascii="Times New Roman" w:hAnsi="Times New Roman" w:cs="Times New Roman"/>
                <w:i/>
                <w:iCs/>
              </w:rPr>
            </w:pPr>
            <w:r w:rsidRPr="000D7A9F">
              <w:rPr>
                <w:rFonts w:ascii="Times New Roman" w:hAnsi="Times New Roman" w:cs="Times New Roman"/>
                <w:i/>
                <w:iCs/>
              </w:rPr>
              <w:t xml:space="preserve">„KAPITOLA 5 </w:t>
            </w:r>
          </w:p>
          <w:p w:rsidR="0068153F" w:rsidRPr="000D7A9F" w:rsidRDefault="0068153F" w:rsidP="00834B3E">
            <w:pPr>
              <w:pStyle w:val="Default"/>
              <w:jc w:val="both"/>
              <w:rPr>
                <w:rFonts w:ascii="Times New Roman" w:hAnsi="Times New Roman" w:cs="Times New Roman"/>
                <w:b/>
                <w:bCs/>
                <w:i/>
                <w:iCs/>
              </w:rPr>
            </w:pPr>
            <w:r w:rsidRPr="000D7A9F">
              <w:rPr>
                <w:rFonts w:ascii="Times New Roman" w:hAnsi="Times New Roman" w:cs="Times New Roman"/>
                <w:b/>
                <w:bCs/>
                <w:i/>
                <w:iCs/>
              </w:rPr>
              <w:t xml:space="preserve">Spoločné ustanovenia pre kapitoly 1 a 3 </w:t>
            </w:r>
          </w:p>
          <w:p w:rsidR="0068153F" w:rsidRPr="000D7A9F" w:rsidRDefault="0068153F" w:rsidP="00834B3E">
            <w:pPr>
              <w:pStyle w:val="Default"/>
              <w:jc w:val="both"/>
              <w:rPr>
                <w:rFonts w:ascii="Times New Roman" w:hAnsi="Times New Roman" w:cs="Times New Roman"/>
                <w:i/>
                <w:iCs/>
              </w:rPr>
            </w:pPr>
            <w:r w:rsidRPr="000D7A9F">
              <w:rPr>
                <w:rFonts w:ascii="Times New Roman" w:hAnsi="Times New Roman" w:cs="Times New Roman"/>
                <w:i/>
                <w:iCs/>
              </w:rPr>
              <w:t xml:space="preserve">Článok 30a </w:t>
            </w: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Na účely tejto smernice sa použijú tieto vymedzenia pojmov: </w:t>
            </w: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1. „poukaz“ je nástroj, pri ktorom existuje povinnosť akceptovať ho ako protihodnotu alebo ako časť protihodnoty za dodanie tovaru alebo poskytnutie služieb, pričom sa na ňom alebo v súvisiacej dokumentácii uvádza tovar alebo služby, </w:t>
            </w:r>
            <w:bookmarkStart w:id="0" w:name="_GoBack"/>
            <w:bookmarkEnd w:id="0"/>
            <w:r w:rsidRPr="000D7A9F">
              <w:rPr>
                <w:rFonts w:ascii="Times New Roman" w:hAnsi="Times New Roman" w:cs="Times New Roman"/>
              </w:rPr>
              <w:t xml:space="preserve">ktoré sa majú dodať alebo poskytnúť, alebo </w:t>
            </w:r>
            <w:r w:rsidRPr="000D7A9F">
              <w:rPr>
                <w:rFonts w:ascii="Times New Roman" w:hAnsi="Times New Roman" w:cs="Times New Roman"/>
              </w:rPr>
              <w:lastRenderedPageBreak/>
              <w:t xml:space="preserve">totožnosť ich možných dodávateľov vrátane podmienok použitia takéhoto nástroja; </w:t>
            </w:r>
          </w:p>
          <w:p w:rsidR="00834B3E" w:rsidRPr="000D7A9F" w:rsidRDefault="00834B3E" w:rsidP="00834B3E">
            <w:pPr>
              <w:pStyle w:val="Default"/>
              <w:jc w:val="both"/>
              <w:rPr>
                <w:rFonts w:ascii="Times New Roman" w:hAnsi="Times New Roman" w:cs="Times New Roman"/>
              </w:rPr>
            </w:pP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2. „jednoúčelový poukaz“ je poukaz, pri ktorom je v čase jeho vystavenia známe miesto dodania tovaru alebo poskytnutia služieb, na ktoré sa poukaz vzťahuje a DPH splatná z uvedeného tovaru alebo služieb; </w:t>
            </w:r>
          </w:p>
          <w:p w:rsidR="00834B3E" w:rsidRPr="000D7A9F" w:rsidRDefault="00834B3E" w:rsidP="00834B3E">
            <w:pPr>
              <w:pStyle w:val="Default"/>
              <w:jc w:val="both"/>
              <w:rPr>
                <w:rFonts w:ascii="Times New Roman" w:hAnsi="Times New Roman" w:cs="Times New Roman"/>
              </w:rPr>
            </w:pPr>
          </w:p>
          <w:p w:rsidR="00D83E5B"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3. „viacúčelový poukaz“ je poukaz iný ako jednoúčelový poukaz.</w:t>
            </w:r>
          </w:p>
        </w:tc>
        <w:tc>
          <w:tcPr>
            <w:tcW w:w="567" w:type="dxa"/>
            <w:tcBorders>
              <w:top w:val="single" w:sz="4" w:space="0" w:color="auto"/>
              <w:left w:val="single" w:sz="4" w:space="0" w:color="auto"/>
              <w:bottom w:val="single" w:sz="4" w:space="0" w:color="auto"/>
              <w:right w:val="single" w:sz="12" w:space="0" w:color="auto"/>
            </w:tcBorders>
          </w:tcPr>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E030B3" w:rsidRPr="000D7A9F" w:rsidRDefault="00E030B3" w:rsidP="00834B3E">
            <w:pPr>
              <w:jc w:val="both"/>
            </w:pPr>
            <w:r w:rsidRPr="000D7A9F">
              <w:t>N</w:t>
            </w:r>
          </w:p>
          <w:p w:rsidR="00E030B3" w:rsidRPr="000D7A9F" w:rsidRDefault="00E030B3" w:rsidP="00834B3E">
            <w:pPr>
              <w:jc w:val="both"/>
            </w:pPr>
          </w:p>
          <w:p w:rsidR="00A9063F" w:rsidRPr="000D7A9F" w:rsidRDefault="00A9063F"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p w:rsidR="00E030B3" w:rsidRPr="000D7A9F" w:rsidRDefault="00E030B3" w:rsidP="00834B3E">
            <w:pPr>
              <w:jc w:val="both"/>
            </w:pPr>
          </w:p>
        </w:tc>
        <w:tc>
          <w:tcPr>
            <w:tcW w:w="709" w:type="dxa"/>
            <w:tcBorders>
              <w:top w:val="single" w:sz="4" w:space="0" w:color="auto"/>
              <w:left w:val="nil"/>
              <w:bottom w:val="single" w:sz="4" w:space="0" w:color="auto"/>
              <w:right w:val="single" w:sz="4" w:space="0" w:color="auto"/>
            </w:tcBorders>
          </w:tcPr>
          <w:p w:rsidR="002153F7" w:rsidRPr="000D7A9F" w:rsidRDefault="002153F7" w:rsidP="00834B3E">
            <w:pPr>
              <w:jc w:val="both"/>
              <w:rPr>
                <w:b/>
              </w:rPr>
            </w:pPr>
          </w:p>
          <w:p w:rsidR="00834B3E" w:rsidRPr="000D7A9F" w:rsidRDefault="00834B3E" w:rsidP="00834B3E">
            <w:pPr>
              <w:jc w:val="both"/>
              <w:rPr>
                <w:b/>
              </w:rPr>
            </w:pPr>
          </w:p>
          <w:p w:rsidR="00834B3E" w:rsidRPr="000D7A9F" w:rsidRDefault="00834B3E" w:rsidP="00834B3E">
            <w:pPr>
              <w:jc w:val="both"/>
              <w:rPr>
                <w:b/>
              </w:rPr>
            </w:pPr>
          </w:p>
          <w:p w:rsidR="00834B3E" w:rsidRPr="000D7A9F" w:rsidRDefault="00834B3E" w:rsidP="00834B3E">
            <w:pPr>
              <w:jc w:val="both"/>
              <w:rPr>
                <w:b/>
              </w:rPr>
            </w:pPr>
          </w:p>
          <w:p w:rsidR="00834B3E" w:rsidRPr="000D7A9F" w:rsidRDefault="00834B3E" w:rsidP="00834B3E">
            <w:pPr>
              <w:jc w:val="both"/>
              <w:rPr>
                <w:b/>
              </w:rPr>
            </w:pPr>
          </w:p>
          <w:p w:rsidR="00834B3E" w:rsidRPr="000D7A9F" w:rsidRDefault="00DD7F71" w:rsidP="00834B3E">
            <w:pPr>
              <w:jc w:val="center"/>
              <w:rPr>
                <w:b/>
              </w:rPr>
            </w:pPr>
            <w:r w:rsidRPr="000D7A9F">
              <w:rPr>
                <w:b/>
              </w:rPr>
              <w:t>Návrh zákona čl.I</w:t>
            </w:r>
          </w:p>
        </w:tc>
        <w:tc>
          <w:tcPr>
            <w:tcW w:w="709"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p w:rsidR="00E030B3" w:rsidRPr="000D7A9F" w:rsidRDefault="00E030B3"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r w:rsidRPr="000D7A9F">
              <w:rPr>
                <w:sz w:val="24"/>
                <w:szCs w:val="24"/>
              </w:rPr>
              <w:t>§ 9a</w:t>
            </w:r>
          </w:p>
          <w:p w:rsidR="0032751F" w:rsidRPr="000D7A9F" w:rsidRDefault="0032751F" w:rsidP="00834B3E">
            <w:pPr>
              <w:pStyle w:val="Normlny0"/>
              <w:jc w:val="both"/>
              <w:rPr>
                <w:sz w:val="24"/>
                <w:szCs w:val="24"/>
              </w:rPr>
            </w:pPr>
            <w:r w:rsidRPr="000D7A9F">
              <w:rPr>
                <w:sz w:val="24"/>
                <w:szCs w:val="24"/>
              </w:rPr>
              <w:t>ods.1</w:t>
            </w:r>
          </w:p>
          <w:p w:rsidR="0032751F" w:rsidRPr="000D7A9F" w:rsidRDefault="00834B3E" w:rsidP="00834B3E">
            <w:pPr>
              <w:pStyle w:val="Normlny0"/>
              <w:jc w:val="both"/>
              <w:rPr>
                <w:sz w:val="24"/>
                <w:szCs w:val="24"/>
              </w:rPr>
            </w:pPr>
            <w:r w:rsidRPr="000D7A9F">
              <w:rPr>
                <w:sz w:val="24"/>
                <w:szCs w:val="24"/>
              </w:rPr>
              <w:t>pís.a)</w:t>
            </w:r>
          </w:p>
          <w:p w:rsidR="00834B3E" w:rsidRPr="000D7A9F" w:rsidRDefault="00834B3E" w:rsidP="00834B3E">
            <w:pPr>
              <w:pStyle w:val="Normlny0"/>
              <w:jc w:val="both"/>
              <w:rPr>
                <w:sz w:val="24"/>
                <w:szCs w:val="24"/>
              </w:rPr>
            </w:pPr>
          </w:p>
          <w:p w:rsidR="00834B3E" w:rsidRPr="000D7A9F" w:rsidRDefault="00834B3E" w:rsidP="00834B3E">
            <w:pPr>
              <w:pStyle w:val="Normlny0"/>
              <w:jc w:val="both"/>
              <w:rPr>
                <w:sz w:val="24"/>
                <w:szCs w:val="24"/>
              </w:rPr>
            </w:pPr>
          </w:p>
          <w:p w:rsidR="00834B3E" w:rsidRPr="000D7A9F" w:rsidRDefault="00834B3E" w:rsidP="00834B3E">
            <w:pPr>
              <w:pStyle w:val="Normlny0"/>
              <w:jc w:val="both"/>
              <w:rPr>
                <w:sz w:val="24"/>
                <w:szCs w:val="24"/>
              </w:rPr>
            </w:pPr>
          </w:p>
          <w:p w:rsidR="00834B3E" w:rsidRDefault="00834B3E" w:rsidP="00834B3E">
            <w:pPr>
              <w:pStyle w:val="Normlny0"/>
              <w:jc w:val="both"/>
              <w:rPr>
                <w:sz w:val="24"/>
                <w:szCs w:val="24"/>
              </w:rPr>
            </w:pPr>
          </w:p>
          <w:p w:rsidR="00EA2786" w:rsidRPr="000D7A9F" w:rsidRDefault="00EA2786" w:rsidP="00834B3E">
            <w:pPr>
              <w:pStyle w:val="Normlny0"/>
              <w:jc w:val="both"/>
              <w:rPr>
                <w:sz w:val="24"/>
                <w:szCs w:val="24"/>
              </w:rPr>
            </w:pPr>
          </w:p>
          <w:p w:rsidR="0032751F" w:rsidRPr="000D7A9F" w:rsidRDefault="00834B3E" w:rsidP="00834B3E">
            <w:pPr>
              <w:pStyle w:val="Normlny0"/>
              <w:jc w:val="both"/>
              <w:rPr>
                <w:sz w:val="24"/>
                <w:szCs w:val="24"/>
              </w:rPr>
            </w:pPr>
            <w:r w:rsidRPr="000D7A9F">
              <w:rPr>
                <w:sz w:val="24"/>
                <w:szCs w:val="24"/>
              </w:rPr>
              <w:t>pís.b)</w:t>
            </w:r>
          </w:p>
          <w:p w:rsidR="00834B3E" w:rsidRPr="000D7A9F" w:rsidRDefault="00834B3E" w:rsidP="00834B3E">
            <w:pPr>
              <w:pStyle w:val="Normlny0"/>
              <w:jc w:val="both"/>
              <w:rPr>
                <w:sz w:val="24"/>
                <w:szCs w:val="24"/>
              </w:rPr>
            </w:pPr>
          </w:p>
          <w:p w:rsidR="00834B3E" w:rsidRPr="000D7A9F" w:rsidRDefault="00834B3E" w:rsidP="00834B3E">
            <w:pPr>
              <w:pStyle w:val="Normlny0"/>
              <w:jc w:val="both"/>
              <w:rPr>
                <w:sz w:val="24"/>
                <w:szCs w:val="24"/>
              </w:rPr>
            </w:pPr>
          </w:p>
          <w:p w:rsidR="00834B3E" w:rsidRPr="000D7A9F" w:rsidRDefault="00834B3E" w:rsidP="00834B3E">
            <w:pPr>
              <w:pStyle w:val="Normlny0"/>
              <w:jc w:val="both"/>
              <w:rPr>
                <w:sz w:val="24"/>
                <w:szCs w:val="24"/>
              </w:rPr>
            </w:pPr>
          </w:p>
          <w:p w:rsidR="0032751F" w:rsidRPr="000D7A9F" w:rsidRDefault="00834B3E" w:rsidP="00834B3E">
            <w:pPr>
              <w:pStyle w:val="Normlny0"/>
              <w:jc w:val="both"/>
              <w:rPr>
                <w:sz w:val="24"/>
                <w:szCs w:val="24"/>
              </w:rPr>
            </w:pPr>
            <w:r w:rsidRPr="000D7A9F">
              <w:rPr>
                <w:sz w:val="24"/>
                <w:szCs w:val="24"/>
              </w:rPr>
              <w:t>pís.c)</w:t>
            </w:r>
          </w:p>
        </w:tc>
        <w:tc>
          <w:tcPr>
            <w:tcW w:w="5670"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pPr>
          </w:p>
          <w:p w:rsidR="00834B3E" w:rsidRPr="000D7A9F" w:rsidRDefault="00834B3E" w:rsidP="00834B3E">
            <w:pPr>
              <w:pStyle w:val="Zkladntext"/>
              <w:jc w:val="both"/>
              <w:rPr>
                <w:b/>
              </w:rPr>
            </w:pPr>
            <w:r w:rsidRPr="000D7A9F">
              <w:rPr>
                <w:b/>
              </w:rPr>
              <w:t>Na účely tohto zákona je</w:t>
            </w:r>
          </w:p>
          <w:p w:rsidR="00834B3E" w:rsidRPr="000D7A9F" w:rsidRDefault="00834B3E" w:rsidP="00834B3E">
            <w:pPr>
              <w:pStyle w:val="Zkladntext"/>
              <w:jc w:val="both"/>
              <w:rPr>
                <w:b/>
              </w:rPr>
            </w:pPr>
            <w:r w:rsidRPr="000D7A9F">
              <w:rPr>
                <w:b/>
              </w:rPr>
              <w:t>a) poukazom nástroj, s ktorým je spojená povinnosť prijať ho a</w:t>
            </w:r>
            <w:r w:rsidR="00F11585">
              <w:rPr>
                <w:b/>
              </w:rPr>
              <w:t xml:space="preserve">ko protihodnotu alebo jej časť </w:t>
            </w:r>
            <w:r w:rsidRPr="000D7A9F">
              <w:rPr>
                <w:b/>
              </w:rPr>
              <w:t>za dodanie tovaru alebo dodanie služby a na ktorom</w:t>
            </w:r>
            <w:r w:rsidR="00EA3B53">
              <w:rPr>
                <w:b/>
              </w:rPr>
              <w:t xml:space="preserve"> alebo v súvisiacej </w:t>
            </w:r>
            <w:r w:rsidRPr="000D7A9F">
              <w:rPr>
                <w:b/>
              </w:rPr>
              <w:t xml:space="preserve">dokumentácii k nemu je uvedený tovar alebo služba, ktoré sa majú dodať, alebo totožnosť </w:t>
            </w:r>
            <w:r w:rsidRPr="000D7A9F">
              <w:rPr>
                <w:b/>
              </w:rPr>
              <w:lastRenderedPageBreak/>
              <w:t>možných dodávateľov vrátane podmienok použitia tohto nástroja,</w:t>
            </w:r>
          </w:p>
          <w:p w:rsidR="00834B3E" w:rsidRPr="000D7A9F" w:rsidRDefault="00834B3E" w:rsidP="00834B3E">
            <w:pPr>
              <w:pStyle w:val="Zkladntext"/>
              <w:jc w:val="both"/>
              <w:rPr>
                <w:b/>
                <w:color w:val="auto"/>
              </w:rPr>
            </w:pPr>
            <w:r w:rsidRPr="000D7A9F">
              <w:rPr>
                <w:b/>
              </w:rPr>
              <w:t xml:space="preserve">b) jednoúčelovým poukazom poukaz, pri ktorom je v čase jeho </w:t>
            </w:r>
            <w:r w:rsidRPr="000D7A9F">
              <w:rPr>
                <w:b/>
                <w:color w:val="auto"/>
              </w:rPr>
              <w:t>vystavenia známe miesto dodania tovaru alebo miesto dodania služby, na ktoré sa poukaz vzťahuje, a daň splatná z tohto tovaru alebo služby,</w:t>
            </w:r>
          </w:p>
          <w:p w:rsidR="00A9063F" w:rsidRPr="0029483D" w:rsidRDefault="00EF41F8" w:rsidP="0029483D">
            <w:pPr>
              <w:pStyle w:val="Zkladntext"/>
              <w:jc w:val="both"/>
              <w:rPr>
                <w:b/>
                <w:color w:val="auto"/>
              </w:rPr>
            </w:pPr>
            <w:r>
              <w:rPr>
                <w:b/>
                <w:color w:val="auto"/>
              </w:rPr>
              <w:t xml:space="preserve">c) </w:t>
            </w:r>
            <w:r w:rsidR="00834B3E" w:rsidRPr="000D7A9F">
              <w:rPr>
                <w:b/>
                <w:color w:val="auto"/>
              </w:rPr>
              <w:t>viacúčelovým pou</w:t>
            </w:r>
            <w:r w:rsidR="008B515C">
              <w:rPr>
                <w:b/>
                <w:color w:val="auto"/>
              </w:rPr>
              <w:t xml:space="preserve">kazom </w:t>
            </w:r>
            <w:r w:rsidR="0029483D">
              <w:rPr>
                <w:b/>
                <w:color w:val="auto"/>
              </w:rPr>
              <w:t>poukaz</w:t>
            </w:r>
            <w:r w:rsidR="008B515C">
              <w:rPr>
                <w:b/>
                <w:color w:val="auto"/>
              </w:rPr>
              <w:t xml:space="preserve"> iný</w:t>
            </w:r>
            <w:r w:rsidR="0029483D">
              <w:rPr>
                <w:b/>
                <w:color w:val="auto"/>
              </w:rPr>
              <w:t xml:space="preserve"> ako jednoúčelový poukaz.</w:t>
            </w:r>
          </w:p>
        </w:tc>
        <w:tc>
          <w:tcPr>
            <w:tcW w:w="425" w:type="dxa"/>
            <w:tcBorders>
              <w:top w:val="single" w:sz="4" w:space="0" w:color="auto"/>
              <w:left w:val="single" w:sz="4" w:space="0" w:color="auto"/>
              <w:bottom w:val="single" w:sz="4" w:space="0" w:color="auto"/>
              <w:right w:val="single" w:sz="4" w:space="0" w:color="auto"/>
            </w:tcBorders>
          </w:tcPr>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D63FC1" w:rsidRPr="000D7A9F" w:rsidRDefault="00D63FC1" w:rsidP="00834B3E">
            <w:pPr>
              <w:jc w:val="both"/>
            </w:pPr>
          </w:p>
          <w:p w:rsidR="00A9063F" w:rsidRPr="000D7A9F" w:rsidRDefault="0078287E" w:rsidP="00834B3E">
            <w:pPr>
              <w:jc w:val="both"/>
            </w:pPr>
            <w:r w:rsidRPr="000D7A9F">
              <w:t>Ú</w:t>
            </w:r>
          </w:p>
        </w:tc>
        <w:tc>
          <w:tcPr>
            <w:tcW w:w="634" w:type="dxa"/>
            <w:tcBorders>
              <w:top w:val="single" w:sz="4" w:space="0" w:color="auto"/>
              <w:left w:val="single" w:sz="4" w:space="0" w:color="auto"/>
              <w:bottom w:val="single" w:sz="4" w:space="0" w:color="auto"/>
              <w:right w:val="single" w:sz="12" w:space="0" w:color="auto"/>
            </w:tcBorders>
          </w:tcPr>
          <w:p w:rsidR="00A9063F" w:rsidRPr="000D7A9F" w:rsidRDefault="00A9063F" w:rsidP="00834B3E">
            <w:pPr>
              <w:pStyle w:val="Nadpis1"/>
              <w:jc w:val="both"/>
              <w:rPr>
                <w:b w:val="0"/>
                <w:bCs w:val="0"/>
              </w:rPr>
            </w:pPr>
          </w:p>
        </w:tc>
      </w:tr>
      <w:tr w:rsidR="00162F39" w:rsidRPr="000D7A9F" w:rsidTr="0032751F">
        <w:tc>
          <w:tcPr>
            <w:tcW w:w="540" w:type="dxa"/>
            <w:tcBorders>
              <w:top w:val="single" w:sz="4" w:space="0" w:color="auto"/>
              <w:left w:val="single" w:sz="12" w:space="0" w:color="auto"/>
              <w:bottom w:val="single" w:sz="4" w:space="0" w:color="auto"/>
              <w:right w:val="single" w:sz="4" w:space="0" w:color="auto"/>
            </w:tcBorders>
          </w:tcPr>
          <w:p w:rsidR="00162F39" w:rsidRPr="000D7A9F" w:rsidRDefault="0068153F" w:rsidP="00834B3E">
            <w:pPr>
              <w:jc w:val="both"/>
            </w:pPr>
            <w:r w:rsidRPr="000D7A9F">
              <w:t>Čl. 1 bod 1</w:t>
            </w:r>
          </w:p>
        </w:tc>
        <w:tc>
          <w:tcPr>
            <w:tcW w:w="6946" w:type="dxa"/>
            <w:gridSpan w:val="2"/>
            <w:tcBorders>
              <w:top w:val="single" w:sz="4" w:space="0" w:color="auto"/>
              <w:left w:val="single" w:sz="4" w:space="0" w:color="auto"/>
              <w:bottom w:val="single" w:sz="4" w:space="0" w:color="auto"/>
              <w:right w:val="single" w:sz="4" w:space="0" w:color="auto"/>
            </w:tcBorders>
          </w:tcPr>
          <w:p w:rsidR="0068153F" w:rsidRPr="000D7A9F" w:rsidRDefault="0068153F" w:rsidP="00834B3E">
            <w:pPr>
              <w:pStyle w:val="Default"/>
              <w:jc w:val="both"/>
              <w:rPr>
                <w:rFonts w:ascii="Times New Roman" w:hAnsi="Times New Roman" w:cs="Times New Roman"/>
                <w:i/>
                <w:iCs/>
              </w:rPr>
            </w:pPr>
            <w:r w:rsidRPr="000D7A9F">
              <w:rPr>
                <w:rFonts w:ascii="Times New Roman" w:hAnsi="Times New Roman" w:cs="Times New Roman"/>
                <w:i/>
                <w:iCs/>
              </w:rPr>
              <w:t xml:space="preserve">Článok 30b </w:t>
            </w: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1.Každý prevod jednoúčelového poukazu vykonaný zdaniteľnou osobou konajúcou vo vlastnom mene sa považuje za dodanie tovaru alebo poskytnutie služieb, na ktoré sa poukaz vzťahuje. Samotné odovzdanie tovaru alebo samotné poskytnutie služieb za jednoúčelový poukaz, ktorý dodávateľ tovaru alebo poskytovateľ služieb akceptuje ako protihodnotu alebo časť protihodnoty, sa nepovažuje za samostatnú transakciu. </w:t>
            </w:r>
          </w:p>
          <w:p w:rsidR="0032751F" w:rsidRPr="000D7A9F" w:rsidRDefault="0032751F" w:rsidP="00834B3E">
            <w:pPr>
              <w:pStyle w:val="Default"/>
              <w:jc w:val="both"/>
              <w:rPr>
                <w:rFonts w:ascii="Times New Roman" w:hAnsi="Times New Roman" w:cs="Times New Roman"/>
              </w:rPr>
            </w:pPr>
          </w:p>
          <w:p w:rsidR="00834B3E" w:rsidRPr="000D7A9F" w:rsidRDefault="00834B3E" w:rsidP="00834B3E">
            <w:pPr>
              <w:pStyle w:val="Default"/>
              <w:jc w:val="both"/>
              <w:rPr>
                <w:rFonts w:ascii="Times New Roman" w:hAnsi="Times New Roman" w:cs="Times New Roman"/>
              </w:rPr>
            </w:pP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Ak prevod jednoúčelového poukazu vykoná zdaniteľná osoba konajúca v mene inej zdaniteľnej osoby, tento prevod sa považuje za dodanie tovaru alebo poskytnutie služieb, na ktoré sa poukaz vzťahuje, uskutočnené touto inou zdaniteľnou osobou, v mene ktorej zdaniteľná osoba koná. </w:t>
            </w:r>
          </w:p>
          <w:p w:rsidR="0032751F" w:rsidRPr="000D7A9F" w:rsidRDefault="0032751F" w:rsidP="00834B3E">
            <w:pPr>
              <w:pStyle w:val="Default"/>
              <w:jc w:val="both"/>
              <w:rPr>
                <w:rFonts w:ascii="Times New Roman" w:hAnsi="Times New Roman" w:cs="Times New Roman"/>
              </w:rPr>
            </w:pPr>
          </w:p>
          <w:p w:rsidR="00834B3E" w:rsidRPr="000D7A9F" w:rsidRDefault="00834B3E" w:rsidP="00834B3E">
            <w:pPr>
              <w:pStyle w:val="Default"/>
              <w:jc w:val="both"/>
              <w:rPr>
                <w:rFonts w:ascii="Times New Roman" w:hAnsi="Times New Roman" w:cs="Times New Roman"/>
              </w:rPr>
            </w:pP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Ak dodávateľ tovaru alebo poskytovateľ služieb nie je zdaniteľnou osobou, ktorá vo vlastnom mene vystavila jednoúčelový poukaz, napriek tomu má sa za to, že tento dodávateľ alebo poskytovateľ dodal tovar alebo poskytol službu, na ktoré sa tento poukaz vzťahuje, tejto zdaniteľnej osobe. </w:t>
            </w:r>
          </w:p>
          <w:p w:rsidR="0068153F" w:rsidRPr="000D7A9F" w:rsidRDefault="0068153F" w:rsidP="00834B3E">
            <w:pPr>
              <w:pStyle w:val="Default"/>
              <w:jc w:val="both"/>
              <w:rPr>
                <w:rFonts w:ascii="Times New Roman" w:hAnsi="Times New Roman" w:cs="Times New Roman"/>
              </w:rPr>
            </w:pPr>
          </w:p>
          <w:p w:rsidR="00834B3E" w:rsidRPr="000D7A9F" w:rsidRDefault="00834B3E" w:rsidP="00834B3E">
            <w:pPr>
              <w:pStyle w:val="Default"/>
              <w:jc w:val="both"/>
              <w:rPr>
                <w:rFonts w:ascii="Times New Roman" w:hAnsi="Times New Roman" w:cs="Times New Roman"/>
              </w:rPr>
            </w:pPr>
          </w:p>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2.Samotné odovzdanie tovaru alebo samotné poskytnutie služieb za viacúčelový poukaz, ktorý dodávateľ tovaru alebo poskytovateľ služieb akceptuje ako protihodnotu alebo časť protihodnoty, podlieha DPH v </w:t>
            </w:r>
            <w:r w:rsidRPr="000D7A9F">
              <w:rPr>
                <w:rFonts w:ascii="Times New Roman" w:hAnsi="Times New Roman" w:cs="Times New Roman"/>
              </w:rPr>
              <w:lastRenderedPageBreak/>
              <w:t xml:space="preserve">súlade s článkom 2, zatiaľ čo každý predchádzajúci prevod tohto viacúčelového poukazu nepodlieha DPH. </w:t>
            </w:r>
          </w:p>
          <w:p w:rsidR="0068153F" w:rsidRPr="000D7A9F" w:rsidRDefault="0068153F" w:rsidP="00834B3E">
            <w:pPr>
              <w:pStyle w:val="Default"/>
              <w:jc w:val="both"/>
              <w:rPr>
                <w:rFonts w:ascii="Times New Roman" w:hAnsi="Times New Roman" w:cs="Times New Roman"/>
              </w:rPr>
            </w:pPr>
          </w:p>
          <w:p w:rsidR="00834B3E" w:rsidRPr="000D7A9F" w:rsidRDefault="00834B3E" w:rsidP="00834B3E">
            <w:pPr>
              <w:pStyle w:val="Default"/>
              <w:jc w:val="both"/>
              <w:rPr>
                <w:rFonts w:ascii="Times New Roman" w:hAnsi="Times New Roman" w:cs="Times New Roman"/>
              </w:rPr>
            </w:pPr>
          </w:p>
          <w:p w:rsidR="00162F39"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Ak prevod viacúčelového poukazu vykoná zdaniteľná osoba iná ako zdaniteľná osoba vykonávajúca transakciu podliehajúcu DPH podľa prvého pododseku, každé poskytnutie služieb, ktoré sa dá identifikovať, ako napríklad distribučných alebo propagačných služieb, podlieha DPH.“</w:t>
            </w:r>
          </w:p>
        </w:tc>
        <w:tc>
          <w:tcPr>
            <w:tcW w:w="567" w:type="dxa"/>
            <w:tcBorders>
              <w:top w:val="single" w:sz="4" w:space="0" w:color="auto"/>
              <w:left w:val="single" w:sz="4" w:space="0" w:color="auto"/>
              <w:bottom w:val="single" w:sz="4" w:space="0" w:color="auto"/>
              <w:right w:val="single" w:sz="12" w:space="0" w:color="auto"/>
            </w:tcBorders>
          </w:tcPr>
          <w:p w:rsidR="00D63FC1" w:rsidRPr="000D7A9F" w:rsidRDefault="00D63FC1" w:rsidP="00834B3E">
            <w:pPr>
              <w:jc w:val="both"/>
            </w:pPr>
          </w:p>
          <w:p w:rsidR="00162F39" w:rsidRPr="000D7A9F" w:rsidRDefault="00834B3E" w:rsidP="00834B3E">
            <w:pPr>
              <w:jc w:val="both"/>
            </w:pPr>
            <w:r w:rsidRPr="000D7A9F">
              <w:t>N</w:t>
            </w:r>
          </w:p>
        </w:tc>
        <w:tc>
          <w:tcPr>
            <w:tcW w:w="709" w:type="dxa"/>
            <w:tcBorders>
              <w:top w:val="single" w:sz="4" w:space="0" w:color="auto"/>
              <w:left w:val="nil"/>
              <w:bottom w:val="single" w:sz="4" w:space="0" w:color="auto"/>
              <w:right w:val="single" w:sz="4" w:space="0" w:color="auto"/>
            </w:tcBorders>
          </w:tcPr>
          <w:p w:rsidR="00834B3E" w:rsidRPr="000D7A9F" w:rsidRDefault="00834B3E" w:rsidP="00834B3E">
            <w:pPr>
              <w:jc w:val="both"/>
              <w:rPr>
                <w:b/>
              </w:rPr>
            </w:pPr>
          </w:p>
          <w:p w:rsidR="00DD7F71" w:rsidRPr="000D7A9F" w:rsidRDefault="00DD7F71" w:rsidP="00DD7F71">
            <w:pPr>
              <w:jc w:val="center"/>
              <w:rPr>
                <w:b/>
              </w:rPr>
            </w:pPr>
            <w:r w:rsidRPr="000D7A9F">
              <w:rPr>
                <w:b/>
              </w:rPr>
              <w:t>Návrh zákona čl.I</w:t>
            </w:r>
          </w:p>
        </w:tc>
        <w:tc>
          <w:tcPr>
            <w:tcW w:w="709"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Normlny0"/>
              <w:jc w:val="both"/>
              <w:rPr>
                <w:sz w:val="24"/>
                <w:szCs w:val="24"/>
              </w:rPr>
            </w:pPr>
          </w:p>
          <w:p w:rsidR="0032751F" w:rsidRPr="000D7A9F" w:rsidRDefault="0032751F" w:rsidP="00834B3E">
            <w:pPr>
              <w:pStyle w:val="Normlny0"/>
              <w:jc w:val="both"/>
              <w:rPr>
                <w:sz w:val="24"/>
                <w:szCs w:val="24"/>
              </w:rPr>
            </w:pPr>
            <w:r w:rsidRPr="000D7A9F">
              <w:rPr>
                <w:sz w:val="24"/>
                <w:szCs w:val="24"/>
              </w:rPr>
              <w:t>§ 9a</w:t>
            </w:r>
          </w:p>
          <w:p w:rsidR="0032751F" w:rsidRPr="000D7A9F" w:rsidRDefault="0032751F" w:rsidP="00834B3E">
            <w:pPr>
              <w:pStyle w:val="Normlny0"/>
              <w:jc w:val="both"/>
              <w:rPr>
                <w:sz w:val="24"/>
                <w:szCs w:val="24"/>
              </w:rPr>
            </w:pPr>
            <w:r w:rsidRPr="000D7A9F">
              <w:rPr>
                <w:sz w:val="24"/>
                <w:szCs w:val="24"/>
              </w:rPr>
              <w:t>ods.2</w:t>
            </w: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Default="0032751F" w:rsidP="00834B3E">
            <w:pPr>
              <w:pStyle w:val="Normlny0"/>
              <w:jc w:val="both"/>
              <w:rPr>
                <w:sz w:val="24"/>
                <w:szCs w:val="24"/>
              </w:rPr>
            </w:pPr>
          </w:p>
          <w:p w:rsidR="00EF41F8" w:rsidRDefault="00EF41F8" w:rsidP="00834B3E">
            <w:pPr>
              <w:pStyle w:val="Normlny0"/>
              <w:jc w:val="both"/>
              <w:rPr>
                <w:sz w:val="24"/>
                <w:szCs w:val="24"/>
              </w:rPr>
            </w:pPr>
          </w:p>
          <w:p w:rsidR="00EF41F8" w:rsidRPr="000D7A9F" w:rsidRDefault="00EF41F8" w:rsidP="00834B3E">
            <w:pPr>
              <w:pStyle w:val="Normlny0"/>
              <w:jc w:val="both"/>
              <w:rPr>
                <w:sz w:val="24"/>
                <w:szCs w:val="24"/>
              </w:rPr>
            </w:pPr>
          </w:p>
          <w:p w:rsidR="0032751F" w:rsidRPr="000D7A9F" w:rsidRDefault="0032751F" w:rsidP="00834B3E">
            <w:pPr>
              <w:pStyle w:val="Normlny0"/>
              <w:jc w:val="both"/>
              <w:rPr>
                <w:sz w:val="24"/>
                <w:szCs w:val="24"/>
              </w:rPr>
            </w:pPr>
            <w:r w:rsidRPr="000D7A9F">
              <w:rPr>
                <w:sz w:val="24"/>
                <w:szCs w:val="24"/>
              </w:rPr>
              <w:t>ods.3</w:t>
            </w: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834B3E" w:rsidRPr="000D7A9F" w:rsidRDefault="00834B3E" w:rsidP="00834B3E">
            <w:pPr>
              <w:pStyle w:val="Normlny0"/>
              <w:jc w:val="both"/>
              <w:rPr>
                <w:sz w:val="24"/>
                <w:szCs w:val="24"/>
              </w:rPr>
            </w:pPr>
          </w:p>
          <w:p w:rsidR="004F599E" w:rsidRDefault="004F599E" w:rsidP="00834B3E">
            <w:pPr>
              <w:pStyle w:val="Normlny0"/>
              <w:jc w:val="both"/>
              <w:rPr>
                <w:sz w:val="24"/>
                <w:szCs w:val="24"/>
              </w:rPr>
            </w:pPr>
          </w:p>
          <w:p w:rsidR="00EF41F8" w:rsidRPr="000D7A9F" w:rsidRDefault="00EF41F8" w:rsidP="00834B3E">
            <w:pPr>
              <w:pStyle w:val="Normlny0"/>
              <w:jc w:val="both"/>
              <w:rPr>
                <w:sz w:val="24"/>
                <w:szCs w:val="24"/>
              </w:rPr>
            </w:pPr>
          </w:p>
          <w:p w:rsidR="00162F39" w:rsidRPr="000D7A9F" w:rsidRDefault="0032751F" w:rsidP="00834B3E">
            <w:pPr>
              <w:pStyle w:val="Normlny0"/>
              <w:jc w:val="both"/>
              <w:rPr>
                <w:sz w:val="24"/>
                <w:szCs w:val="24"/>
              </w:rPr>
            </w:pPr>
            <w:r w:rsidRPr="000D7A9F">
              <w:rPr>
                <w:sz w:val="24"/>
                <w:szCs w:val="24"/>
              </w:rPr>
              <w:t>ods.4</w:t>
            </w: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834B3E" w:rsidRPr="000D7A9F" w:rsidRDefault="00834B3E" w:rsidP="00834B3E">
            <w:pPr>
              <w:pStyle w:val="Normlny0"/>
              <w:jc w:val="both"/>
              <w:rPr>
                <w:sz w:val="24"/>
                <w:szCs w:val="24"/>
              </w:rPr>
            </w:pPr>
          </w:p>
          <w:p w:rsidR="0032751F" w:rsidRPr="000D7A9F" w:rsidRDefault="0032751F" w:rsidP="00834B3E">
            <w:pPr>
              <w:pStyle w:val="Normlny0"/>
              <w:jc w:val="both"/>
              <w:rPr>
                <w:sz w:val="24"/>
                <w:szCs w:val="24"/>
              </w:rPr>
            </w:pPr>
          </w:p>
          <w:p w:rsidR="004F599E" w:rsidRPr="000D7A9F" w:rsidRDefault="004F599E" w:rsidP="00834B3E">
            <w:pPr>
              <w:pStyle w:val="Normlny0"/>
              <w:jc w:val="both"/>
              <w:rPr>
                <w:sz w:val="24"/>
                <w:szCs w:val="24"/>
              </w:rPr>
            </w:pPr>
          </w:p>
          <w:p w:rsidR="0032751F" w:rsidRPr="000D7A9F" w:rsidRDefault="0032751F" w:rsidP="00834B3E">
            <w:pPr>
              <w:pStyle w:val="Normlny0"/>
              <w:jc w:val="both"/>
              <w:rPr>
                <w:sz w:val="24"/>
                <w:szCs w:val="24"/>
              </w:rPr>
            </w:pPr>
            <w:r w:rsidRPr="000D7A9F">
              <w:rPr>
                <w:sz w:val="24"/>
                <w:szCs w:val="24"/>
              </w:rPr>
              <w:t>ods.5</w:t>
            </w:r>
          </w:p>
          <w:p w:rsidR="0032751F" w:rsidRPr="000D7A9F" w:rsidRDefault="0032751F" w:rsidP="00834B3E">
            <w:pPr>
              <w:pStyle w:val="Normlny0"/>
              <w:jc w:val="both"/>
              <w:rPr>
                <w:sz w:val="24"/>
                <w:szCs w:val="24"/>
              </w:rPr>
            </w:pPr>
          </w:p>
          <w:p w:rsidR="0032751F" w:rsidRPr="000D7A9F" w:rsidRDefault="0032751F" w:rsidP="00834B3E">
            <w:pPr>
              <w:pStyle w:val="Normlny0"/>
              <w:jc w:val="both"/>
              <w:rPr>
                <w:sz w:val="24"/>
                <w:szCs w:val="24"/>
              </w:rPr>
            </w:pPr>
          </w:p>
          <w:p w:rsidR="00834B3E" w:rsidRPr="000D7A9F" w:rsidRDefault="00834B3E" w:rsidP="00834B3E">
            <w:pPr>
              <w:pStyle w:val="Normlny0"/>
              <w:jc w:val="both"/>
              <w:rPr>
                <w:sz w:val="24"/>
                <w:szCs w:val="24"/>
              </w:rPr>
            </w:pPr>
          </w:p>
          <w:p w:rsidR="0032751F" w:rsidRPr="000D7A9F" w:rsidRDefault="0032751F" w:rsidP="00834B3E">
            <w:pPr>
              <w:pStyle w:val="Normlny0"/>
              <w:jc w:val="both"/>
              <w:rPr>
                <w:sz w:val="24"/>
                <w:szCs w:val="24"/>
              </w:rPr>
            </w:pPr>
          </w:p>
          <w:p w:rsidR="004F599E" w:rsidRPr="000D7A9F" w:rsidRDefault="004F599E" w:rsidP="00834B3E">
            <w:pPr>
              <w:pStyle w:val="Normlny0"/>
              <w:jc w:val="both"/>
              <w:rPr>
                <w:sz w:val="24"/>
                <w:szCs w:val="24"/>
              </w:rPr>
            </w:pPr>
          </w:p>
          <w:p w:rsidR="0032751F" w:rsidRPr="000D7A9F" w:rsidRDefault="0032751F" w:rsidP="00834B3E">
            <w:pPr>
              <w:pStyle w:val="Normlny0"/>
              <w:jc w:val="both"/>
              <w:rPr>
                <w:sz w:val="24"/>
                <w:szCs w:val="24"/>
              </w:rPr>
            </w:pPr>
            <w:r w:rsidRPr="000D7A9F">
              <w:rPr>
                <w:sz w:val="24"/>
                <w:szCs w:val="24"/>
              </w:rPr>
              <w:t>ods.6</w:t>
            </w:r>
          </w:p>
          <w:p w:rsidR="0032751F" w:rsidRPr="000D7A9F" w:rsidRDefault="0032751F" w:rsidP="00834B3E">
            <w:pPr>
              <w:pStyle w:val="Normlny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Zkladntext"/>
              <w:jc w:val="both"/>
              <w:rPr>
                <w:color w:val="auto"/>
              </w:rPr>
            </w:pPr>
          </w:p>
          <w:p w:rsidR="00834B3E" w:rsidRPr="000D7A9F" w:rsidRDefault="00834B3E" w:rsidP="00834B3E">
            <w:pPr>
              <w:pStyle w:val="Zkladntext"/>
              <w:jc w:val="both"/>
              <w:rPr>
                <w:b/>
                <w:color w:val="auto"/>
              </w:rPr>
            </w:pPr>
            <w:r w:rsidRPr="000D7A9F">
              <w:rPr>
                <w:b/>
                <w:color w:val="auto"/>
              </w:rPr>
              <w:t>Každý prevod jednoúčelového poukazu uskutočnený zdaniteľnou osobou</w:t>
            </w:r>
            <w:r w:rsidR="00D65DC0">
              <w:rPr>
                <w:b/>
                <w:color w:val="auto"/>
              </w:rPr>
              <w:t>, ktorá koná</w:t>
            </w:r>
            <w:r w:rsidRPr="000D7A9F">
              <w:rPr>
                <w:b/>
                <w:color w:val="auto"/>
              </w:rPr>
              <w:t xml:space="preserve"> vo vlastnom mene</w:t>
            </w:r>
            <w:r w:rsidR="00D65DC0">
              <w:rPr>
                <w:b/>
                <w:color w:val="auto"/>
              </w:rPr>
              <w:t>,</w:t>
            </w:r>
            <w:r w:rsidRPr="000D7A9F">
              <w:rPr>
                <w:b/>
                <w:color w:val="auto"/>
              </w:rPr>
              <w:t xml:space="preserve"> sa považuje za dodanie tovaru alebo dodanie služby, na ktoré sa poukaz vzťahuje. Skutočné odovzdanie tovaru alebo skutočné poskytnutie služby za jednoúčelový poukaz, ktorý dodávateľ tovaru alebo dodávateľ služby prijme ako protihodnotu alebo časť protihodnoty, sa nepovažuje za samostatnú transakciu. </w:t>
            </w:r>
          </w:p>
          <w:p w:rsidR="00834B3E" w:rsidRPr="000D7A9F" w:rsidRDefault="00834B3E" w:rsidP="00834B3E">
            <w:pPr>
              <w:pStyle w:val="Zkladntext"/>
              <w:jc w:val="both"/>
              <w:rPr>
                <w:b/>
              </w:rPr>
            </w:pPr>
            <w:r w:rsidRPr="000D7A9F">
              <w:rPr>
                <w:b/>
              </w:rPr>
              <w:t>Ak prevod jednoúčelového poukazu vykoná zdaniteľná osoba</w:t>
            </w:r>
            <w:r w:rsidR="00D65DC0">
              <w:rPr>
                <w:b/>
              </w:rPr>
              <w:t>, ktorá koná</w:t>
            </w:r>
            <w:r w:rsidRPr="000D7A9F">
              <w:rPr>
                <w:b/>
              </w:rPr>
              <w:t xml:space="preserve"> v mene inej zdaniteľnej osoby, tento prevod sa považuje za dodanie tovaru alebo dodanie služby, na ktoré sa poukaz vzťahuje, uskutočnené touto inou zdaniteľnou osobou, v mene ktorej zdaniteľná osoba koná.</w:t>
            </w:r>
          </w:p>
          <w:p w:rsidR="00834B3E" w:rsidRPr="000D7A9F" w:rsidRDefault="00834B3E" w:rsidP="00834B3E">
            <w:pPr>
              <w:pStyle w:val="Zkladntext"/>
              <w:jc w:val="both"/>
              <w:rPr>
                <w:b/>
              </w:rPr>
            </w:pPr>
          </w:p>
          <w:p w:rsidR="00834B3E" w:rsidRPr="000D7A9F" w:rsidRDefault="00834B3E" w:rsidP="00834B3E">
            <w:pPr>
              <w:pStyle w:val="Zkladntext"/>
              <w:jc w:val="both"/>
              <w:rPr>
                <w:b/>
              </w:rPr>
            </w:pPr>
            <w:r w:rsidRPr="000D7A9F">
              <w:rPr>
                <w:b/>
              </w:rPr>
              <w:t>Ak dodávateľ tovaru alebo dodávateľ služby nie je zdaniteľnou osobou, ktorá vo vlastnom mene vystavila jednoúčelový poukaz, má sa za to, že tento dodávateľ dodal tovar alebo dodal službu, na ktoré sa tento poukaz vzťahuje, tejto zdaniteľnej osobe.</w:t>
            </w:r>
          </w:p>
          <w:p w:rsidR="00834B3E" w:rsidRPr="000D7A9F" w:rsidRDefault="00834B3E" w:rsidP="00834B3E">
            <w:pPr>
              <w:pStyle w:val="Zkladntext"/>
              <w:jc w:val="both"/>
              <w:rPr>
                <w:b/>
              </w:rPr>
            </w:pPr>
          </w:p>
          <w:p w:rsidR="00834B3E" w:rsidRPr="000D7A9F" w:rsidRDefault="008B515C" w:rsidP="00834B3E">
            <w:pPr>
              <w:pStyle w:val="Zkladntext"/>
              <w:jc w:val="both"/>
              <w:rPr>
                <w:b/>
              </w:rPr>
            </w:pPr>
            <w:r w:rsidRPr="008B515C">
              <w:rPr>
                <w:b/>
                <w:color w:val="auto"/>
              </w:rPr>
              <w:t>Predmetom dane je skutočné odovzdanie tovaru alebo skutočné dodanie služby za viacúčelový poukaz, ktorý dodávateľ tovaru alebo dodávateľ služby prijme ako protihodnotu alebo jej časť;</w:t>
            </w:r>
            <w:r w:rsidR="00834B3E" w:rsidRPr="008B515C">
              <w:rPr>
                <w:b/>
                <w:color w:val="auto"/>
              </w:rPr>
              <w:t xml:space="preserve"> </w:t>
            </w:r>
            <w:r w:rsidR="00834B3E" w:rsidRPr="000D7A9F">
              <w:rPr>
                <w:b/>
              </w:rPr>
              <w:t xml:space="preserve">každý predchádzajúci prevod tohto viacúčelového poukazu nie je predmetom </w:t>
            </w:r>
            <w:r w:rsidR="00834B3E" w:rsidRPr="000D7A9F">
              <w:rPr>
                <w:b/>
              </w:rPr>
              <w:lastRenderedPageBreak/>
              <w:t>dane.</w:t>
            </w:r>
          </w:p>
          <w:p w:rsidR="00162F39" w:rsidRPr="000D7A9F" w:rsidRDefault="00834B3E" w:rsidP="00405C80">
            <w:pPr>
              <w:pStyle w:val="Normlny0"/>
              <w:jc w:val="both"/>
              <w:rPr>
                <w:b/>
                <w:sz w:val="24"/>
                <w:szCs w:val="24"/>
              </w:rPr>
            </w:pPr>
            <w:r w:rsidRPr="000D7A9F">
              <w:rPr>
                <w:b/>
                <w:sz w:val="24"/>
                <w:szCs w:val="24"/>
              </w:rPr>
              <w:t xml:space="preserve">Ak prevod viacúčelového poukazu uskutoční iná zdaniteľná osoba ako dodávateľ tovaru alebo dodávateľ služby podľa odseku 5, každá služba dodaná v súvislosti s prevodom viacúčelového poukazu touto inou zdaniteľnou osobou, ako napríklad </w:t>
            </w:r>
            <w:r w:rsidR="00405C80" w:rsidRPr="000D7A9F">
              <w:rPr>
                <w:b/>
                <w:sz w:val="24"/>
                <w:szCs w:val="24"/>
              </w:rPr>
              <w:t xml:space="preserve">distribučná </w:t>
            </w:r>
            <w:r w:rsidRPr="000D7A9F">
              <w:rPr>
                <w:b/>
                <w:sz w:val="24"/>
                <w:szCs w:val="24"/>
              </w:rPr>
              <w:t>služba alebo propagačná služba, je samostatne predmetom dane.</w:t>
            </w:r>
          </w:p>
        </w:tc>
        <w:tc>
          <w:tcPr>
            <w:tcW w:w="425" w:type="dxa"/>
            <w:tcBorders>
              <w:top w:val="single" w:sz="4" w:space="0" w:color="auto"/>
              <w:left w:val="single" w:sz="4" w:space="0" w:color="auto"/>
              <w:bottom w:val="single" w:sz="4" w:space="0" w:color="auto"/>
              <w:right w:val="single" w:sz="4" w:space="0" w:color="auto"/>
            </w:tcBorders>
          </w:tcPr>
          <w:p w:rsidR="00D63FC1" w:rsidRPr="000D7A9F" w:rsidRDefault="00D63FC1" w:rsidP="00834B3E">
            <w:pPr>
              <w:jc w:val="both"/>
            </w:pPr>
          </w:p>
          <w:p w:rsidR="00162F39" w:rsidRPr="000D7A9F" w:rsidRDefault="00834B3E" w:rsidP="00834B3E">
            <w:pPr>
              <w:jc w:val="both"/>
            </w:pPr>
            <w:r w:rsidRPr="000D7A9F">
              <w:t>Ú</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r w:rsidR="00162F39" w:rsidRPr="000D7A9F" w:rsidTr="0032751F">
        <w:tc>
          <w:tcPr>
            <w:tcW w:w="540" w:type="dxa"/>
            <w:tcBorders>
              <w:top w:val="single" w:sz="4" w:space="0" w:color="auto"/>
              <w:left w:val="single" w:sz="12" w:space="0" w:color="auto"/>
              <w:bottom w:val="single" w:sz="4" w:space="0" w:color="auto"/>
              <w:right w:val="single" w:sz="4" w:space="0" w:color="auto"/>
            </w:tcBorders>
          </w:tcPr>
          <w:p w:rsidR="00162F39" w:rsidRPr="000D7A9F" w:rsidRDefault="0068153F" w:rsidP="00834B3E">
            <w:pPr>
              <w:jc w:val="both"/>
            </w:pPr>
            <w:r w:rsidRPr="000D7A9F">
              <w:t>Čl. 1 bod 2</w:t>
            </w:r>
          </w:p>
        </w:tc>
        <w:tc>
          <w:tcPr>
            <w:tcW w:w="6946" w:type="dxa"/>
            <w:gridSpan w:val="2"/>
            <w:tcBorders>
              <w:top w:val="single" w:sz="4" w:space="0" w:color="auto"/>
              <w:left w:val="single" w:sz="4" w:space="0" w:color="auto"/>
              <w:bottom w:val="single" w:sz="4" w:space="0" w:color="auto"/>
              <w:right w:val="single" w:sz="4" w:space="0" w:color="auto"/>
            </w:tcBorders>
          </w:tcPr>
          <w:p w:rsidR="0068153F"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 xml:space="preserve">2. Vkladá sa tento článok: </w:t>
            </w:r>
          </w:p>
          <w:p w:rsidR="0068153F" w:rsidRPr="000D7A9F" w:rsidRDefault="0068153F" w:rsidP="00834B3E">
            <w:pPr>
              <w:pStyle w:val="Default"/>
              <w:jc w:val="both"/>
              <w:rPr>
                <w:rFonts w:ascii="Times New Roman" w:hAnsi="Times New Roman" w:cs="Times New Roman"/>
                <w:i/>
                <w:iCs/>
              </w:rPr>
            </w:pPr>
            <w:r w:rsidRPr="000D7A9F">
              <w:rPr>
                <w:rFonts w:ascii="Times New Roman" w:hAnsi="Times New Roman" w:cs="Times New Roman"/>
                <w:i/>
                <w:iCs/>
              </w:rPr>
              <w:t xml:space="preserve">„Článok 73a </w:t>
            </w:r>
          </w:p>
          <w:p w:rsidR="00162F39" w:rsidRPr="000D7A9F" w:rsidRDefault="0068153F" w:rsidP="00834B3E">
            <w:pPr>
              <w:pStyle w:val="Default"/>
              <w:jc w:val="both"/>
              <w:rPr>
                <w:rFonts w:ascii="Times New Roman" w:hAnsi="Times New Roman" w:cs="Times New Roman"/>
              </w:rPr>
            </w:pPr>
            <w:r w:rsidRPr="000D7A9F">
              <w:rPr>
                <w:rFonts w:ascii="Times New Roman" w:hAnsi="Times New Roman" w:cs="Times New Roman"/>
              </w:rPr>
              <w:t>Bez toho, aby bol dotknutý článok 73, základ dane pri dodaní tovaru alebo poskytnutí služieb na základe viacúčelového poukazu sa rovná protihodnote zaplatenej za poukaz alebo, v prípade absencie informácie o tejto protihodnote, peňažnej hodnote, ktorá je uvedená na samotnom viacúčelovom poukaze alebo v súvisiacej dokumentácii, zníženej o sumu DPH vzťahujúcu sa na dodaný tovar alebo poskytnuté služby.“</w:t>
            </w:r>
          </w:p>
        </w:tc>
        <w:tc>
          <w:tcPr>
            <w:tcW w:w="567" w:type="dxa"/>
            <w:tcBorders>
              <w:top w:val="single" w:sz="4" w:space="0" w:color="auto"/>
              <w:left w:val="single" w:sz="4" w:space="0" w:color="auto"/>
              <w:bottom w:val="single" w:sz="4" w:space="0" w:color="auto"/>
              <w:right w:val="single" w:sz="12" w:space="0" w:color="auto"/>
            </w:tcBorders>
          </w:tcPr>
          <w:p w:rsidR="00D63FC1" w:rsidRPr="000D7A9F" w:rsidRDefault="00D63FC1" w:rsidP="00834B3E">
            <w:pPr>
              <w:jc w:val="both"/>
            </w:pPr>
          </w:p>
          <w:p w:rsidR="00162F39" w:rsidRPr="000D7A9F" w:rsidRDefault="00834B3E" w:rsidP="00834B3E">
            <w:pPr>
              <w:jc w:val="both"/>
            </w:pPr>
            <w:r w:rsidRPr="000D7A9F">
              <w:t>N</w:t>
            </w:r>
          </w:p>
        </w:tc>
        <w:tc>
          <w:tcPr>
            <w:tcW w:w="709" w:type="dxa"/>
            <w:tcBorders>
              <w:top w:val="single" w:sz="4" w:space="0" w:color="auto"/>
              <w:left w:val="nil"/>
              <w:bottom w:val="single" w:sz="4" w:space="0" w:color="auto"/>
              <w:right w:val="single" w:sz="4" w:space="0" w:color="auto"/>
            </w:tcBorders>
          </w:tcPr>
          <w:p w:rsidR="00162F39" w:rsidRPr="000D7A9F" w:rsidRDefault="00162F39" w:rsidP="00834B3E">
            <w:pPr>
              <w:jc w:val="both"/>
              <w:rPr>
                <w:b/>
              </w:rPr>
            </w:pPr>
          </w:p>
          <w:p w:rsidR="00DD7F71" w:rsidRPr="000D7A9F" w:rsidRDefault="00DD7F71" w:rsidP="00DD7F71">
            <w:pPr>
              <w:jc w:val="center"/>
              <w:rPr>
                <w:b/>
              </w:rPr>
            </w:pPr>
            <w:r w:rsidRPr="000D7A9F">
              <w:rPr>
                <w:b/>
              </w:rPr>
              <w:t>Návrh zákona čl.I</w:t>
            </w:r>
          </w:p>
        </w:tc>
        <w:tc>
          <w:tcPr>
            <w:tcW w:w="709"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Normlny0"/>
              <w:jc w:val="both"/>
              <w:rPr>
                <w:sz w:val="24"/>
                <w:szCs w:val="24"/>
              </w:rPr>
            </w:pPr>
          </w:p>
          <w:p w:rsidR="002B7F59" w:rsidRDefault="00834B3E" w:rsidP="00834B3E">
            <w:pPr>
              <w:pStyle w:val="Normlny0"/>
              <w:jc w:val="center"/>
              <w:rPr>
                <w:sz w:val="24"/>
                <w:szCs w:val="24"/>
              </w:rPr>
            </w:pPr>
            <w:r w:rsidRPr="000D7A9F">
              <w:rPr>
                <w:sz w:val="24"/>
                <w:szCs w:val="24"/>
              </w:rPr>
              <w:t>§ 22 ods.</w:t>
            </w:r>
          </w:p>
          <w:p w:rsidR="00162F39" w:rsidRPr="000D7A9F" w:rsidRDefault="0068153F" w:rsidP="00834B3E">
            <w:pPr>
              <w:pStyle w:val="Normlny0"/>
              <w:jc w:val="center"/>
              <w:rPr>
                <w:sz w:val="24"/>
                <w:szCs w:val="24"/>
              </w:rPr>
            </w:pPr>
            <w:r w:rsidRPr="000D7A9F">
              <w:rPr>
                <w:sz w:val="24"/>
                <w:szCs w:val="24"/>
              </w:rPr>
              <w:t>10</w:t>
            </w:r>
          </w:p>
        </w:tc>
        <w:tc>
          <w:tcPr>
            <w:tcW w:w="5670" w:type="dxa"/>
            <w:tcBorders>
              <w:top w:val="single" w:sz="4" w:space="0" w:color="auto"/>
              <w:left w:val="single" w:sz="4" w:space="0" w:color="auto"/>
              <w:bottom w:val="single" w:sz="4" w:space="0" w:color="auto"/>
              <w:right w:val="single" w:sz="4" w:space="0" w:color="auto"/>
            </w:tcBorders>
          </w:tcPr>
          <w:p w:rsidR="00834B3E" w:rsidRPr="000D7A9F" w:rsidRDefault="00834B3E" w:rsidP="00834B3E">
            <w:pPr>
              <w:pStyle w:val="Normlny0"/>
              <w:jc w:val="both"/>
              <w:rPr>
                <w:sz w:val="24"/>
                <w:szCs w:val="24"/>
              </w:rPr>
            </w:pPr>
          </w:p>
          <w:p w:rsidR="00162F39" w:rsidRPr="000D7A9F" w:rsidRDefault="00834B3E" w:rsidP="00834B3E">
            <w:pPr>
              <w:pStyle w:val="Normlny0"/>
              <w:jc w:val="both"/>
              <w:rPr>
                <w:b/>
                <w:sz w:val="24"/>
                <w:szCs w:val="24"/>
              </w:rPr>
            </w:pPr>
            <w:r w:rsidRPr="000D7A9F">
              <w:rPr>
                <w:b/>
                <w:sz w:val="24"/>
                <w:szCs w:val="24"/>
              </w:rPr>
              <w:t xml:space="preserve">Základom dane pri dodaní tovaru alebo </w:t>
            </w:r>
            <w:r w:rsidR="00FB2E2E">
              <w:rPr>
                <w:b/>
                <w:sz w:val="24"/>
                <w:szCs w:val="24"/>
              </w:rPr>
              <w:t>dodaní služby pri použití viacúčelového</w:t>
            </w:r>
            <w:r w:rsidRPr="000D7A9F">
              <w:rPr>
                <w:b/>
                <w:sz w:val="24"/>
                <w:szCs w:val="24"/>
              </w:rPr>
              <w:t xml:space="preserve"> poukaz</w:t>
            </w:r>
            <w:r w:rsidR="00FB2E2E">
              <w:rPr>
                <w:b/>
                <w:sz w:val="24"/>
                <w:szCs w:val="24"/>
              </w:rPr>
              <w:t>u</w:t>
            </w:r>
            <w:r w:rsidRPr="000D7A9F">
              <w:rPr>
                <w:b/>
                <w:sz w:val="24"/>
                <w:szCs w:val="24"/>
              </w:rPr>
              <w:t xml:space="preserve"> je protihodnota zaplatená za poukaz</w:t>
            </w:r>
            <w:r w:rsidR="00FB2E2E">
              <w:rPr>
                <w:b/>
                <w:sz w:val="24"/>
                <w:szCs w:val="24"/>
              </w:rPr>
              <w:t xml:space="preserve"> znížená o daň</w:t>
            </w:r>
            <w:r w:rsidRPr="000D7A9F">
              <w:rPr>
                <w:b/>
                <w:sz w:val="24"/>
                <w:szCs w:val="24"/>
              </w:rPr>
              <w:t xml:space="preserve">; </w:t>
            </w:r>
            <w:r w:rsidR="00FB2E2E">
              <w:rPr>
                <w:b/>
                <w:sz w:val="24"/>
                <w:szCs w:val="24"/>
              </w:rPr>
              <w:t>ak dodávateľ nemá informáciu o tejto protihodnote, základom dane je peňažná hodnota, ktorá je uvedená na viacúčelovom poukaze alebo v súvisiacej dokumentácii, znížená o daň vzťahujúcu sa na dodaný tovar alebo službu.</w:t>
            </w:r>
            <w:r w:rsidRPr="000D7A9F">
              <w:rPr>
                <w:b/>
                <w:sz w:val="24"/>
                <w:szCs w:val="24"/>
              </w:rPr>
              <w:t xml:space="preserve"> Ustanovenie odseku 1 týmto nie je dotknuté.</w:t>
            </w:r>
          </w:p>
        </w:tc>
        <w:tc>
          <w:tcPr>
            <w:tcW w:w="425" w:type="dxa"/>
            <w:tcBorders>
              <w:top w:val="single" w:sz="4" w:space="0" w:color="auto"/>
              <w:left w:val="single" w:sz="4" w:space="0" w:color="auto"/>
              <w:bottom w:val="single" w:sz="4" w:space="0" w:color="auto"/>
              <w:right w:val="single" w:sz="4" w:space="0" w:color="auto"/>
            </w:tcBorders>
          </w:tcPr>
          <w:p w:rsidR="00D63FC1" w:rsidRPr="000D7A9F" w:rsidRDefault="00D63FC1" w:rsidP="00834B3E">
            <w:pPr>
              <w:jc w:val="both"/>
            </w:pPr>
          </w:p>
          <w:p w:rsidR="00162F39" w:rsidRPr="000D7A9F" w:rsidRDefault="00834B3E" w:rsidP="00834B3E">
            <w:pPr>
              <w:jc w:val="both"/>
            </w:pPr>
            <w:r w:rsidRPr="000D7A9F">
              <w:t>Ú</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r w:rsidR="00162F39" w:rsidRPr="000D7A9F" w:rsidTr="0032751F">
        <w:tc>
          <w:tcPr>
            <w:tcW w:w="540" w:type="dxa"/>
            <w:tcBorders>
              <w:top w:val="single" w:sz="4" w:space="0" w:color="auto"/>
              <w:left w:val="single" w:sz="12" w:space="0" w:color="auto"/>
              <w:bottom w:val="single" w:sz="4" w:space="0" w:color="auto"/>
              <w:right w:val="single" w:sz="4" w:space="0" w:color="auto"/>
            </w:tcBorders>
          </w:tcPr>
          <w:p w:rsidR="00162F39" w:rsidRPr="000D7A9F" w:rsidRDefault="0032751F" w:rsidP="00834B3E">
            <w:pPr>
              <w:jc w:val="both"/>
            </w:pPr>
            <w:r w:rsidRPr="000D7A9F">
              <w:t>Čl. 1 bod 3</w:t>
            </w:r>
          </w:p>
        </w:tc>
        <w:tc>
          <w:tcPr>
            <w:tcW w:w="6946" w:type="dxa"/>
            <w:gridSpan w:val="2"/>
            <w:tcBorders>
              <w:top w:val="single" w:sz="4" w:space="0" w:color="auto"/>
              <w:left w:val="single" w:sz="4" w:space="0" w:color="auto"/>
              <w:bottom w:val="single" w:sz="4" w:space="0" w:color="auto"/>
              <w:right w:val="single" w:sz="4" w:space="0" w:color="auto"/>
            </w:tcBorders>
          </w:tcPr>
          <w:p w:rsidR="0032751F"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3. V hlave XV sa vkladá táto kapitola: </w:t>
            </w:r>
          </w:p>
          <w:p w:rsidR="0032751F" w:rsidRPr="000D7A9F" w:rsidRDefault="0032751F" w:rsidP="00834B3E">
            <w:pPr>
              <w:pStyle w:val="Default"/>
              <w:jc w:val="both"/>
              <w:rPr>
                <w:rFonts w:ascii="Times New Roman" w:hAnsi="Times New Roman" w:cs="Times New Roman"/>
                <w:i/>
                <w:iCs/>
              </w:rPr>
            </w:pPr>
            <w:r w:rsidRPr="000D7A9F">
              <w:rPr>
                <w:rFonts w:ascii="Times New Roman" w:hAnsi="Times New Roman" w:cs="Times New Roman"/>
                <w:i/>
                <w:iCs/>
              </w:rPr>
              <w:t xml:space="preserve">„KAPITOLA 2a </w:t>
            </w:r>
          </w:p>
          <w:p w:rsidR="0032751F" w:rsidRPr="000D7A9F" w:rsidRDefault="0032751F" w:rsidP="00834B3E">
            <w:pPr>
              <w:pStyle w:val="Default"/>
              <w:jc w:val="both"/>
              <w:rPr>
                <w:rFonts w:ascii="Times New Roman" w:hAnsi="Times New Roman" w:cs="Times New Roman"/>
                <w:b/>
                <w:bCs/>
                <w:i/>
                <w:iCs/>
              </w:rPr>
            </w:pPr>
            <w:r w:rsidRPr="000D7A9F">
              <w:rPr>
                <w:rFonts w:ascii="Times New Roman" w:hAnsi="Times New Roman" w:cs="Times New Roman"/>
                <w:b/>
                <w:bCs/>
                <w:i/>
                <w:iCs/>
              </w:rPr>
              <w:t xml:space="preserve">Prechodné opatrenia na uplatňovanie nových právnych predpisov </w:t>
            </w:r>
          </w:p>
          <w:p w:rsidR="0032751F" w:rsidRPr="000D7A9F" w:rsidRDefault="0032751F" w:rsidP="00834B3E">
            <w:pPr>
              <w:pStyle w:val="Default"/>
              <w:jc w:val="both"/>
              <w:rPr>
                <w:rFonts w:ascii="Times New Roman" w:hAnsi="Times New Roman" w:cs="Times New Roman"/>
                <w:i/>
                <w:iCs/>
              </w:rPr>
            </w:pPr>
            <w:r w:rsidRPr="000D7A9F">
              <w:rPr>
                <w:rFonts w:ascii="Times New Roman" w:hAnsi="Times New Roman" w:cs="Times New Roman"/>
                <w:i/>
                <w:iCs/>
              </w:rPr>
              <w:t xml:space="preserve">Článok 410a </w:t>
            </w:r>
          </w:p>
          <w:p w:rsidR="0032751F"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Články 30a, 30b a 73a sa uplatňujú len na poukazy vydané po 31. decembri 2018. </w:t>
            </w:r>
          </w:p>
          <w:p w:rsidR="00834B3E" w:rsidRPr="000D7A9F" w:rsidRDefault="00834B3E" w:rsidP="00834B3E">
            <w:pPr>
              <w:pStyle w:val="Default"/>
              <w:jc w:val="both"/>
              <w:rPr>
                <w:rFonts w:ascii="Times New Roman" w:hAnsi="Times New Roman" w:cs="Times New Roman"/>
                <w:i/>
                <w:iCs/>
              </w:rPr>
            </w:pPr>
          </w:p>
          <w:p w:rsidR="00DD7F71" w:rsidRPr="000D7A9F" w:rsidRDefault="00DD7F71" w:rsidP="00834B3E">
            <w:pPr>
              <w:pStyle w:val="Default"/>
              <w:jc w:val="both"/>
              <w:rPr>
                <w:rFonts w:ascii="Times New Roman" w:hAnsi="Times New Roman" w:cs="Times New Roman"/>
                <w:i/>
                <w:iCs/>
              </w:rPr>
            </w:pPr>
          </w:p>
          <w:p w:rsidR="0032751F" w:rsidRPr="000D7A9F" w:rsidRDefault="0032751F" w:rsidP="00834B3E">
            <w:pPr>
              <w:pStyle w:val="Default"/>
              <w:jc w:val="both"/>
              <w:rPr>
                <w:rFonts w:ascii="Times New Roman" w:hAnsi="Times New Roman" w:cs="Times New Roman"/>
                <w:i/>
                <w:iCs/>
              </w:rPr>
            </w:pPr>
            <w:r w:rsidRPr="000D7A9F">
              <w:rPr>
                <w:rFonts w:ascii="Times New Roman" w:hAnsi="Times New Roman" w:cs="Times New Roman"/>
                <w:i/>
                <w:iCs/>
              </w:rPr>
              <w:t xml:space="preserve">Článok 410b </w:t>
            </w:r>
          </w:p>
          <w:p w:rsidR="00162F39"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Na základe informácií od členských štátov Komisia najneskôr do 31. decembra 2022 predloží Európskemu parlamentu a Rade hodnotiacu správu o uplatňovaní ustanovení tejto smernice, pokiaľ ide o zaobchádzania s poukazmi na účely DPH, s osobitným zreteľom na vymedzenie poukazov, pravidlá DPH súvisiace so zdaňovaním poukazov v distribučnom reťazci a na neuplatnené poukazy, prípadne aj spolu s vhodným návrhom na zmenu príslušných pravidiel.“</w:t>
            </w:r>
          </w:p>
        </w:tc>
        <w:tc>
          <w:tcPr>
            <w:tcW w:w="567"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jc w:val="both"/>
            </w:pPr>
          </w:p>
          <w:p w:rsidR="00834B3E" w:rsidRPr="000D7A9F" w:rsidRDefault="00834B3E" w:rsidP="00834B3E">
            <w:pPr>
              <w:jc w:val="both"/>
            </w:pPr>
          </w:p>
          <w:p w:rsidR="00834B3E" w:rsidRPr="000D7A9F" w:rsidRDefault="00834B3E" w:rsidP="00834B3E">
            <w:pPr>
              <w:jc w:val="both"/>
            </w:pPr>
          </w:p>
          <w:p w:rsidR="00834B3E" w:rsidRPr="000D7A9F" w:rsidRDefault="00834B3E" w:rsidP="00834B3E">
            <w:pPr>
              <w:jc w:val="both"/>
            </w:pPr>
          </w:p>
          <w:p w:rsidR="00834B3E" w:rsidRPr="000D7A9F" w:rsidRDefault="00834B3E" w:rsidP="00834B3E">
            <w:pPr>
              <w:jc w:val="both"/>
            </w:pPr>
            <w:r w:rsidRPr="000D7A9F">
              <w:t>N</w:t>
            </w:r>
          </w:p>
          <w:p w:rsidR="00834B3E" w:rsidRPr="000D7A9F" w:rsidRDefault="00834B3E" w:rsidP="00834B3E">
            <w:pPr>
              <w:jc w:val="both"/>
            </w:pPr>
          </w:p>
          <w:p w:rsidR="00DD7F71" w:rsidRPr="000D7A9F" w:rsidRDefault="00DD7F71" w:rsidP="00834B3E">
            <w:pPr>
              <w:jc w:val="both"/>
            </w:pPr>
          </w:p>
          <w:p w:rsidR="00D63FC1" w:rsidRPr="000D7A9F" w:rsidRDefault="00D63FC1" w:rsidP="00834B3E">
            <w:pPr>
              <w:jc w:val="both"/>
            </w:pPr>
          </w:p>
          <w:p w:rsidR="00834B3E" w:rsidRPr="000D7A9F" w:rsidRDefault="00834B3E" w:rsidP="00834B3E">
            <w:pPr>
              <w:jc w:val="both"/>
            </w:pPr>
            <w:r w:rsidRPr="000D7A9F">
              <w:t>n.a.</w:t>
            </w:r>
          </w:p>
        </w:tc>
        <w:tc>
          <w:tcPr>
            <w:tcW w:w="709" w:type="dxa"/>
            <w:tcBorders>
              <w:top w:val="single" w:sz="4" w:space="0" w:color="auto"/>
              <w:left w:val="nil"/>
              <w:bottom w:val="single" w:sz="4" w:space="0" w:color="auto"/>
              <w:right w:val="single" w:sz="4" w:space="0" w:color="auto"/>
            </w:tcBorders>
          </w:tcPr>
          <w:p w:rsidR="00162F39" w:rsidRPr="000D7A9F" w:rsidRDefault="00162F39" w:rsidP="00834B3E">
            <w:pPr>
              <w:jc w:val="both"/>
              <w:rPr>
                <w:b/>
              </w:rPr>
            </w:pPr>
          </w:p>
          <w:p w:rsidR="00DD7F71" w:rsidRPr="000D7A9F" w:rsidRDefault="00DD7F71" w:rsidP="00834B3E">
            <w:pPr>
              <w:jc w:val="both"/>
              <w:rPr>
                <w:b/>
              </w:rPr>
            </w:pPr>
          </w:p>
          <w:p w:rsidR="00DD7F71" w:rsidRPr="000D7A9F" w:rsidRDefault="00DD7F71" w:rsidP="00834B3E">
            <w:pPr>
              <w:jc w:val="both"/>
              <w:rPr>
                <w:b/>
              </w:rPr>
            </w:pPr>
          </w:p>
          <w:p w:rsidR="00DD7F71" w:rsidRPr="000D7A9F" w:rsidRDefault="00DD7F71" w:rsidP="00834B3E">
            <w:pPr>
              <w:jc w:val="both"/>
              <w:rPr>
                <w:b/>
              </w:rPr>
            </w:pPr>
          </w:p>
          <w:p w:rsidR="00DD7F71" w:rsidRPr="000D7A9F" w:rsidRDefault="00DD7F71" w:rsidP="00DD7F71">
            <w:pPr>
              <w:jc w:val="center"/>
              <w:rPr>
                <w:b/>
              </w:rPr>
            </w:pPr>
            <w:r w:rsidRPr="000D7A9F">
              <w:rPr>
                <w:b/>
              </w:rPr>
              <w:t>Návrh zákona čl.I</w:t>
            </w:r>
          </w:p>
        </w:tc>
        <w:tc>
          <w:tcPr>
            <w:tcW w:w="709" w:type="dxa"/>
            <w:tcBorders>
              <w:top w:val="single" w:sz="4" w:space="0" w:color="auto"/>
              <w:left w:val="single" w:sz="4" w:space="0" w:color="auto"/>
              <w:bottom w:val="single" w:sz="4" w:space="0" w:color="auto"/>
              <w:right w:val="single" w:sz="4" w:space="0" w:color="auto"/>
            </w:tcBorders>
          </w:tcPr>
          <w:p w:rsidR="00834B3E" w:rsidRPr="00EA2786" w:rsidRDefault="00834B3E" w:rsidP="00834B3E">
            <w:pPr>
              <w:pStyle w:val="Zkladntext"/>
              <w:jc w:val="both"/>
            </w:pPr>
          </w:p>
          <w:p w:rsidR="00834B3E" w:rsidRPr="00EA2786" w:rsidRDefault="00834B3E" w:rsidP="00834B3E">
            <w:pPr>
              <w:pStyle w:val="Zkladntext"/>
              <w:jc w:val="both"/>
            </w:pPr>
          </w:p>
          <w:p w:rsidR="00834B3E" w:rsidRPr="00EA2786" w:rsidRDefault="00834B3E" w:rsidP="00834B3E">
            <w:pPr>
              <w:pStyle w:val="Zkladntext"/>
              <w:jc w:val="both"/>
            </w:pPr>
          </w:p>
          <w:p w:rsidR="00834B3E" w:rsidRPr="00EA2786" w:rsidRDefault="00834B3E" w:rsidP="00834B3E">
            <w:pPr>
              <w:pStyle w:val="Zkladntext"/>
              <w:jc w:val="both"/>
            </w:pPr>
          </w:p>
          <w:p w:rsidR="00834B3E" w:rsidRPr="00EA2786" w:rsidRDefault="00834B3E" w:rsidP="002B7F59">
            <w:pPr>
              <w:pStyle w:val="Zkladntext"/>
              <w:jc w:val="center"/>
            </w:pPr>
            <w:r w:rsidRPr="00EA2786">
              <w:t>§ 85kg</w:t>
            </w:r>
          </w:p>
          <w:p w:rsidR="00162F39" w:rsidRPr="00EA2786" w:rsidRDefault="00834B3E" w:rsidP="00E70E91">
            <w:pPr>
              <w:pStyle w:val="Normlny0"/>
              <w:jc w:val="both"/>
              <w:rPr>
                <w:sz w:val="24"/>
                <w:szCs w:val="24"/>
              </w:rPr>
            </w:pPr>
            <w:r w:rsidRPr="00EA2786">
              <w:rPr>
                <w:sz w:val="24"/>
                <w:szCs w:val="24"/>
              </w:rPr>
              <w:t xml:space="preserve"> ods.</w:t>
            </w:r>
            <w:r w:rsidR="00E70E91">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162F39" w:rsidRPr="00EA2786" w:rsidRDefault="00162F39" w:rsidP="00834B3E">
            <w:pPr>
              <w:pStyle w:val="Normlny0"/>
              <w:jc w:val="both"/>
              <w:rPr>
                <w:sz w:val="24"/>
                <w:szCs w:val="24"/>
              </w:rPr>
            </w:pPr>
          </w:p>
          <w:p w:rsidR="00834B3E" w:rsidRPr="00EA2786" w:rsidRDefault="00834B3E" w:rsidP="00834B3E">
            <w:pPr>
              <w:pStyle w:val="Normlny0"/>
              <w:jc w:val="both"/>
              <w:rPr>
                <w:sz w:val="24"/>
                <w:szCs w:val="24"/>
              </w:rPr>
            </w:pPr>
          </w:p>
          <w:p w:rsidR="00834B3E" w:rsidRPr="00EA2786" w:rsidRDefault="00834B3E" w:rsidP="00834B3E">
            <w:pPr>
              <w:pStyle w:val="Normlny0"/>
              <w:jc w:val="both"/>
              <w:rPr>
                <w:sz w:val="24"/>
                <w:szCs w:val="24"/>
              </w:rPr>
            </w:pPr>
          </w:p>
          <w:p w:rsidR="00834B3E" w:rsidRPr="00EA2786" w:rsidRDefault="00834B3E" w:rsidP="00834B3E">
            <w:pPr>
              <w:pStyle w:val="Normlny0"/>
              <w:jc w:val="both"/>
              <w:rPr>
                <w:sz w:val="24"/>
                <w:szCs w:val="24"/>
              </w:rPr>
            </w:pPr>
          </w:p>
          <w:p w:rsidR="00834B3E" w:rsidRPr="00EA2786" w:rsidRDefault="00834B3E" w:rsidP="00834B3E">
            <w:pPr>
              <w:pStyle w:val="Zkladntext"/>
              <w:jc w:val="both"/>
              <w:rPr>
                <w:b/>
              </w:rPr>
            </w:pPr>
            <w:r w:rsidRPr="00EA2786">
              <w:rPr>
                <w:b/>
              </w:rPr>
              <w:t>Ustanovenia § 9a a § 22 ods. 10 sa vzťahujú na poukazy vystavené po 31. decembri 2018.</w:t>
            </w:r>
          </w:p>
          <w:p w:rsidR="00834B3E" w:rsidRPr="00EA2786" w:rsidRDefault="00834B3E" w:rsidP="00834B3E">
            <w:pPr>
              <w:pStyle w:val="Normlny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jc w:val="both"/>
            </w:pPr>
          </w:p>
          <w:p w:rsidR="00834B3E" w:rsidRPr="000D7A9F" w:rsidRDefault="00834B3E" w:rsidP="00834B3E">
            <w:pPr>
              <w:jc w:val="both"/>
            </w:pPr>
          </w:p>
          <w:p w:rsidR="00834B3E" w:rsidRPr="000D7A9F" w:rsidRDefault="00834B3E" w:rsidP="00834B3E">
            <w:pPr>
              <w:jc w:val="both"/>
            </w:pPr>
          </w:p>
          <w:p w:rsidR="00834B3E" w:rsidRPr="000D7A9F" w:rsidRDefault="00834B3E" w:rsidP="00834B3E">
            <w:pPr>
              <w:jc w:val="both"/>
            </w:pPr>
          </w:p>
          <w:p w:rsidR="00834B3E" w:rsidRPr="000D7A9F" w:rsidRDefault="00834B3E" w:rsidP="00834B3E">
            <w:pPr>
              <w:jc w:val="both"/>
            </w:pPr>
            <w:r w:rsidRPr="000D7A9F">
              <w:t>Ú</w:t>
            </w:r>
          </w:p>
          <w:p w:rsidR="00834B3E" w:rsidRPr="000D7A9F" w:rsidRDefault="00834B3E" w:rsidP="00834B3E">
            <w:pPr>
              <w:jc w:val="both"/>
            </w:pPr>
          </w:p>
          <w:p w:rsidR="00DD7F71" w:rsidRPr="000D7A9F" w:rsidRDefault="00DD7F71" w:rsidP="00834B3E">
            <w:pPr>
              <w:jc w:val="both"/>
            </w:pPr>
          </w:p>
          <w:p w:rsidR="00D63FC1" w:rsidRPr="000D7A9F" w:rsidRDefault="00D63FC1" w:rsidP="00834B3E">
            <w:pPr>
              <w:jc w:val="both"/>
            </w:pPr>
          </w:p>
          <w:p w:rsidR="00834B3E" w:rsidRPr="000D7A9F" w:rsidRDefault="00834B3E" w:rsidP="00834B3E">
            <w:pPr>
              <w:jc w:val="both"/>
            </w:pPr>
            <w:r w:rsidRPr="000D7A9F">
              <w:t>n.a.</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r w:rsidR="00162F39" w:rsidRPr="000D7A9F" w:rsidTr="0032751F">
        <w:tc>
          <w:tcPr>
            <w:tcW w:w="540" w:type="dxa"/>
            <w:tcBorders>
              <w:top w:val="single" w:sz="4" w:space="0" w:color="auto"/>
              <w:left w:val="single" w:sz="12" w:space="0" w:color="auto"/>
              <w:bottom w:val="single" w:sz="4" w:space="0" w:color="auto"/>
              <w:right w:val="single" w:sz="4" w:space="0" w:color="auto"/>
            </w:tcBorders>
          </w:tcPr>
          <w:p w:rsidR="00162F39" w:rsidRPr="000D7A9F" w:rsidRDefault="0032751F" w:rsidP="00834B3E">
            <w:pPr>
              <w:jc w:val="both"/>
            </w:pPr>
            <w:r w:rsidRPr="000D7A9F">
              <w:t>Čl. 2</w:t>
            </w:r>
          </w:p>
        </w:tc>
        <w:tc>
          <w:tcPr>
            <w:tcW w:w="6946" w:type="dxa"/>
            <w:gridSpan w:val="2"/>
            <w:tcBorders>
              <w:top w:val="single" w:sz="4" w:space="0" w:color="auto"/>
              <w:left w:val="single" w:sz="4" w:space="0" w:color="auto"/>
              <w:bottom w:val="single" w:sz="4" w:space="0" w:color="auto"/>
              <w:right w:val="single" w:sz="4" w:space="0" w:color="auto"/>
            </w:tcBorders>
          </w:tcPr>
          <w:p w:rsidR="0032751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1.Členské štáty prijmú a uverejnia najneskôr do 31. decembra 2018 zákony, iné právne predpisy a správne opatrenia potrebné na dosiahnutie </w:t>
            </w:r>
            <w:r w:rsidRPr="000D7A9F">
              <w:rPr>
                <w:rFonts w:ascii="Times New Roman" w:hAnsi="Times New Roman" w:cs="Times New Roman"/>
              </w:rPr>
              <w:lastRenderedPageBreak/>
              <w:t xml:space="preserve">súladu s touto smernicou. Komisii bezodkladne oznámia znenie týchto ustanovení. </w:t>
            </w:r>
          </w:p>
          <w:p w:rsidR="00F50F90" w:rsidRDefault="00F50F90" w:rsidP="00834B3E">
            <w:pPr>
              <w:pStyle w:val="Default"/>
              <w:jc w:val="both"/>
              <w:rPr>
                <w:rFonts w:ascii="Times New Roman" w:hAnsi="Times New Roman" w:cs="Times New Roman"/>
              </w:rPr>
            </w:pPr>
          </w:p>
          <w:p w:rsidR="00F50F90" w:rsidRDefault="00F50F90" w:rsidP="00834B3E">
            <w:pPr>
              <w:pStyle w:val="Default"/>
              <w:jc w:val="both"/>
              <w:rPr>
                <w:rFonts w:ascii="Times New Roman" w:hAnsi="Times New Roman" w:cs="Times New Roman"/>
              </w:rPr>
            </w:pPr>
          </w:p>
          <w:p w:rsidR="00F50F90" w:rsidRDefault="00F50F90" w:rsidP="00834B3E">
            <w:pPr>
              <w:pStyle w:val="Default"/>
              <w:jc w:val="both"/>
              <w:rPr>
                <w:rFonts w:ascii="Times New Roman" w:hAnsi="Times New Roman" w:cs="Times New Roman"/>
              </w:rPr>
            </w:pPr>
          </w:p>
          <w:p w:rsidR="0032751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Tieto ustanovenia sa uplatňujú od 1. januára 2019. </w:t>
            </w:r>
          </w:p>
          <w:p w:rsidR="00F50F90" w:rsidRDefault="00F50F90" w:rsidP="00834B3E">
            <w:pPr>
              <w:pStyle w:val="Default"/>
              <w:jc w:val="both"/>
              <w:rPr>
                <w:rFonts w:ascii="Times New Roman" w:hAnsi="Times New Roman" w:cs="Times New Roman"/>
              </w:rPr>
            </w:pPr>
          </w:p>
          <w:p w:rsidR="00F50F90" w:rsidRDefault="00F50F90" w:rsidP="00834B3E">
            <w:pPr>
              <w:pStyle w:val="Default"/>
              <w:jc w:val="both"/>
              <w:rPr>
                <w:rFonts w:ascii="Times New Roman" w:hAnsi="Times New Roman" w:cs="Times New Roman"/>
              </w:rPr>
            </w:pPr>
          </w:p>
          <w:p w:rsidR="00F50F90" w:rsidRDefault="00F50F90" w:rsidP="00834B3E">
            <w:pPr>
              <w:pStyle w:val="Default"/>
              <w:jc w:val="both"/>
              <w:rPr>
                <w:rFonts w:ascii="Times New Roman" w:hAnsi="Times New Roman" w:cs="Times New Roman"/>
              </w:rPr>
            </w:pPr>
          </w:p>
          <w:p w:rsidR="00EA25A8" w:rsidRDefault="00EA25A8" w:rsidP="00834B3E">
            <w:pPr>
              <w:pStyle w:val="Default"/>
              <w:jc w:val="both"/>
              <w:rPr>
                <w:rFonts w:ascii="Times New Roman" w:hAnsi="Times New Roman" w:cs="Times New Roman"/>
              </w:rPr>
            </w:pPr>
          </w:p>
          <w:p w:rsidR="00F50F90" w:rsidRPr="000D7A9F" w:rsidRDefault="00F50F90" w:rsidP="00834B3E">
            <w:pPr>
              <w:pStyle w:val="Default"/>
              <w:jc w:val="both"/>
              <w:rPr>
                <w:rFonts w:ascii="Times New Roman" w:hAnsi="Times New Roman" w:cs="Times New Roman"/>
              </w:rPr>
            </w:pPr>
          </w:p>
          <w:p w:rsidR="00162F39"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2.Členské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162F39" w:rsidRPr="000D7A9F" w:rsidRDefault="00DD7F71" w:rsidP="00834B3E">
            <w:pPr>
              <w:jc w:val="both"/>
            </w:pPr>
            <w:r w:rsidRPr="000D7A9F">
              <w:lastRenderedPageBreak/>
              <w:t>N</w:t>
            </w:r>
          </w:p>
        </w:tc>
        <w:tc>
          <w:tcPr>
            <w:tcW w:w="709" w:type="dxa"/>
            <w:tcBorders>
              <w:top w:val="single" w:sz="4" w:space="0" w:color="auto"/>
              <w:left w:val="nil"/>
              <w:bottom w:val="single" w:sz="4" w:space="0" w:color="auto"/>
              <w:right w:val="single" w:sz="4" w:space="0" w:color="auto"/>
            </w:tcBorders>
          </w:tcPr>
          <w:p w:rsidR="00F50F90" w:rsidRDefault="00F50F90" w:rsidP="007B28DF">
            <w:pPr>
              <w:jc w:val="center"/>
              <w:rPr>
                <w:b/>
              </w:rPr>
            </w:pPr>
          </w:p>
          <w:p w:rsidR="00F50F90" w:rsidRDefault="00F50F90" w:rsidP="007B28DF">
            <w:pPr>
              <w:jc w:val="center"/>
              <w:rPr>
                <w:b/>
              </w:rPr>
            </w:pPr>
          </w:p>
          <w:p w:rsidR="00F50F90" w:rsidRPr="007B28DF" w:rsidRDefault="00F50F90" w:rsidP="00F50F90">
            <w:pPr>
              <w:jc w:val="center"/>
            </w:pPr>
            <w:r w:rsidRPr="007B28DF">
              <w:lastRenderedPageBreak/>
              <w:t>575/</w:t>
            </w:r>
          </w:p>
          <w:p w:rsidR="00F50F90" w:rsidRPr="007B28DF" w:rsidRDefault="00F50F90" w:rsidP="00F50F90">
            <w:pPr>
              <w:jc w:val="center"/>
            </w:pPr>
            <w:r w:rsidRPr="007B28DF">
              <w:t>2001</w:t>
            </w:r>
          </w:p>
          <w:p w:rsidR="00F50F90" w:rsidRDefault="00F50F90" w:rsidP="007B28DF">
            <w:pPr>
              <w:jc w:val="center"/>
              <w:rPr>
                <w:b/>
              </w:rPr>
            </w:pPr>
          </w:p>
          <w:p w:rsidR="00F50F90" w:rsidRDefault="00F50F90" w:rsidP="007B28DF">
            <w:pPr>
              <w:jc w:val="center"/>
              <w:rPr>
                <w:b/>
              </w:rPr>
            </w:pPr>
          </w:p>
          <w:p w:rsidR="00F50F90" w:rsidRDefault="00F50F90" w:rsidP="007B28DF">
            <w:pPr>
              <w:jc w:val="center"/>
              <w:rPr>
                <w:b/>
              </w:rPr>
            </w:pPr>
          </w:p>
          <w:p w:rsidR="007B28DF" w:rsidRPr="000D7A9F" w:rsidRDefault="007B28DF" w:rsidP="007B28DF">
            <w:pPr>
              <w:jc w:val="center"/>
              <w:rPr>
                <w:b/>
              </w:rPr>
            </w:pPr>
            <w:r w:rsidRPr="000D7A9F">
              <w:rPr>
                <w:b/>
              </w:rPr>
              <w:t>Návrh zákona čl.</w:t>
            </w:r>
            <w:r w:rsidR="00EA25A8">
              <w:rPr>
                <w:b/>
              </w:rPr>
              <w:t>I</w:t>
            </w:r>
            <w:r w:rsidR="001B72C8">
              <w:rPr>
                <w:b/>
              </w:rPr>
              <w:t>I</w:t>
            </w:r>
          </w:p>
          <w:p w:rsidR="007B28DF" w:rsidRDefault="007B28DF" w:rsidP="00DD7F71">
            <w:pPr>
              <w:jc w:val="center"/>
            </w:pPr>
          </w:p>
          <w:p w:rsidR="007B28DF" w:rsidRPr="007B28DF" w:rsidRDefault="007B28DF" w:rsidP="00DD7F71">
            <w:pPr>
              <w:jc w:val="center"/>
            </w:pPr>
            <w:r w:rsidRPr="007B28DF">
              <w:t>575/</w:t>
            </w:r>
          </w:p>
          <w:p w:rsidR="007B28DF" w:rsidRPr="007B28DF" w:rsidRDefault="007B28DF" w:rsidP="00DD7F71">
            <w:pPr>
              <w:jc w:val="center"/>
            </w:pPr>
            <w:r w:rsidRPr="007B28DF">
              <w:t>2001</w:t>
            </w:r>
          </w:p>
          <w:p w:rsidR="007B28DF" w:rsidRDefault="007B28DF" w:rsidP="00DD7F71">
            <w:pPr>
              <w:jc w:val="center"/>
              <w:rPr>
                <w:b/>
              </w:rPr>
            </w:pPr>
          </w:p>
          <w:p w:rsidR="007B28DF" w:rsidRDefault="007B28DF" w:rsidP="00DD7F71">
            <w:pPr>
              <w:jc w:val="center"/>
              <w:rPr>
                <w:b/>
              </w:rPr>
            </w:pPr>
          </w:p>
          <w:p w:rsidR="00DD7F71" w:rsidRDefault="00DD7F71" w:rsidP="00DD7F71">
            <w:pPr>
              <w:jc w:val="center"/>
              <w:rPr>
                <w:b/>
              </w:rPr>
            </w:pPr>
          </w:p>
          <w:p w:rsidR="00323195" w:rsidRPr="000D7A9F" w:rsidRDefault="00323195" w:rsidP="00DD7F71">
            <w:pPr>
              <w:jc w:val="center"/>
              <w:rPr>
                <w:b/>
              </w:rPr>
            </w:pPr>
          </w:p>
          <w:p w:rsidR="00DD7F71" w:rsidRPr="000D7A9F" w:rsidRDefault="00DD7F71" w:rsidP="00DD7F71">
            <w:pPr>
              <w:jc w:val="center"/>
            </w:pPr>
            <w:r w:rsidRPr="000D7A9F">
              <w:t>222/</w:t>
            </w:r>
          </w:p>
          <w:p w:rsidR="00DD7F71" w:rsidRPr="000D7A9F" w:rsidRDefault="00DD7F71" w:rsidP="00DD7F71">
            <w:pPr>
              <w:jc w:val="center"/>
            </w:pPr>
            <w:r w:rsidRPr="000D7A9F">
              <w:t>2004</w:t>
            </w:r>
          </w:p>
          <w:p w:rsidR="00DD7F71" w:rsidRPr="000D7A9F" w:rsidRDefault="00DD7F71" w:rsidP="00834B3E">
            <w:pPr>
              <w:jc w:val="both"/>
            </w:pPr>
          </w:p>
          <w:p w:rsidR="00DD7F71" w:rsidRPr="000D7A9F" w:rsidRDefault="00DD7F71" w:rsidP="00DD7F71">
            <w:pPr>
              <w:jc w:val="center"/>
              <w:rPr>
                <w:b/>
              </w:rPr>
            </w:pPr>
            <w:r w:rsidRPr="000D7A9F">
              <w:t>222/ 2004 a</w:t>
            </w:r>
            <w:r w:rsidRPr="000D7A9F">
              <w:rPr>
                <w:b/>
              </w:rPr>
              <w:t xml:space="preserve"> návrh zákona čl.I</w:t>
            </w:r>
          </w:p>
        </w:tc>
        <w:tc>
          <w:tcPr>
            <w:tcW w:w="709" w:type="dxa"/>
            <w:tcBorders>
              <w:top w:val="single" w:sz="4" w:space="0" w:color="auto"/>
              <w:left w:val="single" w:sz="4" w:space="0" w:color="auto"/>
              <w:bottom w:val="single" w:sz="4" w:space="0" w:color="auto"/>
              <w:right w:val="single" w:sz="4" w:space="0" w:color="auto"/>
            </w:tcBorders>
          </w:tcPr>
          <w:p w:rsidR="007B28DF" w:rsidRDefault="007B28DF" w:rsidP="00834B3E">
            <w:pPr>
              <w:pStyle w:val="Normlny0"/>
              <w:jc w:val="both"/>
              <w:rPr>
                <w:sz w:val="24"/>
                <w:szCs w:val="24"/>
              </w:rPr>
            </w:pPr>
          </w:p>
          <w:p w:rsidR="007B28DF" w:rsidRDefault="007B28DF" w:rsidP="00834B3E">
            <w:pPr>
              <w:pStyle w:val="Normlny0"/>
              <w:jc w:val="both"/>
              <w:rPr>
                <w:sz w:val="24"/>
                <w:szCs w:val="24"/>
              </w:rPr>
            </w:pPr>
          </w:p>
          <w:p w:rsidR="00162F39" w:rsidRPr="007B28DF" w:rsidRDefault="007B28DF" w:rsidP="00834B3E">
            <w:pPr>
              <w:pStyle w:val="Normlny0"/>
              <w:jc w:val="both"/>
              <w:rPr>
                <w:sz w:val="24"/>
                <w:szCs w:val="24"/>
              </w:rPr>
            </w:pPr>
            <w:r w:rsidRPr="007B28DF">
              <w:rPr>
                <w:sz w:val="24"/>
                <w:szCs w:val="24"/>
              </w:rPr>
              <w:lastRenderedPageBreak/>
              <w:t>§ 35 ods.7</w:t>
            </w:r>
          </w:p>
          <w:p w:rsidR="00DD7F71" w:rsidRPr="000D7A9F" w:rsidRDefault="00DD7F71" w:rsidP="00834B3E">
            <w:pPr>
              <w:pStyle w:val="Normlny0"/>
              <w:jc w:val="both"/>
              <w:rPr>
                <w:b/>
                <w:sz w:val="24"/>
                <w:szCs w:val="24"/>
              </w:rPr>
            </w:pPr>
          </w:p>
          <w:p w:rsidR="00DD7F71" w:rsidRPr="000D7A9F" w:rsidRDefault="00DD7F71" w:rsidP="00834B3E">
            <w:pPr>
              <w:pStyle w:val="Normlny0"/>
              <w:jc w:val="both"/>
              <w:rPr>
                <w:b/>
                <w:sz w:val="24"/>
                <w:szCs w:val="24"/>
              </w:rPr>
            </w:pPr>
          </w:p>
          <w:p w:rsidR="00DD7F71" w:rsidRDefault="00DD7F71" w:rsidP="00834B3E">
            <w:pPr>
              <w:pStyle w:val="Normlny0"/>
              <w:jc w:val="both"/>
              <w:rPr>
                <w:b/>
                <w:sz w:val="24"/>
                <w:szCs w:val="24"/>
              </w:rPr>
            </w:pPr>
          </w:p>
          <w:p w:rsidR="002B7F59" w:rsidRDefault="002B7F59" w:rsidP="00834B3E">
            <w:pPr>
              <w:pStyle w:val="Normlny0"/>
              <w:jc w:val="both"/>
              <w:rPr>
                <w:b/>
                <w:sz w:val="24"/>
                <w:szCs w:val="24"/>
              </w:rPr>
            </w:pPr>
          </w:p>
          <w:p w:rsidR="00F50F90" w:rsidRDefault="00F50F90" w:rsidP="00834B3E">
            <w:pPr>
              <w:pStyle w:val="Normlny0"/>
              <w:jc w:val="both"/>
              <w:rPr>
                <w:b/>
                <w:sz w:val="24"/>
                <w:szCs w:val="24"/>
              </w:rPr>
            </w:pPr>
          </w:p>
          <w:p w:rsidR="00F50F90" w:rsidRDefault="00F50F90" w:rsidP="00834B3E">
            <w:pPr>
              <w:pStyle w:val="Normlny0"/>
              <w:jc w:val="both"/>
              <w:rPr>
                <w:b/>
                <w:sz w:val="24"/>
                <w:szCs w:val="24"/>
              </w:rPr>
            </w:pPr>
          </w:p>
          <w:p w:rsidR="00F50F90" w:rsidRDefault="00F50F90" w:rsidP="00834B3E">
            <w:pPr>
              <w:pStyle w:val="Normlny0"/>
              <w:jc w:val="both"/>
              <w:rPr>
                <w:b/>
                <w:sz w:val="24"/>
                <w:szCs w:val="24"/>
              </w:rPr>
            </w:pPr>
          </w:p>
          <w:p w:rsidR="00EA25A8" w:rsidRDefault="00EA25A8" w:rsidP="00834B3E">
            <w:pPr>
              <w:pStyle w:val="Normlny0"/>
              <w:jc w:val="both"/>
              <w:rPr>
                <w:b/>
                <w:sz w:val="24"/>
                <w:szCs w:val="24"/>
              </w:rPr>
            </w:pPr>
          </w:p>
          <w:p w:rsidR="00F50F90" w:rsidRDefault="00F50F90" w:rsidP="00834B3E">
            <w:pPr>
              <w:pStyle w:val="Normlny0"/>
              <w:jc w:val="both"/>
              <w:rPr>
                <w:b/>
                <w:sz w:val="24"/>
                <w:szCs w:val="24"/>
              </w:rPr>
            </w:pPr>
          </w:p>
          <w:p w:rsidR="00F50F90" w:rsidRPr="007B28DF" w:rsidRDefault="00F50F90" w:rsidP="00F50F90">
            <w:pPr>
              <w:pStyle w:val="Normlny0"/>
              <w:jc w:val="both"/>
              <w:rPr>
                <w:sz w:val="24"/>
                <w:szCs w:val="24"/>
              </w:rPr>
            </w:pPr>
            <w:r w:rsidRPr="007B28DF">
              <w:rPr>
                <w:sz w:val="24"/>
                <w:szCs w:val="24"/>
              </w:rPr>
              <w:t>§ 35 ods.7</w:t>
            </w:r>
          </w:p>
          <w:p w:rsidR="00F50F90" w:rsidRDefault="00F50F90" w:rsidP="00834B3E">
            <w:pPr>
              <w:pStyle w:val="Normlny0"/>
              <w:jc w:val="both"/>
              <w:rPr>
                <w:b/>
                <w:sz w:val="24"/>
                <w:szCs w:val="24"/>
              </w:rPr>
            </w:pPr>
          </w:p>
          <w:p w:rsidR="00F50F90" w:rsidRDefault="00F50F90" w:rsidP="00834B3E">
            <w:pPr>
              <w:pStyle w:val="Normlny0"/>
              <w:jc w:val="both"/>
              <w:rPr>
                <w:b/>
                <w:sz w:val="24"/>
                <w:szCs w:val="24"/>
              </w:rPr>
            </w:pPr>
          </w:p>
          <w:p w:rsidR="00F50F90" w:rsidRDefault="00F50F90" w:rsidP="00834B3E">
            <w:pPr>
              <w:pStyle w:val="Normlny0"/>
              <w:jc w:val="both"/>
              <w:rPr>
                <w:b/>
                <w:sz w:val="24"/>
                <w:szCs w:val="24"/>
              </w:rPr>
            </w:pPr>
          </w:p>
          <w:p w:rsidR="00F50F90" w:rsidRDefault="00F50F90" w:rsidP="00834B3E">
            <w:pPr>
              <w:pStyle w:val="Normlny0"/>
              <w:jc w:val="both"/>
              <w:rPr>
                <w:b/>
                <w:sz w:val="24"/>
                <w:szCs w:val="24"/>
              </w:rPr>
            </w:pPr>
          </w:p>
          <w:p w:rsidR="00DD7F71" w:rsidRPr="000D7A9F" w:rsidRDefault="00DD7F71" w:rsidP="00834B3E">
            <w:pPr>
              <w:pStyle w:val="Normlny0"/>
              <w:jc w:val="both"/>
              <w:rPr>
                <w:sz w:val="24"/>
                <w:szCs w:val="24"/>
              </w:rPr>
            </w:pPr>
            <w:r w:rsidRPr="000D7A9F">
              <w:rPr>
                <w:sz w:val="24"/>
                <w:szCs w:val="24"/>
              </w:rPr>
              <w:t>§ 86</w:t>
            </w:r>
          </w:p>
          <w:p w:rsidR="00DD7F71" w:rsidRPr="000D7A9F" w:rsidRDefault="00DD7F71" w:rsidP="00834B3E">
            <w:pPr>
              <w:pStyle w:val="Normlny0"/>
              <w:jc w:val="both"/>
              <w:rPr>
                <w:b/>
                <w:sz w:val="24"/>
                <w:szCs w:val="24"/>
              </w:rPr>
            </w:pPr>
          </w:p>
          <w:p w:rsidR="00DD7F71" w:rsidRPr="000D7A9F" w:rsidRDefault="00DD7F71" w:rsidP="00834B3E">
            <w:pPr>
              <w:pStyle w:val="Normlny0"/>
              <w:jc w:val="both"/>
              <w:rPr>
                <w:b/>
                <w:sz w:val="24"/>
                <w:szCs w:val="24"/>
              </w:rPr>
            </w:pPr>
          </w:p>
          <w:p w:rsidR="00DD7F71" w:rsidRPr="000D7A9F" w:rsidRDefault="00DD7F71" w:rsidP="00834B3E">
            <w:pPr>
              <w:pStyle w:val="Normlny0"/>
              <w:jc w:val="both"/>
              <w:rPr>
                <w:sz w:val="24"/>
                <w:szCs w:val="24"/>
              </w:rPr>
            </w:pPr>
            <w:r w:rsidRPr="000D7A9F">
              <w:rPr>
                <w:sz w:val="24"/>
                <w:szCs w:val="24"/>
              </w:rPr>
              <w:t>Príloha č. 6</w:t>
            </w:r>
          </w:p>
          <w:p w:rsidR="00DD7F71" w:rsidRPr="000D7A9F" w:rsidRDefault="00DD7F71" w:rsidP="00834B3E">
            <w:pPr>
              <w:pStyle w:val="Normlny0"/>
              <w:jc w:val="both"/>
              <w:rPr>
                <w:sz w:val="24"/>
                <w:szCs w:val="24"/>
              </w:rPr>
            </w:pPr>
          </w:p>
          <w:p w:rsidR="00DD7F71" w:rsidRPr="000D7A9F" w:rsidRDefault="00DD7F71" w:rsidP="00834B3E">
            <w:pPr>
              <w:pStyle w:val="Normlny0"/>
              <w:jc w:val="both"/>
              <w:rPr>
                <w:sz w:val="24"/>
                <w:szCs w:val="24"/>
              </w:rPr>
            </w:pPr>
            <w:r w:rsidRPr="000D7A9F">
              <w:rPr>
                <w:sz w:val="24"/>
                <w:szCs w:val="24"/>
              </w:rPr>
              <w:t>Bod 16</w:t>
            </w:r>
          </w:p>
        </w:tc>
        <w:tc>
          <w:tcPr>
            <w:tcW w:w="5670" w:type="dxa"/>
            <w:tcBorders>
              <w:top w:val="single" w:sz="4" w:space="0" w:color="auto"/>
              <w:left w:val="single" w:sz="4" w:space="0" w:color="auto"/>
              <w:bottom w:val="single" w:sz="4" w:space="0" w:color="auto"/>
              <w:right w:val="single" w:sz="4" w:space="0" w:color="auto"/>
            </w:tcBorders>
          </w:tcPr>
          <w:p w:rsidR="00F50F90" w:rsidRDefault="00F50F90" w:rsidP="00834B3E">
            <w:pPr>
              <w:pStyle w:val="Zkladntext"/>
              <w:jc w:val="both"/>
              <w:rPr>
                <w:color w:val="494949"/>
              </w:rPr>
            </w:pPr>
          </w:p>
          <w:p w:rsidR="00F50F90" w:rsidRDefault="00F50F90" w:rsidP="00834B3E">
            <w:pPr>
              <w:pStyle w:val="Zkladntext"/>
              <w:jc w:val="both"/>
              <w:rPr>
                <w:color w:val="494949"/>
              </w:rPr>
            </w:pPr>
          </w:p>
          <w:p w:rsidR="007B28DF" w:rsidRPr="00B929DC" w:rsidRDefault="007B28DF" w:rsidP="00834B3E">
            <w:pPr>
              <w:pStyle w:val="Zkladntext"/>
              <w:jc w:val="both"/>
              <w:rPr>
                <w:b/>
                <w:color w:val="auto"/>
              </w:rPr>
            </w:pPr>
            <w:r w:rsidRPr="00B929DC">
              <w:rPr>
                <w:color w:val="auto"/>
              </w:rPr>
              <w:lastRenderedPageBreak/>
              <w:t>Ministerstvá a ostatné ústredné orgány štátnej správy v rozsahu vymedzenej pôsobnosti plnia voči orgánom Európskej únie informačnú a oznamovaciu povinnosť, ktorá im vyplýva z právne záväzných aktov týchto orgánov.</w:t>
            </w:r>
          </w:p>
          <w:p w:rsidR="00F50F90" w:rsidRPr="000D7A9F" w:rsidRDefault="00F50F90" w:rsidP="00F50F90">
            <w:pPr>
              <w:pStyle w:val="Zkladntext"/>
              <w:jc w:val="both"/>
              <w:rPr>
                <w:b/>
              </w:rPr>
            </w:pPr>
            <w:r w:rsidRPr="000D7A9F">
              <w:rPr>
                <w:b/>
              </w:rPr>
              <w:t>Tento zákon nadobúda účinnosť 1. januára 2019.</w:t>
            </w:r>
          </w:p>
          <w:p w:rsidR="007B28DF" w:rsidRDefault="007B28DF" w:rsidP="00834B3E">
            <w:pPr>
              <w:pStyle w:val="Zkladntext"/>
              <w:jc w:val="both"/>
              <w:rPr>
                <w:b/>
              </w:rPr>
            </w:pPr>
          </w:p>
          <w:p w:rsidR="00F50F90" w:rsidRDefault="00F50F90" w:rsidP="00834B3E">
            <w:pPr>
              <w:pStyle w:val="Zkladntext"/>
              <w:jc w:val="both"/>
            </w:pPr>
          </w:p>
          <w:p w:rsidR="00F50F90" w:rsidRDefault="00F50F90" w:rsidP="00834B3E">
            <w:pPr>
              <w:pStyle w:val="Zkladntext"/>
              <w:jc w:val="both"/>
            </w:pPr>
          </w:p>
          <w:p w:rsidR="00EA25A8" w:rsidRDefault="00EA25A8" w:rsidP="00834B3E">
            <w:pPr>
              <w:pStyle w:val="Zkladntext"/>
              <w:jc w:val="both"/>
            </w:pPr>
          </w:p>
          <w:p w:rsidR="00F50F90" w:rsidRDefault="00F50F90" w:rsidP="00834B3E">
            <w:pPr>
              <w:pStyle w:val="Zkladntext"/>
              <w:jc w:val="both"/>
            </w:pPr>
          </w:p>
          <w:p w:rsidR="00F50F90" w:rsidRPr="00B929DC" w:rsidRDefault="00F50F90" w:rsidP="00F50F90">
            <w:pPr>
              <w:pStyle w:val="Zkladntext"/>
              <w:jc w:val="both"/>
              <w:rPr>
                <w:b/>
                <w:color w:val="auto"/>
              </w:rPr>
            </w:pPr>
            <w:r w:rsidRPr="00B929DC">
              <w:rPr>
                <w:color w:val="auto"/>
              </w:rPr>
              <w:t>Ministerstvá a ostatné ústredné orgány štátnej správy v rozsahu vymedzenej pôsobnosti plnia voči orgánom Európskej únie informačnú a oznamovaciu povinnosť, ktorá im vyplýva z právne záväzných aktov týchto orgánov.</w:t>
            </w:r>
          </w:p>
          <w:p w:rsidR="00F50F90" w:rsidRDefault="00F50F90" w:rsidP="00834B3E">
            <w:pPr>
              <w:pStyle w:val="Zkladntext"/>
              <w:jc w:val="both"/>
            </w:pPr>
          </w:p>
          <w:p w:rsidR="00DD7F71" w:rsidRPr="000D7A9F" w:rsidRDefault="00DD7F71" w:rsidP="00834B3E">
            <w:pPr>
              <w:pStyle w:val="Normlny0"/>
              <w:jc w:val="both"/>
              <w:rPr>
                <w:sz w:val="24"/>
                <w:szCs w:val="24"/>
              </w:rPr>
            </w:pPr>
            <w:r w:rsidRPr="000D7A9F">
              <w:rPr>
                <w:sz w:val="24"/>
                <w:szCs w:val="24"/>
              </w:rPr>
              <w:t>Týmto zákonom sa preberajú právne záväzné akty Európskej únie uvedené v prílohe č. 6.</w:t>
            </w:r>
          </w:p>
          <w:p w:rsidR="00DD7F71" w:rsidRPr="000D7A9F" w:rsidRDefault="00DD7F71" w:rsidP="00834B3E">
            <w:pPr>
              <w:pStyle w:val="Normlny0"/>
              <w:jc w:val="both"/>
              <w:rPr>
                <w:sz w:val="24"/>
                <w:szCs w:val="24"/>
              </w:rPr>
            </w:pPr>
          </w:p>
          <w:p w:rsidR="00162F39" w:rsidRPr="000D7A9F" w:rsidRDefault="00DD7F71" w:rsidP="00834B3E">
            <w:pPr>
              <w:pStyle w:val="Normlny0"/>
              <w:jc w:val="both"/>
              <w:rPr>
                <w:sz w:val="24"/>
                <w:szCs w:val="24"/>
              </w:rPr>
            </w:pPr>
            <w:r w:rsidRPr="000D7A9F">
              <w:rPr>
                <w:sz w:val="24"/>
                <w:szCs w:val="24"/>
              </w:rPr>
              <w:t>ZOZNAM PREBERANÝCH PRÁVNE ZÁVÄZNÝCH AKTOV EURÓPSKEJ ÚNIE</w:t>
            </w:r>
          </w:p>
          <w:p w:rsidR="00DD7F71" w:rsidRPr="000D7A9F" w:rsidRDefault="00DD7F71" w:rsidP="00834B3E">
            <w:pPr>
              <w:pStyle w:val="Normlny0"/>
              <w:jc w:val="both"/>
              <w:rPr>
                <w:sz w:val="24"/>
                <w:szCs w:val="24"/>
              </w:rPr>
            </w:pPr>
          </w:p>
          <w:p w:rsidR="00DD7F71" w:rsidRPr="000D7A9F" w:rsidRDefault="00DD7F71" w:rsidP="00834B3E">
            <w:pPr>
              <w:pStyle w:val="Normlny0"/>
              <w:jc w:val="both"/>
              <w:rPr>
                <w:b/>
                <w:sz w:val="24"/>
                <w:szCs w:val="24"/>
              </w:rPr>
            </w:pPr>
            <w:r w:rsidRPr="000D7A9F">
              <w:rPr>
                <w:b/>
                <w:sz w:val="24"/>
                <w:szCs w:val="24"/>
              </w:rPr>
              <w:t>16. Smernica Rady (EÚ) 2016/1065 z 27. júna 2016, ktorou sa mení smernica 2006/112/ES, pokiaľ ide o zaobchádzanie s poukazmi (Ú. v. EÚ L 177, 1.7.2016).</w:t>
            </w:r>
          </w:p>
        </w:tc>
        <w:tc>
          <w:tcPr>
            <w:tcW w:w="425" w:type="dxa"/>
            <w:tcBorders>
              <w:top w:val="single" w:sz="4" w:space="0" w:color="auto"/>
              <w:left w:val="single" w:sz="4" w:space="0" w:color="auto"/>
              <w:bottom w:val="single" w:sz="4" w:space="0" w:color="auto"/>
              <w:right w:val="single" w:sz="4" w:space="0" w:color="auto"/>
            </w:tcBorders>
          </w:tcPr>
          <w:p w:rsidR="00162F39" w:rsidRPr="000D7A9F" w:rsidRDefault="00DD7F71" w:rsidP="00834B3E">
            <w:pPr>
              <w:jc w:val="both"/>
            </w:pPr>
            <w:r w:rsidRPr="000D7A9F">
              <w:lastRenderedPageBreak/>
              <w:t>Ú</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r w:rsidR="00162F39" w:rsidRPr="000D7A9F" w:rsidTr="0032751F">
        <w:tc>
          <w:tcPr>
            <w:tcW w:w="540" w:type="dxa"/>
            <w:tcBorders>
              <w:top w:val="single" w:sz="4" w:space="0" w:color="auto"/>
              <w:left w:val="single" w:sz="12" w:space="0" w:color="auto"/>
              <w:bottom w:val="single" w:sz="4" w:space="0" w:color="auto"/>
              <w:right w:val="single" w:sz="4" w:space="0" w:color="auto"/>
            </w:tcBorders>
          </w:tcPr>
          <w:p w:rsidR="00162F39" w:rsidRPr="000D7A9F" w:rsidRDefault="0032751F" w:rsidP="00834B3E">
            <w:pPr>
              <w:jc w:val="both"/>
            </w:pPr>
            <w:r w:rsidRPr="000D7A9F">
              <w:t>Čl. 3</w:t>
            </w:r>
          </w:p>
        </w:tc>
        <w:tc>
          <w:tcPr>
            <w:tcW w:w="6946" w:type="dxa"/>
            <w:gridSpan w:val="2"/>
            <w:tcBorders>
              <w:top w:val="single" w:sz="4" w:space="0" w:color="auto"/>
              <w:left w:val="single" w:sz="4" w:space="0" w:color="auto"/>
              <w:bottom w:val="single" w:sz="4" w:space="0" w:color="auto"/>
              <w:right w:val="single" w:sz="4" w:space="0" w:color="auto"/>
            </w:tcBorders>
          </w:tcPr>
          <w:p w:rsidR="00162F39"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Táto smernica nadobúda účinnosť dňom po jej uverejnení v </w:t>
            </w:r>
            <w:r w:rsidRPr="000D7A9F">
              <w:rPr>
                <w:rFonts w:ascii="Times New Roman" w:hAnsi="Times New Roman" w:cs="Times New Roman"/>
                <w:i/>
                <w:iCs/>
              </w:rPr>
              <w:t>Úradnom vestníku Európskej únie</w:t>
            </w:r>
            <w:r w:rsidRPr="000D7A9F">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12" w:space="0" w:color="auto"/>
            </w:tcBorders>
          </w:tcPr>
          <w:p w:rsidR="00162F39" w:rsidRPr="000D7A9F" w:rsidRDefault="00DD7F71" w:rsidP="00834B3E">
            <w:pPr>
              <w:jc w:val="both"/>
            </w:pPr>
            <w:r w:rsidRPr="000D7A9F">
              <w:t>n.a.</w:t>
            </w:r>
          </w:p>
        </w:tc>
        <w:tc>
          <w:tcPr>
            <w:tcW w:w="709" w:type="dxa"/>
            <w:tcBorders>
              <w:top w:val="single" w:sz="4" w:space="0" w:color="auto"/>
              <w:left w:val="nil"/>
              <w:bottom w:val="single" w:sz="4" w:space="0" w:color="auto"/>
              <w:right w:val="single" w:sz="4" w:space="0" w:color="auto"/>
            </w:tcBorders>
          </w:tcPr>
          <w:p w:rsidR="00162F39" w:rsidRPr="000D7A9F" w:rsidRDefault="00162F39" w:rsidP="00834B3E">
            <w:pPr>
              <w:jc w:val="both"/>
              <w:rPr>
                <w:b/>
              </w:rPr>
            </w:pPr>
          </w:p>
        </w:tc>
        <w:tc>
          <w:tcPr>
            <w:tcW w:w="709"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62F39" w:rsidRPr="000D7A9F" w:rsidRDefault="00DD7F71" w:rsidP="00834B3E">
            <w:pPr>
              <w:jc w:val="both"/>
            </w:pPr>
            <w:r w:rsidRPr="000D7A9F">
              <w:t>n.a.</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r w:rsidR="00162F39" w:rsidRPr="000D7A9F" w:rsidTr="0032751F">
        <w:tc>
          <w:tcPr>
            <w:tcW w:w="540" w:type="dxa"/>
            <w:tcBorders>
              <w:top w:val="single" w:sz="4" w:space="0" w:color="auto"/>
              <w:left w:val="single" w:sz="12" w:space="0" w:color="auto"/>
              <w:bottom w:val="single" w:sz="4" w:space="0" w:color="auto"/>
              <w:right w:val="single" w:sz="4" w:space="0" w:color="auto"/>
            </w:tcBorders>
          </w:tcPr>
          <w:p w:rsidR="00162F39" w:rsidRPr="000D7A9F" w:rsidRDefault="0032751F" w:rsidP="00834B3E">
            <w:pPr>
              <w:jc w:val="both"/>
            </w:pPr>
            <w:r w:rsidRPr="000D7A9F">
              <w:t>Čl. 4</w:t>
            </w:r>
          </w:p>
        </w:tc>
        <w:tc>
          <w:tcPr>
            <w:tcW w:w="6946" w:type="dxa"/>
            <w:gridSpan w:val="2"/>
            <w:tcBorders>
              <w:top w:val="single" w:sz="4" w:space="0" w:color="auto"/>
              <w:left w:val="single" w:sz="4" w:space="0" w:color="auto"/>
              <w:bottom w:val="single" w:sz="4" w:space="0" w:color="auto"/>
              <w:right w:val="single" w:sz="4" w:space="0" w:color="auto"/>
            </w:tcBorders>
          </w:tcPr>
          <w:p w:rsidR="0032751F"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Táto smernica je určená členským štátom. </w:t>
            </w:r>
          </w:p>
          <w:p w:rsidR="0032751F" w:rsidRPr="000D7A9F" w:rsidRDefault="0032751F" w:rsidP="00834B3E">
            <w:pPr>
              <w:pStyle w:val="Default"/>
              <w:jc w:val="both"/>
              <w:rPr>
                <w:rFonts w:ascii="Times New Roman" w:hAnsi="Times New Roman" w:cs="Times New Roman"/>
              </w:rPr>
            </w:pPr>
            <w:r w:rsidRPr="000D7A9F">
              <w:rPr>
                <w:rFonts w:ascii="Times New Roman" w:hAnsi="Times New Roman" w:cs="Times New Roman"/>
              </w:rPr>
              <w:t xml:space="preserve">V Luxemburgu 27. júna 2016 </w:t>
            </w:r>
          </w:p>
          <w:p w:rsidR="00162F39" w:rsidRPr="000D7A9F" w:rsidRDefault="0032751F" w:rsidP="00834B3E">
            <w:pPr>
              <w:pStyle w:val="Default"/>
              <w:jc w:val="both"/>
              <w:rPr>
                <w:rFonts w:ascii="Times New Roman" w:hAnsi="Times New Roman" w:cs="Times New Roman"/>
              </w:rPr>
            </w:pPr>
            <w:r w:rsidRPr="000D7A9F">
              <w:rPr>
                <w:rFonts w:ascii="Times New Roman" w:hAnsi="Times New Roman" w:cs="Times New Roman"/>
                <w:i/>
                <w:iCs/>
              </w:rPr>
              <w:t xml:space="preserve">Za Radu predseda </w:t>
            </w:r>
            <w:r w:rsidRPr="000D7A9F">
              <w:rPr>
                <w:rFonts w:ascii="Times New Roman" w:hAnsi="Times New Roman" w:cs="Times New Roman"/>
              </w:rPr>
              <w:t>M.H.P. VAN DAM</w:t>
            </w:r>
          </w:p>
        </w:tc>
        <w:tc>
          <w:tcPr>
            <w:tcW w:w="567" w:type="dxa"/>
            <w:tcBorders>
              <w:top w:val="single" w:sz="4" w:space="0" w:color="auto"/>
              <w:left w:val="single" w:sz="4" w:space="0" w:color="auto"/>
              <w:bottom w:val="single" w:sz="4" w:space="0" w:color="auto"/>
              <w:right w:val="single" w:sz="12" w:space="0" w:color="auto"/>
            </w:tcBorders>
          </w:tcPr>
          <w:p w:rsidR="00162F39" w:rsidRPr="000D7A9F" w:rsidRDefault="00DD7F71" w:rsidP="00834B3E">
            <w:pPr>
              <w:jc w:val="both"/>
            </w:pPr>
            <w:r w:rsidRPr="000D7A9F">
              <w:t>n.a.</w:t>
            </w:r>
          </w:p>
        </w:tc>
        <w:tc>
          <w:tcPr>
            <w:tcW w:w="709" w:type="dxa"/>
            <w:tcBorders>
              <w:top w:val="single" w:sz="4" w:space="0" w:color="auto"/>
              <w:left w:val="nil"/>
              <w:bottom w:val="single" w:sz="4" w:space="0" w:color="auto"/>
              <w:right w:val="single" w:sz="4" w:space="0" w:color="auto"/>
            </w:tcBorders>
          </w:tcPr>
          <w:p w:rsidR="00162F39" w:rsidRPr="000D7A9F" w:rsidRDefault="00162F39" w:rsidP="00834B3E">
            <w:pPr>
              <w:jc w:val="both"/>
              <w:rPr>
                <w:b/>
              </w:rPr>
            </w:pPr>
          </w:p>
        </w:tc>
        <w:tc>
          <w:tcPr>
            <w:tcW w:w="709"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162F39" w:rsidRPr="000D7A9F" w:rsidRDefault="00162F39" w:rsidP="00834B3E">
            <w:pPr>
              <w:pStyle w:val="Normlny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62F39" w:rsidRPr="000D7A9F" w:rsidRDefault="00DD7F71" w:rsidP="00834B3E">
            <w:pPr>
              <w:jc w:val="both"/>
            </w:pPr>
            <w:r w:rsidRPr="000D7A9F">
              <w:t>n.a.</w:t>
            </w:r>
          </w:p>
        </w:tc>
        <w:tc>
          <w:tcPr>
            <w:tcW w:w="634" w:type="dxa"/>
            <w:tcBorders>
              <w:top w:val="single" w:sz="4" w:space="0" w:color="auto"/>
              <w:left w:val="single" w:sz="4" w:space="0" w:color="auto"/>
              <w:bottom w:val="single" w:sz="4" w:space="0" w:color="auto"/>
              <w:right w:val="single" w:sz="12" w:space="0" w:color="auto"/>
            </w:tcBorders>
          </w:tcPr>
          <w:p w:rsidR="00162F39" w:rsidRPr="000D7A9F" w:rsidRDefault="00162F39" w:rsidP="00834B3E">
            <w:pPr>
              <w:pStyle w:val="Nadpis1"/>
              <w:jc w:val="both"/>
              <w:rPr>
                <w:b w:val="0"/>
                <w:bCs w:val="0"/>
              </w:rPr>
            </w:pPr>
          </w:p>
        </w:tc>
      </w:tr>
    </w:tbl>
    <w:p w:rsidR="00AE1172" w:rsidRDefault="00AE1172" w:rsidP="00834B3E">
      <w:pPr>
        <w:autoSpaceDE/>
        <w:autoSpaceDN/>
        <w:jc w:val="both"/>
      </w:pPr>
    </w:p>
    <w:p w:rsidR="00AE1172" w:rsidRDefault="00AE1172" w:rsidP="00834B3E">
      <w:pPr>
        <w:autoSpaceDE/>
        <w:autoSpaceDN/>
        <w:jc w:val="both"/>
      </w:pPr>
    </w:p>
    <w:p w:rsidR="00AE1172" w:rsidRDefault="00AE1172" w:rsidP="00834B3E">
      <w:pPr>
        <w:autoSpaceDE/>
        <w:autoSpaceDN/>
        <w:jc w:val="both"/>
      </w:pPr>
    </w:p>
    <w:p w:rsidR="00AE1172" w:rsidRDefault="00AE1172" w:rsidP="00834B3E">
      <w:pPr>
        <w:autoSpaceDE/>
        <w:autoSpaceDN/>
        <w:jc w:val="both"/>
      </w:pPr>
    </w:p>
    <w:p w:rsidR="00162F39" w:rsidRPr="000D7A9F" w:rsidRDefault="00162F39" w:rsidP="00834B3E">
      <w:pPr>
        <w:autoSpaceDE/>
        <w:autoSpaceDN/>
        <w:jc w:val="both"/>
      </w:pPr>
      <w:r w:rsidRPr="000D7A9F">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0D7A9F" w:rsidTr="00344B44">
        <w:tc>
          <w:tcPr>
            <w:tcW w:w="241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lastRenderedPageBreak/>
              <w:t>V stĺpci (1):</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číslo (písmeno)</w:t>
            </w:r>
          </w:p>
          <w:p w:rsidR="00162F39" w:rsidRPr="000D7A9F" w:rsidRDefault="00162F39" w:rsidP="00834B3E">
            <w:pPr>
              <w:autoSpaceDE/>
              <w:autoSpaceDN/>
              <w:jc w:val="both"/>
            </w:pPr>
          </w:p>
        </w:tc>
        <w:tc>
          <w:tcPr>
            <w:tcW w:w="378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(3):</w:t>
            </w:r>
          </w:p>
          <w:p w:rsidR="00162F39" w:rsidRPr="000D7A9F" w:rsidRDefault="00162F39" w:rsidP="00834B3E">
            <w:pPr>
              <w:autoSpaceDE/>
              <w:autoSpaceDN/>
              <w:jc w:val="both"/>
            </w:pPr>
            <w:r w:rsidRPr="000D7A9F">
              <w:t>N – bežná transpozícia</w:t>
            </w:r>
          </w:p>
          <w:p w:rsidR="00162F39" w:rsidRPr="000D7A9F" w:rsidRDefault="00162F39" w:rsidP="00834B3E">
            <w:pPr>
              <w:autoSpaceDE/>
              <w:autoSpaceDN/>
              <w:jc w:val="both"/>
            </w:pPr>
            <w:r w:rsidRPr="000D7A9F">
              <w:t>O – transpozícia s možnosťou voľby</w:t>
            </w:r>
          </w:p>
          <w:p w:rsidR="00162F39" w:rsidRPr="000D7A9F" w:rsidRDefault="00162F39" w:rsidP="00834B3E">
            <w:pPr>
              <w:autoSpaceDE/>
              <w:autoSpaceDN/>
              <w:jc w:val="both"/>
            </w:pPr>
            <w:r w:rsidRPr="000D7A9F">
              <w:t>D – transpozícia podľa úvahy (dobrovoľná)</w:t>
            </w:r>
          </w:p>
          <w:p w:rsidR="00162F39" w:rsidRPr="000D7A9F" w:rsidRDefault="00162F39" w:rsidP="00834B3E">
            <w:pPr>
              <w:autoSpaceDE/>
              <w:autoSpaceDN/>
              <w:jc w:val="both"/>
            </w:pPr>
            <w:r w:rsidRPr="000D7A9F">
              <w:t>n.a. – transpozícia sa neuskutočňuje</w:t>
            </w:r>
          </w:p>
        </w:tc>
        <w:tc>
          <w:tcPr>
            <w:tcW w:w="234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(5):</w:t>
            </w:r>
          </w:p>
          <w:p w:rsidR="00162F39" w:rsidRPr="000D7A9F" w:rsidRDefault="00162F39" w:rsidP="00834B3E">
            <w:pPr>
              <w:autoSpaceDE/>
              <w:autoSpaceDN/>
              <w:jc w:val="both"/>
            </w:pPr>
            <w:r w:rsidRPr="000D7A9F">
              <w:t>Č – článok</w:t>
            </w:r>
          </w:p>
          <w:p w:rsidR="00162F39" w:rsidRPr="000D7A9F" w:rsidRDefault="00162F39" w:rsidP="00834B3E">
            <w:pPr>
              <w:autoSpaceDE/>
              <w:autoSpaceDN/>
              <w:jc w:val="both"/>
            </w:pPr>
            <w:r w:rsidRPr="000D7A9F">
              <w:t>§ – paragraf</w:t>
            </w:r>
          </w:p>
          <w:p w:rsidR="00162F39" w:rsidRPr="000D7A9F" w:rsidRDefault="00162F39" w:rsidP="00834B3E">
            <w:pPr>
              <w:autoSpaceDE/>
              <w:autoSpaceDN/>
              <w:jc w:val="both"/>
            </w:pPr>
            <w:r w:rsidRPr="000D7A9F">
              <w:t>O – odsek</w:t>
            </w:r>
          </w:p>
          <w:p w:rsidR="00162F39" w:rsidRPr="000D7A9F" w:rsidRDefault="00162F39" w:rsidP="00834B3E">
            <w:pPr>
              <w:autoSpaceDE/>
              <w:autoSpaceDN/>
              <w:jc w:val="both"/>
            </w:pPr>
            <w:r w:rsidRPr="000D7A9F">
              <w:t>V – veta</w:t>
            </w:r>
          </w:p>
          <w:p w:rsidR="00162F39" w:rsidRPr="000D7A9F" w:rsidRDefault="00162F39" w:rsidP="00834B3E">
            <w:pPr>
              <w:autoSpaceDE/>
              <w:autoSpaceDN/>
              <w:jc w:val="both"/>
            </w:pPr>
            <w:r w:rsidRPr="000D7A9F">
              <w:t>P – písmeno (číslo)</w:t>
            </w:r>
          </w:p>
        </w:tc>
        <w:tc>
          <w:tcPr>
            <w:tcW w:w="7200" w:type="dxa"/>
            <w:tcBorders>
              <w:top w:val="nil"/>
              <w:left w:val="nil"/>
              <w:bottom w:val="nil"/>
              <w:right w:val="nil"/>
            </w:tcBorders>
          </w:tcPr>
          <w:p w:rsidR="00162F39" w:rsidRPr="000D7A9F" w:rsidRDefault="00162F39" w:rsidP="00834B3E">
            <w:pPr>
              <w:pStyle w:val="Normlny0"/>
              <w:autoSpaceDE/>
              <w:autoSpaceDN/>
              <w:spacing w:after="60"/>
              <w:jc w:val="both"/>
              <w:rPr>
                <w:sz w:val="24"/>
                <w:szCs w:val="24"/>
                <w:lang w:eastAsia="sk-SK"/>
              </w:rPr>
            </w:pPr>
            <w:r w:rsidRPr="000D7A9F">
              <w:rPr>
                <w:sz w:val="24"/>
                <w:szCs w:val="24"/>
                <w:lang w:eastAsia="sk-SK"/>
              </w:rPr>
              <w:t>V stĺpci (7):</w:t>
            </w:r>
          </w:p>
          <w:p w:rsidR="00162F39" w:rsidRPr="000D7A9F" w:rsidRDefault="00162F39" w:rsidP="00834B3E">
            <w:pPr>
              <w:autoSpaceDE/>
              <w:autoSpaceDN/>
              <w:ind w:left="290" w:hanging="290"/>
              <w:jc w:val="both"/>
            </w:pPr>
            <w:r w:rsidRPr="000D7A9F">
              <w:t>Ú – úplná zhoda (ak bolo ustanovenie smernice prebraté v celom rozsahu, správne, v príslušnej forme, so zabezpečenou inštitucionálnou  infraštruktúrou, s príslušnými sankciami a vo vzájomnej súvislosti)</w:t>
            </w:r>
          </w:p>
          <w:p w:rsidR="00162F39" w:rsidRPr="000D7A9F" w:rsidRDefault="00162F39" w:rsidP="00834B3E">
            <w:pPr>
              <w:autoSpaceDE/>
              <w:autoSpaceDN/>
              <w:jc w:val="both"/>
            </w:pPr>
            <w:r w:rsidRPr="000D7A9F">
              <w:t>Č – čiastočná zhoda (ak minimálne jedna z podmienok úplnej zhody nie je splnená)</w:t>
            </w:r>
          </w:p>
          <w:p w:rsidR="00162F39" w:rsidRPr="000D7A9F" w:rsidRDefault="00162F39" w:rsidP="00834B3E">
            <w:pPr>
              <w:pStyle w:val="Zarkazkladnhotextu2"/>
              <w:jc w:val="both"/>
              <w:rPr>
                <w:sz w:val="24"/>
                <w:szCs w:val="24"/>
              </w:rPr>
            </w:pPr>
            <w:r w:rsidRPr="000D7A9F">
              <w:rPr>
                <w:sz w:val="24"/>
                <w:szCs w:val="24"/>
              </w:rPr>
              <w:t>Ž – žiadna zhoda (ak nebola dosiahnutá ani úplná ani čiast. zhoda alebo k prebratiu dôjde v budúcnosti)</w:t>
            </w:r>
          </w:p>
          <w:p w:rsidR="00162F39" w:rsidRPr="000D7A9F" w:rsidRDefault="00162F39" w:rsidP="00834B3E">
            <w:pPr>
              <w:autoSpaceDE/>
              <w:autoSpaceDN/>
              <w:ind w:left="290" w:hanging="290"/>
              <w:jc w:val="both"/>
            </w:pPr>
            <w:r w:rsidRPr="000D7A9F">
              <w:t>n.a. – neaplikovateľnosť (ak sa ustanovenie smernice netýka SR alebo nie je potrebné ho prebrať)</w:t>
            </w:r>
          </w:p>
        </w:tc>
      </w:tr>
    </w:tbl>
    <w:p w:rsidR="00162F39" w:rsidRPr="000D7A9F" w:rsidRDefault="00162F39" w:rsidP="00834B3E">
      <w:pPr>
        <w:pStyle w:val="Hlavika"/>
        <w:tabs>
          <w:tab w:val="clear" w:pos="4536"/>
          <w:tab w:val="clear" w:pos="9072"/>
        </w:tabs>
        <w:autoSpaceDE/>
        <w:autoSpaceDN/>
        <w:jc w:val="both"/>
      </w:pPr>
    </w:p>
    <w:sectPr w:rsidR="00162F39" w:rsidRPr="000D7A9F">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10" w:rsidRDefault="00005310">
      <w:r>
        <w:separator/>
      </w:r>
    </w:p>
  </w:endnote>
  <w:endnote w:type="continuationSeparator" w:id="0">
    <w:p w:rsidR="00005310" w:rsidRDefault="0000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Arial"/>
    <w:panose1 w:val="00000000000000000000"/>
    <w:charset w:val="EE"/>
    <w:family w:val="swiss"/>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94292">
      <w:rPr>
        <w:rStyle w:val="slostrany"/>
        <w:noProof/>
      </w:rPr>
      <w:t>4</w:t>
    </w:r>
    <w:r>
      <w:rPr>
        <w:rStyle w:val="slostrany"/>
      </w:rPr>
      <w:fldChar w:fldCharType="end"/>
    </w:r>
  </w:p>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10" w:rsidRDefault="00005310">
      <w:r>
        <w:separator/>
      </w:r>
    </w:p>
  </w:footnote>
  <w:footnote w:type="continuationSeparator" w:id="0">
    <w:p w:rsidR="00005310" w:rsidRDefault="00005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310"/>
    <w:rsid w:val="00093769"/>
    <w:rsid w:val="000C2E53"/>
    <w:rsid w:val="000D7A9F"/>
    <w:rsid w:val="00127033"/>
    <w:rsid w:val="00153B33"/>
    <w:rsid w:val="00162F39"/>
    <w:rsid w:val="0017797B"/>
    <w:rsid w:val="001A2534"/>
    <w:rsid w:val="001B72C8"/>
    <w:rsid w:val="002153F7"/>
    <w:rsid w:val="00217BF4"/>
    <w:rsid w:val="00270E65"/>
    <w:rsid w:val="0029483D"/>
    <w:rsid w:val="002B7F59"/>
    <w:rsid w:val="002E1D16"/>
    <w:rsid w:val="002F036F"/>
    <w:rsid w:val="002F6FA1"/>
    <w:rsid w:val="00311A45"/>
    <w:rsid w:val="003168BC"/>
    <w:rsid w:val="00323195"/>
    <w:rsid w:val="0032751F"/>
    <w:rsid w:val="00344B44"/>
    <w:rsid w:val="00346101"/>
    <w:rsid w:val="00346AAD"/>
    <w:rsid w:val="00391DC5"/>
    <w:rsid w:val="003E7B78"/>
    <w:rsid w:val="00405C80"/>
    <w:rsid w:val="004219E0"/>
    <w:rsid w:val="00424270"/>
    <w:rsid w:val="00440A2A"/>
    <w:rsid w:val="004577EC"/>
    <w:rsid w:val="0048138A"/>
    <w:rsid w:val="004919F8"/>
    <w:rsid w:val="00494CFC"/>
    <w:rsid w:val="004F599E"/>
    <w:rsid w:val="00510804"/>
    <w:rsid w:val="00510EDC"/>
    <w:rsid w:val="005170A9"/>
    <w:rsid w:val="00564C43"/>
    <w:rsid w:val="00564D44"/>
    <w:rsid w:val="005674BC"/>
    <w:rsid w:val="005947B8"/>
    <w:rsid w:val="005E0477"/>
    <w:rsid w:val="005E147F"/>
    <w:rsid w:val="00601F13"/>
    <w:rsid w:val="00603033"/>
    <w:rsid w:val="0064397E"/>
    <w:rsid w:val="00652BE3"/>
    <w:rsid w:val="00656B18"/>
    <w:rsid w:val="0068153F"/>
    <w:rsid w:val="00683A6B"/>
    <w:rsid w:val="006E18F6"/>
    <w:rsid w:val="006E689D"/>
    <w:rsid w:val="006F3F34"/>
    <w:rsid w:val="00753D61"/>
    <w:rsid w:val="0078287E"/>
    <w:rsid w:val="007B28DF"/>
    <w:rsid w:val="00834B3E"/>
    <w:rsid w:val="00851837"/>
    <w:rsid w:val="00861E2E"/>
    <w:rsid w:val="00874585"/>
    <w:rsid w:val="008A0B4B"/>
    <w:rsid w:val="008A5161"/>
    <w:rsid w:val="008B515C"/>
    <w:rsid w:val="008C54C3"/>
    <w:rsid w:val="008E448D"/>
    <w:rsid w:val="0091636B"/>
    <w:rsid w:val="009612CE"/>
    <w:rsid w:val="009719C2"/>
    <w:rsid w:val="009826E3"/>
    <w:rsid w:val="009842F4"/>
    <w:rsid w:val="009C5E2D"/>
    <w:rsid w:val="009E26B8"/>
    <w:rsid w:val="009F5C22"/>
    <w:rsid w:val="00A02F9A"/>
    <w:rsid w:val="00A46622"/>
    <w:rsid w:val="00A47BED"/>
    <w:rsid w:val="00A74B18"/>
    <w:rsid w:val="00A76D5E"/>
    <w:rsid w:val="00A9063F"/>
    <w:rsid w:val="00A91B17"/>
    <w:rsid w:val="00AA55DA"/>
    <w:rsid w:val="00AB7D27"/>
    <w:rsid w:val="00AD1EEA"/>
    <w:rsid w:val="00AD3C5E"/>
    <w:rsid w:val="00AE1172"/>
    <w:rsid w:val="00B40092"/>
    <w:rsid w:val="00B64B09"/>
    <w:rsid w:val="00B929DC"/>
    <w:rsid w:val="00BA2E47"/>
    <w:rsid w:val="00BF2267"/>
    <w:rsid w:val="00BF2C5A"/>
    <w:rsid w:val="00BF49CD"/>
    <w:rsid w:val="00C139A5"/>
    <w:rsid w:val="00C21CEF"/>
    <w:rsid w:val="00C34EF5"/>
    <w:rsid w:val="00C46781"/>
    <w:rsid w:val="00C94292"/>
    <w:rsid w:val="00CA7121"/>
    <w:rsid w:val="00CB2E5D"/>
    <w:rsid w:val="00D205AC"/>
    <w:rsid w:val="00D22A7B"/>
    <w:rsid w:val="00D33B5F"/>
    <w:rsid w:val="00D3404B"/>
    <w:rsid w:val="00D63FC1"/>
    <w:rsid w:val="00D65DC0"/>
    <w:rsid w:val="00D83E5B"/>
    <w:rsid w:val="00DA0F6C"/>
    <w:rsid w:val="00DC0F95"/>
    <w:rsid w:val="00DD24D4"/>
    <w:rsid w:val="00DD7F71"/>
    <w:rsid w:val="00DE0F85"/>
    <w:rsid w:val="00E030B3"/>
    <w:rsid w:val="00E24E4C"/>
    <w:rsid w:val="00E44C4D"/>
    <w:rsid w:val="00E701F1"/>
    <w:rsid w:val="00E70E91"/>
    <w:rsid w:val="00EA25A8"/>
    <w:rsid w:val="00EA2786"/>
    <w:rsid w:val="00EA3B53"/>
    <w:rsid w:val="00ED5087"/>
    <w:rsid w:val="00EE7DD6"/>
    <w:rsid w:val="00EF41F8"/>
    <w:rsid w:val="00F047A8"/>
    <w:rsid w:val="00F11585"/>
    <w:rsid w:val="00F4080C"/>
    <w:rsid w:val="00F50F90"/>
    <w:rsid w:val="00F530E4"/>
    <w:rsid w:val="00FB2E2E"/>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9D288C-DD2D-44C1-8F62-B0D3AE35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834B3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59020">
      <w:marLeft w:val="0"/>
      <w:marRight w:val="0"/>
      <w:marTop w:val="0"/>
      <w:marBottom w:val="0"/>
      <w:divBdr>
        <w:top w:val="none" w:sz="0" w:space="0" w:color="auto"/>
        <w:left w:val="none" w:sz="0" w:space="0" w:color="auto"/>
        <w:bottom w:val="none" w:sz="0" w:space="0" w:color="auto"/>
        <w:right w:val="none" w:sz="0" w:space="0" w:color="auto"/>
      </w:divBdr>
      <w:divsChild>
        <w:div w:id="1293559022">
          <w:marLeft w:val="0"/>
          <w:marRight w:val="0"/>
          <w:marTop w:val="0"/>
          <w:marBottom w:val="0"/>
          <w:divBdr>
            <w:top w:val="none" w:sz="0" w:space="0" w:color="auto"/>
            <w:left w:val="none" w:sz="0" w:space="0" w:color="auto"/>
            <w:bottom w:val="none" w:sz="0" w:space="0" w:color="auto"/>
            <w:right w:val="none" w:sz="0" w:space="0" w:color="auto"/>
          </w:divBdr>
          <w:divsChild>
            <w:div w:id="1293559055">
              <w:marLeft w:val="0"/>
              <w:marRight w:val="0"/>
              <w:marTop w:val="0"/>
              <w:marBottom w:val="0"/>
              <w:divBdr>
                <w:top w:val="none" w:sz="0" w:space="0" w:color="auto"/>
                <w:left w:val="none" w:sz="0" w:space="0" w:color="auto"/>
                <w:bottom w:val="none" w:sz="0" w:space="0" w:color="auto"/>
                <w:right w:val="none" w:sz="0" w:space="0" w:color="auto"/>
              </w:divBdr>
              <w:divsChild>
                <w:div w:id="1293559021">
                  <w:marLeft w:val="0"/>
                  <w:marRight w:val="0"/>
                  <w:marTop w:val="0"/>
                  <w:marBottom w:val="0"/>
                  <w:divBdr>
                    <w:top w:val="none" w:sz="0" w:space="0" w:color="auto"/>
                    <w:left w:val="none" w:sz="0" w:space="0" w:color="auto"/>
                    <w:bottom w:val="none" w:sz="0" w:space="0" w:color="auto"/>
                    <w:right w:val="none" w:sz="0" w:space="0" w:color="auto"/>
                  </w:divBdr>
                  <w:divsChild>
                    <w:div w:id="1293559053">
                      <w:marLeft w:val="1"/>
                      <w:marRight w:val="1"/>
                      <w:marTop w:val="0"/>
                      <w:marBottom w:val="0"/>
                      <w:divBdr>
                        <w:top w:val="none" w:sz="0" w:space="0" w:color="auto"/>
                        <w:left w:val="none" w:sz="0" w:space="0" w:color="auto"/>
                        <w:bottom w:val="none" w:sz="0" w:space="0" w:color="auto"/>
                        <w:right w:val="none" w:sz="0" w:space="0" w:color="auto"/>
                      </w:divBdr>
                      <w:divsChild>
                        <w:div w:id="1293559056">
                          <w:marLeft w:val="0"/>
                          <w:marRight w:val="0"/>
                          <w:marTop w:val="0"/>
                          <w:marBottom w:val="0"/>
                          <w:divBdr>
                            <w:top w:val="none" w:sz="0" w:space="0" w:color="auto"/>
                            <w:left w:val="none" w:sz="0" w:space="0" w:color="auto"/>
                            <w:bottom w:val="none" w:sz="0" w:space="0" w:color="auto"/>
                            <w:right w:val="none" w:sz="0" w:space="0" w:color="auto"/>
                          </w:divBdr>
                          <w:divsChild>
                            <w:div w:id="1293559016">
                              <w:marLeft w:val="0"/>
                              <w:marRight w:val="0"/>
                              <w:marTop w:val="0"/>
                              <w:marBottom w:val="360"/>
                              <w:divBdr>
                                <w:top w:val="none" w:sz="0" w:space="0" w:color="auto"/>
                                <w:left w:val="none" w:sz="0" w:space="0" w:color="auto"/>
                                <w:bottom w:val="none" w:sz="0" w:space="0" w:color="auto"/>
                                <w:right w:val="none" w:sz="0" w:space="0" w:color="auto"/>
                              </w:divBdr>
                              <w:divsChild>
                                <w:div w:id="1293559015">
                                  <w:marLeft w:val="0"/>
                                  <w:marRight w:val="0"/>
                                  <w:marTop w:val="0"/>
                                  <w:marBottom w:val="0"/>
                                  <w:divBdr>
                                    <w:top w:val="none" w:sz="0" w:space="0" w:color="auto"/>
                                    <w:left w:val="none" w:sz="0" w:space="0" w:color="auto"/>
                                    <w:bottom w:val="none" w:sz="0" w:space="0" w:color="auto"/>
                                    <w:right w:val="none" w:sz="0" w:space="0" w:color="auto"/>
                                  </w:divBdr>
                                  <w:divsChild>
                                    <w:div w:id="1293559019">
                                      <w:marLeft w:val="0"/>
                                      <w:marRight w:val="0"/>
                                      <w:marTop w:val="0"/>
                                      <w:marBottom w:val="0"/>
                                      <w:divBdr>
                                        <w:top w:val="none" w:sz="0" w:space="0" w:color="auto"/>
                                        <w:left w:val="none" w:sz="0" w:space="0" w:color="auto"/>
                                        <w:bottom w:val="none" w:sz="0" w:space="0" w:color="auto"/>
                                        <w:right w:val="none" w:sz="0" w:space="0" w:color="auto"/>
                                      </w:divBdr>
                                      <w:divsChild>
                                        <w:div w:id="1293559017">
                                          <w:marLeft w:val="0"/>
                                          <w:marRight w:val="0"/>
                                          <w:marTop w:val="0"/>
                                          <w:marBottom w:val="0"/>
                                          <w:divBdr>
                                            <w:top w:val="none" w:sz="0" w:space="0" w:color="auto"/>
                                            <w:left w:val="none" w:sz="0" w:space="0" w:color="auto"/>
                                            <w:bottom w:val="none" w:sz="0" w:space="0" w:color="auto"/>
                                            <w:right w:val="none" w:sz="0" w:space="0" w:color="auto"/>
                                          </w:divBdr>
                                          <w:divsChild>
                                            <w:div w:id="1293559018">
                                              <w:marLeft w:val="0"/>
                                              <w:marRight w:val="0"/>
                                              <w:marTop w:val="0"/>
                                              <w:marBottom w:val="0"/>
                                              <w:divBdr>
                                                <w:top w:val="none" w:sz="0" w:space="0" w:color="auto"/>
                                                <w:left w:val="none" w:sz="0" w:space="0" w:color="auto"/>
                                                <w:bottom w:val="none" w:sz="0" w:space="0" w:color="auto"/>
                                                <w:right w:val="none" w:sz="0" w:space="0" w:color="auto"/>
                                              </w:divBdr>
                                              <w:divsChild>
                                                <w:div w:id="12935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25">
      <w:marLeft w:val="0"/>
      <w:marRight w:val="0"/>
      <w:marTop w:val="0"/>
      <w:marBottom w:val="0"/>
      <w:divBdr>
        <w:top w:val="none" w:sz="0" w:space="0" w:color="auto"/>
        <w:left w:val="none" w:sz="0" w:space="0" w:color="auto"/>
        <w:bottom w:val="none" w:sz="0" w:space="0" w:color="auto"/>
        <w:right w:val="none" w:sz="0" w:space="0" w:color="auto"/>
      </w:divBdr>
      <w:divsChild>
        <w:div w:id="1293559044">
          <w:marLeft w:val="0"/>
          <w:marRight w:val="0"/>
          <w:marTop w:val="0"/>
          <w:marBottom w:val="0"/>
          <w:divBdr>
            <w:top w:val="none" w:sz="0" w:space="0" w:color="auto"/>
            <w:left w:val="none" w:sz="0" w:space="0" w:color="auto"/>
            <w:bottom w:val="none" w:sz="0" w:space="0" w:color="auto"/>
            <w:right w:val="none" w:sz="0" w:space="0" w:color="auto"/>
          </w:divBdr>
          <w:divsChild>
            <w:div w:id="1293559041">
              <w:marLeft w:val="0"/>
              <w:marRight w:val="0"/>
              <w:marTop w:val="0"/>
              <w:marBottom w:val="0"/>
              <w:divBdr>
                <w:top w:val="none" w:sz="0" w:space="0" w:color="auto"/>
                <w:left w:val="none" w:sz="0" w:space="0" w:color="auto"/>
                <w:bottom w:val="none" w:sz="0" w:space="0" w:color="auto"/>
                <w:right w:val="none" w:sz="0" w:space="0" w:color="auto"/>
              </w:divBdr>
              <w:divsChild>
                <w:div w:id="1293559047">
                  <w:marLeft w:val="0"/>
                  <w:marRight w:val="0"/>
                  <w:marTop w:val="0"/>
                  <w:marBottom w:val="0"/>
                  <w:divBdr>
                    <w:top w:val="none" w:sz="0" w:space="0" w:color="auto"/>
                    <w:left w:val="none" w:sz="0" w:space="0" w:color="auto"/>
                    <w:bottom w:val="none" w:sz="0" w:space="0" w:color="auto"/>
                    <w:right w:val="none" w:sz="0" w:space="0" w:color="auto"/>
                  </w:divBdr>
                  <w:divsChild>
                    <w:div w:id="1293559027">
                      <w:marLeft w:val="1"/>
                      <w:marRight w:val="1"/>
                      <w:marTop w:val="0"/>
                      <w:marBottom w:val="0"/>
                      <w:divBdr>
                        <w:top w:val="none" w:sz="0" w:space="0" w:color="auto"/>
                        <w:left w:val="none" w:sz="0" w:space="0" w:color="auto"/>
                        <w:bottom w:val="none" w:sz="0" w:space="0" w:color="auto"/>
                        <w:right w:val="none" w:sz="0" w:space="0" w:color="auto"/>
                      </w:divBdr>
                      <w:divsChild>
                        <w:div w:id="1293559050">
                          <w:marLeft w:val="0"/>
                          <w:marRight w:val="0"/>
                          <w:marTop w:val="0"/>
                          <w:marBottom w:val="0"/>
                          <w:divBdr>
                            <w:top w:val="none" w:sz="0" w:space="0" w:color="auto"/>
                            <w:left w:val="none" w:sz="0" w:space="0" w:color="auto"/>
                            <w:bottom w:val="none" w:sz="0" w:space="0" w:color="auto"/>
                            <w:right w:val="none" w:sz="0" w:space="0" w:color="auto"/>
                          </w:divBdr>
                          <w:divsChild>
                            <w:div w:id="1293559029">
                              <w:marLeft w:val="0"/>
                              <w:marRight w:val="0"/>
                              <w:marTop w:val="0"/>
                              <w:marBottom w:val="360"/>
                              <w:divBdr>
                                <w:top w:val="none" w:sz="0" w:space="0" w:color="auto"/>
                                <w:left w:val="none" w:sz="0" w:space="0" w:color="auto"/>
                                <w:bottom w:val="none" w:sz="0" w:space="0" w:color="auto"/>
                                <w:right w:val="none" w:sz="0" w:space="0" w:color="auto"/>
                              </w:divBdr>
                              <w:divsChild>
                                <w:div w:id="1293559040">
                                  <w:marLeft w:val="0"/>
                                  <w:marRight w:val="0"/>
                                  <w:marTop w:val="0"/>
                                  <w:marBottom w:val="0"/>
                                  <w:divBdr>
                                    <w:top w:val="none" w:sz="0" w:space="0" w:color="auto"/>
                                    <w:left w:val="none" w:sz="0" w:space="0" w:color="auto"/>
                                    <w:bottom w:val="none" w:sz="0" w:space="0" w:color="auto"/>
                                    <w:right w:val="none" w:sz="0" w:space="0" w:color="auto"/>
                                  </w:divBdr>
                                  <w:divsChild>
                                    <w:div w:id="1293559023">
                                      <w:marLeft w:val="0"/>
                                      <w:marRight w:val="0"/>
                                      <w:marTop w:val="0"/>
                                      <w:marBottom w:val="0"/>
                                      <w:divBdr>
                                        <w:top w:val="none" w:sz="0" w:space="0" w:color="auto"/>
                                        <w:left w:val="none" w:sz="0" w:space="0" w:color="auto"/>
                                        <w:bottom w:val="none" w:sz="0" w:space="0" w:color="auto"/>
                                        <w:right w:val="none" w:sz="0" w:space="0" w:color="auto"/>
                                      </w:divBdr>
                                      <w:divsChild>
                                        <w:div w:id="1293559024">
                                          <w:marLeft w:val="0"/>
                                          <w:marRight w:val="0"/>
                                          <w:marTop w:val="0"/>
                                          <w:marBottom w:val="0"/>
                                          <w:divBdr>
                                            <w:top w:val="none" w:sz="0" w:space="0" w:color="auto"/>
                                            <w:left w:val="none" w:sz="0" w:space="0" w:color="auto"/>
                                            <w:bottom w:val="none" w:sz="0" w:space="0" w:color="auto"/>
                                            <w:right w:val="none" w:sz="0" w:space="0" w:color="auto"/>
                                          </w:divBdr>
                                          <w:divsChild>
                                            <w:div w:id="1293559043">
                                              <w:marLeft w:val="0"/>
                                              <w:marRight w:val="0"/>
                                              <w:marTop w:val="0"/>
                                              <w:marBottom w:val="0"/>
                                              <w:divBdr>
                                                <w:top w:val="none" w:sz="0" w:space="0" w:color="auto"/>
                                                <w:left w:val="none" w:sz="0" w:space="0" w:color="auto"/>
                                                <w:bottom w:val="none" w:sz="0" w:space="0" w:color="auto"/>
                                                <w:right w:val="none" w:sz="0" w:space="0" w:color="auto"/>
                                              </w:divBdr>
                                              <w:divsChild>
                                                <w:div w:id="1293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559030">
      <w:marLeft w:val="0"/>
      <w:marRight w:val="0"/>
      <w:marTop w:val="0"/>
      <w:marBottom w:val="0"/>
      <w:divBdr>
        <w:top w:val="none" w:sz="0" w:space="0" w:color="auto"/>
        <w:left w:val="none" w:sz="0" w:space="0" w:color="auto"/>
        <w:bottom w:val="none" w:sz="0" w:space="0" w:color="auto"/>
        <w:right w:val="none" w:sz="0" w:space="0" w:color="auto"/>
      </w:divBdr>
      <w:divsChild>
        <w:div w:id="1293559031">
          <w:marLeft w:val="480"/>
          <w:marRight w:val="0"/>
          <w:marTop w:val="0"/>
          <w:marBottom w:val="0"/>
          <w:divBdr>
            <w:top w:val="none" w:sz="0" w:space="0" w:color="auto"/>
            <w:left w:val="none" w:sz="0" w:space="0" w:color="auto"/>
            <w:bottom w:val="none" w:sz="0" w:space="0" w:color="auto"/>
            <w:right w:val="none" w:sz="0" w:space="0" w:color="auto"/>
          </w:divBdr>
        </w:div>
        <w:div w:id="1293559034">
          <w:marLeft w:val="480"/>
          <w:marRight w:val="0"/>
          <w:marTop w:val="0"/>
          <w:marBottom w:val="0"/>
          <w:divBdr>
            <w:top w:val="none" w:sz="0" w:space="0" w:color="auto"/>
            <w:left w:val="none" w:sz="0" w:space="0" w:color="auto"/>
            <w:bottom w:val="none" w:sz="0" w:space="0" w:color="auto"/>
            <w:right w:val="none" w:sz="0" w:space="0" w:color="auto"/>
          </w:divBdr>
        </w:div>
      </w:divsChild>
    </w:div>
    <w:div w:id="1293559035">
      <w:marLeft w:val="0"/>
      <w:marRight w:val="0"/>
      <w:marTop w:val="0"/>
      <w:marBottom w:val="0"/>
      <w:divBdr>
        <w:top w:val="none" w:sz="0" w:space="0" w:color="auto"/>
        <w:left w:val="none" w:sz="0" w:space="0" w:color="auto"/>
        <w:bottom w:val="none" w:sz="0" w:space="0" w:color="auto"/>
        <w:right w:val="none" w:sz="0" w:space="0" w:color="auto"/>
      </w:divBdr>
      <w:divsChild>
        <w:div w:id="1293559032">
          <w:marLeft w:val="480"/>
          <w:marRight w:val="0"/>
          <w:marTop w:val="0"/>
          <w:marBottom w:val="0"/>
          <w:divBdr>
            <w:top w:val="none" w:sz="0" w:space="0" w:color="auto"/>
            <w:left w:val="none" w:sz="0" w:space="0" w:color="auto"/>
            <w:bottom w:val="none" w:sz="0" w:space="0" w:color="auto"/>
            <w:right w:val="none" w:sz="0" w:space="0" w:color="auto"/>
          </w:divBdr>
        </w:div>
        <w:div w:id="1293559033">
          <w:marLeft w:val="480"/>
          <w:marRight w:val="0"/>
          <w:marTop w:val="0"/>
          <w:marBottom w:val="0"/>
          <w:divBdr>
            <w:top w:val="none" w:sz="0" w:space="0" w:color="auto"/>
            <w:left w:val="none" w:sz="0" w:space="0" w:color="auto"/>
            <w:bottom w:val="none" w:sz="0" w:space="0" w:color="auto"/>
            <w:right w:val="none" w:sz="0" w:space="0" w:color="auto"/>
          </w:divBdr>
        </w:div>
      </w:divsChild>
    </w:div>
    <w:div w:id="1293559037">
      <w:marLeft w:val="0"/>
      <w:marRight w:val="0"/>
      <w:marTop w:val="0"/>
      <w:marBottom w:val="0"/>
      <w:divBdr>
        <w:top w:val="none" w:sz="0" w:space="0" w:color="auto"/>
        <w:left w:val="none" w:sz="0" w:space="0" w:color="auto"/>
        <w:bottom w:val="none" w:sz="0" w:space="0" w:color="auto"/>
        <w:right w:val="none" w:sz="0" w:space="0" w:color="auto"/>
      </w:divBdr>
      <w:divsChild>
        <w:div w:id="1293559026">
          <w:marLeft w:val="0"/>
          <w:marRight w:val="0"/>
          <w:marTop w:val="0"/>
          <w:marBottom w:val="0"/>
          <w:divBdr>
            <w:top w:val="none" w:sz="0" w:space="0" w:color="auto"/>
            <w:left w:val="none" w:sz="0" w:space="0" w:color="auto"/>
            <w:bottom w:val="none" w:sz="0" w:space="0" w:color="auto"/>
            <w:right w:val="none" w:sz="0" w:space="0" w:color="auto"/>
          </w:divBdr>
          <w:divsChild>
            <w:div w:id="1293559051">
              <w:marLeft w:val="0"/>
              <w:marRight w:val="0"/>
              <w:marTop w:val="0"/>
              <w:marBottom w:val="0"/>
              <w:divBdr>
                <w:top w:val="none" w:sz="0" w:space="0" w:color="auto"/>
                <w:left w:val="none" w:sz="0" w:space="0" w:color="auto"/>
                <w:bottom w:val="none" w:sz="0" w:space="0" w:color="auto"/>
                <w:right w:val="none" w:sz="0" w:space="0" w:color="auto"/>
              </w:divBdr>
              <w:divsChild>
                <w:div w:id="1293559036">
                  <w:marLeft w:val="0"/>
                  <w:marRight w:val="0"/>
                  <w:marTop w:val="0"/>
                  <w:marBottom w:val="0"/>
                  <w:divBdr>
                    <w:top w:val="none" w:sz="0" w:space="0" w:color="auto"/>
                    <w:left w:val="none" w:sz="0" w:space="0" w:color="auto"/>
                    <w:bottom w:val="none" w:sz="0" w:space="0" w:color="auto"/>
                    <w:right w:val="none" w:sz="0" w:space="0" w:color="auto"/>
                  </w:divBdr>
                  <w:divsChild>
                    <w:div w:id="1293559039">
                      <w:marLeft w:val="1"/>
                      <w:marRight w:val="1"/>
                      <w:marTop w:val="0"/>
                      <w:marBottom w:val="0"/>
                      <w:divBdr>
                        <w:top w:val="none" w:sz="0" w:space="0" w:color="auto"/>
                        <w:left w:val="none" w:sz="0" w:space="0" w:color="auto"/>
                        <w:bottom w:val="none" w:sz="0" w:space="0" w:color="auto"/>
                        <w:right w:val="none" w:sz="0" w:space="0" w:color="auto"/>
                      </w:divBdr>
                      <w:divsChild>
                        <w:div w:id="1293559046">
                          <w:marLeft w:val="0"/>
                          <w:marRight w:val="0"/>
                          <w:marTop w:val="0"/>
                          <w:marBottom w:val="0"/>
                          <w:divBdr>
                            <w:top w:val="none" w:sz="0" w:space="0" w:color="auto"/>
                            <w:left w:val="none" w:sz="0" w:space="0" w:color="auto"/>
                            <w:bottom w:val="none" w:sz="0" w:space="0" w:color="auto"/>
                            <w:right w:val="none" w:sz="0" w:space="0" w:color="auto"/>
                          </w:divBdr>
                          <w:divsChild>
                            <w:div w:id="1293559049">
                              <w:marLeft w:val="0"/>
                              <w:marRight w:val="0"/>
                              <w:marTop w:val="0"/>
                              <w:marBottom w:val="360"/>
                              <w:divBdr>
                                <w:top w:val="none" w:sz="0" w:space="0" w:color="auto"/>
                                <w:left w:val="none" w:sz="0" w:space="0" w:color="auto"/>
                                <w:bottom w:val="none" w:sz="0" w:space="0" w:color="auto"/>
                                <w:right w:val="none" w:sz="0" w:space="0" w:color="auto"/>
                              </w:divBdr>
                              <w:divsChild>
                                <w:div w:id="1293559028">
                                  <w:marLeft w:val="0"/>
                                  <w:marRight w:val="0"/>
                                  <w:marTop w:val="0"/>
                                  <w:marBottom w:val="0"/>
                                  <w:divBdr>
                                    <w:top w:val="none" w:sz="0" w:space="0" w:color="auto"/>
                                    <w:left w:val="none" w:sz="0" w:space="0" w:color="auto"/>
                                    <w:bottom w:val="none" w:sz="0" w:space="0" w:color="auto"/>
                                    <w:right w:val="none" w:sz="0" w:space="0" w:color="auto"/>
                                  </w:divBdr>
                                  <w:divsChild>
                                    <w:div w:id="1293559052">
                                      <w:marLeft w:val="0"/>
                                      <w:marRight w:val="0"/>
                                      <w:marTop w:val="0"/>
                                      <w:marBottom w:val="0"/>
                                      <w:divBdr>
                                        <w:top w:val="none" w:sz="0" w:space="0" w:color="auto"/>
                                        <w:left w:val="none" w:sz="0" w:space="0" w:color="auto"/>
                                        <w:bottom w:val="none" w:sz="0" w:space="0" w:color="auto"/>
                                        <w:right w:val="none" w:sz="0" w:space="0" w:color="auto"/>
                                      </w:divBdr>
                                      <w:divsChild>
                                        <w:div w:id="1293559042">
                                          <w:marLeft w:val="0"/>
                                          <w:marRight w:val="0"/>
                                          <w:marTop w:val="0"/>
                                          <w:marBottom w:val="0"/>
                                          <w:divBdr>
                                            <w:top w:val="none" w:sz="0" w:space="0" w:color="auto"/>
                                            <w:left w:val="none" w:sz="0" w:space="0" w:color="auto"/>
                                            <w:bottom w:val="none" w:sz="0" w:space="0" w:color="auto"/>
                                            <w:right w:val="none" w:sz="0" w:space="0" w:color="auto"/>
                                          </w:divBdr>
                                          <w:divsChild>
                                            <w:div w:id="1293559038">
                                              <w:marLeft w:val="0"/>
                                              <w:marRight w:val="0"/>
                                              <w:marTop w:val="0"/>
                                              <w:marBottom w:val="0"/>
                                              <w:divBdr>
                                                <w:top w:val="none" w:sz="0" w:space="0" w:color="auto"/>
                                                <w:left w:val="none" w:sz="0" w:space="0" w:color="auto"/>
                                                <w:bottom w:val="none" w:sz="0" w:space="0" w:color="auto"/>
                                                <w:right w:val="none" w:sz="0" w:space="0" w:color="auto"/>
                                              </w:divBdr>
                                              <w:divsChild>
                                                <w:div w:id="129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8383</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Jablonkova Zdenka</cp:lastModifiedBy>
  <cp:revision>2</cp:revision>
  <cp:lastPrinted>2006-12-14T13:09:00Z</cp:lastPrinted>
  <dcterms:created xsi:type="dcterms:W3CDTF">2018-09-12T06:58:00Z</dcterms:created>
  <dcterms:modified xsi:type="dcterms:W3CDTF">2018-09-12T06:58:00Z</dcterms:modified>
</cp:coreProperties>
</file>