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908"/>
        <w:gridCol w:w="712"/>
        <w:gridCol w:w="5724"/>
        <w:gridCol w:w="567"/>
        <w:gridCol w:w="851"/>
        <w:gridCol w:w="792"/>
        <w:gridCol w:w="5587"/>
        <w:gridCol w:w="425"/>
        <w:gridCol w:w="634"/>
      </w:tblGrid>
      <w:tr w:rsidR="008C54C3" w:rsidRPr="005F45F5">
        <w:tc>
          <w:tcPr>
            <w:tcW w:w="16200" w:type="dxa"/>
            <w:gridSpan w:val="9"/>
            <w:tcBorders>
              <w:top w:val="single" w:sz="12" w:space="0" w:color="auto"/>
              <w:left w:val="single" w:sz="12" w:space="0" w:color="auto"/>
              <w:bottom w:val="single" w:sz="4" w:space="0" w:color="auto"/>
              <w:right w:val="single" w:sz="12" w:space="0" w:color="auto"/>
            </w:tcBorders>
          </w:tcPr>
          <w:p w:rsidR="008C54C3" w:rsidRPr="005F45F5" w:rsidRDefault="008C54C3" w:rsidP="0078287E">
            <w:pPr>
              <w:pStyle w:val="Nadpis1"/>
            </w:pPr>
            <w:bookmarkStart w:id="0" w:name="_GoBack"/>
            <w:bookmarkEnd w:id="0"/>
            <w:r w:rsidRPr="005F45F5">
              <w:t>TABUĽKA  ZHODY</w:t>
            </w:r>
          </w:p>
          <w:p w:rsidR="009C4FD5" w:rsidRDefault="005F45F5" w:rsidP="009C4FD5">
            <w:pPr>
              <w:tabs>
                <w:tab w:val="left" w:pos="0"/>
              </w:tabs>
              <w:jc w:val="center"/>
              <w:rPr>
                <w:b/>
                <w:color w:val="000000"/>
              </w:rPr>
            </w:pPr>
            <w:r w:rsidRPr="005F45F5">
              <w:rPr>
                <w:b/>
              </w:rPr>
              <w:t xml:space="preserve">k návrhu zákona, </w:t>
            </w:r>
            <w:r w:rsidRPr="005F45F5">
              <w:rPr>
                <w:b/>
                <w:color w:val="000000"/>
              </w:rPr>
              <w:t xml:space="preserve">ktorým sa mení a dopĺňa zákon č. 222/2004 Z. z. o dani z pridanej hodnoty v znení neskorších predpisov </w:t>
            </w:r>
          </w:p>
          <w:p w:rsidR="008C54C3" w:rsidRPr="005F45F5" w:rsidRDefault="005F45F5" w:rsidP="009C4FD5">
            <w:pPr>
              <w:tabs>
                <w:tab w:val="left" w:pos="0"/>
              </w:tabs>
              <w:jc w:val="center"/>
              <w:rPr>
                <w:b/>
                <w:bCs/>
              </w:rPr>
            </w:pPr>
            <w:r w:rsidRPr="005F45F5">
              <w:rPr>
                <w:b/>
              </w:rPr>
              <w:t>s právom Európskej únie</w:t>
            </w:r>
          </w:p>
        </w:tc>
      </w:tr>
      <w:tr w:rsidR="008C54C3" w:rsidRPr="005F45F5">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5F45F5" w:rsidRDefault="008C54C3">
            <w:pPr>
              <w:pStyle w:val="Nadpis4"/>
              <w:jc w:val="both"/>
              <w:rPr>
                <w:sz w:val="24"/>
                <w:szCs w:val="24"/>
              </w:rPr>
            </w:pPr>
            <w:r w:rsidRPr="005F45F5">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5F45F5" w:rsidRDefault="00AE56EE" w:rsidP="00AE56EE">
            <w:pPr>
              <w:adjustRightInd w:val="0"/>
              <w:spacing w:before="60" w:after="60"/>
              <w:rPr>
                <w:b/>
                <w:bCs/>
              </w:rPr>
            </w:pPr>
            <w:r w:rsidRPr="00AE56EE">
              <w:rPr>
                <w:b/>
                <w:bCs/>
                <w:color w:val="000000"/>
              </w:rPr>
              <w:t xml:space="preserve">SMERNICA RADY </w:t>
            </w:r>
            <w:r w:rsidRPr="00AE56EE">
              <w:rPr>
                <w:b/>
                <w:bCs/>
                <w:color w:val="000000"/>
                <w:u w:val="single"/>
              </w:rPr>
              <w:t>2006/112/ES</w:t>
            </w:r>
            <w:r w:rsidRPr="00AE56EE">
              <w:rPr>
                <w:b/>
                <w:bCs/>
                <w:color w:val="000000"/>
              </w:rPr>
              <w:t xml:space="preserve"> </w:t>
            </w:r>
            <w:r w:rsidRPr="005F45F5">
              <w:rPr>
                <w:b/>
                <w:bCs/>
                <w:color w:val="000000"/>
              </w:rPr>
              <w:t xml:space="preserve"> </w:t>
            </w:r>
            <w:r w:rsidRPr="00AE56EE">
              <w:rPr>
                <w:b/>
                <w:bCs/>
                <w:color w:val="000000"/>
              </w:rPr>
              <w:t>z 28. novembra 2006</w:t>
            </w:r>
            <w:r w:rsidRPr="005F45F5">
              <w:rPr>
                <w:b/>
                <w:bCs/>
                <w:color w:val="000000"/>
              </w:rPr>
              <w:t xml:space="preserve"> </w:t>
            </w:r>
            <w:r w:rsidRPr="005F45F5">
              <w:rPr>
                <w:b/>
                <w:bCs/>
              </w:rPr>
              <w:t>o spoločnom systéme dane z pridanej hodnoty</w:t>
            </w:r>
          </w:p>
        </w:tc>
      </w:tr>
      <w:tr w:rsidR="008C54C3" w:rsidRPr="005F45F5" w:rsidTr="005F45F5">
        <w:trPr>
          <w:trHeight w:val="567"/>
        </w:trPr>
        <w:tc>
          <w:tcPr>
            <w:tcW w:w="7911" w:type="dxa"/>
            <w:gridSpan w:val="4"/>
            <w:tcBorders>
              <w:top w:val="single" w:sz="4" w:space="0" w:color="auto"/>
              <w:left w:val="single" w:sz="12" w:space="0" w:color="auto"/>
              <w:bottom w:val="single" w:sz="4" w:space="0" w:color="auto"/>
              <w:right w:val="single" w:sz="12" w:space="0" w:color="auto"/>
            </w:tcBorders>
          </w:tcPr>
          <w:p w:rsidR="00EE7DD6" w:rsidRPr="005F45F5" w:rsidRDefault="00DE0F85" w:rsidP="0017797B">
            <w:pPr>
              <w:pStyle w:val="Nadpis4"/>
              <w:spacing w:before="120"/>
              <w:rPr>
                <w:sz w:val="24"/>
                <w:szCs w:val="24"/>
              </w:rPr>
            </w:pPr>
            <w:r w:rsidRPr="005F45F5">
              <w:rPr>
                <w:sz w:val="24"/>
                <w:szCs w:val="24"/>
              </w:rPr>
              <w:t>Smernica EÚ</w:t>
            </w:r>
          </w:p>
          <w:p w:rsidR="005F45F5" w:rsidRPr="005F45F5" w:rsidRDefault="005F45F5" w:rsidP="005F45F5">
            <w:r w:rsidRPr="00AE56EE">
              <w:rPr>
                <w:b/>
                <w:bCs/>
                <w:color w:val="000000"/>
              </w:rPr>
              <w:t xml:space="preserve">SMERNICA RADY </w:t>
            </w:r>
            <w:r w:rsidRPr="00AE56EE">
              <w:rPr>
                <w:b/>
                <w:bCs/>
                <w:color w:val="000000"/>
                <w:u w:val="single"/>
              </w:rPr>
              <w:t>2006/112/ES</w:t>
            </w:r>
            <w:r w:rsidRPr="00AE56EE">
              <w:rPr>
                <w:b/>
                <w:bCs/>
                <w:color w:val="000000"/>
              </w:rPr>
              <w:t xml:space="preserve"> </w:t>
            </w:r>
            <w:r w:rsidRPr="005F45F5">
              <w:rPr>
                <w:b/>
                <w:bCs/>
                <w:color w:val="000000"/>
              </w:rPr>
              <w:t xml:space="preserve"> </w:t>
            </w:r>
            <w:r w:rsidRPr="00AE56EE">
              <w:rPr>
                <w:b/>
                <w:bCs/>
                <w:color w:val="000000"/>
              </w:rPr>
              <w:t>z 28. novembra 2006</w:t>
            </w:r>
            <w:r w:rsidRPr="005F45F5">
              <w:rPr>
                <w:b/>
                <w:bCs/>
                <w:color w:val="000000"/>
              </w:rPr>
              <w:t xml:space="preserve"> </w:t>
            </w:r>
            <w:r w:rsidRPr="005F45F5">
              <w:rPr>
                <w:b/>
                <w:bCs/>
              </w:rPr>
              <w:t>o spoločnom systéme dane z pridanej hodnoty</w:t>
            </w:r>
          </w:p>
        </w:tc>
        <w:tc>
          <w:tcPr>
            <w:tcW w:w="8289" w:type="dxa"/>
            <w:gridSpan w:val="5"/>
            <w:tcBorders>
              <w:top w:val="single" w:sz="4" w:space="0" w:color="auto"/>
              <w:left w:val="nil"/>
              <w:bottom w:val="single" w:sz="4" w:space="0" w:color="auto"/>
              <w:right w:val="single" w:sz="12" w:space="0" w:color="auto"/>
            </w:tcBorders>
          </w:tcPr>
          <w:p w:rsidR="008C54C3" w:rsidRPr="005F45F5" w:rsidRDefault="008C54C3">
            <w:pPr>
              <w:pStyle w:val="Nadpis4"/>
              <w:spacing w:before="120"/>
              <w:rPr>
                <w:sz w:val="24"/>
                <w:szCs w:val="24"/>
              </w:rPr>
            </w:pPr>
            <w:r w:rsidRPr="005F45F5">
              <w:rPr>
                <w:sz w:val="24"/>
                <w:szCs w:val="24"/>
              </w:rPr>
              <w:t>Všeobecne záväzné právne predpisy Slovenskej republiky</w:t>
            </w:r>
          </w:p>
          <w:p w:rsidR="005F45F5" w:rsidRPr="005F45F5" w:rsidRDefault="005F45F5" w:rsidP="005F45F5"/>
          <w:p w:rsidR="005F45F5" w:rsidRPr="005F45F5" w:rsidRDefault="0083433A" w:rsidP="005F45F5">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5F45F5" w:rsidRPr="005F45F5">
              <w:rPr>
                <w:b/>
              </w:rPr>
              <w:t>(ďalej „návrh zákona“)</w:t>
            </w:r>
          </w:p>
          <w:p w:rsidR="005F45F5" w:rsidRPr="005F45F5" w:rsidRDefault="005F45F5" w:rsidP="005F45F5">
            <w:pPr>
              <w:pStyle w:val="Zkladntext"/>
              <w:jc w:val="both"/>
              <w:rPr>
                <w:b/>
              </w:rPr>
            </w:pPr>
          </w:p>
          <w:p w:rsidR="005F45F5" w:rsidRPr="005F45F5" w:rsidRDefault="005F45F5" w:rsidP="005F45F5">
            <w:pPr>
              <w:pStyle w:val="Zkladntext"/>
              <w:jc w:val="both"/>
            </w:pPr>
            <w:r w:rsidRPr="005F45F5">
              <w:t>Zákon č. 222/2004 Z.z. o dani z pridanej hodnoty v znení neskorších predpisov (ďalej „222/2004“)</w:t>
            </w:r>
          </w:p>
          <w:p w:rsidR="002E1D16" w:rsidRPr="005F45F5" w:rsidRDefault="002E1D16" w:rsidP="00162F39">
            <w:pPr>
              <w:tabs>
                <w:tab w:val="left" w:pos="0"/>
              </w:tabs>
              <w:jc w:val="both"/>
            </w:pPr>
          </w:p>
        </w:tc>
      </w:tr>
      <w:tr w:rsidR="00A9063F" w:rsidRPr="005F45F5" w:rsidTr="000F63AB">
        <w:tc>
          <w:tcPr>
            <w:tcW w:w="908" w:type="dxa"/>
            <w:tcBorders>
              <w:top w:val="single" w:sz="4" w:space="0" w:color="auto"/>
              <w:left w:val="single" w:sz="12" w:space="0" w:color="auto"/>
              <w:bottom w:val="single" w:sz="4" w:space="0" w:color="auto"/>
              <w:right w:val="single" w:sz="4" w:space="0" w:color="auto"/>
            </w:tcBorders>
          </w:tcPr>
          <w:p w:rsidR="00A9063F" w:rsidRPr="005F45F5" w:rsidRDefault="00A9063F">
            <w:pPr>
              <w:jc w:val="center"/>
            </w:pPr>
            <w:r w:rsidRPr="005F45F5">
              <w:t>1</w:t>
            </w:r>
          </w:p>
        </w:tc>
        <w:tc>
          <w:tcPr>
            <w:tcW w:w="6436" w:type="dxa"/>
            <w:gridSpan w:val="2"/>
            <w:tcBorders>
              <w:top w:val="single" w:sz="4" w:space="0" w:color="auto"/>
              <w:left w:val="single" w:sz="4" w:space="0" w:color="auto"/>
              <w:bottom w:val="single" w:sz="4" w:space="0" w:color="auto"/>
              <w:right w:val="single" w:sz="4" w:space="0" w:color="auto"/>
            </w:tcBorders>
          </w:tcPr>
          <w:p w:rsidR="00A9063F" w:rsidRPr="005F45F5" w:rsidRDefault="00A9063F">
            <w:pPr>
              <w:jc w:val="center"/>
            </w:pPr>
            <w:r w:rsidRPr="005F45F5">
              <w:t>2</w:t>
            </w:r>
          </w:p>
        </w:tc>
        <w:tc>
          <w:tcPr>
            <w:tcW w:w="567" w:type="dxa"/>
            <w:tcBorders>
              <w:top w:val="single" w:sz="4" w:space="0" w:color="auto"/>
              <w:left w:val="single" w:sz="4" w:space="0" w:color="auto"/>
              <w:bottom w:val="single" w:sz="4" w:space="0" w:color="auto"/>
              <w:right w:val="single" w:sz="12" w:space="0" w:color="auto"/>
            </w:tcBorders>
          </w:tcPr>
          <w:p w:rsidR="00A9063F" w:rsidRPr="005F45F5" w:rsidRDefault="00A9063F">
            <w:pPr>
              <w:jc w:val="center"/>
            </w:pPr>
            <w:r w:rsidRPr="005F45F5">
              <w:t>3</w:t>
            </w:r>
          </w:p>
        </w:tc>
        <w:tc>
          <w:tcPr>
            <w:tcW w:w="851" w:type="dxa"/>
            <w:tcBorders>
              <w:top w:val="single" w:sz="4" w:space="0" w:color="auto"/>
              <w:left w:val="nil"/>
              <w:bottom w:val="single" w:sz="4" w:space="0" w:color="auto"/>
              <w:right w:val="single" w:sz="4" w:space="0" w:color="auto"/>
            </w:tcBorders>
          </w:tcPr>
          <w:p w:rsidR="00A9063F" w:rsidRPr="005F45F5" w:rsidRDefault="00A9063F">
            <w:pPr>
              <w:jc w:val="center"/>
            </w:pPr>
            <w:r w:rsidRPr="005F45F5">
              <w:t>4</w:t>
            </w:r>
          </w:p>
        </w:tc>
        <w:tc>
          <w:tcPr>
            <w:tcW w:w="792" w:type="dxa"/>
            <w:tcBorders>
              <w:top w:val="single" w:sz="4" w:space="0" w:color="auto"/>
              <w:left w:val="single" w:sz="4" w:space="0" w:color="auto"/>
              <w:bottom w:val="single" w:sz="4" w:space="0" w:color="auto"/>
              <w:right w:val="single" w:sz="4" w:space="0" w:color="auto"/>
            </w:tcBorders>
          </w:tcPr>
          <w:p w:rsidR="00A9063F" w:rsidRPr="005F45F5" w:rsidRDefault="00A9063F">
            <w:pPr>
              <w:pStyle w:val="Zkladntext2"/>
              <w:spacing w:line="240" w:lineRule="exact"/>
              <w:rPr>
                <w:sz w:val="24"/>
                <w:szCs w:val="24"/>
              </w:rPr>
            </w:pPr>
            <w:r w:rsidRPr="005F45F5">
              <w:rPr>
                <w:sz w:val="24"/>
                <w:szCs w:val="24"/>
              </w:rPr>
              <w:t>5</w:t>
            </w:r>
          </w:p>
        </w:tc>
        <w:tc>
          <w:tcPr>
            <w:tcW w:w="5587" w:type="dxa"/>
            <w:tcBorders>
              <w:top w:val="single" w:sz="4" w:space="0" w:color="auto"/>
              <w:left w:val="single" w:sz="4" w:space="0" w:color="auto"/>
              <w:bottom w:val="single" w:sz="4" w:space="0" w:color="auto"/>
              <w:right w:val="single" w:sz="4" w:space="0" w:color="auto"/>
            </w:tcBorders>
          </w:tcPr>
          <w:p w:rsidR="00A9063F" w:rsidRPr="005F45F5" w:rsidRDefault="00A9063F">
            <w:pPr>
              <w:pStyle w:val="Zkladntext2"/>
              <w:spacing w:line="240" w:lineRule="exact"/>
              <w:rPr>
                <w:sz w:val="24"/>
                <w:szCs w:val="24"/>
              </w:rPr>
            </w:pPr>
            <w:r w:rsidRPr="005F45F5">
              <w:rPr>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A9063F" w:rsidRPr="005F45F5" w:rsidRDefault="00A9063F">
            <w:pPr>
              <w:jc w:val="center"/>
            </w:pPr>
            <w:r w:rsidRPr="005F45F5">
              <w:t>7</w:t>
            </w:r>
          </w:p>
        </w:tc>
        <w:tc>
          <w:tcPr>
            <w:tcW w:w="634" w:type="dxa"/>
            <w:tcBorders>
              <w:top w:val="single" w:sz="4" w:space="0" w:color="auto"/>
              <w:left w:val="single" w:sz="4" w:space="0" w:color="auto"/>
              <w:bottom w:val="single" w:sz="4" w:space="0" w:color="auto"/>
              <w:right w:val="single" w:sz="12" w:space="0" w:color="auto"/>
            </w:tcBorders>
          </w:tcPr>
          <w:p w:rsidR="00A9063F" w:rsidRPr="005F45F5" w:rsidRDefault="005170A9">
            <w:pPr>
              <w:jc w:val="center"/>
            </w:pPr>
            <w:r w:rsidRPr="005F45F5">
              <w:t>8</w:t>
            </w:r>
          </w:p>
        </w:tc>
      </w:tr>
      <w:tr w:rsidR="00A9063F" w:rsidRPr="005F45F5" w:rsidTr="000F63AB">
        <w:tc>
          <w:tcPr>
            <w:tcW w:w="908" w:type="dxa"/>
            <w:tcBorders>
              <w:top w:val="single" w:sz="4" w:space="0" w:color="auto"/>
              <w:left w:val="single" w:sz="12" w:space="0" w:color="auto"/>
              <w:bottom w:val="single" w:sz="4" w:space="0" w:color="auto"/>
              <w:right w:val="single" w:sz="4" w:space="0" w:color="auto"/>
            </w:tcBorders>
          </w:tcPr>
          <w:p w:rsidR="00A9063F" w:rsidRPr="005F45F5" w:rsidRDefault="00A9063F">
            <w:pPr>
              <w:pStyle w:val="Normlny0"/>
              <w:jc w:val="center"/>
              <w:rPr>
                <w:sz w:val="24"/>
                <w:szCs w:val="24"/>
              </w:rPr>
            </w:pPr>
            <w:r w:rsidRPr="005F45F5">
              <w:rPr>
                <w:sz w:val="24"/>
                <w:szCs w:val="24"/>
              </w:rPr>
              <w:t>Článok</w:t>
            </w:r>
          </w:p>
          <w:p w:rsidR="00A9063F" w:rsidRPr="005F45F5" w:rsidRDefault="00A9063F">
            <w:pPr>
              <w:pStyle w:val="Normlny0"/>
              <w:jc w:val="center"/>
              <w:rPr>
                <w:sz w:val="24"/>
                <w:szCs w:val="24"/>
              </w:rPr>
            </w:pPr>
            <w:r w:rsidRPr="005F45F5">
              <w:rPr>
                <w:sz w:val="24"/>
                <w:szCs w:val="24"/>
              </w:rPr>
              <w:t>(Č, O,</w:t>
            </w:r>
          </w:p>
          <w:p w:rsidR="00A9063F" w:rsidRPr="005F45F5" w:rsidRDefault="00A9063F">
            <w:pPr>
              <w:pStyle w:val="Normlny0"/>
              <w:jc w:val="center"/>
              <w:rPr>
                <w:sz w:val="24"/>
                <w:szCs w:val="24"/>
              </w:rPr>
            </w:pPr>
            <w:r w:rsidRPr="005F45F5">
              <w:rPr>
                <w:sz w:val="24"/>
                <w:szCs w:val="24"/>
              </w:rPr>
              <w:t>V, P)</w:t>
            </w:r>
          </w:p>
        </w:tc>
        <w:tc>
          <w:tcPr>
            <w:tcW w:w="6436" w:type="dxa"/>
            <w:gridSpan w:val="2"/>
            <w:tcBorders>
              <w:top w:val="single" w:sz="4" w:space="0" w:color="auto"/>
              <w:left w:val="single" w:sz="4" w:space="0" w:color="auto"/>
              <w:bottom w:val="single" w:sz="4" w:space="0" w:color="auto"/>
              <w:right w:val="single" w:sz="4" w:space="0" w:color="auto"/>
            </w:tcBorders>
          </w:tcPr>
          <w:p w:rsidR="00A9063F" w:rsidRPr="005F45F5" w:rsidRDefault="00A9063F">
            <w:pPr>
              <w:pStyle w:val="Normlny0"/>
              <w:jc w:val="center"/>
              <w:rPr>
                <w:sz w:val="24"/>
                <w:szCs w:val="24"/>
              </w:rPr>
            </w:pPr>
            <w:r w:rsidRPr="005F45F5">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5F45F5" w:rsidRDefault="00A9063F">
            <w:pPr>
              <w:pStyle w:val="Normlny0"/>
              <w:jc w:val="center"/>
              <w:rPr>
                <w:sz w:val="24"/>
                <w:szCs w:val="24"/>
              </w:rPr>
            </w:pPr>
            <w:r w:rsidRPr="005F45F5">
              <w:rPr>
                <w:sz w:val="24"/>
                <w:szCs w:val="24"/>
              </w:rPr>
              <w:t>Spôsob transp.</w:t>
            </w:r>
          </w:p>
          <w:p w:rsidR="00A9063F" w:rsidRPr="005F45F5" w:rsidRDefault="00A9063F">
            <w:pPr>
              <w:pStyle w:val="Normlny0"/>
              <w:jc w:val="center"/>
              <w:rPr>
                <w:sz w:val="24"/>
                <w:szCs w:val="24"/>
              </w:rPr>
            </w:pPr>
            <w:r w:rsidRPr="005F45F5">
              <w:rPr>
                <w:sz w:val="24"/>
                <w:szCs w:val="24"/>
              </w:rPr>
              <w:t>(N, O, D, n.a.)</w:t>
            </w:r>
          </w:p>
        </w:tc>
        <w:tc>
          <w:tcPr>
            <w:tcW w:w="851" w:type="dxa"/>
            <w:tcBorders>
              <w:top w:val="single" w:sz="4" w:space="0" w:color="auto"/>
              <w:left w:val="nil"/>
              <w:bottom w:val="single" w:sz="4" w:space="0" w:color="auto"/>
              <w:right w:val="single" w:sz="4" w:space="0" w:color="auto"/>
            </w:tcBorders>
          </w:tcPr>
          <w:p w:rsidR="00A9063F" w:rsidRPr="005F45F5" w:rsidRDefault="00A9063F">
            <w:pPr>
              <w:pStyle w:val="Normlny0"/>
              <w:jc w:val="center"/>
              <w:rPr>
                <w:sz w:val="24"/>
                <w:szCs w:val="24"/>
              </w:rPr>
            </w:pPr>
            <w:r w:rsidRPr="005F45F5">
              <w:rPr>
                <w:sz w:val="24"/>
                <w:szCs w:val="24"/>
              </w:rPr>
              <w:t>Číslo</w:t>
            </w:r>
          </w:p>
          <w:p w:rsidR="00A9063F" w:rsidRPr="005F45F5" w:rsidRDefault="00A9063F">
            <w:pPr>
              <w:pStyle w:val="Normlny0"/>
              <w:jc w:val="center"/>
              <w:rPr>
                <w:sz w:val="24"/>
                <w:szCs w:val="24"/>
              </w:rPr>
            </w:pPr>
            <w:r w:rsidRPr="005F45F5">
              <w:rPr>
                <w:sz w:val="24"/>
                <w:szCs w:val="24"/>
              </w:rPr>
              <w:t>predpisu</w:t>
            </w:r>
          </w:p>
        </w:tc>
        <w:tc>
          <w:tcPr>
            <w:tcW w:w="792" w:type="dxa"/>
            <w:tcBorders>
              <w:top w:val="single" w:sz="4" w:space="0" w:color="auto"/>
              <w:left w:val="single" w:sz="4" w:space="0" w:color="auto"/>
              <w:bottom w:val="single" w:sz="4" w:space="0" w:color="auto"/>
              <w:right w:val="single" w:sz="4" w:space="0" w:color="auto"/>
            </w:tcBorders>
          </w:tcPr>
          <w:p w:rsidR="00A9063F" w:rsidRPr="005F45F5" w:rsidRDefault="00A9063F">
            <w:pPr>
              <w:pStyle w:val="Normlny0"/>
              <w:jc w:val="center"/>
              <w:rPr>
                <w:sz w:val="24"/>
                <w:szCs w:val="24"/>
              </w:rPr>
            </w:pPr>
            <w:r w:rsidRPr="005F45F5">
              <w:rPr>
                <w:sz w:val="24"/>
                <w:szCs w:val="24"/>
              </w:rPr>
              <w:t>Článok (Č, §, O, V, P)</w:t>
            </w:r>
          </w:p>
        </w:tc>
        <w:tc>
          <w:tcPr>
            <w:tcW w:w="5587" w:type="dxa"/>
            <w:tcBorders>
              <w:top w:val="single" w:sz="4" w:space="0" w:color="auto"/>
              <w:left w:val="single" w:sz="4" w:space="0" w:color="auto"/>
              <w:bottom w:val="single" w:sz="4" w:space="0" w:color="auto"/>
              <w:right w:val="single" w:sz="4" w:space="0" w:color="auto"/>
            </w:tcBorders>
          </w:tcPr>
          <w:p w:rsidR="00A9063F" w:rsidRPr="005F45F5" w:rsidRDefault="00A9063F">
            <w:pPr>
              <w:pStyle w:val="Normlny0"/>
              <w:jc w:val="center"/>
              <w:rPr>
                <w:sz w:val="24"/>
                <w:szCs w:val="24"/>
              </w:rPr>
            </w:pPr>
            <w:r w:rsidRPr="005F45F5">
              <w:rPr>
                <w:sz w:val="24"/>
                <w:szCs w:val="24"/>
              </w:rPr>
              <w:t>Text</w:t>
            </w:r>
          </w:p>
        </w:tc>
        <w:tc>
          <w:tcPr>
            <w:tcW w:w="425" w:type="dxa"/>
            <w:tcBorders>
              <w:top w:val="single" w:sz="4" w:space="0" w:color="auto"/>
              <w:left w:val="single" w:sz="4" w:space="0" w:color="auto"/>
              <w:bottom w:val="single" w:sz="4" w:space="0" w:color="auto"/>
              <w:right w:val="single" w:sz="4" w:space="0" w:color="auto"/>
            </w:tcBorders>
          </w:tcPr>
          <w:p w:rsidR="00A9063F" w:rsidRPr="005F45F5" w:rsidRDefault="00A9063F">
            <w:pPr>
              <w:pStyle w:val="Normlny0"/>
              <w:jc w:val="center"/>
              <w:rPr>
                <w:sz w:val="24"/>
                <w:szCs w:val="24"/>
              </w:rPr>
            </w:pPr>
            <w:r w:rsidRPr="005F45F5">
              <w:rPr>
                <w:sz w:val="24"/>
                <w:szCs w:val="24"/>
              </w:rPr>
              <w:t>Zhoda</w:t>
            </w:r>
          </w:p>
        </w:tc>
        <w:tc>
          <w:tcPr>
            <w:tcW w:w="634" w:type="dxa"/>
            <w:tcBorders>
              <w:top w:val="single" w:sz="4" w:space="0" w:color="auto"/>
              <w:left w:val="single" w:sz="4" w:space="0" w:color="auto"/>
              <w:bottom w:val="single" w:sz="4" w:space="0" w:color="auto"/>
              <w:right w:val="single" w:sz="12" w:space="0" w:color="auto"/>
            </w:tcBorders>
          </w:tcPr>
          <w:p w:rsidR="00A9063F" w:rsidRPr="005F45F5" w:rsidRDefault="00A9063F">
            <w:pPr>
              <w:pStyle w:val="Normlny0"/>
              <w:jc w:val="center"/>
              <w:rPr>
                <w:sz w:val="24"/>
                <w:szCs w:val="24"/>
              </w:rPr>
            </w:pPr>
            <w:r w:rsidRPr="005F45F5">
              <w:rPr>
                <w:sz w:val="24"/>
                <w:szCs w:val="24"/>
              </w:rPr>
              <w:t>Poznámky</w:t>
            </w:r>
          </w:p>
        </w:tc>
      </w:tr>
      <w:tr w:rsidR="00A9063F" w:rsidRPr="005F45F5" w:rsidTr="000F63AB">
        <w:tc>
          <w:tcPr>
            <w:tcW w:w="908" w:type="dxa"/>
            <w:tcBorders>
              <w:top w:val="single" w:sz="4" w:space="0" w:color="auto"/>
              <w:left w:val="single" w:sz="12" w:space="0" w:color="auto"/>
              <w:bottom w:val="single" w:sz="4" w:space="0" w:color="auto"/>
              <w:right w:val="single" w:sz="4" w:space="0" w:color="auto"/>
            </w:tcBorders>
          </w:tcPr>
          <w:p w:rsidR="00A9063F" w:rsidRPr="005F45F5" w:rsidRDefault="0078287E" w:rsidP="00162F39">
            <w:pPr>
              <w:jc w:val="center"/>
            </w:pPr>
            <w:r w:rsidRPr="005F45F5">
              <w:t xml:space="preserve">Čl. </w:t>
            </w:r>
            <w:r w:rsidR="005F45F5" w:rsidRPr="005F45F5">
              <w:t>16</w:t>
            </w:r>
          </w:p>
        </w:tc>
        <w:tc>
          <w:tcPr>
            <w:tcW w:w="6436" w:type="dxa"/>
            <w:gridSpan w:val="2"/>
            <w:tcBorders>
              <w:top w:val="single" w:sz="4" w:space="0" w:color="auto"/>
              <w:left w:val="single" w:sz="4" w:space="0" w:color="auto"/>
              <w:bottom w:val="single" w:sz="4" w:space="0" w:color="auto"/>
              <w:right w:val="single" w:sz="4" w:space="0" w:color="auto"/>
            </w:tcBorders>
          </w:tcPr>
          <w:p w:rsidR="005F45F5" w:rsidRPr="005F45F5" w:rsidRDefault="005F45F5" w:rsidP="00115476">
            <w:pPr>
              <w:adjustRightInd w:val="0"/>
              <w:spacing w:before="60" w:after="60"/>
              <w:jc w:val="both"/>
              <w:rPr>
                <w:color w:val="000000"/>
              </w:rPr>
            </w:pPr>
            <w:r w:rsidRPr="005F45F5">
              <w:rPr>
                <w:color w:val="000000"/>
              </w:rPr>
              <w:t xml:space="preserve">Použitie tovaru, ktorý je súčasťou majetku podniku zdaniteľnej osoby, na osobnú spotrebu tejto zdaniteľnej osoby alebo na osobnú spotrebu jej zamestnancov, alebo bezodplatné poskytnutie tohto tovaru, alebo všeobecnejšie jeho využitie na iné ako ekonomické účely, sa považuje za dodanie tovaru za protihodnotu, ak DPH za príslušný tovar alebo za jeho súčasti bola úplne alebo čiastočne odpočítateľná. </w:t>
            </w:r>
          </w:p>
          <w:p w:rsidR="00D83E5B" w:rsidRDefault="005F45F5" w:rsidP="00115476">
            <w:pPr>
              <w:pStyle w:val="Default"/>
              <w:jc w:val="both"/>
              <w:rPr>
                <w:rFonts w:ascii="Times New Roman" w:hAnsi="Times New Roman" w:cs="Times New Roman"/>
              </w:rPr>
            </w:pPr>
            <w:r w:rsidRPr="005F45F5">
              <w:rPr>
                <w:rFonts w:ascii="Times New Roman" w:hAnsi="Times New Roman" w:cs="Times New Roman"/>
              </w:rPr>
              <w:t>Použitie tovaru na obchodné účely ako vzorky alebo dary nízkej hodnoty sa však nepovažuje za dodanie tovaru za protihodnotu.</w:t>
            </w:r>
          </w:p>
          <w:p w:rsidR="009C4FD5" w:rsidRPr="005F45F5" w:rsidRDefault="009C4FD5" w:rsidP="005F45F5">
            <w:pPr>
              <w:pStyle w:val="Default"/>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12" w:space="0" w:color="auto"/>
            </w:tcBorders>
          </w:tcPr>
          <w:p w:rsidR="00E030B3" w:rsidRPr="005F45F5" w:rsidRDefault="00E030B3">
            <w:pPr>
              <w:jc w:val="center"/>
            </w:pPr>
            <w:r w:rsidRPr="005F45F5">
              <w:t>N</w:t>
            </w:r>
          </w:p>
          <w:p w:rsidR="00E030B3" w:rsidRPr="005F45F5" w:rsidRDefault="00E030B3">
            <w:pPr>
              <w:jc w:val="center"/>
            </w:pPr>
          </w:p>
          <w:p w:rsidR="00A9063F" w:rsidRPr="005F45F5" w:rsidRDefault="00A9063F" w:rsidP="00A47BED"/>
          <w:p w:rsidR="00E030B3" w:rsidRPr="005F45F5" w:rsidRDefault="00E030B3">
            <w:pPr>
              <w:jc w:val="center"/>
            </w:pPr>
          </w:p>
          <w:p w:rsidR="00E030B3" w:rsidRPr="005F45F5" w:rsidRDefault="00E030B3">
            <w:pPr>
              <w:jc w:val="center"/>
            </w:pPr>
          </w:p>
          <w:p w:rsidR="00E030B3" w:rsidRPr="005F45F5" w:rsidRDefault="00E030B3">
            <w:pPr>
              <w:jc w:val="center"/>
            </w:pPr>
          </w:p>
          <w:p w:rsidR="00E030B3" w:rsidRPr="005F45F5" w:rsidRDefault="00E030B3">
            <w:pPr>
              <w:jc w:val="center"/>
            </w:pPr>
          </w:p>
          <w:p w:rsidR="00E030B3" w:rsidRPr="005F45F5" w:rsidRDefault="00E030B3">
            <w:pPr>
              <w:jc w:val="center"/>
            </w:pPr>
          </w:p>
          <w:p w:rsidR="00E030B3" w:rsidRPr="005F45F5" w:rsidRDefault="00E030B3">
            <w:pPr>
              <w:jc w:val="center"/>
            </w:pPr>
          </w:p>
          <w:p w:rsidR="00E030B3" w:rsidRPr="005F45F5" w:rsidRDefault="00E030B3">
            <w:pPr>
              <w:jc w:val="center"/>
            </w:pPr>
          </w:p>
          <w:p w:rsidR="00E030B3" w:rsidRPr="005F45F5" w:rsidRDefault="00E030B3" w:rsidP="0004109A"/>
          <w:p w:rsidR="00E030B3" w:rsidRPr="005F45F5" w:rsidRDefault="00E030B3">
            <w:pPr>
              <w:jc w:val="center"/>
            </w:pPr>
          </w:p>
        </w:tc>
        <w:tc>
          <w:tcPr>
            <w:tcW w:w="851" w:type="dxa"/>
            <w:tcBorders>
              <w:top w:val="single" w:sz="4" w:space="0" w:color="auto"/>
              <w:left w:val="nil"/>
              <w:bottom w:val="single" w:sz="4" w:space="0" w:color="auto"/>
              <w:right w:val="single" w:sz="4" w:space="0" w:color="auto"/>
            </w:tcBorders>
          </w:tcPr>
          <w:p w:rsidR="002153F7" w:rsidRPr="005F45F5" w:rsidRDefault="005F45F5">
            <w:pPr>
              <w:jc w:val="center"/>
              <w:rPr>
                <w:b/>
              </w:rPr>
            </w:pPr>
            <w:r w:rsidRPr="005F45F5">
              <w:t>222/ 2004 a</w:t>
            </w:r>
            <w:r>
              <w:rPr>
                <w:b/>
              </w:rPr>
              <w:t xml:space="preserve"> návrh zákona čl.</w:t>
            </w:r>
            <w:r w:rsidR="00822408">
              <w:rPr>
                <w:b/>
              </w:rPr>
              <w:t xml:space="preserve"> </w:t>
            </w:r>
            <w:r>
              <w:rPr>
                <w:b/>
              </w:rPr>
              <w:t xml:space="preserve">I </w:t>
            </w:r>
          </w:p>
        </w:tc>
        <w:tc>
          <w:tcPr>
            <w:tcW w:w="792" w:type="dxa"/>
            <w:tcBorders>
              <w:top w:val="single" w:sz="4" w:space="0" w:color="auto"/>
              <w:left w:val="single" w:sz="4" w:space="0" w:color="auto"/>
              <w:bottom w:val="single" w:sz="4" w:space="0" w:color="auto"/>
              <w:right w:val="single" w:sz="4" w:space="0" w:color="auto"/>
            </w:tcBorders>
          </w:tcPr>
          <w:p w:rsidR="00162F39" w:rsidRPr="005F45F5" w:rsidRDefault="005F45F5" w:rsidP="005F45F5">
            <w:pPr>
              <w:pStyle w:val="Normlny0"/>
              <w:jc w:val="center"/>
              <w:rPr>
                <w:sz w:val="24"/>
                <w:szCs w:val="24"/>
              </w:rPr>
            </w:pPr>
            <w:r w:rsidRPr="005F45F5">
              <w:rPr>
                <w:sz w:val="24"/>
                <w:szCs w:val="24"/>
              </w:rPr>
              <w:t>§ 8 ods.3</w:t>
            </w:r>
          </w:p>
          <w:p w:rsidR="00E030B3" w:rsidRPr="005F45F5" w:rsidRDefault="00E030B3" w:rsidP="00A47BED">
            <w:pPr>
              <w:pStyle w:val="Normlny0"/>
              <w:rPr>
                <w:sz w:val="24"/>
                <w:szCs w:val="24"/>
              </w:rPr>
            </w:pPr>
          </w:p>
        </w:tc>
        <w:tc>
          <w:tcPr>
            <w:tcW w:w="5587" w:type="dxa"/>
            <w:tcBorders>
              <w:top w:val="single" w:sz="4" w:space="0" w:color="auto"/>
              <w:left w:val="single" w:sz="4" w:space="0" w:color="auto"/>
              <w:bottom w:val="single" w:sz="4" w:space="0" w:color="auto"/>
              <w:right w:val="single" w:sz="4" w:space="0" w:color="auto"/>
            </w:tcBorders>
          </w:tcPr>
          <w:p w:rsidR="00A9063F" w:rsidRPr="005F45F5" w:rsidRDefault="005F45F5" w:rsidP="00D86F05">
            <w:pPr>
              <w:pStyle w:val="Normlny0"/>
              <w:jc w:val="both"/>
              <w:rPr>
                <w:sz w:val="24"/>
                <w:szCs w:val="24"/>
              </w:rPr>
            </w:pPr>
            <w:r w:rsidRPr="005F45F5">
              <w:rPr>
                <w:sz w:val="24"/>
                <w:szCs w:val="24"/>
              </w:rPr>
              <w:t xml:space="preserve">Ak platiteľ dodá tovar na svoju osobnú spotrebu, dodá tovar na osobnú spotrebu svojich zamestnancov, dodá tovar bezodplatne alebo dodá tovar na ďalší iný účel ako na podnikanie a ak pri kúpe </w:t>
            </w:r>
            <w:r w:rsidR="0004109A" w:rsidRPr="0004109A">
              <w:rPr>
                <w:b/>
                <w:sz w:val="24"/>
                <w:szCs w:val="24"/>
              </w:rPr>
              <w:t>tohto tovaru alebo jeho súčasti alebo vytvorení tohto tovaru alebo jeho súčasti</w:t>
            </w:r>
            <w:r w:rsidR="0004109A" w:rsidRPr="005F45F5">
              <w:rPr>
                <w:sz w:val="24"/>
                <w:szCs w:val="24"/>
              </w:rPr>
              <w:t xml:space="preserve"> </w:t>
            </w:r>
            <w:r w:rsidRPr="005F45F5">
              <w:rPr>
                <w:sz w:val="24"/>
                <w:szCs w:val="24"/>
              </w:rPr>
              <w:t>vlastnou činnosťou bola daň úplne alebo čiastočne odpočít</w:t>
            </w:r>
            <w:r w:rsidR="00D86F05">
              <w:rPr>
                <w:sz w:val="24"/>
                <w:szCs w:val="24"/>
              </w:rPr>
              <w:t>aná</w:t>
            </w:r>
            <w:r w:rsidRPr="005F45F5">
              <w:rPr>
                <w:sz w:val="24"/>
                <w:szCs w:val="24"/>
              </w:rPr>
              <w:t>, považuje sa takéto dodanie tovaru za dodanie tovaru za protihodnotu. Bezodplatné dodanie tovaru na obchodné účely, ak jeho hodnota nepresiahne 17 eur bez dane za jeden kus, a bezodplatné dodanie obchodných vzoriek sa nepovažuje za dodanie tovaru za protihodnotu.</w:t>
            </w:r>
          </w:p>
        </w:tc>
        <w:tc>
          <w:tcPr>
            <w:tcW w:w="425" w:type="dxa"/>
            <w:tcBorders>
              <w:top w:val="single" w:sz="4" w:space="0" w:color="auto"/>
              <w:left w:val="single" w:sz="4" w:space="0" w:color="auto"/>
              <w:bottom w:val="single" w:sz="4" w:space="0" w:color="auto"/>
              <w:right w:val="single" w:sz="4" w:space="0" w:color="auto"/>
            </w:tcBorders>
          </w:tcPr>
          <w:p w:rsidR="00A9063F" w:rsidRPr="005F45F5" w:rsidRDefault="0078287E">
            <w:pPr>
              <w:jc w:val="center"/>
            </w:pPr>
            <w:r w:rsidRPr="005F45F5">
              <w:t>Ú</w:t>
            </w:r>
          </w:p>
        </w:tc>
        <w:tc>
          <w:tcPr>
            <w:tcW w:w="634" w:type="dxa"/>
            <w:tcBorders>
              <w:top w:val="single" w:sz="4" w:space="0" w:color="auto"/>
              <w:left w:val="single" w:sz="4" w:space="0" w:color="auto"/>
              <w:bottom w:val="single" w:sz="4" w:space="0" w:color="auto"/>
              <w:right w:val="single" w:sz="12" w:space="0" w:color="auto"/>
            </w:tcBorders>
          </w:tcPr>
          <w:p w:rsidR="00A9063F" w:rsidRPr="005F45F5" w:rsidRDefault="00A9063F">
            <w:pPr>
              <w:pStyle w:val="Nadpis1"/>
              <w:rPr>
                <w:b w:val="0"/>
                <w:bCs w:val="0"/>
              </w:rPr>
            </w:pPr>
          </w:p>
        </w:tc>
      </w:tr>
      <w:tr w:rsidR="00EE3465" w:rsidRPr="005F45F5" w:rsidTr="000F63AB">
        <w:tc>
          <w:tcPr>
            <w:tcW w:w="908" w:type="dxa"/>
            <w:tcBorders>
              <w:top w:val="single" w:sz="4" w:space="0" w:color="auto"/>
              <w:left w:val="single" w:sz="12" w:space="0" w:color="auto"/>
              <w:bottom w:val="single" w:sz="4" w:space="0" w:color="auto"/>
              <w:right w:val="single" w:sz="4" w:space="0" w:color="auto"/>
            </w:tcBorders>
          </w:tcPr>
          <w:p w:rsidR="00EE3465" w:rsidRDefault="00EE3465" w:rsidP="00162F39">
            <w:pPr>
              <w:jc w:val="center"/>
            </w:pPr>
            <w:r>
              <w:lastRenderedPageBreak/>
              <w:t>Čl.</w:t>
            </w:r>
          </w:p>
          <w:p w:rsidR="00EE3465" w:rsidRDefault="00EE3465" w:rsidP="00162F39">
            <w:pPr>
              <w:jc w:val="center"/>
            </w:pPr>
            <w:r>
              <w:t>147</w:t>
            </w:r>
          </w:p>
          <w:p w:rsidR="00637925" w:rsidRPr="005F45F5" w:rsidRDefault="00637925" w:rsidP="00162F39">
            <w:pPr>
              <w:jc w:val="center"/>
            </w:pPr>
            <w:r>
              <w:t>ods. 1</w:t>
            </w:r>
          </w:p>
        </w:tc>
        <w:tc>
          <w:tcPr>
            <w:tcW w:w="6436" w:type="dxa"/>
            <w:gridSpan w:val="2"/>
            <w:tcBorders>
              <w:top w:val="single" w:sz="4" w:space="0" w:color="auto"/>
              <w:left w:val="single" w:sz="4" w:space="0" w:color="auto"/>
              <w:bottom w:val="single" w:sz="4" w:space="0" w:color="auto"/>
              <w:right w:val="single" w:sz="4" w:space="0" w:color="auto"/>
            </w:tcBorders>
          </w:tcPr>
          <w:p w:rsidR="00EE3465" w:rsidRPr="00EE3465" w:rsidRDefault="00EE3465" w:rsidP="00EE3465">
            <w:pPr>
              <w:autoSpaceDE/>
              <w:autoSpaceDN/>
              <w:spacing w:before="120"/>
              <w:jc w:val="both"/>
              <w:rPr>
                <w:color w:val="000000"/>
              </w:rPr>
            </w:pPr>
            <w:r w:rsidRPr="00EE3465">
              <w:rPr>
                <w:color w:val="000000"/>
              </w:rPr>
              <w:t>Ak sa dodanie tovaru uvedené v článku 146 ods. 1 písm. b) týka tovaru, ktorý sa má prevážať v osobnej batožine cestujúcich, oslobodenie od dane sa uplatňuje, iba keď sú splnené tieto podmienky:</w:t>
            </w:r>
          </w:p>
          <w:tbl>
            <w:tblPr>
              <w:tblW w:w="5000" w:type="pct"/>
              <w:tblCellSpacing w:w="0" w:type="dxa"/>
              <w:tblLayout w:type="fixed"/>
              <w:tblCellMar>
                <w:left w:w="0" w:type="dxa"/>
                <w:right w:w="0" w:type="dxa"/>
              </w:tblCellMar>
              <w:tblLook w:val="04A0" w:firstRow="1" w:lastRow="0" w:firstColumn="1" w:lastColumn="0" w:noHBand="0" w:noVBand="1"/>
            </w:tblPr>
            <w:tblGrid>
              <w:gridCol w:w="299"/>
              <w:gridCol w:w="6051"/>
            </w:tblGrid>
            <w:tr w:rsidR="00EE3465" w:rsidRPr="00EE3465" w:rsidTr="00EE3465">
              <w:trPr>
                <w:tblCellSpacing w:w="0" w:type="dxa"/>
              </w:trPr>
              <w:tc>
                <w:tcPr>
                  <w:tcW w:w="419" w:type="dxa"/>
                  <w:hideMark/>
                </w:tcPr>
                <w:p w:rsidR="00EE3465" w:rsidRPr="00EE3465" w:rsidRDefault="000F63AB" w:rsidP="00EE3465">
                  <w:pPr>
                    <w:autoSpaceDE/>
                    <w:autoSpaceDN/>
                    <w:spacing w:before="120"/>
                    <w:jc w:val="both"/>
                    <w:rPr>
                      <w:color w:val="000000"/>
                    </w:rPr>
                  </w:pPr>
                  <w:r>
                    <w:rPr>
                      <w:color w:val="000000"/>
                    </w:rPr>
                    <w:t xml:space="preserve">   a</w:t>
                  </w:r>
                </w:p>
              </w:tc>
              <w:tc>
                <w:tcPr>
                  <w:tcW w:w="8653" w:type="dxa"/>
                  <w:hideMark/>
                </w:tcPr>
                <w:p w:rsidR="00EE3465" w:rsidRPr="00EE3465" w:rsidRDefault="000F63AB" w:rsidP="00EE3465">
                  <w:pPr>
                    <w:autoSpaceDE/>
                    <w:autoSpaceDN/>
                    <w:spacing w:before="120"/>
                    <w:jc w:val="both"/>
                    <w:rPr>
                      <w:color w:val="000000"/>
                    </w:rPr>
                  </w:pPr>
                  <w:r>
                    <w:rPr>
                      <w:color w:val="000000"/>
                    </w:rPr>
                    <w:t xml:space="preserve">) </w:t>
                  </w:r>
                  <w:r w:rsidR="00EE3465" w:rsidRPr="00EE3465">
                    <w:rPr>
                      <w:color w:val="000000"/>
                    </w:rPr>
                    <w:t>cestujúci nie je usadený v Spoločenstve,</w:t>
                  </w:r>
                </w:p>
              </w:tc>
            </w:tr>
          </w:tbl>
          <w:p w:rsidR="00EE3465" w:rsidRPr="00EE3465" w:rsidRDefault="00EE3465" w:rsidP="00EE3465">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46"/>
              <w:gridCol w:w="6204"/>
            </w:tblGrid>
            <w:tr w:rsidR="00EE3465" w:rsidRPr="00EE3465" w:rsidTr="00EE3465">
              <w:trPr>
                <w:tblCellSpacing w:w="0" w:type="dxa"/>
              </w:trPr>
              <w:tc>
                <w:tcPr>
                  <w:tcW w:w="200" w:type="dxa"/>
                  <w:hideMark/>
                </w:tcPr>
                <w:p w:rsidR="00EE3465" w:rsidRPr="00EE3465" w:rsidRDefault="00EE3465" w:rsidP="00266290">
                  <w:pPr>
                    <w:autoSpaceDE/>
                    <w:autoSpaceDN/>
                    <w:spacing w:before="120"/>
                    <w:jc w:val="both"/>
                    <w:rPr>
                      <w:color w:val="000000"/>
                    </w:rPr>
                  </w:pPr>
                </w:p>
              </w:tc>
              <w:tc>
                <w:tcPr>
                  <w:tcW w:w="8872" w:type="dxa"/>
                  <w:hideMark/>
                </w:tcPr>
                <w:p w:rsidR="00EE3465" w:rsidRPr="00EE3465" w:rsidRDefault="00266290" w:rsidP="00EE3465">
                  <w:pPr>
                    <w:autoSpaceDE/>
                    <w:autoSpaceDN/>
                    <w:spacing w:before="120"/>
                    <w:jc w:val="both"/>
                    <w:rPr>
                      <w:color w:val="000000"/>
                    </w:rPr>
                  </w:pPr>
                  <w:r>
                    <w:rPr>
                      <w:color w:val="000000"/>
                    </w:rPr>
                    <w:t>b)</w:t>
                  </w:r>
                  <w:r w:rsidR="00D86F05">
                    <w:rPr>
                      <w:color w:val="000000"/>
                    </w:rPr>
                    <w:t xml:space="preserve"> </w:t>
                  </w:r>
                  <w:r w:rsidR="00EE3465" w:rsidRPr="00EE3465">
                    <w:rPr>
                      <w:color w:val="000000"/>
                    </w:rPr>
                    <w:t>tovar sa prepraví mimo Spoločenstva pred uplynutím tretieho mesiaca nasledujúceho po mesiaci, v ktorom sa dodanie uskutočnilo,</w:t>
                  </w:r>
                </w:p>
              </w:tc>
            </w:tr>
          </w:tbl>
          <w:p w:rsidR="00EE3465" w:rsidRPr="00EE3465" w:rsidRDefault="00EE3465" w:rsidP="00EE3465">
            <w:pPr>
              <w:autoSpaceDE/>
              <w:autoSpaceDN/>
              <w:rPr>
                <w:vanish/>
                <w:color w:val="000000"/>
              </w:rPr>
            </w:pPr>
          </w:p>
          <w:tbl>
            <w:tblPr>
              <w:tblW w:w="5000" w:type="pct"/>
              <w:tblCellSpacing w:w="0" w:type="dxa"/>
              <w:tblLayout w:type="fixed"/>
              <w:tblCellMar>
                <w:left w:w="0" w:type="dxa"/>
                <w:right w:w="0" w:type="dxa"/>
              </w:tblCellMar>
              <w:tblLook w:val="04A0" w:firstRow="1" w:lastRow="0" w:firstColumn="1" w:lastColumn="0" w:noHBand="0" w:noVBand="1"/>
            </w:tblPr>
            <w:tblGrid>
              <w:gridCol w:w="137"/>
              <w:gridCol w:w="6213"/>
            </w:tblGrid>
            <w:tr w:rsidR="00EE3465" w:rsidRPr="00EE3465" w:rsidTr="00EE3465">
              <w:trPr>
                <w:tblCellSpacing w:w="0" w:type="dxa"/>
              </w:trPr>
              <w:tc>
                <w:tcPr>
                  <w:tcW w:w="187" w:type="dxa"/>
                  <w:hideMark/>
                </w:tcPr>
                <w:p w:rsidR="00EE3465" w:rsidRPr="00EE3465" w:rsidRDefault="00EE3465" w:rsidP="00EE3465">
                  <w:pPr>
                    <w:autoSpaceDE/>
                    <w:autoSpaceDN/>
                    <w:spacing w:before="120"/>
                    <w:jc w:val="both"/>
                    <w:rPr>
                      <w:color w:val="000000"/>
                    </w:rPr>
                  </w:pPr>
                </w:p>
              </w:tc>
              <w:tc>
                <w:tcPr>
                  <w:tcW w:w="8885" w:type="dxa"/>
                  <w:hideMark/>
                </w:tcPr>
                <w:p w:rsidR="00EE3465" w:rsidRPr="00EE3465" w:rsidRDefault="00266290" w:rsidP="00EE3465">
                  <w:pPr>
                    <w:autoSpaceDE/>
                    <w:autoSpaceDN/>
                    <w:spacing w:before="120"/>
                    <w:jc w:val="both"/>
                    <w:rPr>
                      <w:color w:val="000000"/>
                    </w:rPr>
                  </w:pPr>
                  <w:r>
                    <w:rPr>
                      <w:color w:val="000000"/>
                    </w:rPr>
                    <w:t>c)</w:t>
                  </w:r>
                  <w:r w:rsidR="00D86F05">
                    <w:rPr>
                      <w:color w:val="000000"/>
                    </w:rPr>
                    <w:t xml:space="preserve"> </w:t>
                  </w:r>
                  <w:r w:rsidR="00EE3465" w:rsidRPr="00EE3465">
                    <w:rPr>
                      <w:color w:val="000000"/>
                    </w:rPr>
                    <w:t>celková hodnota dodania vrátane DPH je vyššia ako 175 EUR alebo jej ekvivalent v národnej mene, ktorá sa určí ročne s účinnosťou k 1. januáru nasledujúceho roka pomocou prepočítavacieho kurzu platného v prvý októbrový pracovný deň.</w:t>
                  </w:r>
                </w:p>
              </w:tc>
            </w:tr>
          </w:tbl>
          <w:p w:rsidR="00EE3465" w:rsidRPr="005F45F5" w:rsidRDefault="00EE3465" w:rsidP="00637925">
            <w:pPr>
              <w:autoSpaceDE/>
              <w:autoSpaceDN/>
              <w:spacing w:before="120"/>
              <w:jc w:val="both"/>
              <w:rPr>
                <w:color w:val="000000"/>
              </w:rPr>
            </w:pPr>
            <w:r w:rsidRPr="00EE3465">
              <w:rPr>
                <w:color w:val="000000"/>
              </w:rPr>
              <w:t>Členské štáty však môžu oslobodiť od dane dodanie s celkovou hodnotou nižšou, než je suma uvedená v písmene c) prvého pododseku.</w:t>
            </w:r>
          </w:p>
        </w:tc>
        <w:tc>
          <w:tcPr>
            <w:tcW w:w="567" w:type="dxa"/>
            <w:tcBorders>
              <w:top w:val="single" w:sz="4" w:space="0" w:color="auto"/>
              <w:left w:val="single" w:sz="4" w:space="0" w:color="auto"/>
              <w:bottom w:val="single" w:sz="4" w:space="0" w:color="auto"/>
              <w:right w:val="single" w:sz="12" w:space="0" w:color="auto"/>
            </w:tcBorders>
          </w:tcPr>
          <w:p w:rsidR="00EE3465" w:rsidRDefault="00EE3465">
            <w:pPr>
              <w:jc w:val="center"/>
            </w:pPr>
          </w:p>
        </w:tc>
        <w:tc>
          <w:tcPr>
            <w:tcW w:w="851" w:type="dxa"/>
            <w:tcBorders>
              <w:top w:val="single" w:sz="4" w:space="0" w:color="auto"/>
              <w:left w:val="nil"/>
              <w:bottom w:val="single" w:sz="4" w:space="0" w:color="auto"/>
              <w:right w:val="single" w:sz="4" w:space="0" w:color="auto"/>
            </w:tcBorders>
          </w:tcPr>
          <w:p w:rsidR="00266290" w:rsidRDefault="00266290" w:rsidP="00266290">
            <w:pPr>
              <w:jc w:val="center"/>
            </w:pPr>
            <w:r w:rsidRPr="00EE3465">
              <w:t>222/</w:t>
            </w:r>
          </w:p>
          <w:p w:rsidR="00266290" w:rsidRDefault="00266290" w:rsidP="00266290">
            <w:pPr>
              <w:rPr>
                <w:b/>
              </w:rPr>
            </w:pPr>
            <w:r w:rsidRPr="00EE3465">
              <w:t>2004</w:t>
            </w:r>
            <w:r>
              <w:t xml:space="preserve"> </w:t>
            </w:r>
            <w:r w:rsidRPr="00EE3465">
              <w:t>a</w:t>
            </w:r>
            <w:r>
              <w:t xml:space="preserve">  </w:t>
            </w:r>
            <w:r>
              <w:rPr>
                <w:b/>
              </w:rPr>
              <w:t xml:space="preserve"> návrh zákona</w:t>
            </w:r>
          </w:p>
          <w:p w:rsidR="00EE3465" w:rsidRDefault="00822408" w:rsidP="00266290">
            <w:pPr>
              <w:jc w:val="center"/>
              <w:rPr>
                <w:b/>
              </w:rPr>
            </w:pPr>
            <w:r>
              <w:rPr>
                <w:b/>
              </w:rPr>
              <w:t>čl. I</w:t>
            </w:r>
          </w:p>
        </w:tc>
        <w:tc>
          <w:tcPr>
            <w:tcW w:w="792" w:type="dxa"/>
            <w:tcBorders>
              <w:top w:val="single" w:sz="4" w:space="0" w:color="auto"/>
              <w:left w:val="single" w:sz="4" w:space="0" w:color="auto"/>
              <w:bottom w:val="single" w:sz="4" w:space="0" w:color="auto"/>
              <w:right w:val="single" w:sz="4" w:space="0" w:color="auto"/>
            </w:tcBorders>
          </w:tcPr>
          <w:p w:rsidR="00EE3465" w:rsidRDefault="00266290" w:rsidP="00162F39">
            <w:pPr>
              <w:pStyle w:val="Normlny0"/>
              <w:rPr>
                <w:sz w:val="24"/>
                <w:szCs w:val="24"/>
              </w:rPr>
            </w:pPr>
            <w:r>
              <w:rPr>
                <w:sz w:val="24"/>
                <w:szCs w:val="24"/>
              </w:rPr>
              <w:t xml:space="preserve"> § 59</w:t>
            </w:r>
          </w:p>
          <w:p w:rsidR="00D84DE2" w:rsidRDefault="00D84DE2" w:rsidP="00162F39">
            <w:pPr>
              <w:pStyle w:val="Normlny0"/>
              <w:rPr>
                <w:sz w:val="24"/>
                <w:szCs w:val="24"/>
              </w:rPr>
            </w:pPr>
            <w:r>
              <w:rPr>
                <w:sz w:val="24"/>
                <w:szCs w:val="24"/>
              </w:rPr>
              <w:t>ods. 3</w:t>
            </w:r>
          </w:p>
          <w:p w:rsidR="00D84DE2" w:rsidRPr="005F45F5" w:rsidRDefault="00D84DE2" w:rsidP="00162F39">
            <w:pPr>
              <w:pStyle w:val="Normlny0"/>
              <w:rPr>
                <w:sz w:val="24"/>
                <w:szCs w:val="24"/>
              </w:rPr>
            </w:pPr>
            <w:r>
              <w:rPr>
                <w:sz w:val="24"/>
                <w:szCs w:val="24"/>
              </w:rPr>
              <w:t>písm. a)</w:t>
            </w:r>
          </w:p>
        </w:tc>
        <w:tc>
          <w:tcPr>
            <w:tcW w:w="5587" w:type="dxa"/>
            <w:tcBorders>
              <w:top w:val="single" w:sz="4" w:space="0" w:color="auto"/>
              <w:left w:val="single" w:sz="4" w:space="0" w:color="auto"/>
              <w:bottom w:val="single" w:sz="4" w:space="0" w:color="auto"/>
              <w:right w:val="single" w:sz="4" w:space="0" w:color="auto"/>
            </w:tcBorders>
          </w:tcPr>
          <w:p w:rsidR="00822408" w:rsidRPr="00822408" w:rsidRDefault="00822408" w:rsidP="00822408">
            <w:pPr>
              <w:autoSpaceDE/>
              <w:autoSpaceDN/>
            </w:pPr>
            <w:r w:rsidRPr="00822408">
              <w:t>Cestujúci môže požiadať o vrátenie dane, ak</w:t>
            </w:r>
          </w:p>
          <w:p w:rsidR="00822408" w:rsidRPr="00822408" w:rsidRDefault="00822408" w:rsidP="00822408">
            <w:pPr>
              <w:autoSpaceDE/>
              <w:autoSpaceDN/>
            </w:pPr>
          </w:p>
          <w:p w:rsidR="00822408" w:rsidRPr="00822408" w:rsidRDefault="00822408" w:rsidP="00822408">
            <w:pPr>
              <w:autoSpaceDE/>
              <w:autoSpaceDN/>
            </w:pPr>
            <w:r w:rsidRPr="00822408">
              <w:t xml:space="preserve">a) celková hodnota vrátane dane vyvezeného tovaru uvedená v doklade o kúpe tovaru je vyššia ako </w:t>
            </w:r>
            <w:r w:rsidR="000B09A0" w:rsidRPr="000B09A0">
              <w:rPr>
                <w:b/>
              </w:rPr>
              <w:t>100</w:t>
            </w:r>
            <w:r w:rsidRPr="00822408">
              <w:t xml:space="preserve"> eur, </w:t>
            </w:r>
          </w:p>
          <w:p w:rsidR="00EE3465" w:rsidRPr="005F45F5" w:rsidRDefault="00EE3465" w:rsidP="00D205AC">
            <w:pPr>
              <w:pStyle w:val="Normlny0"/>
              <w:jc w:val="both"/>
              <w:rPr>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EE3465" w:rsidRDefault="00EE3465">
            <w:pPr>
              <w:jc w:val="center"/>
            </w:pPr>
          </w:p>
        </w:tc>
        <w:tc>
          <w:tcPr>
            <w:tcW w:w="634" w:type="dxa"/>
            <w:tcBorders>
              <w:top w:val="single" w:sz="4" w:space="0" w:color="auto"/>
              <w:left w:val="single" w:sz="4" w:space="0" w:color="auto"/>
              <w:bottom w:val="single" w:sz="4" w:space="0" w:color="auto"/>
              <w:right w:val="single" w:sz="12" w:space="0" w:color="auto"/>
            </w:tcBorders>
          </w:tcPr>
          <w:p w:rsidR="00EE3465" w:rsidRPr="005F45F5" w:rsidRDefault="00EE3465">
            <w:pPr>
              <w:pStyle w:val="Nadpis1"/>
              <w:rPr>
                <w:b w:val="0"/>
                <w:bCs w:val="0"/>
              </w:rPr>
            </w:pPr>
          </w:p>
        </w:tc>
      </w:tr>
      <w:tr w:rsidR="00162F39" w:rsidRPr="005F45F5" w:rsidTr="000F63AB">
        <w:tc>
          <w:tcPr>
            <w:tcW w:w="908" w:type="dxa"/>
            <w:tcBorders>
              <w:top w:val="single" w:sz="4" w:space="0" w:color="auto"/>
              <w:left w:val="single" w:sz="12" w:space="0" w:color="auto"/>
              <w:bottom w:val="single" w:sz="4" w:space="0" w:color="auto"/>
              <w:right w:val="single" w:sz="4" w:space="0" w:color="auto"/>
            </w:tcBorders>
          </w:tcPr>
          <w:p w:rsidR="00162F39" w:rsidRPr="005F45F5" w:rsidRDefault="005F45F5" w:rsidP="00162F39">
            <w:pPr>
              <w:jc w:val="center"/>
            </w:pPr>
            <w:r w:rsidRPr="005F45F5">
              <w:t>Čl. 288</w:t>
            </w:r>
          </w:p>
        </w:tc>
        <w:tc>
          <w:tcPr>
            <w:tcW w:w="6436" w:type="dxa"/>
            <w:gridSpan w:val="2"/>
            <w:tcBorders>
              <w:top w:val="single" w:sz="4" w:space="0" w:color="auto"/>
              <w:left w:val="single" w:sz="4" w:space="0" w:color="auto"/>
              <w:bottom w:val="single" w:sz="4" w:space="0" w:color="auto"/>
              <w:right w:val="single" w:sz="4" w:space="0" w:color="auto"/>
            </w:tcBorders>
          </w:tcPr>
          <w:p w:rsidR="005F45F5" w:rsidRPr="005F45F5" w:rsidRDefault="005F45F5" w:rsidP="005F45F5">
            <w:pPr>
              <w:adjustRightInd w:val="0"/>
              <w:spacing w:before="60" w:after="60"/>
              <w:rPr>
                <w:color w:val="000000"/>
              </w:rPr>
            </w:pPr>
            <w:r w:rsidRPr="005F45F5">
              <w:rPr>
                <w:color w:val="000000"/>
              </w:rPr>
              <w:t xml:space="preserve">Obrat, ktorý je základom pre uplatňovanie úpravy ustanovenej v tomto oddiele, pozostáva z týchto súm bez DPH: </w:t>
            </w:r>
          </w:p>
          <w:p w:rsidR="005F45F5" w:rsidRPr="005F45F5" w:rsidRDefault="005F45F5" w:rsidP="005F45F5">
            <w:pPr>
              <w:adjustRightInd w:val="0"/>
              <w:spacing w:before="60" w:after="60"/>
              <w:rPr>
                <w:color w:val="000000"/>
              </w:rPr>
            </w:pPr>
            <w:r w:rsidRPr="005F45F5">
              <w:rPr>
                <w:color w:val="000000"/>
              </w:rPr>
              <w:t xml:space="preserve">1. hodnoty dodaného tovaru a poskytnutých služieb v rozsahu, v akom sú zdanené, </w:t>
            </w:r>
          </w:p>
          <w:p w:rsidR="005F45F5" w:rsidRPr="005F45F5" w:rsidRDefault="005F45F5" w:rsidP="005F45F5">
            <w:pPr>
              <w:adjustRightInd w:val="0"/>
              <w:spacing w:before="60" w:after="60"/>
              <w:rPr>
                <w:color w:val="000000"/>
              </w:rPr>
            </w:pPr>
            <w:r w:rsidRPr="005F45F5">
              <w:rPr>
                <w:color w:val="000000"/>
              </w:rPr>
              <w:t xml:space="preserve">2. hodnoty transakcií oslobodených od dane s možnosťou odpočítania DPH zaplatenej na predchádzajúcom stupni podľa článkov 110 a 111, článku 125 ods. 1, článku 127 alebo článku 128 ods. 1, </w:t>
            </w:r>
          </w:p>
          <w:p w:rsidR="005F45F5" w:rsidRPr="005F45F5" w:rsidRDefault="005F45F5" w:rsidP="005F45F5">
            <w:pPr>
              <w:adjustRightInd w:val="0"/>
              <w:spacing w:before="60" w:after="60"/>
              <w:rPr>
                <w:color w:val="000000"/>
              </w:rPr>
            </w:pPr>
            <w:r w:rsidRPr="005F45F5">
              <w:rPr>
                <w:color w:val="000000"/>
              </w:rPr>
              <w:t xml:space="preserve">3. hodnoty transakcií oslobodených od dane podľa článkov 146 až 149 a článkov 151, 152 a 153, </w:t>
            </w:r>
          </w:p>
          <w:p w:rsidR="00162F39" w:rsidRPr="005F45F5" w:rsidRDefault="005F45F5" w:rsidP="005F45F5">
            <w:pPr>
              <w:pStyle w:val="Default"/>
              <w:rPr>
                <w:rFonts w:ascii="Times New Roman" w:hAnsi="Times New Roman" w:cs="Times New Roman"/>
              </w:rPr>
            </w:pPr>
            <w:r w:rsidRPr="005F45F5">
              <w:rPr>
                <w:rFonts w:ascii="Times New Roman" w:hAnsi="Times New Roman" w:cs="Times New Roman"/>
              </w:rPr>
              <w:t>4. hodnoty transakcií s nehnuteľnosťami, finančných transakcií uvedených v článku 135 ods. 1 písm. b) až g) a poisťovacích služieb, pokiaľ tieto transakcie nemajú charakter doplnkových transakcií.</w:t>
            </w:r>
          </w:p>
          <w:p w:rsidR="005F45F5" w:rsidRPr="005F45F5" w:rsidRDefault="005F45F5" w:rsidP="005F45F5">
            <w:pPr>
              <w:pStyle w:val="Default"/>
              <w:rPr>
                <w:rFonts w:ascii="Times New Roman" w:hAnsi="Times New Roman" w:cs="Times New Roman"/>
              </w:rPr>
            </w:pPr>
          </w:p>
          <w:p w:rsidR="005F45F5" w:rsidRPr="005F45F5" w:rsidRDefault="005F45F5" w:rsidP="005F45F5">
            <w:pPr>
              <w:pStyle w:val="Default"/>
              <w:rPr>
                <w:rFonts w:ascii="Times New Roman" w:hAnsi="Times New Roman" w:cs="Times New Roman"/>
              </w:rPr>
            </w:pPr>
            <w:r w:rsidRPr="005F45F5">
              <w:rPr>
                <w:rFonts w:ascii="Times New Roman" w:hAnsi="Times New Roman" w:cs="Times New Roman"/>
              </w:rPr>
              <w:t>Výnosy z prevodu hmotného alebo nehmotného investičného majetku podniku sa však neberú do úvahy pri vypočítaní obratu.</w:t>
            </w:r>
          </w:p>
        </w:tc>
        <w:tc>
          <w:tcPr>
            <w:tcW w:w="567" w:type="dxa"/>
            <w:tcBorders>
              <w:top w:val="single" w:sz="4" w:space="0" w:color="auto"/>
              <w:left w:val="single" w:sz="4" w:space="0" w:color="auto"/>
              <w:bottom w:val="single" w:sz="4" w:space="0" w:color="auto"/>
              <w:right w:val="single" w:sz="12" w:space="0" w:color="auto"/>
            </w:tcBorders>
          </w:tcPr>
          <w:p w:rsidR="00162F39" w:rsidRPr="005F45F5" w:rsidRDefault="005F45F5">
            <w:pPr>
              <w:jc w:val="center"/>
            </w:pPr>
            <w:r>
              <w:t>N</w:t>
            </w:r>
          </w:p>
        </w:tc>
        <w:tc>
          <w:tcPr>
            <w:tcW w:w="851" w:type="dxa"/>
            <w:tcBorders>
              <w:top w:val="single" w:sz="4" w:space="0" w:color="auto"/>
              <w:left w:val="nil"/>
              <w:bottom w:val="single" w:sz="4" w:space="0" w:color="auto"/>
              <w:right w:val="single" w:sz="4" w:space="0" w:color="auto"/>
            </w:tcBorders>
          </w:tcPr>
          <w:p w:rsidR="00162F39" w:rsidRPr="005F45F5" w:rsidRDefault="005F45F5">
            <w:pPr>
              <w:jc w:val="center"/>
              <w:rPr>
                <w:b/>
              </w:rPr>
            </w:pPr>
            <w:r>
              <w:rPr>
                <w:b/>
              </w:rPr>
              <w:t>Návrh zákona čl.</w:t>
            </w:r>
            <w:r w:rsidR="00822408">
              <w:rPr>
                <w:b/>
              </w:rPr>
              <w:t xml:space="preserve"> </w:t>
            </w:r>
            <w:r>
              <w:rPr>
                <w:b/>
              </w:rPr>
              <w:t>I</w:t>
            </w:r>
            <w:r w:rsidR="00822408">
              <w:rPr>
                <w:b/>
              </w:rPr>
              <w:t xml:space="preserve"> </w:t>
            </w:r>
          </w:p>
        </w:tc>
        <w:tc>
          <w:tcPr>
            <w:tcW w:w="792" w:type="dxa"/>
            <w:tcBorders>
              <w:top w:val="single" w:sz="4" w:space="0" w:color="auto"/>
              <w:left w:val="single" w:sz="4" w:space="0" w:color="auto"/>
              <w:bottom w:val="single" w:sz="4" w:space="0" w:color="auto"/>
              <w:right w:val="single" w:sz="4" w:space="0" w:color="auto"/>
            </w:tcBorders>
          </w:tcPr>
          <w:p w:rsidR="00162F39" w:rsidRPr="005F45F5" w:rsidRDefault="005F45F5" w:rsidP="00162F39">
            <w:pPr>
              <w:pStyle w:val="Normlny0"/>
              <w:rPr>
                <w:sz w:val="24"/>
                <w:szCs w:val="24"/>
              </w:rPr>
            </w:pPr>
            <w:r w:rsidRPr="005F45F5">
              <w:rPr>
                <w:sz w:val="24"/>
                <w:szCs w:val="24"/>
              </w:rPr>
              <w:t>§ 4 ods.7</w:t>
            </w:r>
          </w:p>
        </w:tc>
        <w:tc>
          <w:tcPr>
            <w:tcW w:w="5587" w:type="dxa"/>
            <w:tcBorders>
              <w:top w:val="single" w:sz="4" w:space="0" w:color="auto"/>
              <w:left w:val="single" w:sz="4" w:space="0" w:color="auto"/>
              <w:bottom w:val="single" w:sz="4" w:space="0" w:color="auto"/>
              <w:right w:val="single" w:sz="4" w:space="0" w:color="auto"/>
            </w:tcBorders>
          </w:tcPr>
          <w:p w:rsidR="00162F39" w:rsidRPr="005F45F5" w:rsidRDefault="005F45F5" w:rsidP="00D205AC">
            <w:pPr>
              <w:pStyle w:val="Normlny0"/>
              <w:jc w:val="both"/>
              <w:rPr>
                <w:sz w:val="24"/>
                <w:szCs w:val="24"/>
              </w:rPr>
            </w:pPr>
            <w:r w:rsidRPr="005F45F5">
              <w:rPr>
                <w:b/>
                <w:sz w:val="24"/>
                <w:szCs w:val="24"/>
              </w:rPr>
              <w:t>Na účely tohto zákona sa obratom rozumie hodnota bez dane dodaných tovarov a služieb v tuzemsku okrem hodnoty tovarov a služieb, ktoré sú oslobodené od dane podľa § 28 až 36 a podľa § 40 až 42. Hodnota dodaných poisťovacích služieb, ktoré sú oslobodené od dane podľa § 37, a finančných služieb, ktoré sú oslobodené od dane podľa § 39, sa nezahŕňa do obratu, ak tieto služby sú dodané pri dodaní tovaru alebo služby ako doplnkové služby. Do obratu sa nezahŕňa hodnota príležitostne dodaného hmotného majetku okrem zásob a hodnota príležitostne dodaného nehmotného majetku</w:t>
            </w:r>
            <w:r w:rsidRPr="002A67E5">
              <w:rPr>
                <w:szCs w:val="24"/>
              </w:rPr>
              <w:t>.</w:t>
            </w:r>
          </w:p>
        </w:tc>
        <w:tc>
          <w:tcPr>
            <w:tcW w:w="425" w:type="dxa"/>
            <w:tcBorders>
              <w:top w:val="single" w:sz="4" w:space="0" w:color="auto"/>
              <w:left w:val="single" w:sz="4" w:space="0" w:color="auto"/>
              <w:bottom w:val="single" w:sz="4" w:space="0" w:color="auto"/>
              <w:right w:val="single" w:sz="4" w:space="0" w:color="auto"/>
            </w:tcBorders>
          </w:tcPr>
          <w:p w:rsidR="00162F39" w:rsidRPr="005F45F5" w:rsidRDefault="005F45F5">
            <w:pPr>
              <w:jc w:val="center"/>
            </w:pPr>
            <w:r>
              <w:t>Ú</w:t>
            </w:r>
          </w:p>
        </w:tc>
        <w:tc>
          <w:tcPr>
            <w:tcW w:w="634" w:type="dxa"/>
            <w:tcBorders>
              <w:top w:val="single" w:sz="4" w:space="0" w:color="auto"/>
              <w:left w:val="single" w:sz="4" w:space="0" w:color="auto"/>
              <w:bottom w:val="single" w:sz="4" w:space="0" w:color="auto"/>
              <w:right w:val="single" w:sz="12" w:space="0" w:color="auto"/>
            </w:tcBorders>
          </w:tcPr>
          <w:p w:rsidR="00162F39" w:rsidRPr="005F45F5" w:rsidRDefault="00162F39">
            <w:pPr>
              <w:pStyle w:val="Nadpis1"/>
              <w:rPr>
                <w:b w:val="0"/>
                <w:bCs w:val="0"/>
              </w:rPr>
            </w:pPr>
          </w:p>
        </w:tc>
      </w:tr>
    </w:tbl>
    <w:p w:rsidR="008C54C3" w:rsidRPr="005F45F5" w:rsidRDefault="008C54C3">
      <w:pPr>
        <w:pStyle w:val="Hlavika"/>
        <w:tabs>
          <w:tab w:val="clear" w:pos="4536"/>
          <w:tab w:val="clear" w:pos="9072"/>
        </w:tabs>
        <w:autoSpaceDE/>
        <w:autoSpaceDN/>
      </w:pPr>
    </w:p>
    <w:p w:rsidR="00162F39" w:rsidRPr="005F45F5" w:rsidRDefault="00162F39" w:rsidP="00162F39">
      <w:pPr>
        <w:autoSpaceDE/>
        <w:autoSpaceDN/>
      </w:pPr>
      <w:r w:rsidRPr="005F45F5">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5F45F5" w:rsidTr="00344B44">
        <w:tc>
          <w:tcPr>
            <w:tcW w:w="2410" w:type="dxa"/>
            <w:tcBorders>
              <w:top w:val="nil"/>
              <w:left w:val="nil"/>
              <w:bottom w:val="nil"/>
              <w:right w:val="nil"/>
            </w:tcBorders>
          </w:tcPr>
          <w:p w:rsidR="00162F39" w:rsidRPr="005F45F5" w:rsidRDefault="00162F39" w:rsidP="00344B44">
            <w:pPr>
              <w:pStyle w:val="Normlny0"/>
              <w:autoSpaceDE/>
              <w:autoSpaceDN/>
              <w:spacing w:after="60"/>
              <w:rPr>
                <w:sz w:val="24"/>
                <w:szCs w:val="24"/>
                <w:lang w:eastAsia="sk-SK"/>
              </w:rPr>
            </w:pPr>
            <w:r w:rsidRPr="005F45F5">
              <w:rPr>
                <w:sz w:val="24"/>
                <w:szCs w:val="24"/>
                <w:lang w:eastAsia="sk-SK"/>
              </w:rPr>
              <w:t>V stĺpci (1):</w:t>
            </w:r>
          </w:p>
          <w:p w:rsidR="00162F39" w:rsidRPr="005F45F5" w:rsidRDefault="00162F39" w:rsidP="00344B44">
            <w:pPr>
              <w:autoSpaceDE/>
              <w:autoSpaceDN/>
            </w:pPr>
            <w:r w:rsidRPr="005F45F5">
              <w:t>Č – článok</w:t>
            </w:r>
          </w:p>
          <w:p w:rsidR="00162F39" w:rsidRPr="005F45F5" w:rsidRDefault="00162F39" w:rsidP="00344B44">
            <w:pPr>
              <w:autoSpaceDE/>
              <w:autoSpaceDN/>
            </w:pPr>
            <w:r w:rsidRPr="005F45F5">
              <w:t>O – odsek</w:t>
            </w:r>
          </w:p>
          <w:p w:rsidR="00162F39" w:rsidRPr="005F45F5" w:rsidRDefault="00162F39" w:rsidP="00344B44">
            <w:pPr>
              <w:autoSpaceDE/>
              <w:autoSpaceDN/>
            </w:pPr>
            <w:r w:rsidRPr="005F45F5">
              <w:t>V – veta</w:t>
            </w:r>
          </w:p>
          <w:p w:rsidR="00162F39" w:rsidRPr="005F45F5" w:rsidRDefault="00162F39" w:rsidP="00344B44">
            <w:pPr>
              <w:autoSpaceDE/>
              <w:autoSpaceDN/>
            </w:pPr>
            <w:r w:rsidRPr="005F45F5">
              <w:t>P – číslo (písmeno)</w:t>
            </w:r>
          </w:p>
          <w:p w:rsidR="00162F39" w:rsidRPr="005F45F5" w:rsidRDefault="00162F39" w:rsidP="00344B44">
            <w:pPr>
              <w:autoSpaceDE/>
              <w:autoSpaceDN/>
            </w:pPr>
          </w:p>
        </w:tc>
        <w:tc>
          <w:tcPr>
            <w:tcW w:w="3780" w:type="dxa"/>
            <w:tcBorders>
              <w:top w:val="nil"/>
              <w:left w:val="nil"/>
              <w:bottom w:val="nil"/>
              <w:right w:val="nil"/>
            </w:tcBorders>
          </w:tcPr>
          <w:p w:rsidR="00162F39" w:rsidRPr="005F45F5" w:rsidRDefault="00162F39" w:rsidP="00344B44">
            <w:pPr>
              <w:pStyle w:val="Normlny0"/>
              <w:autoSpaceDE/>
              <w:autoSpaceDN/>
              <w:spacing w:after="60"/>
              <w:rPr>
                <w:sz w:val="24"/>
                <w:szCs w:val="24"/>
                <w:lang w:eastAsia="sk-SK"/>
              </w:rPr>
            </w:pPr>
            <w:r w:rsidRPr="005F45F5">
              <w:rPr>
                <w:sz w:val="24"/>
                <w:szCs w:val="24"/>
                <w:lang w:eastAsia="sk-SK"/>
              </w:rPr>
              <w:t>V stĺpci (3):</w:t>
            </w:r>
          </w:p>
          <w:p w:rsidR="00162F39" w:rsidRPr="005F45F5" w:rsidRDefault="00162F39" w:rsidP="00344B44">
            <w:pPr>
              <w:autoSpaceDE/>
              <w:autoSpaceDN/>
            </w:pPr>
            <w:r w:rsidRPr="005F45F5">
              <w:t>N – bežná transpozícia</w:t>
            </w:r>
          </w:p>
          <w:p w:rsidR="00162F39" w:rsidRPr="005F45F5" w:rsidRDefault="00162F39" w:rsidP="00344B44">
            <w:pPr>
              <w:autoSpaceDE/>
              <w:autoSpaceDN/>
            </w:pPr>
            <w:r w:rsidRPr="005F45F5">
              <w:t>O – transpozícia s možnosťou voľby</w:t>
            </w:r>
          </w:p>
          <w:p w:rsidR="00162F39" w:rsidRPr="005F45F5" w:rsidRDefault="00162F39" w:rsidP="00344B44">
            <w:pPr>
              <w:autoSpaceDE/>
              <w:autoSpaceDN/>
            </w:pPr>
            <w:r w:rsidRPr="005F45F5">
              <w:t>D – transpozícia podľa úvahy (dobrovoľná)</w:t>
            </w:r>
          </w:p>
          <w:p w:rsidR="00162F39" w:rsidRPr="005F45F5" w:rsidRDefault="00162F39" w:rsidP="00344B44">
            <w:pPr>
              <w:autoSpaceDE/>
              <w:autoSpaceDN/>
            </w:pPr>
            <w:r w:rsidRPr="005F45F5">
              <w:t>n.a. – transpozícia sa neuskutočňuje</w:t>
            </w:r>
          </w:p>
        </w:tc>
        <w:tc>
          <w:tcPr>
            <w:tcW w:w="2340" w:type="dxa"/>
            <w:tcBorders>
              <w:top w:val="nil"/>
              <w:left w:val="nil"/>
              <w:bottom w:val="nil"/>
              <w:right w:val="nil"/>
            </w:tcBorders>
          </w:tcPr>
          <w:p w:rsidR="00162F39" w:rsidRPr="005F45F5" w:rsidRDefault="00162F39" w:rsidP="00344B44">
            <w:pPr>
              <w:pStyle w:val="Normlny0"/>
              <w:autoSpaceDE/>
              <w:autoSpaceDN/>
              <w:spacing w:after="60"/>
              <w:rPr>
                <w:sz w:val="24"/>
                <w:szCs w:val="24"/>
                <w:lang w:eastAsia="sk-SK"/>
              </w:rPr>
            </w:pPr>
            <w:r w:rsidRPr="005F45F5">
              <w:rPr>
                <w:sz w:val="24"/>
                <w:szCs w:val="24"/>
                <w:lang w:eastAsia="sk-SK"/>
              </w:rPr>
              <w:t>V stĺpci (5):</w:t>
            </w:r>
          </w:p>
          <w:p w:rsidR="00162F39" w:rsidRPr="005F45F5" w:rsidRDefault="00162F39" w:rsidP="00344B44">
            <w:pPr>
              <w:autoSpaceDE/>
              <w:autoSpaceDN/>
            </w:pPr>
            <w:r w:rsidRPr="005F45F5">
              <w:t>Č – článok</w:t>
            </w:r>
          </w:p>
          <w:p w:rsidR="00162F39" w:rsidRPr="005F45F5" w:rsidRDefault="00162F39" w:rsidP="00344B44">
            <w:pPr>
              <w:autoSpaceDE/>
              <w:autoSpaceDN/>
            </w:pPr>
            <w:r w:rsidRPr="005F45F5">
              <w:t>§ – paragraf</w:t>
            </w:r>
          </w:p>
          <w:p w:rsidR="00162F39" w:rsidRPr="005F45F5" w:rsidRDefault="00162F39" w:rsidP="00344B44">
            <w:pPr>
              <w:autoSpaceDE/>
              <w:autoSpaceDN/>
            </w:pPr>
            <w:r w:rsidRPr="005F45F5">
              <w:t>O – odsek</w:t>
            </w:r>
          </w:p>
          <w:p w:rsidR="00162F39" w:rsidRPr="005F45F5" w:rsidRDefault="00162F39" w:rsidP="00344B44">
            <w:pPr>
              <w:autoSpaceDE/>
              <w:autoSpaceDN/>
            </w:pPr>
            <w:r w:rsidRPr="005F45F5">
              <w:t>V – veta</w:t>
            </w:r>
          </w:p>
          <w:p w:rsidR="00162F39" w:rsidRPr="005F45F5" w:rsidRDefault="00162F39" w:rsidP="00344B44">
            <w:pPr>
              <w:autoSpaceDE/>
              <w:autoSpaceDN/>
            </w:pPr>
            <w:r w:rsidRPr="005F45F5">
              <w:t>P – písmeno (číslo)</w:t>
            </w:r>
          </w:p>
        </w:tc>
        <w:tc>
          <w:tcPr>
            <w:tcW w:w="7200" w:type="dxa"/>
            <w:tcBorders>
              <w:top w:val="nil"/>
              <w:left w:val="nil"/>
              <w:bottom w:val="nil"/>
              <w:right w:val="nil"/>
            </w:tcBorders>
          </w:tcPr>
          <w:p w:rsidR="00162F39" w:rsidRPr="005F45F5" w:rsidRDefault="00162F39" w:rsidP="00344B44">
            <w:pPr>
              <w:pStyle w:val="Normlny0"/>
              <w:autoSpaceDE/>
              <w:autoSpaceDN/>
              <w:spacing w:after="60"/>
              <w:rPr>
                <w:sz w:val="24"/>
                <w:szCs w:val="24"/>
                <w:lang w:eastAsia="sk-SK"/>
              </w:rPr>
            </w:pPr>
            <w:r w:rsidRPr="005F45F5">
              <w:rPr>
                <w:sz w:val="24"/>
                <w:szCs w:val="24"/>
                <w:lang w:eastAsia="sk-SK"/>
              </w:rPr>
              <w:t>V stĺpci (7):</w:t>
            </w:r>
          </w:p>
          <w:p w:rsidR="00162F39" w:rsidRPr="005F45F5" w:rsidRDefault="00162F39" w:rsidP="00344B44">
            <w:pPr>
              <w:autoSpaceDE/>
              <w:autoSpaceDN/>
              <w:ind w:left="290" w:hanging="290"/>
            </w:pPr>
            <w:r w:rsidRPr="005F45F5">
              <w:t>Ú – úplná zhoda (ak bolo ustanovenie smernice prebraté v celom rozsahu, správne, v príslušnej forme, so zabezpečenou inštitucionálnou  infraštruktúrou, s príslušnými sankciami a vo vzájomnej súvislosti)</w:t>
            </w:r>
          </w:p>
          <w:p w:rsidR="00162F39" w:rsidRPr="005F45F5" w:rsidRDefault="00162F39" w:rsidP="00344B44">
            <w:pPr>
              <w:autoSpaceDE/>
              <w:autoSpaceDN/>
            </w:pPr>
            <w:r w:rsidRPr="005F45F5">
              <w:t>Č – čiastočná zhoda (ak minimálne jedna z podmienok úplnej zhody nie je splnená)</w:t>
            </w:r>
          </w:p>
          <w:p w:rsidR="00162F39" w:rsidRPr="005F45F5" w:rsidRDefault="00162F39" w:rsidP="00344B44">
            <w:pPr>
              <w:pStyle w:val="Zarkazkladnhotextu2"/>
              <w:rPr>
                <w:sz w:val="24"/>
                <w:szCs w:val="24"/>
              </w:rPr>
            </w:pPr>
            <w:r w:rsidRPr="005F45F5">
              <w:rPr>
                <w:sz w:val="24"/>
                <w:szCs w:val="24"/>
              </w:rPr>
              <w:t>Ž – žiadna zhoda (ak nebola dosiahnutá ani úplná ani čiast. zhoda alebo k prebratiu dôjde v budúcnosti)</w:t>
            </w:r>
          </w:p>
          <w:p w:rsidR="00162F39" w:rsidRPr="005F45F5" w:rsidRDefault="00162F39" w:rsidP="00344B44">
            <w:pPr>
              <w:autoSpaceDE/>
              <w:autoSpaceDN/>
              <w:ind w:left="290" w:hanging="290"/>
            </w:pPr>
            <w:r w:rsidRPr="005F45F5">
              <w:t>n.a. – neaplikovateľnosť (ak sa ustanovenie smernice netýka SR alebo nie je potrebné ho prebrať)</w:t>
            </w:r>
          </w:p>
        </w:tc>
      </w:tr>
    </w:tbl>
    <w:p w:rsidR="00162F39" w:rsidRPr="005F45F5" w:rsidRDefault="00162F39">
      <w:pPr>
        <w:pStyle w:val="Hlavika"/>
        <w:tabs>
          <w:tab w:val="clear" w:pos="4536"/>
          <w:tab w:val="clear" w:pos="9072"/>
        </w:tabs>
        <w:autoSpaceDE/>
        <w:autoSpaceDN/>
      </w:pPr>
    </w:p>
    <w:sectPr w:rsidR="00162F39" w:rsidRPr="005F45F5">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4E3" w:rsidRDefault="00AA54E3">
      <w:r>
        <w:separator/>
      </w:r>
    </w:p>
  </w:endnote>
  <w:endnote w:type="continuationSeparator" w:id="0">
    <w:p w:rsidR="00AA54E3" w:rsidRDefault="00AA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Arial"/>
    <w:panose1 w:val="00000000000000000000"/>
    <w:charset w:val="EE"/>
    <w:family w:val="swiss"/>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75F7D">
      <w:rPr>
        <w:rStyle w:val="slostrany"/>
        <w:noProof/>
      </w:rPr>
      <w:t>2</w:t>
    </w:r>
    <w:r>
      <w:rPr>
        <w:rStyle w:val="slostrany"/>
      </w:rPr>
      <w:fldChar w:fldCharType="end"/>
    </w:r>
  </w:p>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4E3" w:rsidRDefault="00AA54E3">
      <w:r>
        <w:separator/>
      </w:r>
    </w:p>
  </w:footnote>
  <w:footnote w:type="continuationSeparator" w:id="0">
    <w:p w:rsidR="00AA54E3" w:rsidRDefault="00AA5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4109A"/>
    <w:rsid w:val="00093769"/>
    <w:rsid w:val="000B09A0"/>
    <w:rsid w:val="000C2E53"/>
    <w:rsid w:val="000D7A9F"/>
    <w:rsid w:val="000F63AB"/>
    <w:rsid w:val="00115100"/>
    <w:rsid w:val="00115476"/>
    <w:rsid w:val="00127033"/>
    <w:rsid w:val="00137021"/>
    <w:rsid w:val="00153B33"/>
    <w:rsid w:val="00162F39"/>
    <w:rsid w:val="0017797B"/>
    <w:rsid w:val="002153F7"/>
    <w:rsid w:val="00217BF4"/>
    <w:rsid w:val="002578E5"/>
    <w:rsid w:val="00266290"/>
    <w:rsid w:val="00270E65"/>
    <w:rsid w:val="002A67E5"/>
    <w:rsid w:val="002E1D16"/>
    <w:rsid w:val="003310D8"/>
    <w:rsid w:val="00344B44"/>
    <w:rsid w:val="00346101"/>
    <w:rsid w:val="00391DC5"/>
    <w:rsid w:val="003E7B78"/>
    <w:rsid w:val="004219E0"/>
    <w:rsid w:val="00424270"/>
    <w:rsid w:val="00432DD4"/>
    <w:rsid w:val="00440A2A"/>
    <w:rsid w:val="00452F4A"/>
    <w:rsid w:val="004577EC"/>
    <w:rsid w:val="00494CFC"/>
    <w:rsid w:val="004E296F"/>
    <w:rsid w:val="00510804"/>
    <w:rsid w:val="005170A9"/>
    <w:rsid w:val="00571FA8"/>
    <w:rsid w:val="005947B8"/>
    <w:rsid w:val="005C01C7"/>
    <w:rsid w:val="005E0477"/>
    <w:rsid w:val="005E147F"/>
    <w:rsid w:val="005F45F5"/>
    <w:rsid w:val="00601F13"/>
    <w:rsid w:val="00604D79"/>
    <w:rsid w:val="00637925"/>
    <w:rsid w:val="0064397E"/>
    <w:rsid w:val="00656B18"/>
    <w:rsid w:val="00683A6B"/>
    <w:rsid w:val="0069651A"/>
    <w:rsid w:val="006E689D"/>
    <w:rsid w:val="006F7DA3"/>
    <w:rsid w:val="007318B6"/>
    <w:rsid w:val="0078287E"/>
    <w:rsid w:val="007D58CE"/>
    <w:rsid w:val="007E1C06"/>
    <w:rsid w:val="00822408"/>
    <w:rsid w:val="0083433A"/>
    <w:rsid w:val="00840239"/>
    <w:rsid w:val="00851837"/>
    <w:rsid w:val="00861E2E"/>
    <w:rsid w:val="008A0B4B"/>
    <w:rsid w:val="008A5161"/>
    <w:rsid w:val="008C54C3"/>
    <w:rsid w:val="0091636B"/>
    <w:rsid w:val="009612CE"/>
    <w:rsid w:val="009719C2"/>
    <w:rsid w:val="00975F7D"/>
    <w:rsid w:val="009826E3"/>
    <w:rsid w:val="009842F4"/>
    <w:rsid w:val="009C4FD5"/>
    <w:rsid w:val="009C5E2D"/>
    <w:rsid w:val="009D28B5"/>
    <w:rsid w:val="00A02F9A"/>
    <w:rsid w:val="00A273BC"/>
    <w:rsid w:val="00A47BED"/>
    <w:rsid w:val="00A9063F"/>
    <w:rsid w:val="00A91B17"/>
    <w:rsid w:val="00AA54E3"/>
    <w:rsid w:val="00AA55DA"/>
    <w:rsid w:val="00AB7D27"/>
    <w:rsid w:val="00AE56EE"/>
    <w:rsid w:val="00B64B09"/>
    <w:rsid w:val="00C139A5"/>
    <w:rsid w:val="00C21CEF"/>
    <w:rsid w:val="00C34EF5"/>
    <w:rsid w:val="00C46781"/>
    <w:rsid w:val="00C56F65"/>
    <w:rsid w:val="00CB2E5D"/>
    <w:rsid w:val="00D205AC"/>
    <w:rsid w:val="00D22A7B"/>
    <w:rsid w:val="00D24703"/>
    <w:rsid w:val="00D33B5F"/>
    <w:rsid w:val="00D3404B"/>
    <w:rsid w:val="00D83E5B"/>
    <w:rsid w:val="00D84DE2"/>
    <w:rsid w:val="00D86F05"/>
    <w:rsid w:val="00DA0F6C"/>
    <w:rsid w:val="00DC0F95"/>
    <w:rsid w:val="00DE0F85"/>
    <w:rsid w:val="00E030B3"/>
    <w:rsid w:val="00ED5087"/>
    <w:rsid w:val="00EE3465"/>
    <w:rsid w:val="00EE7DD6"/>
    <w:rsid w:val="00F047A8"/>
    <w:rsid w:val="00F4080C"/>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355B1B-AD8F-4D62-958F-99298D18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paragraph" w:customStyle="1" w:styleId="Normlny1">
    <w:name w:val="Normálny1"/>
    <w:basedOn w:val="Normlny"/>
    <w:rsid w:val="006F7DA3"/>
    <w:pPr>
      <w:autoSpaceDE/>
      <w:autoSpaceDN/>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7985">
      <w:bodyDiv w:val="1"/>
      <w:marLeft w:val="0"/>
      <w:marRight w:val="0"/>
      <w:marTop w:val="0"/>
      <w:marBottom w:val="0"/>
      <w:divBdr>
        <w:top w:val="none" w:sz="0" w:space="0" w:color="auto"/>
        <w:left w:val="none" w:sz="0" w:space="0" w:color="auto"/>
        <w:bottom w:val="none" w:sz="0" w:space="0" w:color="auto"/>
        <w:right w:val="none" w:sz="0" w:space="0" w:color="auto"/>
      </w:divBdr>
      <w:divsChild>
        <w:div w:id="1590768434">
          <w:marLeft w:val="0"/>
          <w:marRight w:val="0"/>
          <w:marTop w:val="100"/>
          <w:marBottom w:val="100"/>
          <w:divBdr>
            <w:top w:val="none" w:sz="0" w:space="0" w:color="auto"/>
            <w:left w:val="none" w:sz="0" w:space="0" w:color="auto"/>
            <w:bottom w:val="none" w:sz="0" w:space="0" w:color="auto"/>
            <w:right w:val="none" w:sz="0" w:space="0" w:color="auto"/>
          </w:divBdr>
          <w:divsChild>
            <w:div w:id="826213685">
              <w:marLeft w:val="0"/>
              <w:marRight w:val="0"/>
              <w:marTop w:val="225"/>
              <w:marBottom w:val="750"/>
              <w:divBdr>
                <w:top w:val="none" w:sz="0" w:space="0" w:color="auto"/>
                <w:left w:val="none" w:sz="0" w:space="0" w:color="auto"/>
                <w:bottom w:val="none" w:sz="0" w:space="0" w:color="auto"/>
                <w:right w:val="none" w:sz="0" w:space="0" w:color="auto"/>
              </w:divBdr>
              <w:divsChild>
                <w:div w:id="1084912122">
                  <w:marLeft w:val="0"/>
                  <w:marRight w:val="0"/>
                  <w:marTop w:val="0"/>
                  <w:marBottom w:val="0"/>
                  <w:divBdr>
                    <w:top w:val="none" w:sz="0" w:space="0" w:color="auto"/>
                    <w:left w:val="none" w:sz="0" w:space="0" w:color="auto"/>
                    <w:bottom w:val="none" w:sz="0" w:space="0" w:color="auto"/>
                    <w:right w:val="none" w:sz="0" w:space="0" w:color="auto"/>
                  </w:divBdr>
                  <w:divsChild>
                    <w:div w:id="1126385424">
                      <w:marLeft w:val="0"/>
                      <w:marRight w:val="0"/>
                      <w:marTop w:val="0"/>
                      <w:marBottom w:val="0"/>
                      <w:divBdr>
                        <w:top w:val="none" w:sz="0" w:space="0" w:color="auto"/>
                        <w:left w:val="none" w:sz="0" w:space="0" w:color="auto"/>
                        <w:bottom w:val="none" w:sz="0" w:space="0" w:color="auto"/>
                        <w:right w:val="none" w:sz="0" w:space="0" w:color="auto"/>
                      </w:divBdr>
                      <w:divsChild>
                        <w:div w:id="391076645">
                          <w:marLeft w:val="0"/>
                          <w:marRight w:val="0"/>
                          <w:marTop w:val="0"/>
                          <w:marBottom w:val="0"/>
                          <w:divBdr>
                            <w:top w:val="none" w:sz="0" w:space="0" w:color="auto"/>
                            <w:left w:val="none" w:sz="0" w:space="0" w:color="auto"/>
                            <w:bottom w:val="none" w:sz="0" w:space="0" w:color="auto"/>
                            <w:right w:val="none" w:sz="0" w:space="0" w:color="auto"/>
                          </w:divBdr>
                          <w:divsChild>
                            <w:div w:id="1095053930">
                              <w:marLeft w:val="0"/>
                              <w:marRight w:val="0"/>
                              <w:marTop w:val="0"/>
                              <w:marBottom w:val="0"/>
                              <w:divBdr>
                                <w:top w:val="none" w:sz="0" w:space="0" w:color="auto"/>
                                <w:left w:val="none" w:sz="0" w:space="0" w:color="auto"/>
                                <w:bottom w:val="none" w:sz="0" w:space="0" w:color="auto"/>
                                <w:right w:val="none" w:sz="0" w:space="0" w:color="auto"/>
                              </w:divBdr>
                              <w:divsChild>
                                <w:div w:id="1251084220">
                                  <w:marLeft w:val="0"/>
                                  <w:marRight w:val="0"/>
                                  <w:marTop w:val="0"/>
                                  <w:marBottom w:val="0"/>
                                  <w:divBdr>
                                    <w:top w:val="none" w:sz="0" w:space="0" w:color="auto"/>
                                    <w:left w:val="none" w:sz="0" w:space="0" w:color="auto"/>
                                    <w:bottom w:val="none" w:sz="0" w:space="0" w:color="auto"/>
                                    <w:right w:val="none" w:sz="0" w:space="0" w:color="auto"/>
                                  </w:divBdr>
                                  <w:divsChild>
                                    <w:div w:id="2036535292">
                                      <w:marLeft w:val="0"/>
                                      <w:marRight w:val="0"/>
                                      <w:marTop w:val="0"/>
                                      <w:marBottom w:val="0"/>
                                      <w:divBdr>
                                        <w:top w:val="none" w:sz="0" w:space="0" w:color="auto"/>
                                        <w:left w:val="none" w:sz="0" w:space="0" w:color="auto"/>
                                        <w:bottom w:val="none" w:sz="0" w:space="0" w:color="auto"/>
                                        <w:right w:val="none" w:sz="0" w:space="0" w:color="auto"/>
                                      </w:divBdr>
                                      <w:divsChild>
                                        <w:div w:id="1651254261">
                                          <w:marLeft w:val="0"/>
                                          <w:marRight w:val="0"/>
                                          <w:marTop w:val="0"/>
                                          <w:marBottom w:val="0"/>
                                          <w:divBdr>
                                            <w:top w:val="none" w:sz="0" w:space="0" w:color="auto"/>
                                            <w:left w:val="none" w:sz="0" w:space="0" w:color="auto"/>
                                            <w:bottom w:val="none" w:sz="0" w:space="0" w:color="auto"/>
                                            <w:right w:val="none" w:sz="0" w:space="0" w:color="auto"/>
                                          </w:divBdr>
                                          <w:divsChild>
                                            <w:div w:id="568619549">
                                              <w:marLeft w:val="0"/>
                                              <w:marRight w:val="0"/>
                                              <w:marTop w:val="0"/>
                                              <w:marBottom w:val="0"/>
                                              <w:divBdr>
                                                <w:top w:val="none" w:sz="0" w:space="0" w:color="auto"/>
                                                <w:left w:val="none" w:sz="0" w:space="0" w:color="auto"/>
                                                <w:bottom w:val="none" w:sz="0" w:space="0" w:color="auto"/>
                                                <w:right w:val="none" w:sz="0" w:space="0" w:color="auto"/>
                                              </w:divBdr>
                                              <w:divsChild>
                                                <w:div w:id="448470849">
                                                  <w:marLeft w:val="0"/>
                                                  <w:marRight w:val="0"/>
                                                  <w:marTop w:val="0"/>
                                                  <w:marBottom w:val="0"/>
                                                  <w:divBdr>
                                                    <w:top w:val="none" w:sz="0" w:space="0" w:color="auto"/>
                                                    <w:left w:val="none" w:sz="0" w:space="0" w:color="auto"/>
                                                    <w:bottom w:val="none" w:sz="0" w:space="0" w:color="auto"/>
                                                    <w:right w:val="none" w:sz="0" w:space="0" w:color="auto"/>
                                                  </w:divBdr>
                                                  <w:divsChild>
                                                    <w:div w:id="189226825">
                                                      <w:marLeft w:val="0"/>
                                                      <w:marRight w:val="0"/>
                                                      <w:marTop w:val="0"/>
                                                      <w:marBottom w:val="0"/>
                                                      <w:divBdr>
                                                        <w:top w:val="none" w:sz="0" w:space="0" w:color="auto"/>
                                                        <w:left w:val="none" w:sz="0" w:space="0" w:color="auto"/>
                                                        <w:bottom w:val="none" w:sz="0" w:space="0" w:color="auto"/>
                                                        <w:right w:val="none" w:sz="0" w:space="0" w:color="auto"/>
                                                      </w:divBdr>
                                                      <w:divsChild>
                                                        <w:div w:id="1031498583">
                                                          <w:marLeft w:val="0"/>
                                                          <w:marRight w:val="0"/>
                                                          <w:marTop w:val="0"/>
                                                          <w:marBottom w:val="0"/>
                                                          <w:divBdr>
                                                            <w:top w:val="none" w:sz="0" w:space="0" w:color="auto"/>
                                                            <w:left w:val="none" w:sz="0" w:space="0" w:color="auto"/>
                                                            <w:bottom w:val="none" w:sz="0" w:space="0" w:color="auto"/>
                                                            <w:right w:val="none" w:sz="0" w:space="0" w:color="auto"/>
                                                          </w:divBdr>
                                                          <w:divsChild>
                                                            <w:div w:id="78332897">
                                                              <w:marLeft w:val="0"/>
                                                              <w:marRight w:val="0"/>
                                                              <w:marTop w:val="0"/>
                                                              <w:marBottom w:val="0"/>
                                                              <w:divBdr>
                                                                <w:top w:val="none" w:sz="0" w:space="0" w:color="auto"/>
                                                                <w:left w:val="none" w:sz="0" w:space="0" w:color="auto"/>
                                                                <w:bottom w:val="none" w:sz="0" w:space="0" w:color="auto"/>
                                                                <w:right w:val="none" w:sz="0" w:space="0" w:color="auto"/>
                                                              </w:divBdr>
                                                              <w:divsChild>
                                                                <w:div w:id="1477720626">
                                                                  <w:marLeft w:val="0"/>
                                                                  <w:marRight w:val="0"/>
                                                                  <w:marTop w:val="0"/>
                                                                  <w:marBottom w:val="0"/>
                                                                  <w:divBdr>
                                                                    <w:top w:val="none" w:sz="0" w:space="0" w:color="auto"/>
                                                                    <w:left w:val="none" w:sz="0" w:space="0" w:color="auto"/>
                                                                    <w:bottom w:val="none" w:sz="0" w:space="0" w:color="auto"/>
                                                                    <w:right w:val="none" w:sz="0" w:space="0" w:color="auto"/>
                                                                  </w:divBdr>
                                                                </w:div>
                                                                <w:div w:id="636028577">
                                                                  <w:marLeft w:val="0"/>
                                                                  <w:marRight w:val="0"/>
                                                                  <w:marTop w:val="0"/>
                                                                  <w:marBottom w:val="0"/>
                                                                  <w:divBdr>
                                                                    <w:top w:val="none" w:sz="0" w:space="0" w:color="auto"/>
                                                                    <w:left w:val="none" w:sz="0" w:space="0" w:color="auto"/>
                                                                    <w:bottom w:val="none" w:sz="0" w:space="0" w:color="auto"/>
                                                                    <w:right w:val="none" w:sz="0" w:space="0" w:color="auto"/>
                                                                  </w:divBdr>
                                                                </w:div>
                                                                <w:div w:id="1363902429">
                                                                  <w:marLeft w:val="0"/>
                                                                  <w:marRight w:val="0"/>
                                                                  <w:marTop w:val="0"/>
                                                                  <w:marBottom w:val="0"/>
                                                                  <w:divBdr>
                                                                    <w:top w:val="none" w:sz="0" w:space="0" w:color="auto"/>
                                                                    <w:left w:val="none" w:sz="0" w:space="0" w:color="auto"/>
                                                                    <w:bottom w:val="none" w:sz="0" w:space="0" w:color="auto"/>
                                                                    <w:right w:val="none" w:sz="0" w:space="0" w:color="auto"/>
                                                                  </w:divBdr>
                                                                  <w:divsChild>
                                                                    <w:div w:id="1559970962">
                                                                      <w:marLeft w:val="0"/>
                                                                      <w:marRight w:val="0"/>
                                                                      <w:marTop w:val="0"/>
                                                                      <w:marBottom w:val="0"/>
                                                                      <w:divBdr>
                                                                        <w:top w:val="none" w:sz="0" w:space="0" w:color="auto"/>
                                                                        <w:left w:val="none" w:sz="0" w:space="0" w:color="auto"/>
                                                                        <w:bottom w:val="none" w:sz="0" w:space="0" w:color="auto"/>
                                                                        <w:right w:val="none" w:sz="0" w:space="0" w:color="auto"/>
                                                                      </w:divBdr>
                                                                    </w:div>
                                                                    <w:div w:id="715395082">
                                                                      <w:marLeft w:val="0"/>
                                                                      <w:marRight w:val="0"/>
                                                                      <w:marTop w:val="0"/>
                                                                      <w:marBottom w:val="0"/>
                                                                      <w:divBdr>
                                                                        <w:top w:val="none" w:sz="0" w:space="0" w:color="auto"/>
                                                                        <w:left w:val="none" w:sz="0" w:space="0" w:color="auto"/>
                                                                        <w:bottom w:val="none" w:sz="0" w:space="0" w:color="auto"/>
                                                                        <w:right w:val="none" w:sz="0" w:space="0" w:color="auto"/>
                                                                      </w:divBdr>
                                                                    </w:div>
                                                                  </w:divsChild>
                                                                </w:div>
                                                                <w:div w:id="314530712">
                                                                  <w:marLeft w:val="0"/>
                                                                  <w:marRight w:val="0"/>
                                                                  <w:marTop w:val="0"/>
                                                                  <w:marBottom w:val="0"/>
                                                                  <w:divBdr>
                                                                    <w:top w:val="none" w:sz="0" w:space="0" w:color="auto"/>
                                                                    <w:left w:val="none" w:sz="0" w:space="0" w:color="auto"/>
                                                                    <w:bottom w:val="none" w:sz="0" w:space="0" w:color="auto"/>
                                                                    <w:right w:val="none" w:sz="0" w:space="0" w:color="auto"/>
                                                                  </w:divBdr>
                                                                  <w:divsChild>
                                                                    <w:div w:id="1595742395">
                                                                      <w:marLeft w:val="0"/>
                                                                      <w:marRight w:val="0"/>
                                                                      <w:marTop w:val="0"/>
                                                                      <w:marBottom w:val="0"/>
                                                                      <w:divBdr>
                                                                        <w:top w:val="none" w:sz="0" w:space="0" w:color="auto"/>
                                                                        <w:left w:val="none" w:sz="0" w:space="0" w:color="auto"/>
                                                                        <w:bottom w:val="none" w:sz="0" w:space="0" w:color="auto"/>
                                                                        <w:right w:val="none" w:sz="0" w:space="0" w:color="auto"/>
                                                                      </w:divBdr>
                                                                    </w:div>
                                                                    <w:div w:id="13442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4586969">
      <w:bodyDiv w:val="1"/>
      <w:marLeft w:val="0"/>
      <w:marRight w:val="0"/>
      <w:marTop w:val="0"/>
      <w:marBottom w:val="0"/>
      <w:divBdr>
        <w:top w:val="none" w:sz="0" w:space="0" w:color="auto"/>
        <w:left w:val="none" w:sz="0" w:space="0" w:color="auto"/>
        <w:bottom w:val="none" w:sz="0" w:space="0" w:color="auto"/>
        <w:right w:val="none" w:sz="0" w:space="0" w:color="auto"/>
      </w:divBdr>
      <w:divsChild>
        <w:div w:id="1795826835">
          <w:marLeft w:val="0"/>
          <w:marRight w:val="0"/>
          <w:marTop w:val="100"/>
          <w:marBottom w:val="100"/>
          <w:divBdr>
            <w:top w:val="none" w:sz="0" w:space="0" w:color="auto"/>
            <w:left w:val="none" w:sz="0" w:space="0" w:color="auto"/>
            <w:bottom w:val="none" w:sz="0" w:space="0" w:color="auto"/>
            <w:right w:val="none" w:sz="0" w:space="0" w:color="auto"/>
          </w:divBdr>
          <w:divsChild>
            <w:div w:id="964192496">
              <w:marLeft w:val="0"/>
              <w:marRight w:val="0"/>
              <w:marTop w:val="225"/>
              <w:marBottom w:val="750"/>
              <w:divBdr>
                <w:top w:val="none" w:sz="0" w:space="0" w:color="auto"/>
                <w:left w:val="none" w:sz="0" w:space="0" w:color="auto"/>
                <w:bottom w:val="none" w:sz="0" w:space="0" w:color="auto"/>
                <w:right w:val="none" w:sz="0" w:space="0" w:color="auto"/>
              </w:divBdr>
              <w:divsChild>
                <w:div w:id="1806658839">
                  <w:marLeft w:val="0"/>
                  <w:marRight w:val="0"/>
                  <w:marTop w:val="0"/>
                  <w:marBottom w:val="0"/>
                  <w:divBdr>
                    <w:top w:val="none" w:sz="0" w:space="0" w:color="auto"/>
                    <w:left w:val="none" w:sz="0" w:space="0" w:color="auto"/>
                    <w:bottom w:val="none" w:sz="0" w:space="0" w:color="auto"/>
                    <w:right w:val="none" w:sz="0" w:space="0" w:color="auto"/>
                  </w:divBdr>
                  <w:divsChild>
                    <w:div w:id="199707826">
                      <w:marLeft w:val="0"/>
                      <w:marRight w:val="0"/>
                      <w:marTop w:val="0"/>
                      <w:marBottom w:val="0"/>
                      <w:divBdr>
                        <w:top w:val="none" w:sz="0" w:space="0" w:color="auto"/>
                        <w:left w:val="none" w:sz="0" w:space="0" w:color="auto"/>
                        <w:bottom w:val="none" w:sz="0" w:space="0" w:color="auto"/>
                        <w:right w:val="none" w:sz="0" w:space="0" w:color="auto"/>
                      </w:divBdr>
                      <w:divsChild>
                        <w:div w:id="1397632187">
                          <w:marLeft w:val="0"/>
                          <w:marRight w:val="0"/>
                          <w:marTop w:val="0"/>
                          <w:marBottom w:val="0"/>
                          <w:divBdr>
                            <w:top w:val="none" w:sz="0" w:space="0" w:color="auto"/>
                            <w:left w:val="none" w:sz="0" w:space="0" w:color="auto"/>
                            <w:bottom w:val="none" w:sz="0" w:space="0" w:color="auto"/>
                            <w:right w:val="none" w:sz="0" w:space="0" w:color="auto"/>
                          </w:divBdr>
                          <w:divsChild>
                            <w:div w:id="366413656">
                              <w:marLeft w:val="0"/>
                              <w:marRight w:val="0"/>
                              <w:marTop w:val="0"/>
                              <w:marBottom w:val="0"/>
                              <w:divBdr>
                                <w:top w:val="none" w:sz="0" w:space="0" w:color="auto"/>
                                <w:left w:val="none" w:sz="0" w:space="0" w:color="auto"/>
                                <w:bottom w:val="none" w:sz="0" w:space="0" w:color="auto"/>
                                <w:right w:val="none" w:sz="0" w:space="0" w:color="auto"/>
                              </w:divBdr>
                              <w:divsChild>
                                <w:div w:id="407046612">
                                  <w:marLeft w:val="0"/>
                                  <w:marRight w:val="0"/>
                                  <w:marTop w:val="0"/>
                                  <w:marBottom w:val="0"/>
                                  <w:divBdr>
                                    <w:top w:val="none" w:sz="0" w:space="0" w:color="auto"/>
                                    <w:left w:val="none" w:sz="0" w:space="0" w:color="auto"/>
                                    <w:bottom w:val="none" w:sz="0" w:space="0" w:color="auto"/>
                                    <w:right w:val="none" w:sz="0" w:space="0" w:color="auto"/>
                                  </w:divBdr>
                                  <w:divsChild>
                                    <w:div w:id="161824256">
                                      <w:marLeft w:val="0"/>
                                      <w:marRight w:val="0"/>
                                      <w:marTop w:val="0"/>
                                      <w:marBottom w:val="0"/>
                                      <w:divBdr>
                                        <w:top w:val="none" w:sz="0" w:space="0" w:color="auto"/>
                                        <w:left w:val="none" w:sz="0" w:space="0" w:color="auto"/>
                                        <w:bottom w:val="none" w:sz="0" w:space="0" w:color="auto"/>
                                        <w:right w:val="none" w:sz="0" w:space="0" w:color="auto"/>
                                      </w:divBdr>
                                      <w:divsChild>
                                        <w:div w:id="647826716">
                                          <w:marLeft w:val="0"/>
                                          <w:marRight w:val="0"/>
                                          <w:marTop w:val="0"/>
                                          <w:marBottom w:val="0"/>
                                          <w:divBdr>
                                            <w:top w:val="none" w:sz="0" w:space="0" w:color="auto"/>
                                            <w:left w:val="none" w:sz="0" w:space="0" w:color="auto"/>
                                            <w:bottom w:val="none" w:sz="0" w:space="0" w:color="auto"/>
                                            <w:right w:val="none" w:sz="0" w:space="0" w:color="auto"/>
                                          </w:divBdr>
                                          <w:divsChild>
                                            <w:div w:id="964237481">
                                              <w:marLeft w:val="0"/>
                                              <w:marRight w:val="0"/>
                                              <w:marTop w:val="0"/>
                                              <w:marBottom w:val="0"/>
                                              <w:divBdr>
                                                <w:top w:val="none" w:sz="0" w:space="0" w:color="auto"/>
                                                <w:left w:val="none" w:sz="0" w:space="0" w:color="auto"/>
                                                <w:bottom w:val="none" w:sz="0" w:space="0" w:color="auto"/>
                                                <w:right w:val="none" w:sz="0" w:space="0" w:color="auto"/>
                                              </w:divBdr>
                                              <w:divsChild>
                                                <w:div w:id="672490695">
                                                  <w:marLeft w:val="0"/>
                                                  <w:marRight w:val="0"/>
                                                  <w:marTop w:val="0"/>
                                                  <w:marBottom w:val="0"/>
                                                  <w:divBdr>
                                                    <w:top w:val="none" w:sz="0" w:space="0" w:color="auto"/>
                                                    <w:left w:val="none" w:sz="0" w:space="0" w:color="auto"/>
                                                    <w:bottom w:val="none" w:sz="0" w:space="0" w:color="auto"/>
                                                    <w:right w:val="none" w:sz="0" w:space="0" w:color="auto"/>
                                                  </w:divBdr>
                                                  <w:divsChild>
                                                    <w:div w:id="2041078492">
                                                      <w:marLeft w:val="0"/>
                                                      <w:marRight w:val="0"/>
                                                      <w:marTop w:val="0"/>
                                                      <w:marBottom w:val="0"/>
                                                      <w:divBdr>
                                                        <w:top w:val="none" w:sz="0" w:space="0" w:color="auto"/>
                                                        <w:left w:val="none" w:sz="0" w:space="0" w:color="auto"/>
                                                        <w:bottom w:val="none" w:sz="0" w:space="0" w:color="auto"/>
                                                        <w:right w:val="none" w:sz="0" w:space="0" w:color="auto"/>
                                                      </w:divBdr>
                                                      <w:divsChild>
                                                        <w:div w:id="1008752596">
                                                          <w:marLeft w:val="0"/>
                                                          <w:marRight w:val="0"/>
                                                          <w:marTop w:val="0"/>
                                                          <w:marBottom w:val="0"/>
                                                          <w:divBdr>
                                                            <w:top w:val="none" w:sz="0" w:space="0" w:color="auto"/>
                                                            <w:left w:val="none" w:sz="0" w:space="0" w:color="auto"/>
                                                            <w:bottom w:val="none" w:sz="0" w:space="0" w:color="auto"/>
                                                            <w:right w:val="none" w:sz="0" w:space="0" w:color="auto"/>
                                                          </w:divBdr>
                                                          <w:divsChild>
                                                            <w:div w:id="1766533475">
                                                              <w:marLeft w:val="0"/>
                                                              <w:marRight w:val="0"/>
                                                              <w:marTop w:val="0"/>
                                                              <w:marBottom w:val="0"/>
                                                              <w:divBdr>
                                                                <w:top w:val="none" w:sz="0" w:space="0" w:color="auto"/>
                                                                <w:left w:val="none" w:sz="0" w:space="0" w:color="auto"/>
                                                                <w:bottom w:val="none" w:sz="0" w:space="0" w:color="auto"/>
                                                                <w:right w:val="none" w:sz="0" w:space="0" w:color="auto"/>
                                                              </w:divBdr>
                                                              <w:divsChild>
                                                                <w:div w:id="1987539703">
                                                                  <w:marLeft w:val="0"/>
                                                                  <w:marRight w:val="0"/>
                                                                  <w:marTop w:val="0"/>
                                                                  <w:marBottom w:val="0"/>
                                                                  <w:divBdr>
                                                                    <w:top w:val="none" w:sz="0" w:space="0" w:color="auto"/>
                                                                    <w:left w:val="none" w:sz="0" w:space="0" w:color="auto"/>
                                                                    <w:bottom w:val="none" w:sz="0" w:space="0" w:color="auto"/>
                                                                    <w:right w:val="none" w:sz="0" w:space="0" w:color="auto"/>
                                                                  </w:divBdr>
                                                                </w:div>
                                                                <w:div w:id="341513290">
                                                                  <w:marLeft w:val="0"/>
                                                                  <w:marRight w:val="0"/>
                                                                  <w:marTop w:val="0"/>
                                                                  <w:marBottom w:val="0"/>
                                                                  <w:divBdr>
                                                                    <w:top w:val="none" w:sz="0" w:space="0" w:color="auto"/>
                                                                    <w:left w:val="none" w:sz="0" w:space="0" w:color="auto"/>
                                                                    <w:bottom w:val="none" w:sz="0" w:space="0" w:color="auto"/>
                                                                    <w:right w:val="none" w:sz="0" w:space="0" w:color="auto"/>
                                                                  </w:divBdr>
                                                                  <w:divsChild>
                                                                    <w:div w:id="250508301">
                                                                      <w:marLeft w:val="0"/>
                                                                      <w:marRight w:val="0"/>
                                                                      <w:marTop w:val="0"/>
                                                                      <w:marBottom w:val="0"/>
                                                                      <w:divBdr>
                                                                        <w:top w:val="none" w:sz="0" w:space="0" w:color="auto"/>
                                                                        <w:left w:val="none" w:sz="0" w:space="0" w:color="auto"/>
                                                                        <w:bottom w:val="none" w:sz="0" w:space="0" w:color="auto"/>
                                                                        <w:right w:val="none" w:sz="0" w:space="0" w:color="auto"/>
                                                                      </w:divBdr>
                                                                    </w:div>
                                                                    <w:div w:id="13450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2299231">
      <w:bodyDiv w:val="1"/>
      <w:marLeft w:val="390"/>
      <w:marRight w:val="390"/>
      <w:marTop w:val="0"/>
      <w:marBottom w:val="0"/>
      <w:divBdr>
        <w:top w:val="none" w:sz="0" w:space="0" w:color="auto"/>
        <w:left w:val="none" w:sz="0" w:space="0" w:color="auto"/>
        <w:bottom w:val="none" w:sz="0" w:space="0" w:color="auto"/>
        <w:right w:val="none" w:sz="0" w:space="0" w:color="auto"/>
      </w:divBdr>
      <w:divsChild>
        <w:div w:id="1904441103">
          <w:marLeft w:val="0"/>
          <w:marRight w:val="0"/>
          <w:marTop w:val="0"/>
          <w:marBottom w:val="0"/>
          <w:divBdr>
            <w:top w:val="none" w:sz="0" w:space="0" w:color="auto"/>
            <w:left w:val="none" w:sz="0" w:space="0" w:color="auto"/>
            <w:bottom w:val="none" w:sz="0" w:space="0" w:color="auto"/>
            <w:right w:val="none" w:sz="0" w:space="0" w:color="auto"/>
          </w:divBdr>
        </w:div>
      </w:divsChild>
    </w:div>
    <w:div w:id="591402366">
      <w:bodyDiv w:val="1"/>
      <w:marLeft w:val="390"/>
      <w:marRight w:val="390"/>
      <w:marTop w:val="0"/>
      <w:marBottom w:val="0"/>
      <w:divBdr>
        <w:top w:val="none" w:sz="0" w:space="0" w:color="auto"/>
        <w:left w:val="none" w:sz="0" w:space="0" w:color="auto"/>
        <w:bottom w:val="none" w:sz="0" w:space="0" w:color="auto"/>
        <w:right w:val="none" w:sz="0" w:space="0" w:color="auto"/>
      </w:divBdr>
    </w:div>
    <w:div w:id="902374741">
      <w:bodyDiv w:val="1"/>
      <w:marLeft w:val="390"/>
      <w:marRight w:val="390"/>
      <w:marTop w:val="0"/>
      <w:marBottom w:val="0"/>
      <w:divBdr>
        <w:top w:val="none" w:sz="0" w:space="0" w:color="auto"/>
        <w:left w:val="none" w:sz="0" w:space="0" w:color="auto"/>
        <w:bottom w:val="none" w:sz="0" w:space="0" w:color="auto"/>
        <w:right w:val="none" w:sz="0" w:space="0" w:color="auto"/>
      </w:divBdr>
      <w:divsChild>
        <w:div w:id="481970309">
          <w:marLeft w:val="0"/>
          <w:marRight w:val="0"/>
          <w:marTop w:val="0"/>
          <w:marBottom w:val="0"/>
          <w:divBdr>
            <w:top w:val="none" w:sz="0" w:space="0" w:color="auto"/>
            <w:left w:val="none" w:sz="0" w:space="0" w:color="auto"/>
            <w:bottom w:val="none" w:sz="0" w:space="0" w:color="auto"/>
            <w:right w:val="none" w:sz="0" w:space="0" w:color="auto"/>
          </w:divBdr>
        </w:div>
      </w:divsChild>
    </w:div>
    <w:div w:id="977995676">
      <w:bodyDiv w:val="1"/>
      <w:marLeft w:val="390"/>
      <w:marRight w:val="390"/>
      <w:marTop w:val="0"/>
      <w:marBottom w:val="0"/>
      <w:divBdr>
        <w:top w:val="none" w:sz="0" w:space="0" w:color="auto"/>
        <w:left w:val="none" w:sz="0" w:space="0" w:color="auto"/>
        <w:bottom w:val="none" w:sz="0" w:space="0" w:color="auto"/>
        <w:right w:val="none" w:sz="0" w:space="0" w:color="auto"/>
      </w:divBdr>
      <w:divsChild>
        <w:div w:id="1753818103">
          <w:marLeft w:val="0"/>
          <w:marRight w:val="0"/>
          <w:marTop w:val="0"/>
          <w:marBottom w:val="0"/>
          <w:divBdr>
            <w:top w:val="none" w:sz="0" w:space="0" w:color="auto"/>
            <w:left w:val="none" w:sz="0" w:space="0" w:color="auto"/>
            <w:bottom w:val="none" w:sz="0" w:space="0" w:color="auto"/>
            <w:right w:val="none" w:sz="0" w:space="0" w:color="auto"/>
          </w:divBdr>
        </w:div>
      </w:divsChild>
    </w:div>
    <w:div w:id="1021512648">
      <w:bodyDiv w:val="1"/>
      <w:marLeft w:val="390"/>
      <w:marRight w:val="390"/>
      <w:marTop w:val="0"/>
      <w:marBottom w:val="0"/>
      <w:divBdr>
        <w:top w:val="none" w:sz="0" w:space="0" w:color="auto"/>
        <w:left w:val="none" w:sz="0" w:space="0" w:color="auto"/>
        <w:bottom w:val="none" w:sz="0" w:space="0" w:color="auto"/>
        <w:right w:val="none" w:sz="0" w:space="0" w:color="auto"/>
      </w:divBdr>
      <w:divsChild>
        <w:div w:id="1635941012">
          <w:marLeft w:val="0"/>
          <w:marRight w:val="0"/>
          <w:marTop w:val="0"/>
          <w:marBottom w:val="0"/>
          <w:divBdr>
            <w:top w:val="none" w:sz="0" w:space="0" w:color="auto"/>
            <w:left w:val="none" w:sz="0" w:space="0" w:color="auto"/>
            <w:bottom w:val="none" w:sz="0" w:space="0" w:color="auto"/>
            <w:right w:val="none" w:sz="0" w:space="0" w:color="auto"/>
          </w:divBdr>
        </w:div>
      </w:divsChild>
    </w:div>
    <w:div w:id="1168134292">
      <w:marLeft w:val="0"/>
      <w:marRight w:val="0"/>
      <w:marTop w:val="0"/>
      <w:marBottom w:val="0"/>
      <w:divBdr>
        <w:top w:val="none" w:sz="0" w:space="0" w:color="auto"/>
        <w:left w:val="none" w:sz="0" w:space="0" w:color="auto"/>
        <w:bottom w:val="none" w:sz="0" w:space="0" w:color="auto"/>
        <w:right w:val="none" w:sz="0" w:space="0" w:color="auto"/>
      </w:divBdr>
      <w:divsChild>
        <w:div w:id="1168134311">
          <w:marLeft w:val="0"/>
          <w:marRight w:val="0"/>
          <w:marTop w:val="0"/>
          <w:marBottom w:val="0"/>
          <w:divBdr>
            <w:top w:val="none" w:sz="0" w:space="0" w:color="auto"/>
            <w:left w:val="none" w:sz="0" w:space="0" w:color="auto"/>
            <w:bottom w:val="none" w:sz="0" w:space="0" w:color="auto"/>
            <w:right w:val="none" w:sz="0" w:space="0" w:color="auto"/>
          </w:divBdr>
          <w:divsChild>
            <w:div w:id="1168134308">
              <w:marLeft w:val="0"/>
              <w:marRight w:val="0"/>
              <w:marTop w:val="0"/>
              <w:marBottom w:val="0"/>
              <w:divBdr>
                <w:top w:val="none" w:sz="0" w:space="0" w:color="auto"/>
                <w:left w:val="none" w:sz="0" w:space="0" w:color="auto"/>
                <w:bottom w:val="none" w:sz="0" w:space="0" w:color="auto"/>
                <w:right w:val="none" w:sz="0" w:space="0" w:color="auto"/>
              </w:divBdr>
              <w:divsChild>
                <w:div w:id="1168134314">
                  <w:marLeft w:val="0"/>
                  <w:marRight w:val="0"/>
                  <w:marTop w:val="0"/>
                  <w:marBottom w:val="0"/>
                  <w:divBdr>
                    <w:top w:val="none" w:sz="0" w:space="0" w:color="auto"/>
                    <w:left w:val="none" w:sz="0" w:space="0" w:color="auto"/>
                    <w:bottom w:val="none" w:sz="0" w:space="0" w:color="auto"/>
                    <w:right w:val="none" w:sz="0" w:space="0" w:color="auto"/>
                  </w:divBdr>
                  <w:divsChild>
                    <w:div w:id="1168134294">
                      <w:marLeft w:val="1"/>
                      <w:marRight w:val="1"/>
                      <w:marTop w:val="0"/>
                      <w:marBottom w:val="0"/>
                      <w:divBdr>
                        <w:top w:val="none" w:sz="0" w:space="0" w:color="auto"/>
                        <w:left w:val="none" w:sz="0" w:space="0" w:color="auto"/>
                        <w:bottom w:val="none" w:sz="0" w:space="0" w:color="auto"/>
                        <w:right w:val="none" w:sz="0" w:space="0" w:color="auto"/>
                      </w:divBdr>
                      <w:divsChild>
                        <w:div w:id="1168134317">
                          <w:marLeft w:val="0"/>
                          <w:marRight w:val="0"/>
                          <w:marTop w:val="0"/>
                          <w:marBottom w:val="0"/>
                          <w:divBdr>
                            <w:top w:val="none" w:sz="0" w:space="0" w:color="auto"/>
                            <w:left w:val="none" w:sz="0" w:space="0" w:color="auto"/>
                            <w:bottom w:val="none" w:sz="0" w:space="0" w:color="auto"/>
                            <w:right w:val="none" w:sz="0" w:space="0" w:color="auto"/>
                          </w:divBdr>
                          <w:divsChild>
                            <w:div w:id="1168134296">
                              <w:marLeft w:val="0"/>
                              <w:marRight w:val="0"/>
                              <w:marTop w:val="0"/>
                              <w:marBottom w:val="360"/>
                              <w:divBdr>
                                <w:top w:val="none" w:sz="0" w:space="0" w:color="auto"/>
                                <w:left w:val="none" w:sz="0" w:space="0" w:color="auto"/>
                                <w:bottom w:val="none" w:sz="0" w:space="0" w:color="auto"/>
                                <w:right w:val="none" w:sz="0" w:space="0" w:color="auto"/>
                              </w:divBdr>
                              <w:divsChild>
                                <w:div w:id="1168134307">
                                  <w:marLeft w:val="0"/>
                                  <w:marRight w:val="0"/>
                                  <w:marTop w:val="0"/>
                                  <w:marBottom w:val="0"/>
                                  <w:divBdr>
                                    <w:top w:val="none" w:sz="0" w:space="0" w:color="auto"/>
                                    <w:left w:val="none" w:sz="0" w:space="0" w:color="auto"/>
                                    <w:bottom w:val="none" w:sz="0" w:space="0" w:color="auto"/>
                                    <w:right w:val="none" w:sz="0" w:space="0" w:color="auto"/>
                                  </w:divBdr>
                                  <w:divsChild>
                                    <w:div w:id="1168134290">
                                      <w:marLeft w:val="0"/>
                                      <w:marRight w:val="0"/>
                                      <w:marTop w:val="0"/>
                                      <w:marBottom w:val="0"/>
                                      <w:divBdr>
                                        <w:top w:val="none" w:sz="0" w:space="0" w:color="auto"/>
                                        <w:left w:val="none" w:sz="0" w:space="0" w:color="auto"/>
                                        <w:bottom w:val="none" w:sz="0" w:space="0" w:color="auto"/>
                                        <w:right w:val="none" w:sz="0" w:space="0" w:color="auto"/>
                                      </w:divBdr>
                                      <w:divsChild>
                                        <w:div w:id="1168134291">
                                          <w:marLeft w:val="0"/>
                                          <w:marRight w:val="0"/>
                                          <w:marTop w:val="0"/>
                                          <w:marBottom w:val="0"/>
                                          <w:divBdr>
                                            <w:top w:val="none" w:sz="0" w:space="0" w:color="auto"/>
                                            <w:left w:val="none" w:sz="0" w:space="0" w:color="auto"/>
                                            <w:bottom w:val="none" w:sz="0" w:space="0" w:color="auto"/>
                                            <w:right w:val="none" w:sz="0" w:space="0" w:color="auto"/>
                                          </w:divBdr>
                                          <w:divsChild>
                                            <w:div w:id="1168134310">
                                              <w:marLeft w:val="0"/>
                                              <w:marRight w:val="0"/>
                                              <w:marTop w:val="0"/>
                                              <w:marBottom w:val="0"/>
                                              <w:divBdr>
                                                <w:top w:val="none" w:sz="0" w:space="0" w:color="auto"/>
                                                <w:left w:val="none" w:sz="0" w:space="0" w:color="auto"/>
                                                <w:bottom w:val="none" w:sz="0" w:space="0" w:color="auto"/>
                                                <w:right w:val="none" w:sz="0" w:space="0" w:color="auto"/>
                                              </w:divBdr>
                                              <w:divsChild>
                                                <w:div w:id="11681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134297">
      <w:marLeft w:val="0"/>
      <w:marRight w:val="0"/>
      <w:marTop w:val="0"/>
      <w:marBottom w:val="0"/>
      <w:divBdr>
        <w:top w:val="none" w:sz="0" w:space="0" w:color="auto"/>
        <w:left w:val="none" w:sz="0" w:space="0" w:color="auto"/>
        <w:bottom w:val="none" w:sz="0" w:space="0" w:color="auto"/>
        <w:right w:val="none" w:sz="0" w:space="0" w:color="auto"/>
      </w:divBdr>
      <w:divsChild>
        <w:div w:id="1168134298">
          <w:marLeft w:val="480"/>
          <w:marRight w:val="0"/>
          <w:marTop w:val="0"/>
          <w:marBottom w:val="0"/>
          <w:divBdr>
            <w:top w:val="none" w:sz="0" w:space="0" w:color="auto"/>
            <w:left w:val="none" w:sz="0" w:space="0" w:color="auto"/>
            <w:bottom w:val="none" w:sz="0" w:space="0" w:color="auto"/>
            <w:right w:val="none" w:sz="0" w:space="0" w:color="auto"/>
          </w:divBdr>
        </w:div>
        <w:div w:id="1168134301">
          <w:marLeft w:val="480"/>
          <w:marRight w:val="0"/>
          <w:marTop w:val="0"/>
          <w:marBottom w:val="0"/>
          <w:divBdr>
            <w:top w:val="none" w:sz="0" w:space="0" w:color="auto"/>
            <w:left w:val="none" w:sz="0" w:space="0" w:color="auto"/>
            <w:bottom w:val="none" w:sz="0" w:space="0" w:color="auto"/>
            <w:right w:val="none" w:sz="0" w:space="0" w:color="auto"/>
          </w:divBdr>
        </w:div>
      </w:divsChild>
    </w:div>
    <w:div w:id="1168134302">
      <w:marLeft w:val="0"/>
      <w:marRight w:val="0"/>
      <w:marTop w:val="0"/>
      <w:marBottom w:val="0"/>
      <w:divBdr>
        <w:top w:val="none" w:sz="0" w:space="0" w:color="auto"/>
        <w:left w:val="none" w:sz="0" w:space="0" w:color="auto"/>
        <w:bottom w:val="none" w:sz="0" w:space="0" w:color="auto"/>
        <w:right w:val="none" w:sz="0" w:space="0" w:color="auto"/>
      </w:divBdr>
      <w:divsChild>
        <w:div w:id="1168134299">
          <w:marLeft w:val="480"/>
          <w:marRight w:val="0"/>
          <w:marTop w:val="0"/>
          <w:marBottom w:val="0"/>
          <w:divBdr>
            <w:top w:val="none" w:sz="0" w:space="0" w:color="auto"/>
            <w:left w:val="none" w:sz="0" w:space="0" w:color="auto"/>
            <w:bottom w:val="none" w:sz="0" w:space="0" w:color="auto"/>
            <w:right w:val="none" w:sz="0" w:space="0" w:color="auto"/>
          </w:divBdr>
        </w:div>
        <w:div w:id="1168134300">
          <w:marLeft w:val="480"/>
          <w:marRight w:val="0"/>
          <w:marTop w:val="0"/>
          <w:marBottom w:val="0"/>
          <w:divBdr>
            <w:top w:val="none" w:sz="0" w:space="0" w:color="auto"/>
            <w:left w:val="none" w:sz="0" w:space="0" w:color="auto"/>
            <w:bottom w:val="none" w:sz="0" w:space="0" w:color="auto"/>
            <w:right w:val="none" w:sz="0" w:space="0" w:color="auto"/>
          </w:divBdr>
        </w:div>
      </w:divsChild>
    </w:div>
    <w:div w:id="1168134304">
      <w:marLeft w:val="0"/>
      <w:marRight w:val="0"/>
      <w:marTop w:val="0"/>
      <w:marBottom w:val="0"/>
      <w:divBdr>
        <w:top w:val="none" w:sz="0" w:space="0" w:color="auto"/>
        <w:left w:val="none" w:sz="0" w:space="0" w:color="auto"/>
        <w:bottom w:val="none" w:sz="0" w:space="0" w:color="auto"/>
        <w:right w:val="none" w:sz="0" w:space="0" w:color="auto"/>
      </w:divBdr>
      <w:divsChild>
        <w:div w:id="1168134293">
          <w:marLeft w:val="0"/>
          <w:marRight w:val="0"/>
          <w:marTop w:val="0"/>
          <w:marBottom w:val="0"/>
          <w:divBdr>
            <w:top w:val="none" w:sz="0" w:space="0" w:color="auto"/>
            <w:left w:val="none" w:sz="0" w:space="0" w:color="auto"/>
            <w:bottom w:val="none" w:sz="0" w:space="0" w:color="auto"/>
            <w:right w:val="none" w:sz="0" w:space="0" w:color="auto"/>
          </w:divBdr>
          <w:divsChild>
            <w:div w:id="1168134318">
              <w:marLeft w:val="0"/>
              <w:marRight w:val="0"/>
              <w:marTop w:val="0"/>
              <w:marBottom w:val="0"/>
              <w:divBdr>
                <w:top w:val="none" w:sz="0" w:space="0" w:color="auto"/>
                <w:left w:val="none" w:sz="0" w:space="0" w:color="auto"/>
                <w:bottom w:val="none" w:sz="0" w:space="0" w:color="auto"/>
                <w:right w:val="none" w:sz="0" w:space="0" w:color="auto"/>
              </w:divBdr>
              <w:divsChild>
                <w:div w:id="1168134303">
                  <w:marLeft w:val="0"/>
                  <w:marRight w:val="0"/>
                  <w:marTop w:val="0"/>
                  <w:marBottom w:val="0"/>
                  <w:divBdr>
                    <w:top w:val="none" w:sz="0" w:space="0" w:color="auto"/>
                    <w:left w:val="none" w:sz="0" w:space="0" w:color="auto"/>
                    <w:bottom w:val="none" w:sz="0" w:space="0" w:color="auto"/>
                    <w:right w:val="none" w:sz="0" w:space="0" w:color="auto"/>
                  </w:divBdr>
                  <w:divsChild>
                    <w:div w:id="1168134306">
                      <w:marLeft w:val="1"/>
                      <w:marRight w:val="1"/>
                      <w:marTop w:val="0"/>
                      <w:marBottom w:val="0"/>
                      <w:divBdr>
                        <w:top w:val="none" w:sz="0" w:space="0" w:color="auto"/>
                        <w:left w:val="none" w:sz="0" w:space="0" w:color="auto"/>
                        <w:bottom w:val="none" w:sz="0" w:space="0" w:color="auto"/>
                        <w:right w:val="none" w:sz="0" w:space="0" w:color="auto"/>
                      </w:divBdr>
                      <w:divsChild>
                        <w:div w:id="1168134313">
                          <w:marLeft w:val="0"/>
                          <w:marRight w:val="0"/>
                          <w:marTop w:val="0"/>
                          <w:marBottom w:val="0"/>
                          <w:divBdr>
                            <w:top w:val="none" w:sz="0" w:space="0" w:color="auto"/>
                            <w:left w:val="none" w:sz="0" w:space="0" w:color="auto"/>
                            <w:bottom w:val="none" w:sz="0" w:space="0" w:color="auto"/>
                            <w:right w:val="none" w:sz="0" w:space="0" w:color="auto"/>
                          </w:divBdr>
                          <w:divsChild>
                            <w:div w:id="1168134316">
                              <w:marLeft w:val="0"/>
                              <w:marRight w:val="0"/>
                              <w:marTop w:val="0"/>
                              <w:marBottom w:val="360"/>
                              <w:divBdr>
                                <w:top w:val="none" w:sz="0" w:space="0" w:color="auto"/>
                                <w:left w:val="none" w:sz="0" w:space="0" w:color="auto"/>
                                <w:bottom w:val="none" w:sz="0" w:space="0" w:color="auto"/>
                                <w:right w:val="none" w:sz="0" w:space="0" w:color="auto"/>
                              </w:divBdr>
                              <w:divsChild>
                                <w:div w:id="1168134295">
                                  <w:marLeft w:val="0"/>
                                  <w:marRight w:val="0"/>
                                  <w:marTop w:val="0"/>
                                  <w:marBottom w:val="0"/>
                                  <w:divBdr>
                                    <w:top w:val="none" w:sz="0" w:space="0" w:color="auto"/>
                                    <w:left w:val="none" w:sz="0" w:space="0" w:color="auto"/>
                                    <w:bottom w:val="none" w:sz="0" w:space="0" w:color="auto"/>
                                    <w:right w:val="none" w:sz="0" w:space="0" w:color="auto"/>
                                  </w:divBdr>
                                  <w:divsChild>
                                    <w:div w:id="1168134319">
                                      <w:marLeft w:val="0"/>
                                      <w:marRight w:val="0"/>
                                      <w:marTop w:val="0"/>
                                      <w:marBottom w:val="0"/>
                                      <w:divBdr>
                                        <w:top w:val="none" w:sz="0" w:space="0" w:color="auto"/>
                                        <w:left w:val="none" w:sz="0" w:space="0" w:color="auto"/>
                                        <w:bottom w:val="none" w:sz="0" w:space="0" w:color="auto"/>
                                        <w:right w:val="none" w:sz="0" w:space="0" w:color="auto"/>
                                      </w:divBdr>
                                      <w:divsChild>
                                        <w:div w:id="1168134309">
                                          <w:marLeft w:val="0"/>
                                          <w:marRight w:val="0"/>
                                          <w:marTop w:val="0"/>
                                          <w:marBottom w:val="0"/>
                                          <w:divBdr>
                                            <w:top w:val="none" w:sz="0" w:space="0" w:color="auto"/>
                                            <w:left w:val="none" w:sz="0" w:space="0" w:color="auto"/>
                                            <w:bottom w:val="none" w:sz="0" w:space="0" w:color="auto"/>
                                            <w:right w:val="none" w:sz="0" w:space="0" w:color="auto"/>
                                          </w:divBdr>
                                          <w:divsChild>
                                            <w:div w:id="1168134305">
                                              <w:marLeft w:val="0"/>
                                              <w:marRight w:val="0"/>
                                              <w:marTop w:val="0"/>
                                              <w:marBottom w:val="0"/>
                                              <w:divBdr>
                                                <w:top w:val="none" w:sz="0" w:space="0" w:color="auto"/>
                                                <w:left w:val="none" w:sz="0" w:space="0" w:color="auto"/>
                                                <w:bottom w:val="none" w:sz="0" w:space="0" w:color="auto"/>
                                                <w:right w:val="none" w:sz="0" w:space="0" w:color="auto"/>
                                              </w:divBdr>
                                              <w:divsChild>
                                                <w:div w:id="11681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134323">
      <w:marLeft w:val="0"/>
      <w:marRight w:val="0"/>
      <w:marTop w:val="0"/>
      <w:marBottom w:val="0"/>
      <w:divBdr>
        <w:top w:val="none" w:sz="0" w:space="0" w:color="auto"/>
        <w:left w:val="none" w:sz="0" w:space="0" w:color="auto"/>
        <w:bottom w:val="none" w:sz="0" w:space="0" w:color="auto"/>
        <w:right w:val="none" w:sz="0" w:space="0" w:color="auto"/>
      </w:divBdr>
      <w:divsChild>
        <w:div w:id="1168134320">
          <w:marLeft w:val="0"/>
          <w:marRight w:val="0"/>
          <w:marTop w:val="0"/>
          <w:marBottom w:val="0"/>
          <w:divBdr>
            <w:top w:val="none" w:sz="0" w:space="0" w:color="auto"/>
            <w:left w:val="none" w:sz="0" w:space="0" w:color="auto"/>
            <w:bottom w:val="none" w:sz="0" w:space="0" w:color="auto"/>
            <w:right w:val="none" w:sz="0" w:space="0" w:color="auto"/>
          </w:divBdr>
          <w:divsChild>
            <w:div w:id="1168134288">
              <w:marLeft w:val="0"/>
              <w:marRight w:val="0"/>
              <w:marTop w:val="0"/>
              <w:marBottom w:val="0"/>
              <w:divBdr>
                <w:top w:val="none" w:sz="0" w:space="0" w:color="auto"/>
                <w:left w:val="none" w:sz="0" w:space="0" w:color="auto"/>
                <w:bottom w:val="none" w:sz="0" w:space="0" w:color="auto"/>
                <w:right w:val="none" w:sz="0" w:space="0" w:color="auto"/>
              </w:divBdr>
              <w:divsChild>
                <w:div w:id="1168134285">
                  <w:marLeft w:val="0"/>
                  <w:marRight w:val="0"/>
                  <w:marTop w:val="0"/>
                  <w:marBottom w:val="0"/>
                  <w:divBdr>
                    <w:top w:val="none" w:sz="0" w:space="0" w:color="auto"/>
                    <w:left w:val="none" w:sz="0" w:space="0" w:color="auto"/>
                    <w:bottom w:val="none" w:sz="0" w:space="0" w:color="auto"/>
                    <w:right w:val="none" w:sz="0" w:space="0" w:color="auto"/>
                  </w:divBdr>
                  <w:divsChild>
                    <w:div w:id="1168134287">
                      <w:marLeft w:val="1"/>
                      <w:marRight w:val="1"/>
                      <w:marTop w:val="0"/>
                      <w:marBottom w:val="0"/>
                      <w:divBdr>
                        <w:top w:val="none" w:sz="0" w:space="0" w:color="auto"/>
                        <w:left w:val="none" w:sz="0" w:space="0" w:color="auto"/>
                        <w:bottom w:val="none" w:sz="0" w:space="0" w:color="auto"/>
                        <w:right w:val="none" w:sz="0" w:space="0" w:color="auto"/>
                      </w:divBdr>
                      <w:divsChild>
                        <w:div w:id="1168134289">
                          <w:marLeft w:val="0"/>
                          <w:marRight w:val="0"/>
                          <w:marTop w:val="0"/>
                          <w:marBottom w:val="0"/>
                          <w:divBdr>
                            <w:top w:val="none" w:sz="0" w:space="0" w:color="auto"/>
                            <w:left w:val="none" w:sz="0" w:space="0" w:color="auto"/>
                            <w:bottom w:val="none" w:sz="0" w:space="0" w:color="auto"/>
                            <w:right w:val="none" w:sz="0" w:space="0" w:color="auto"/>
                          </w:divBdr>
                          <w:divsChild>
                            <w:div w:id="1168134322">
                              <w:marLeft w:val="0"/>
                              <w:marRight w:val="0"/>
                              <w:marTop w:val="0"/>
                              <w:marBottom w:val="360"/>
                              <w:divBdr>
                                <w:top w:val="none" w:sz="0" w:space="0" w:color="auto"/>
                                <w:left w:val="none" w:sz="0" w:space="0" w:color="auto"/>
                                <w:bottom w:val="none" w:sz="0" w:space="0" w:color="auto"/>
                                <w:right w:val="none" w:sz="0" w:space="0" w:color="auto"/>
                              </w:divBdr>
                              <w:divsChild>
                                <w:div w:id="1168134284">
                                  <w:marLeft w:val="0"/>
                                  <w:marRight w:val="0"/>
                                  <w:marTop w:val="0"/>
                                  <w:marBottom w:val="0"/>
                                  <w:divBdr>
                                    <w:top w:val="none" w:sz="0" w:space="0" w:color="auto"/>
                                    <w:left w:val="none" w:sz="0" w:space="0" w:color="auto"/>
                                    <w:bottom w:val="none" w:sz="0" w:space="0" w:color="auto"/>
                                    <w:right w:val="none" w:sz="0" w:space="0" w:color="auto"/>
                                  </w:divBdr>
                                  <w:divsChild>
                                    <w:div w:id="1168134283">
                                      <w:marLeft w:val="0"/>
                                      <w:marRight w:val="0"/>
                                      <w:marTop w:val="0"/>
                                      <w:marBottom w:val="0"/>
                                      <w:divBdr>
                                        <w:top w:val="none" w:sz="0" w:space="0" w:color="auto"/>
                                        <w:left w:val="none" w:sz="0" w:space="0" w:color="auto"/>
                                        <w:bottom w:val="none" w:sz="0" w:space="0" w:color="auto"/>
                                        <w:right w:val="none" w:sz="0" w:space="0" w:color="auto"/>
                                      </w:divBdr>
                                      <w:divsChild>
                                        <w:div w:id="1168134324">
                                          <w:marLeft w:val="0"/>
                                          <w:marRight w:val="0"/>
                                          <w:marTop w:val="0"/>
                                          <w:marBottom w:val="0"/>
                                          <w:divBdr>
                                            <w:top w:val="none" w:sz="0" w:space="0" w:color="auto"/>
                                            <w:left w:val="none" w:sz="0" w:space="0" w:color="auto"/>
                                            <w:bottom w:val="none" w:sz="0" w:space="0" w:color="auto"/>
                                            <w:right w:val="none" w:sz="0" w:space="0" w:color="auto"/>
                                          </w:divBdr>
                                          <w:divsChild>
                                            <w:div w:id="1168134321">
                                              <w:marLeft w:val="0"/>
                                              <w:marRight w:val="0"/>
                                              <w:marTop w:val="0"/>
                                              <w:marBottom w:val="0"/>
                                              <w:divBdr>
                                                <w:top w:val="none" w:sz="0" w:space="0" w:color="auto"/>
                                                <w:left w:val="none" w:sz="0" w:space="0" w:color="auto"/>
                                                <w:bottom w:val="none" w:sz="0" w:space="0" w:color="auto"/>
                                                <w:right w:val="none" w:sz="0" w:space="0" w:color="auto"/>
                                              </w:divBdr>
                                              <w:divsChild>
                                                <w:div w:id="1168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026997">
      <w:bodyDiv w:val="1"/>
      <w:marLeft w:val="390"/>
      <w:marRight w:val="390"/>
      <w:marTop w:val="0"/>
      <w:marBottom w:val="0"/>
      <w:divBdr>
        <w:top w:val="none" w:sz="0" w:space="0" w:color="auto"/>
        <w:left w:val="none" w:sz="0" w:space="0" w:color="auto"/>
        <w:bottom w:val="none" w:sz="0" w:space="0" w:color="auto"/>
        <w:right w:val="none" w:sz="0" w:space="0" w:color="auto"/>
      </w:divBdr>
      <w:divsChild>
        <w:div w:id="567614218">
          <w:marLeft w:val="0"/>
          <w:marRight w:val="0"/>
          <w:marTop w:val="0"/>
          <w:marBottom w:val="0"/>
          <w:divBdr>
            <w:top w:val="none" w:sz="0" w:space="0" w:color="auto"/>
            <w:left w:val="none" w:sz="0" w:space="0" w:color="auto"/>
            <w:bottom w:val="none" w:sz="0" w:space="0" w:color="auto"/>
            <w:right w:val="none" w:sz="0" w:space="0" w:color="auto"/>
          </w:divBdr>
        </w:div>
      </w:divsChild>
    </w:div>
    <w:div w:id="1830633546">
      <w:bodyDiv w:val="1"/>
      <w:marLeft w:val="0"/>
      <w:marRight w:val="0"/>
      <w:marTop w:val="0"/>
      <w:marBottom w:val="0"/>
      <w:divBdr>
        <w:top w:val="none" w:sz="0" w:space="0" w:color="auto"/>
        <w:left w:val="none" w:sz="0" w:space="0" w:color="auto"/>
        <w:bottom w:val="none" w:sz="0" w:space="0" w:color="auto"/>
        <w:right w:val="none" w:sz="0" w:space="0" w:color="auto"/>
      </w:divBdr>
      <w:divsChild>
        <w:div w:id="2021543868">
          <w:marLeft w:val="0"/>
          <w:marRight w:val="0"/>
          <w:marTop w:val="0"/>
          <w:marBottom w:val="0"/>
          <w:divBdr>
            <w:top w:val="none" w:sz="0" w:space="0" w:color="auto"/>
            <w:left w:val="none" w:sz="0" w:space="0" w:color="auto"/>
            <w:bottom w:val="none" w:sz="0" w:space="0" w:color="auto"/>
            <w:right w:val="none" w:sz="0" w:space="0" w:color="auto"/>
          </w:divBdr>
          <w:divsChild>
            <w:div w:id="191964236">
              <w:marLeft w:val="0"/>
              <w:marRight w:val="0"/>
              <w:marTop w:val="0"/>
              <w:marBottom w:val="0"/>
              <w:divBdr>
                <w:top w:val="none" w:sz="0" w:space="0" w:color="auto"/>
                <w:left w:val="none" w:sz="0" w:space="0" w:color="auto"/>
                <w:bottom w:val="none" w:sz="0" w:space="0" w:color="auto"/>
                <w:right w:val="none" w:sz="0" w:space="0" w:color="auto"/>
              </w:divBdr>
              <w:divsChild>
                <w:div w:id="10501032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70785">
      <w:bodyDiv w:val="1"/>
      <w:marLeft w:val="390"/>
      <w:marRight w:val="390"/>
      <w:marTop w:val="0"/>
      <w:marBottom w:val="0"/>
      <w:divBdr>
        <w:top w:val="none" w:sz="0" w:space="0" w:color="auto"/>
        <w:left w:val="none" w:sz="0" w:space="0" w:color="auto"/>
        <w:bottom w:val="none" w:sz="0" w:space="0" w:color="auto"/>
        <w:right w:val="none" w:sz="0" w:space="0" w:color="auto"/>
      </w:divBdr>
    </w:div>
    <w:div w:id="2093156384">
      <w:bodyDiv w:val="1"/>
      <w:marLeft w:val="390"/>
      <w:marRight w:val="390"/>
      <w:marTop w:val="0"/>
      <w:marBottom w:val="0"/>
      <w:divBdr>
        <w:top w:val="none" w:sz="0" w:space="0" w:color="auto"/>
        <w:left w:val="none" w:sz="0" w:space="0" w:color="auto"/>
        <w:bottom w:val="none" w:sz="0" w:space="0" w:color="auto"/>
        <w:right w:val="none" w:sz="0" w:space="0" w:color="auto"/>
      </w:divBdr>
      <w:divsChild>
        <w:div w:id="907882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Jablonkova Zdenka</cp:lastModifiedBy>
  <cp:revision>2</cp:revision>
  <cp:lastPrinted>2006-12-14T13:09:00Z</cp:lastPrinted>
  <dcterms:created xsi:type="dcterms:W3CDTF">2018-08-31T11:17:00Z</dcterms:created>
  <dcterms:modified xsi:type="dcterms:W3CDTF">2018-08-31T11:17:00Z</dcterms:modified>
</cp:coreProperties>
</file>